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ECA0" w14:textId="4C2354B3" w:rsidR="00A64023" w:rsidRDefault="0012281D" w:rsidP="005167A5">
      <w:pPr>
        <w:spacing w:before="600" w:after="120"/>
        <w:jc w:val="center"/>
        <w:rPr>
          <w:b/>
          <w:kern w:val="2"/>
          <w:sz w:val="28"/>
          <w:lang w:val="en-GB"/>
        </w:rPr>
      </w:pPr>
      <w:r w:rsidRPr="0012281D">
        <w:rPr>
          <w:b/>
          <w:kern w:val="2"/>
          <w:sz w:val="28"/>
          <w:lang w:val="en-GB"/>
        </w:rPr>
        <w:t>Study and characterization of novel ingredients recovered from plant material for application in novel foods, by advanced chromatographic technique and high-resolution mass spectrometry</w:t>
      </w:r>
    </w:p>
    <w:p w14:paraId="050008D4" w14:textId="64675B2D" w:rsidR="00081E79" w:rsidRDefault="00EE2FCE" w:rsidP="005167A5">
      <w:pPr>
        <w:jc w:val="center"/>
        <w:rPr>
          <w:lang w:val="de-DE"/>
        </w:rPr>
      </w:pPr>
      <w:r>
        <w:rPr>
          <w:lang w:val="de-DE"/>
        </w:rPr>
        <w:t>Lorenzo</w:t>
      </w:r>
      <w:r w:rsidR="00081E79">
        <w:rPr>
          <w:lang w:val="de-DE"/>
        </w:rPr>
        <w:t xml:space="preserve"> </w:t>
      </w:r>
      <w:r>
        <w:rPr>
          <w:lang w:val="de-DE"/>
        </w:rPr>
        <w:t>Del Vecchio</w:t>
      </w:r>
      <w:r w:rsidR="00081E79">
        <w:rPr>
          <w:lang w:val="de-DE"/>
        </w:rPr>
        <w:t xml:space="preserve"> (</w:t>
      </w:r>
      <w:r>
        <w:rPr>
          <w:lang w:val="de-DE"/>
        </w:rPr>
        <w:t>lorenzo.delvecchio</w:t>
      </w:r>
      <w:r w:rsidR="00081E79">
        <w:rPr>
          <w:lang w:val="de-DE"/>
        </w:rPr>
        <w:t>@un</w:t>
      </w:r>
      <w:r>
        <w:rPr>
          <w:lang w:val="de-DE"/>
        </w:rPr>
        <w:t>ipr</w:t>
      </w:r>
      <w:r w:rsidR="00081E79">
        <w:rPr>
          <w:lang w:val="de-DE"/>
        </w:rPr>
        <w:t>.it)</w:t>
      </w:r>
    </w:p>
    <w:p w14:paraId="6D5F5145" w14:textId="134247AD" w:rsidR="00081E79" w:rsidRPr="00F30709" w:rsidRDefault="00081E79" w:rsidP="00081E79">
      <w:pPr>
        <w:jc w:val="center"/>
        <w:rPr>
          <w:lang w:val="en-US"/>
        </w:rPr>
      </w:pPr>
      <w:r>
        <w:rPr>
          <w:lang w:val="en-GB"/>
        </w:rPr>
        <w:t xml:space="preserve">Dept. </w:t>
      </w:r>
      <w:r w:rsidRPr="00F30709">
        <w:rPr>
          <w:lang w:val="en-US"/>
        </w:rPr>
        <w:t>Food</w:t>
      </w:r>
      <w:r w:rsidR="00EE2FCE" w:rsidRPr="00F30709">
        <w:rPr>
          <w:lang w:val="en-US"/>
        </w:rPr>
        <w:t xml:space="preserve"> </w:t>
      </w:r>
      <w:r w:rsidRPr="00F30709">
        <w:rPr>
          <w:lang w:val="en-US"/>
        </w:rPr>
        <w:t>and</w:t>
      </w:r>
      <w:r w:rsidR="00EE2FCE" w:rsidRPr="00F30709">
        <w:rPr>
          <w:lang w:val="en-US"/>
        </w:rPr>
        <w:t xml:space="preserve"> </w:t>
      </w:r>
      <w:r w:rsidR="004D7DF6" w:rsidRPr="00F30709">
        <w:rPr>
          <w:lang w:val="en-US"/>
        </w:rPr>
        <w:t>Drug, University</w:t>
      </w:r>
      <w:r w:rsidRPr="00F30709">
        <w:rPr>
          <w:lang w:val="en-US"/>
        </w:rPr>
        <w:t xml:space="preserve"> of</w:t>
      </w:r>
      <w:r w:rsidR="004D7DF6" w:rsidRPr="00F30709">
        <w:rPr>
          <w:lang w:val="en-US"/>
        </w:rPr>
        <w:t xml:space="preserve"> Parma</w:t>
      </w:r>
      <w:r w:rsidRPr="00F30709">
        <w:rPr>
          <w:lang w:val="en-US"/>
        </w:rPr>
        <w:t>,</w:t>
      </w:r>
      <w:r w:rsidR="00876143" w:rsidRPr="00F30709">
        <w:rPr>
          <w:lang w:val="en-US"/>
        </w:rPr>
        <w:t xml:space="preserve"> </w:t>
      </w:r>
      <w:proofErr w:type="spellStart"/>
      <w:r w:rsidR="00C44E55" w:rsidRPr="00F30709">
        <w:rPr>
          <w:lang w:val="en-US"/>
        </w:rPr>
        <w:t>Viale</w:t>
      </w:r>
      <w:proofErr w:type="spellEnd"/>
      <w:r w:rsidR="00C44E55" w:rsidRPr="00F30709">
        <w:rPr>
          <w:lang w:val="en-US"/>
        </w:rPr>
        <w:t xml:space="preserve"> Parco Area </w:t>
      </w:r>
      <w:proofErr w:type="spellStart"/>
      <w:r w:rsidR="00C44E55" w:rsidRPr="00F30709">
        <w:rPr>
          <w:lang w:val="en-US"/>
        </w:rPr>
        <w:t>delle</w:t>
      </w:r>
      <w:proofErr w:type="spellEnd"/>
      <w:r w:rsidR="00C44E55" w:rsidRPr="00F30709">
        <w:rPr>
          <w:lang w:val="en-US"/>
        </w:rPr>
        <w:t xml:space="preserve"> </w:t>
      </w:r>
      <w:proofErr w:type="spellStart"/>
      <w:r w:rsidR="00C44E55" w:rsidRPr="00F30709">
        <w:rPr>
          <w:lang w:val="en-US"/>
        </w:rPr>
        <w:t>Scienze</w:t>
      </w:r>
      <w:proofErr w:type="spellEnd"/>
      <w:r w:rsidR="00C44E55" w:rsidRPr="00F30709">
        <w:rPr>
          <w:lang w:val="en-US"/>
        </w:rPr>
        <w:t xml:space="preserve"> 27/A, 43124 Parma</w:t>
      </w:r>
      <w:r w:rsidRPr="00F30709">
        <w:rPr>
          <w:lang w:val="en-US"/>
        </w:rPr>
        <w:t>, Italy</w:t>
      </w:r>
    </w:p>
    <w:p w14:paraId="7CBDB1B6" w14:textId="7011CA57" w:rsidR="00081E79" w:rsidRPr="00C42C9B" w:rsidRDefault="00081E79" w:rsidP="00081E79">
      <w:pPr>
        <w:jc w:val="center"/>
        <w:rPr>
          <w:lang w:val="en-US"/>
        </w:rPr>
      </w:pPr>
      <w:r w:rsidRPr="00C42C9B">
        <w:rPr>
          <w:lang w:val="en-US"/>
        </w:rPr>
        <w:t xml:space="preserve">Tutor: Prof. </w:t>
      </w:r>
      <w:r w:rsidR="004D7DF6" w:rsidRPr="00C42C9B">
        <w:rPr>
          <w:lang w:val="en-US"/>
        </w:rPr>
        <w:t xml:space="preserve">Martina </w:t>
      </w:r>
      <w:proofErr w:type="spellStart"/>
      <w:r w:rsidR="004D7DF6" w:rsidRPr="00C42C9B">
        <w:rPr>
          <w:lang w:val="en-US"/>
        </w:rPr>
        <w:t>Cirlini</w:t>
      </w:r>
      <w:proofErr w:type="spellEnd"/>
    </w:p>
    <w:p w14:paraId="145790C6" w14:textId="77777777" w:rsidR="00081E79" w:rsidRPr="00C42C9B" w:rsidRDefault="00081E79" w:rsidP="00081E79">
      <w:pPr>
        <w:jc w:val="center"/>
        <w:rPr>
          <w:lang w:val="en-US"/>
        </w:rPr>
      </w:pPr>
    </w:p>
    <w:p w14:paraId="7AC97B3D" w14:textId="77777777" w:rsidR="00E5219B" w:rsidRDefault="00081E79" w:rsidP="00E5219B">
      <w:pPr>
        <w:widowControl/>
        <w:suppressAutoHyphens w:val="0"/>
        <w:jc w:val="both"/>
        <w:rPr>
          <w:rFonts w:ascii="Calibri" w:hAnsi="Calibri" w:cs="Calibri"/>
          <w:color w:val="000000"/>
          <w:sz w:val="22"/>
          <w:szCs w:val="22"/>
          <w:lang w:val="en-GB" w:eastAsia="en-US"/>
        </w:rPr>
      </w:pPr>
      <w:r>
        <w:rPr>
          <w:lang w:val="en-GB"/>
        </w:rPr>
        <w:t xml:space="preserve">This PhD thesis research project is aimed </w:t>
      </w:r>
      <w:r w:rsidR="00B424DF">
        <w:rPr>
          <w:lang w:val="en-GB"/>
        </w:rPr>
        <w:t xml:space="preserve">to study and </w:t>
      </w:r>
      <w:r w:rsidR="00482740">
        <w:rPr>
          <w:lang w:val="en-GB"/>
        </w:rPr>
        <w:t xml:space="preserve">chemical </w:t>
      </w:r>
      <w:r w:rsidR="0077233C">
        <w:rPr>
          <w:lang w:val="en-GB"/>
        </w:rPr>
        <w:t xml:space="preserve">characterize </w:t>
      </w:r>
      <w:r w:rsidR="00482740">
        <w:rPr>
          <w:lang w:val="en-GB"/>
        </w:rPr>
        <w:t>plant material</w:t>
      </w:r>
      <w:r w:rsidR="0077233C">
        <w:rPr>
          <w:lang w:val="en-GB"/>
        </w:rPr>
        <w:t>s</w:t>
      </w:r>
      <w:r w:rsidR="00482740">
        <w:rPr>
          <w:lang w:val="en-GB"/>
        </w:rPr>
        <w:t xml:space="preserve"> </w:t>
      </w:r>
      <w:r w:rsidR="0077233C">
        <w:rPr>
          <w:lang w:val="en-GB"/>
        </w:rPr>
        <w:t xml:space="preserve">potentially </w:t>
      </w:r>
      <w:r w:rsidR="0028305F">
        <w:rPr>
          <w:lang w:val="en-GB"/>
        </w:rPr>
        <w:t xml:space="preserve">rich in bioactive </w:t>
      </w:r>
      <w:r w:rsidR="0077233C">
        <w:rPr>
          <w:lang w:val="en-GB"/>
        </w:rPr>
        <w:t xml:space="preserve">and/or </w:t>
      </w:r>
      <w:proofErr w:type="spellStart"/>
      <w:r w:rsidR="0077233C">
        <w:rPr>
          <w:lang w:val="en-GB"/>
        </w:rPr>
        <w:t>flavoring</w:t>
      </w:r>
      <w:proofErr w:type="spellEnd"/>
      <w:r w:rsidR="0077233C">
        <w:rPr>
          <w:lang w:val="en-GB"/>
        </w:rPr>
        <w:t xml:space="preserve"> </w:t>
      </w:r>
      <w:r w:rsidR="0028305F">
        <w:rPr>
          <w:lang w:val="en-GB"/>
        </w:rPr>
        <w:t>compounds</w:t>
      </w:r>
      <w:r w:rsidR="0077233C">
        <w:rPr>
          <w:lang w:val="en-GB"/>
        </w:rPr>
        <w:t xml:space="preserve">, </w:t>
      </w:r>
      <w:proofErr w:type="gramStart"/>
      <w:r w:rsidR="00D0781A">
        <w:rPr>
          <w:lang w:val="en-GB"/>
        </w:rPr>
        <w:t>in order to</w:t>
      </w:r>
      <w:proofErr w:type="gramEnd"/>
      <w:r w:rsidR="00F506F5">
        <w:rPr>
          <w:lang w:val="en-GB"/>
        </w:rPr>
        <w:t xml:space="preserve"> develop</w:t>
      </w:r>
      <w:r w:rsidR="00D0781A">
        <w:rPr>
          <w:lang w:val="en-GB"/>
        </w:rPr>
        <w:t xml:space="preserve"> new ingredient</w:t>
      </w:r>
      <w:r w:rsidR="0077233C">
        <w:rPr>
          <w:lang w:val="en-GB"/>
        </w:rPr>
        <w:t>s</w:t>
      </w:r>
      <w:r w:rsidR="00D0781A">
        <w:rPr>
          <w:lang w:val="en-GB"/>
        </w:rPr>
        <w:t xml:space="preserve"> for food industry. </w:t>
      </w:r>
    </w:p>
    <w:p w14:paraId="7B4E8B52" w14:textId="50B2EA0B" w:rsidR="00876143" w:rsidRPr="00E5219B" w:rsidRDefault="00876143" w:rsidP="00AA0179">
      <w:pPr>
        <w:widowControl/>
        <w:suppressAutoHyphens w:val="0"/>
        <w:spacing w:before="240" w:after="12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76143">
        <w:rPr>
          <w:b/>
          <w:kern w:val="2"/>
          <w:sz w:val="24"/>
        </w:rPr>
        <w:t xml:space="preserve">Studio e caratterizzazione di ingredienti innovativi recuperati da materiale vegetale, da applicare in </w:t>
      </w:r>
      <w:proofErr w:type="spellStart"/>
      <w:r w:rsidRPr="00876143">
        <w:rPr>
          <w:b/>
          <w:kern w:val="2"/>
          <w:sz w:val="24"/>
        </w:rPr>
        <w:t>novel</w:t>
      </w:r>
      <w:proofErr w:type="spellEnd"/>
      <w:r w:rsidRPr="00876143">
        <w:rPr>
          <w:b/>
          <w:kern w:val="2"/>
          <w:sz w:val="24"/>
        </w:rPr>
        <w:t xml:space="preserve"> food, tramite tecniche cromatografiche avanzate e spettrometria di massa ad alta risoluzione</w:t>
      </w:r>
    </w:p>
    <w:p w14:paraId="5D49484C" w14:textId="077A8733" w:rsidR="00081E79" w:rsidRDefault="008B7E85" w:rsidP="00AA0ECA">
      <w:pPr>
        <w:jc w:val="both"/>
      </w:pPr>
      <w:r>
        <w:t>Il presente</w:t>
      </w:r>
      <w:r w:rsidR="00081E79">
        <w:t xml:space="preserve"> progetto di tesi di dottorato </w:t>
      </w:r>
      <w:r w:rsidR="000B5D5C">
        <w:t>sì pone l’obiettivo</w:t>
      </w:r>
      <w:r w:rsidR="000C1ECD">
        <w:t xml:space="preserve"> di studiare e caratterizzare</w:t>
      </w:r>
      <w:r w:rsidR="00EB783D">
        <w:t xml:space="preserve"> chimicamente</w:t>
      </w:r>
      <w:r w:rsidR="000C1ECD">
        <w:t xml:space="preserve"> </w:t>
      </w:r>
      <w:r w:rsidR="00186757">
        <w:t xml:space="preserve">substrati vegetali </w:t>
      </w:r>
      <w:r w:rsidR="00B56471">
        <w:t xml:space="preserve">potenzialmente ricchi </w:t>
      </w:r>
      <w:r w:rsidR="009E1BE7">
        <w:t>in molecole bioattive</w:t>
      </w:r>
      <w:r w:rsidR="00165CB3">
        <w:t xml:space="preserve"> o </w:t>
      </w:r>
      <w:r w:rsidR="0077233C">
        <w:t xml:space="preserve">composti aromatici, </w:t>
      </w:r>
      <w:r w:rsidR="000773AA">
        <w:t xml:space="preserve">con lo scopo di </w:t>
      </w:r>
      <w:r w:rsidR="00AA6ABF">
        <w:t xml:space="preserve">sviluppare dei nuovi ingredienti </w:t>
      </w:r>
      <w:r w:rsidR="005F7BAB">
        <w:t xml:space="preserve">utilizzabili in diversi </w:t>
      </w:r>
      <w:r w:rsidR="007F359F">
        <w:t>settori dell’industria alimentare.</w:t>
      </w:r>
    </w:p>
    <w:p w14:paraId="5F678478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State-of-the-Art</w:t>
      </w:r>
    </w:p>
    <w:p w14:paraId="219670E0" w14:textId="58DD7750" w:rsidR="00221DC8" w:rsidRDefault="003C4CE8" w:rsidP="00221DC8">
      <w:pPr>
        <w:jc w:val="both"/>
        <w:rPr>
          <w:lang w:val="en-US"/>
        </w:rPr>
      </w:pPr>
      <w:r w:rsidRPr="003C4CE8">
        <w:rPr>
          <w:lang w:val="en-US"/>
        </w:rPr>
        <w:t>In the last few years natural products, derived from several types of plant</w:t>
      </w:r>
      <w:r w:rsidR="004155EF">
        <w:rPr>
          <w:lang w:val="en-US"/>
        </w:rPr>
        <w:t xml:space="preserve"> materials</w:t>
      </w:r>
      <w:r w:rsidRPr="003C4CE8">
        <w:rPr>
          <w:lang w:val="en-US"/>
        </w:rPr>
        <w:t>, are attracting the attention of an increasing number of companies interested in the application of plant-derived additives in the food sector</w:t>
      </w:r>
      <w:r w:rsidR="00E72E4A">
        <w:rPr>
          <w:lang w:val="en-US"/>
        </w:rPr>
        <w:t xml:space="preserve"> (</w:t>
      </w:r>
      <w:r w:rsidR="00082EEB" w:rsidRPr="00082EEB">
        <w:rPr>
          <w:lang w:val="en-US"/>
        </w:rPr>
        <w:t>Essien</w:t>
      </w:r>
      <w:r w:rsidR="00066940">
        <w:rPr>
          <w:lang w:val="en-US"/>
        </w:rPr>
        <w:t xml:space="preserve"> </w:t>
      </w:r>
      <w:r w:rsidR="00066940" w:rsidRPr="00066940">
        <w:rPr>
          <w:i/>
          <w:iCs/>
          <w:lang w:val="en-US"/>
        </w:rPr>
        <w:t>et al</w:t>
      </w:r>
      <w:r w:rsidR="00066940">
        <w:rPr>
          <w:lang w:val="en-US"/>
        </w:rPr>
        <w:t>.,</w:t>
      </w:r>
      <w:r w:rsidR="00DA1822">
        <w:rPr>
          <w:lang w:val="en-US"/>
        </w:rPr>
        <w:t xml:space="preserve"> </w:t>
      </w:r>
      <w:r w:rsidR="00066940">
        <w:rPr>
          <w:lang w:val="en-US"/>
        </w:rPr>
        <w:t xml:space="preserve">2020). </w:t>
      </w:r>
      <w:r w:rsidR="003B4DD9" w:rsidRPr="006E74BA">
        <w:rPr>
          <w:lang w:val="en-US"/>
        </w:rPr>
        <w:t>The demand for the application of bioactive food ingredient</w:t>
      </w:r>
      <w:r w:rsidR="00026046">
        <w:rPr>
          <w:lang w:val="en-US"/>
        </w:rPr>
        <w:t>s</w:t>
      </w:r>
      <w:r w:rsidR="003B4DD9" w:rsidRPr="006E74BA">
        <w:rPr>
          <w:lang w:val="en-US"/>
        </w:rPr>
        <w:t xml:space="preserve"> derived from plant materials has increased in recent years.</w:t>
      </w:r>
      <w:r w:rsidR="003873A0">
        <w:rPr>
          <w:lang w:val="en-US"/>
        </w:rPr>
        <w:t xml:space="preserve"> </w:t>
      </w:r>
      <w:r w:rsidR="00CB52EF" w:rsidRPr="00CB52EF">
        <w:rPr>
          <w:lang w:val="en-US"/>
        </w:rPr>
        <w:t>Natural compounds derived from plants have the potential to be new sources of</w:t>
      </w:r>
      <w:r w:rsidR="00CB52EF">
        <w:rPr>
          <w:lang w:val="en-US"/>
        </w:rPr>
        <w:t xml:space="preserve"> </w:t>
      </w:r>
      <w:r w:rsidR="00CB52EF" w:rsidRPr="00CB52EF">
        <w:rPr>
          <w:lang w:val="en-US"/>
        </w:rPr>
        <w:t>food components and environmentally beneficial food preservatives</w:t>
      </w:r>
      <w:r w:rsidR="000A6B3E">
        <w:rPr>
          <w:lang w:val="en-US"/>
        </w:rPr>
        <w:t>.</w:t>
      </w:r>
    </w:p>
    <w:p w14:paraId="3AB187A0" w14:textId="27DB4297" w:rsidR="005D47DC" w:rsidRPr="00221DC8" w:rsidRDefault="005D47DC" w:rsidP="00221DC8">
      <w:pPr>
        <w:spacing w:before="300" w:after="120"/>
        <w:jc w:val="both"/>
        <w:rPr>
          <w:lang w:val="en-US"/>
        </w:rPr>
      </w:pPr>
      <w:r w:rsidRPr="00994A84">
        <w:rPr>
          <w:b/>
          <w:bCs/>
          <w:i/>
          <w:iCs/>
          <w:sz w:val="18"/>
          <w:szCs w:val="18"/>
          <w:lang w:val="en-US"/>
        </w:rPr>
        <w:t xml:space="preserve">Table </w:t>
      </w:r>
      <w:r w:rsidRPr="00DE375B">
        <w:rPr>
          <w:i/>
          <w:iCs/>
          <w:lang w:val="en-US"/>
        </w:rPr>
        <w:fldChar w:fldCharType="begin"/>
      </w:r>
      <w:r w:rsidRPr="00DE375B">
        <w:rPr>
          <w:i/>
          <w:iCs/>
          <w:lang w:val="en-US"/>
        </w:rPr>
        <w:instrText xml:space="preserve"> SEQ Table \* ARABIC </w:instrText>
      </w:r>
      <w:r w:rsidRPr="00DE375B">
        <w:rPr>
          <w:i/>
          <w:iCs/>
          <w:lang w:val="en-US"/>
        </w:rPr>
        <w:fldChar w:fldCharType="separate"/>
      </w:r>
      <w:r w:rsidR="00045B5C" w:rsidRPr="00DE375B">
        <w:rPr>
          <w:i/>
          <w:iCs/>
          <w:lang w:val="en-US"/>
        </w:rPr>
        <w:t>1</w:t>
      </w:r>
      <w:r w:rsidRPr="00DE375B">
        <w:rPr>
          <w:i/>
          <w:iCs/>
          <w:lang w:val="en-US"/>
        </w:rPr>
        <w:fldChar w:fldCharType="end"/>
      </w:r>
      <w:r w:rsidRPr="00DE375B">
        <w:rPr>
          <w:i/>
          <w:iCs/>
          <w:lang w:val="en-US"/>
        </w:rPr>
        <w:t xml:space="preserve"> Some plant materials or biomasses as source of bioactive and aroma compounds.</w:t>
      </w:r>
    </w:p>
    <w:tbl>
      <w:tblPr>
        <w:tblpPr w:leftFromText="180" w:rightFromText="180" w:vertAnchor="text" w:horzAnchor="margin" w:tblpXSpec="center" w:tblpY="103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7"/>
        <w:gridCol w:w="1859"/>
        <w:gridCol w:w="1561"/>
        <w:gridCol w:w="2328"/>
        <w:gridCol w:w="1205"/>
        <w:gridCol w:w="841"/>
      </w:tblGrid>
      <w:tr w:rsidR="00FF5434" w:rsidRPr="00FF5434" w14:paraId="5A1B3025" w14:textId="77777777" w:rsidTr="00B26E3D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E7B69A9" w14:textId="77777777" w:rsidR="00FF5434" w:rsidRDefault="00FF5434" w:rsidP="00B24DE7">
            <w:pPr>
              <w:jc w:val="center"/>
              <w:rPr>
                <w:b/>
                <w:bCs/>
                <w:sz w:val="18"/>
                <w:lang w:val="en-US"/>
              </w:rPr>
            </w:pPr>
            <w:r w:rsidRPr="00FF5434">
              <w:rPr>
                <w:b/>
                <w:bCs/>
                <w:sz w:val="18"/>
                <w:lang w:val="en-US"/>
              </w:rPr>
              <w:t>Plant source</w:t>
            </w:r>
          </w:p>
          <w:p w14:paraId="726DB2BB" w14:textId="77777777" w:rsidR="000141F7" w:rsidRPr="00FF5434" w:rsidRDefault="000141F7" w:rsidP="00B24DE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56EA75E" w14:textId="3F24ADAF" w:rsidR="00FF5434" w:rsidRPr="00FF5434" w:rsidRDefault="00FF5434" w:rsidP="00B24DE7">
            <w:pPr>
              <w:jc w:val="center"/>
              <w:rPr>
                <w:sz w:val="18"/>
                <w:lang w:val="en-US"/>
              </w:rPr>
            </w:pPr>
            <w:r w:rsidRPr="00FF5434">
              <w:rPr>
                <w:b/>
                <w:bCs/>
                <w:sz w:val="18"/>
                <w:lang w:val="en-US"/>
              </w:rPr>
              <w:t>Aim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117C699" w14:textId="77777777" w:rsidR="00FF5434" w:rsidRPr="00FF5434" w:rsidRDefault="00FF5434" w:rsidP="00B24DE7">
            <w:pPr>
              <w:jc w:val="center"/>
              <w:rPr>
                <w:sz w:val="18"/>
                <w:lang w:val="en-US"/>
              </w:rPr>
            </w:pPr>
            <w:r w:rsidRPr="00FF5434">
              <w:rPr>
                <w:b/>
                <w:bCs/>
                <w:sz w:val="18"/>
                <w:lang w:val="en-US"/>
              </w:rPr>
              <w:t>Compounds/</w:t>
            </w:r>
          </w:p>
          <w:p w14:paraId="782AA263" w14:textId="77777777" w:rsidR="00FF5434" w:rsidRPr="00FF5434" w:rsidRDefault="00FF5434" w:rsidP="00B24DE7">
            <w:pPr>
              <w:jc w:val="center"/>
              <w:rPr>
                <w:sz w:val="18"/>
                <w:lang w:val="en-US"/>
              </w:rPr>
            </w:pPr>
            <w:r w:rsidRPr="00FF5434">
              <w:rPr>
                <w:b/>
                <w:bCs/>
                <w:sz w:val="18"/>
                <w:lang w:val="en-US"/>
              </w:rPr>
              <w:t>aroma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6A4A2C2" w14:textId="77777777" w:rsidR="00FF5434" w:rsidRPr="00FF5434" w:rsidRDefault="00FF5434" w:rsidP="00B24DE7">
            <w:pPr>
              <w:jc w:val="center"/>
              <w:rPr>
                <w:sz w:val="18"/>
                <w:lang w:val="en-US"/>
              </w:rPr>
            </w:pPr>
            <w:r w:rsidRPr="00FF5434">
              <w:rPr>
                <w:b/>
                <w:bCs/>
                <w:sz w:val="18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504AA71" w14:textId="77777777" w:rsidR="00FF5434" w:rsidRPr="00FF5434" w:rsidRDefault="00FF5434" w:rsidP="00B24DE7">
            <w:pPr>
              <w:jc w:val="center"/>
              <w:rPr>
                <w:sz w:val="18"/>
                <w:lang w:val="en-US"/>
              </w:rPr>
            </w:pPr>
            <w:r w:rsidRPr="00FF5434">
              <w:rPr>
                <w:b/>
                <w:bCs/>
                <w:sz w:val="18"/>
                <w:lang w:val="en-US"/>
              </w:rPr>
              <w:t>Application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F0B9335" w14:textId="77777777" w:rsidR="00FF5434" w:rsidRPr="00FF5434" w:rsidRDefault="00FF5434" w:rsidP="00B24DE7">
            <w:pPr>
              <w:jc w:val="center"/>
              <w:rPr>
                <w:sz w:val="18"/>
                <w:lang w:val="en-US"/>
              </w:rPr>
            </w:pPr>
            <w:r w:rsidRPr="00FF5434">
              <w:rPr>
                <w:b/>
                <w:bCs/>
                <w:sz w:val="18"/>
                <w:lang w:val="en-US"/>
              </w:rPr>
              <w:t>Reference</w:t>
            </w:r>
          </w:p>
        </w:tc>
      </w:tr>
      <w:tr w:rsidR="00FF5434" w:rsidRPr="00FF5434" w14:paraId="554F8B43" w14:textId="77777777" w:rsidTr="000141F7">
        <w:trPr>
          <w:trHeight w:val="1664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12D7C0" w14:textId="5CE922F6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>Hemp microgreens</w:t>
            </w:r>
            <w:r w:rsidR="00F958A4">
              <w:rPr>
                <w:sz w:val="18"/>
                <w:lang w:val="en-US"/>
              </w:rPr>
              <w:t>/by</w:t>
            </w:r>
            <w:r w:rsidR="00935BCD">
              <w:rPr>
                <w:sz w:val="18"/>
                <w:lang w:val="en-US"/>
              </w:rPr>
              <w:t>-products</w:t>
            </w:r>
            <w:r w:rsidRPr="00FF5434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EBD88F" w14:textId="3861336D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 xml:space="preserve">Chemical characterization of different </w:t>
            </w:r>
            <w:r w:rsidR="00BE2569" w:rsidRPr="00FF5434">
              <w:rPr>
                <w:sz w:val="18"/>
                <w:lang w:val="en-US"/>
              </w:rPr>
              <w:t>varieties</w:t>
            </w:r>
            <w:r w:rsidRPr="00FF5434">
              <w:rPr>
                <w:sz w:val="18"/>
                <w:lang w:val="en-US"/>
              </w:rPr>
              <w:t xml:space="preserve"> of hemp </w:t>
            </w:r>
            <w:r w:rsidR="00BE2569" w:rsidRPr="00FF5434">
              <w:rPr>
                <w:sz w:val="18"/>
                <w:lang w:val="en-US"/>
              </w:rPr>
              <w:t>cultivated</w:t>
            </w:r>
            <w:r w:rsidRPr="00FF5434">
              <w:rPr>
                <w:sz w:val="18"/>
                <w:lang w:val="en-US"/>
              </w:rPr>
              <w:t xml:space="preserve"> as microgreens.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DFD0CB" w14:textId="70A01B77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 xml:space="preserve">Organic acids, amino acids, polyphenols and non-psychoactive </w:t>
            </w:r>
            <w:proofErr w:type="spellStart"/>
            <w:r w:rsidRPr="00FF5434">
              <w:rPr>
                <w:sz w:val="18"/>
                <w:lang w:val="en-US"/>
              </w:rPr>
              <w:t>phyto</w:t>
            </w:r>
            <w:proofErr w:type="spellEnd"/>
            <w:r w:rsidR="000B4C6B">
              <w:rPr>
                <w:sz w:val="18"/>
                <w:lang w:val="en-US"/>
              </w:rPr>
              <w:t>-</w:t>
            </w:r>
            <w:r w:rsidRPr="00FF5434">
              <w:rPr>
                <w:sz w:val="18"/>
                <w:lang w:val="en-US"/>
              </w:rPr>
              <w:t>cannabinoids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59FCB4" w14:textId="7794EB93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 xml:space="preserve">High amount of malic acid, citric </w:t>
            </w:r>
            <w:r w:rsidR="00AA0ECA" w:rsidRPr="00FF5434">
              <w:rPr>
                <w:sz w:val="18"/>
                <w:lang w:val="en-US"/>
              </w:rPr>
              <w:t>acid,</w:t>
            </w:r>
            <w:r w:rsidRPr="00FF5434">
              <w:rPr>
                <w:sz w:val="18"/>
                <w:lang w:val="en-US"/>
              </w:rPr>
              <w:t xml:space="preserve"> and tartaric acid; Highly content of total AA and EAAs in some cultivar</w:t>
            </w:r>
            <w:r w:rsidR="001106FE">
              <w:rPr>
                <w:sz w:val="18"/>
                <w:lang w:val="en-US"/>
              </w:rPr>
              <w:t>s</w:t>
            </w:r>
            <w:r w:rsidRPr="00FF5434">
              <w:rPr>
                <w:sz w:val="18"/>
                <w:lang w:val="en-US"/>
              </w:rPr>
              <w:t xml:space="preserve">; </w:t>
            </w:r>
            <w:r w:rsidR="001106FE">
              <w:rPr>
                <w:sz w:val="18"/>
                <w:lang w:val="en-US"/>
              </w:rPr>
              <w:t xml:space="preserve">a </w:t>
            </w:r>
            <w:r w:rsidRPr="00FF5434">
              <w:rPr>
                <w:sz w:val="18"/>
                <w:lang w:val="en-US"/>
              </w:rPr>
              <w:t xml:space="preserve">good amount of phenolic acid and </w:t>
            </w:r>
            <w:r w:rsidR="001106FE" w:rsidRPr="00FF5434">
              <w:rPr>
                <w:sz w:val="18"/>
                <w:lang w:val="en-US"/>
              </w:rPr>
              <w:t>flavonoids</w:t>
            </w:r>
            <w:r w:rsidRPr="00FF5434">
              <w:rPr>
                <w:sz w:val="18"/>
                <w:lang w:val="en-US"/>
              </w:rPr>
              <w:t xml:space="preserve">; low level of psychoactive </w:t>
            </w:r>
            <w:proofErr w:type="spellStart"/>
            <w:r w:rsidRPr="00FF5434">
              <w:rPr>
                <w:sz w:val="18"/>
                <w:lang w:val="en-US"/>
              </w:rPr>
              <w:t>phyto</w:t>
            </w:r>
            <w:proofErr w:type="spellEnd"/>
            <w:r w:rsidRPr="00FF5434">
              <w:rPr>
                <w:sz w:val="18"/>
                <w:lang w:val="en-US"/>
              </w:rPr>
              <w:t xml:space="preserve">-cannabinoid (Δ9-THC) and high concentration of </w:t>
            </w:r>
            <w:proofErr w:type="spellStart"/>
            <w:r w:rsidRPr="00FF5434">
              <w:rPr>
                <w:sz w:val="18"/>
                <w:lang w:val="en-US"/>
              </w:rPr>
              <w:t>cann</w:t>
            </w:r>
            <w:r w:rsidR="00B43960">
              <w:rPr>
                <w:sz w:val="18"/>
                <w:lang w:val="en-US"/>
              </w:rPr>
              <w:t>a</w:t>
            </w:r>
            <w:r w:rsidRPr="00FF5434">
              <w:rPr>
                <w:sz w:val="18"/>
                <w:lang w:val="en-US"/>
              </w:rPr>
              <w:t>flavin</w:t>
            </w:r>
            <w:proofErr w:type="spellEnd"/>
            <w:r w:rsidRPr="00FF5434">
              <w:rPr>
                <w:sz w:val="18"/>
                <w:lang w:val="en-US"/>
              </w:rPr>
              <w:t xml:space="preserve"> A and B.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4029BC" w14:textId="2390CEDB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>Potential use as</w:t>
            </w:r>
            <w:r w:rsidR="00BE0397">
              <w:rPr>
                <w:sz w:val="18"/>
                <w:lang w:val="en-US"/>
              </w:rPr>
              <w:t xml:space="preserve"> an</w:t>
            </w:r>
            <w:r w:rsidRPr="00FF5434">
              <w:rPr>
                <w:sz w:val="18"/>
                <w:lang w:val="en-US"/>
              </w:rPr>
              <w:t xml:space="preserve"> innovative functional food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8DC872" w14:textId="77777777" w:rsidR="00FF5434" w:rsidRPr="00FF5434" w:rsidRDefault="00FF5434" w:rsidP="00FF5434">
            <w:pPr>
              <w:rPr>
                <w:sz w:val="18"/>
                <w:lang w:val="en-US"/>
              </w:rPr>
            </w:pPr>
            <w:proofErr w:type="spellStart"/>
            <w:r w:rsidRPr="00FF5434">
              <w:rPr>
                <w:sz w:val="18"/>
                <w:lang w:val="en-US"/>
              </w:rPr>
              <w:t>Pannico</w:t>
            </w:r>
            <w:proofErr w:type="spellEnd"/>
            <w:r w:rsidRPr="00FF5434">
              <w:rPr>
                <w:sz w:val="18"/>
                <w:lang w:val="en-US"/>
              </w:rPr>
              <w:t xml:space="preserve"> et al., 2022</w:t>
            </w:r>
          </w:p>
        </w:tc>
      </w:tr>
      <w:tr w:rsidR="00FF5434" w:rsidRPr="00FF5434" w14:paraId="08D8910C" w14:textId="77777777" w:rsidTr="000141F7">
        <w:trPr>
          <w:trHeight w:val="18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9E7EFA" w14:textId="77777777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>Brassicaceae microgreens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7A1D67" w14:textId="0B22B339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 xml:space="preserve">Chemical analysis of </w:t>
            </w:r>
            <w:r w:rsidR="006E4970" w:rsidRPr="00FF5434">
              <w:rPr>
                <w:sz w:val="18"/>
                <w:lang w:val="en-US"/>
              </w:rPr>
              <w:t>Brassicaceae</w:t>
            </w:r>
            <w:r w:rsidRPr="00FF5434">
              <w:rPr>
                <w:sz w:val="18"/>
                <w:lang w:val="en-US"/>
              </w:rPr>
              <w:t xml:space="preserve"> microgreens to </w:t>
            </w:r>
            <w:r w:rsidR="006E4970" w:rsidRPr="00FF5434">
              <w:rPr>
                <w:sz w:val="18"/>
                <w:lang w:val="en-US"/>
              </w:rPr>
              <w:t>understand</w:t>
            </w:r>
            <w:r w:rsidRPr="00FF5434">
              <w:rPr>
                <w:sz w:val="18"/>
                <w:lang w:val="en-US"/>
              </w:rPr>
              <w:t xml:space="preserve"> the impact of crop factors involve</w:t>
            </w:r>
            <w:r w:rsidR="00B96E9C">
              <w:rPr>
                <w:sz w:val="18"/>
                <w:lang w:val="en-US"/>
              </w:rPr>
              <w:t>d</w:t>
            </w:r>
            <w:r w:rsidRPr="00FF5434">
              <w:rPr>
                <w:sz w:val="18"/>
                <w:lang w:val="en-US"/>
              </w:rPr>
              <w:t xml:space="preserve"> in </w:t>
            </w:r>
            <w:r w:rsidR="008068E1">
              <w:rPr>
                <w:sz w:val="18"/>
                <w:lang w:val="en-US"/>
              </w:rPr>
              <w:t xml:space="preserve">the </w:t>
            </w:r>
            <w:r w:rsidRPr="00FF5434">
              <w:rPr>
                <w:sz w:val="18"/>
                <w:lang w:val="en-US"/>
              </w:rPr>
              <w:t xml:space="preserve">production of phytochemicals of </w:t>
            </w:r>
            <w:r w:rsidR="006E4970" w:rsidRPr="00FF5434">
              <w:rPr>
                <w:sz w:val="18"/>
                <w:lang w:val="en-US"/>
              </w:rPr>
              <w:t>different</w:t>
            </w:r>
            <w:r w:rsidRPr="00FF5434">
              <w:rPr>
                <w:sz w:val="18"/>
                <w:lang w:val="en-US"/>
              </w:rPr>
              <w:t xml:space="preserve"> species.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C6D76D" w14:textId="70256BC4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>Phenolic compounds, vitamins (</w:t>
            </w:r>
            <w:r w:rsidR="001120B4" w:rsidRPr="00FF5434">
              <w:rPr>
                <w:sz w:val="18"/>
                <w:lang w:val="en-US"/>
              </w:rPr>
              <w:t xml:space="preserve">A, </w:t>
            </w:r>
            <w:r w:rsidR="00B8194A" w:rsidRPr="00FF5434">
              <w:rPr>
                <w:sz w:val="18"/>
                <w:lang w:val="en-US"/>
              </w:rPr>
              <w:t>D, E</w:t>
            </w:r>
            <w:r w:rsidRPr="00FF5434">
              <w:rPr>
                <w:sz w:val="18"/>
                <w:lang w:val="en-US"/>
              </w:rPr>
              <w:t>,</w:t>
            </w:r>
            <w:r w:rsidR="00B8194A">
              <w:rPr>
                <w:sz w:val="18"/>
                <w:lang w:val="en-US"/>
              </w:rPr>
              <w:t xml:space="preserve"> </w:t>
            </w:r>
            <w:r w:rsidRPr="00FF5434">
              <w:rPr>
                <w:sz w:val="18"/>
                <w:lang w:val="en-US"/>
              </w:rPr>
              <w:t xml:space="preserve">K) </w:t>
            </w:r>
            <w:proofErr w:type="spellStart"/>
            <w:r w:rsidRPr="00FF5434">
              <w:rPr>
                <w:sz w:val="18"/>
                <w:lang w:val="en-US"/>
              </w:rPr>
              <w:t>glucosinolates</w:t>
            </w:r>
            <w:proofErr w:type="spellEnd"/>
            <w:r w:rsidRPr="00FF5434">
              <w:rPr>
                <w:sz w:val="18"/>
                <w:lang w:val="en-US"/>
              </w:rPr>
              <w:t>, anthocyanins, isothiocyanates and indoles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4356BA" w14:textId="76069633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>High amount</w:t>
            </w:r>
            <w:r w:rsidR="00D6765A">
              <w:rPr>
                <w:sz w:val="18"/>
                <w:lang w:val="en-US"/>
              </w:rPr>
              <w:t>s</w:t>
            </w:r>
            <w:r w:rsidRPr="00FF5434">
              <w:rPr>
                <w:sz w:val="18"/>
                <w:lang w:val="en-US"/>
              </w:rPr>
              <w:t xml:space="preserve"> of bioactive compound</w:t>
            </w:r>
            <w:r w:rsidR="00D6765A">
              <w:rPr>
                <w:sz w:val="18"/>
                <w:lang w:val="en-US"/>
              </w:rPr>
              <w:t>s</w:t>
            </w:r>
            <w:r w:rsidRPr="00FF5434">
              <w:rPr>
                <w:sz w:val="18"/>
                <w:lang w:val="en-US"/>
              </w:rPr>
              <w:t xml:space="preserve"> when </w:t>
            </w:r>
            <w:r w:rsidR="00B96E9C">
              <w:rPr>
                <w:sz w:val="18"/>
                <w:lang w:val="en-US"/>
              </w:rPr>
              <w:t xml:space="preserve">the </w:t>
            </w:r>
            <w:r w:rsidRPr="00FF5434">
              <w:rPr>
                <w:sz w:val="18"/>
                <w:lang w:val="en-US"/>
              </w:rPr>
              <w:t>fiber is used as substrates; artificial lighting could increase the phytochemical accumulation; bioactive compound profiles could chan</w:t>
            </w:r>
            <w:r w:rsidR="00D6765A">
              <w:rPr>
                <w:sz w:val="18"/>
                <w:lang w:val="en-US"/>
              </w:rPr>
              <w:t>g</w:t>
            </w:r>
            <w:r w:rsidRPr="00FF5434">
              <w:rPr>
                <w:sz w:val="18"/>
                <w:lang w:val="en-US"/>
              </w:rPr>
              <w:t>e in response to fertilization.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62E726" w14:textId="19854EB3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>Potential use in</w:t>
            </w:r>
            <w:r w:rsidR="00EF77E4">
              <w:rPr>
                <w:sz w:val="18"/>
                <w:lang w:val="en-US"/>
              </w:rPr>
              <w:t xml:space="preserve"> the</w:t>
            </w:r>
            <w:r w:rsidRPr="00FF5434">
              <w:rPr>
                <w:sz w:val="18"/>
                <w:lang w:val="en-US"/>
              </w:rPr>
              <w:t xml:space="preserve"> food industry as </w:t>
            </w:r>
            <w:r w:rsidR="00EF77E4">
              <w:rPr>
                <w:sz w:val="18"/>
                <w:lang w:val="en-US"/>
              </w:rPr>
              <w:t xml:space="preserve">a </w:t>
            </w:r>
            <w:r w:rsidRPr="00FF5434">
              <w:rPr>
                <w:sz w:val="18"/>
                <w:lang w:val="en-US"/>
              </w:rPr>
              <w:t>source of bioactive compound</w:t>
            </w:r>
            <w:r w:rsidR="00EF77E4">
              <w:rPr>
                <w:sz w:val="18"/>
                <w:lang w:val="en-US"/>
              </w:rPr>
              <w:t>s</w:t>
            </w:r>
            <w:r w:rsidRPr="00FF5434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4A84E2" w14:textId="2B85EA74" w:rsidR="00FF5434" w:rsidRPr="00FF5434" w:rsidRDefault="003D5346" w:rsidP="00FF5434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Alloggia</w:t>
            </w:r>
            <w:proofErr w:type="spellEnd"/>
            <w:r w:rsidR="00FF5434" w:rsidRPr="00FF5434">
              <w:rPr>
                <w:sz w:val="18"/>
                <w:lang w:val="en-US"/>
              </w:rPr>
              <w:t xml:space="preserve"> et al., 2023</w:t>
            </w:r>
          </w:p>
        </w:tc>
      </w:tr>
      <w:tr w:rsidR="00FF5434" w:rsidRPr="00FF5434" w14:paraId="4C8BD685" w14:textId="77777777" w:rsidTr="00EF0E60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411CA6" w14:textId="77777777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 xml:space="preserve">Kiwi fruit by-products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F4FB5A" w14:textId="248878D0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 xml:space="preserve">Chemical evaluation of new natural source of </w:t>
            </w:r>
            <w:r w:rsidR="00936BFF" w:rsidRPr="00FF5434">
              <w:rPr>
                <w:sz w:val="18"/>
                <w:lang w:val="en-US"/>
              </w:rPr>
              <w:t>flavor</w:t>
            </w:r>
            <w:r w:rsidRPr="00FF5434">
              <w:rPr>
                <w:sz w:val="18"/>
                <w:lang w:val="en-US"/>
              </w:rPr>
              <w:t xml:space="preserve"> and aroma metabolite</w:t>
            </w:r>
            <w:r w:rsidR="00936BFF">
              <w:rPr>
                <w:sz w:val="18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5B66AA" w14:textId="713C1C00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 xml:space="preserve">Volatiles organic </w:t>
            </w:r>
            <w:r w:rsidR="00B8194A" w:rsidRPr="00FF5434">
              <w:rPr>
                <w:sz w:val="18"/>
                <w:lang w:val="en-US"/>
              </w:rPr>
              <w:t>compounds (</w:t>
            </w:r>
            <w:proofErr w:type="spellStart"/>
            <w:r w:rsidR="001120B4" w:rsidRPr="00FF5434">
              <w:rPr>
                <w:sz w:val="18"/>
                <w:lang w:val="en-US"/>
              </w:rPr>
              <w:t>phenyletyl</w:t>
            </w:r>
            <w:proofErr w:type="spellEnd"/>
            <w:r w:rsidRPr="00FF5434">
              <w:rPr>
                <w:sz w:val="18"/>
                <w:lang w:val="en-US"/>
              </w:rPr>
              <w:t xml:space="preserve"> alcohols, </w:t>
            </w:r>
            <w:proofErr w:type="spellStart"/>
            <w:r w:rsidRPr="00FF5434">
              <w:rPr>
                <w:sz w:val="18"/>
                <w:lang w:val="en-US"/>
              </w:rPr>
              <w:t>aldeydes</w:t>
            </w:r>
            <w:proofErr w:type="spellEnd"/>
            <w:r w:rsidRPr="00FF5434">
              <w:rPr>
                <w:sz w:val="18"/>
                <w:lang w:val="en-US"/>
              </w:rPr>
              <w:t xml:space="preserve">, acids, </w:t>
            </w:r>
            <w:proofErr w:type="spellStart"/>
            <w:r w:rsidRPr="00FF5434">
              <w:rPr>
                <w:sz w:val="18"/>
                <w:lang w:val="en-US"/>
              </w:rPr>
              <w:t>chetons</w:t>
            </w:r>
            <w:proofErr w:type="spellEnd"/>
            <w:r w:rsidRPr="00FF5434">
              <w:rPr>
                <w:sz w:val="18"/>
                <w:lang w:val="en-US"/>
              </w:rPr>
              <w:t xml:space="preserve">, furan)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7E5FB9" w14:textId="5B263E69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>The use of cheap substrate</w:t>
            </w:r>
            <w:r w:rsidR="00936BFF">
              <w:rPr>
                <w:sz w:val="18"/>
                <w:lang w:val="en-US"/>
              </w:rPr>
              <w:t>s</w:t>
            </w:r>
            <w:r w:rsidRPr="00FF5434">
              <w:rPr>
                <w:sz w:val="18"/>
                <w:lang w:val="en-US"/>
              </w:rPr>
              <w:t xml:space="preserve"> like kiwi fruit peel could be an interesting way to obtain 1-octen-3-ol (mushroom aroma), β-pinene (herbal, pine aroma), 3-octanol (mushroom, herbal aroma).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2B1F7E" w14:textId="42095E03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 xml:space="preserve">Natural </w:t>
            </w:r>
            <w:r w:rsidR="00936BFF" w:rsidRPr="00FF5434">
              <w:rPr>
                <w:sz w:val="18"/>
                <w:lang w:val="en-US"/>
              </w:rPr>
              <w:t>flavors</w:t>
            </w:r>
            <w:r w:rsidRPr="00FF5434">
              <w:rPr>
                <w:sz w:val="18"/>
                <w:lang w:val="en-US"/>
              </w:rPr>
              <w:t xml:space="preserve"> and aromas through low-cost substrates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63CBBC" w14:textId="77777777" w:rsidR="00FF5434" w:rsidRPr="00FF5434" w:rsidRDefault="00FF5434" w:rsidP="00FF5434">
            <w:pPr>
              <w:rPr>
                <w:sz w:val="18"/>
                <w:lang w:val="en-US"/>
              </w:rPr>
            </w:pPr>
            <w:r w:rsidRPr="00FF5434">
              <w:rPr>
                <w:sz w:val="18"/>
                <w:lang w:val="en-US"/>
              </w:rPr>
              <w:t>Lindsay et al., 2022</w:t>
            </w:r>
          </w:p>
        </w:tc>
      </w:tr>
    </w:tbl>
    <w:p w14:paraId="4A3BC553" w14:textId="77777777" w:rsidR="00081E79" w:rsidRDefault="00081E79" w:rsidP="00081E79">
      <w:pPr>
        <w:rPr>
          <w:sz w:val="18"/>
          <w:lang w:val="en-US"/>
        </w:rPr>
      </w:pPr>
    </w:p>
    <w:p w14:paraId="0F15EC3C" w14:textId="31D84824" w:rsidR="007B6CCA" w:rsidRPr="000F6CDB" w:rsidRDefault="00BC1F65" w:rsidP="000F6CDB">
      <w:pPr>
        <w:jc w:val="both"/>
        <w:rPr>
          <w:lang w:val="en-US"/>
        </w:rPr>
      </w:pPr>
      <w:r>
        <w:rPr>
          <w:lang w:val="en-US"/>
        </w:rPr>
        <w:t>Plant materials</w:t>
      </w:r>
      <w:r w:rsidRPr="00F51104">
        <w:rPr>
          <w:lang w:val="en-US"/>
        </w:rPr>
        <w:t xml:space="preserve"> </w:t>
      </w:r>
      <w:r w:rsidR="008321D9">
        <w:rPr>
          <w:lang w:val="en-US"/>
        </w:rPr>
        <w:t>may represent</w:t>
      </w:r>
      <w:r w:rsidRPr="00F51104">
        <w:rPr>
          <w:lang w:val="en-US"/>
        </w:rPr>
        <w:t xml:space="preserve"> excellent sources of nutrients and</w:t>
      </w:r>
      <w:r>
        <w:rPr>
          <w:lang w:val="en-US"/>
        </w:rPr>
        <w:t xml:space="preserve"> </w:t>
      </w:r>
      <w:r w:rsidRPr="00F51104">
        <w:rPr>
          <w:lang w:val="en-US"/>
        </w:rPr>
        <w:t>phytochemicals</w:t>
      </w:r>
      <w:r>
        <w:rPr>
          <w:lang w:val="en-US"/>
        </w:rPr>
        <w:t xml:space="preserve"> and for this reason</w:t>
      </w:r>
      <w:r w:rsidR="006C7B8B">
        <w:rPr>
          <w:lang w:val="en-US"/>
        </w:rPr>
        <w:t>,</w:t>
      </w:r>
      <w:r w:rsidR="004106C6">
        <w:rPr>
          <w:lang w:val="en-US"/>
        </w:rPr>
        <w:t xml:space="preserve"> </w:t>
      </w:r>
      <w:r w:rsidR="00A25FBA">
        <w:rPr>
          <w:lang w:val="en-US"/>
        </w:rPr>
        <w:t xml:space="preserve">the </w:t>
      </w:r>
      <w:r>
        <w:rPr>
          <w:lang w:val="en-US"/>
        </w:rPr>
        <w:t>potential use of them was evaluated as</w:t>
      </w:r>
      <w:r w:rsidR="00490D54">
        <w:rPr>
          <w:lang w:val="en-US"/>
        </w:rPr>
        <w:t xml:space="preserve"> a</w:t>
      </w:r>
      <w:r>
        <w:rPr>
          <w:lang w:val="en-US"/>
        </w:rPr>
        <w:t xml:space="preserve"> more sustainable substitute of synthetic molecules (</w:t>
      </w:r>
      <w:r w:rsidR="00D24B57">
        <w:rPr>
          <w:lang w:val="en-US"/>
        </w:rPr>
        <w:t>i.e.,</w:t>
      </w:r>
      <w:r>
        <w:rPr>
          <w:lang w:val="en-US"/>
        </w:rPr>
        <w:t xml:space="preserve"> preservatives, antioxidant agents and flavoring)</w:t>
      </w:r>
      <w:r w:rsidR="00CC35C1">
        <w:rPr>
          <w:lang w:val="en-US"/>
        </w:rPr>
        <w:t>.</w:t>
      </w:r>
      <w:r w:rsidR="00743B72">
        <w:rPr>
          <w:lang w:val="en-US"/>
        </w:rPr>
        <w:t xml:space="preserve"> The use of plant</w:t>
      </w:r>
      <w:r w:rsidR="00A83EE9">
        <w:rPr>
          <w:lang w:val="en-US"/>
        </w:rPr>
        <w:t xml:space="preserve"> </w:t>
      </w:r>
      <w:r w:rsidR="00743B72">
        <w:rPr>
          <w:lang w:val="en-US"/>
        </w:rPr>
        <w:t xml:space="preserve">materials or valorization of plant waste may play an important role in environmental sustainability </w:t>
      </w:r>
      <w:r w:rsidR="006B4EED">
        <w:rPr>
          <w:lang w:val="en-US"/>
        </w:rPr>
        <w:t xml:space="preserve">for </w:t>
      </w:r>
      <w:r w:rsidR="000C1202">
        <w:rPr>
          <w:lang w:val="en-US"/>
        </w:rPr>
        <w:t>developing new</w:t>
      </w:r>
      <w:r w:rsidR="00743B72">
        <w:rPr>
          <w:lang w:val="en-US"/>
        </w:rPr>
        <w:t xml:space="preserve"> ingredient products.</w:t>
      </w:r>
      <w:r w:rsidR="00C42C9B">
        <w:rPr>
          <w:lang w:val="en-US"/>
        </w:rPr>
        <w:t xml:space="preserve"> Many plant</w:t>
      </w:r>
      <w:r w:rsidR="005B1CD2">
        <w:rPr>
          <w:lang w:val="en-US"/>
        </w:rPr>
        <w:t>s</w:t>
      </w:r>
      <w:r w:rsidR="0092586F">
        <w:rPr>
          <w:lang w:val="en-US"/>
        </w:rPr>
        <w:t xml:space="preserve"> material</w:t>
      </w:r>
      <w:r w:rsidR="00C42C9B">
        <w:rPr>
          <w:lang w:val="en-US"/>
        </w:rPr>
        <w:t xml:space="preserve">, as reported </w:t>
      </w:r>
      <w:r w:rsidR="00A83EE9">
        <w:rPr>
          <w:lang w:val="en-US"/>
        </w:rPr>
        <w:t>in</w:t>
      </w:r>
      <w:r w:rsidR="00C42C9B">
        <w:rPr>
          <w:lang w:val="en-US"/>
        </w:rPr>
        <w:t xml:space="preserve"> </w:t>
      </w:r>
      <w:r w:rsidR="00186BF2">
        <w:rPr>
          <w:lang w:val="en-US"/>
        </w:rPr>
        <w:t>T</w:t>
      </w:r>
      <w:r w:rsidR="00C42C9B">
        <w:rPr>
          <w:lang w:val="en-US"/>
        </w:rPr>
        <w:t xml:space="preserve">able </w:t>
      </w:r>
      <w:r w:rsidR="00C42C9B">
        <w:rPr>
          <w:lang w:val="en-US"/>
        </w:rPr>
        <w:lastRenderedPageBreak/>
        <w:t xml:space="preserve">1, </w:t>
      </w:r>
      <w:r w:rsidR="005B1CD2" w:rsidRPr="005B1CD2">
        <w:rPr>
          <w:lang w:val="en-US"/>
        </w:rPr>
        <w:t>have been used to extract bioactive molecules</w:t>
      </w:r>
      <w:r w:rsidR="000C12A7">
        <w:rPr>
          <w:lang w:val="en-US"/>
        </w:rPr>
        <w:t xml:space="preserve"> </w:t>
      </w:r>
      <w:r w:rsidR="0038703C">
        <w:rPr>
          <w:lang w:val="en-US"/>
        </w:rPr>
        <w:t>or flavoring</w:t>
      </w:r>
      <w:r w:rsidR="005B1CD2" w:rsidRPr="005B1CD2">
        <w:rPr>
          <w:lang w:val="en-US"/>
        </w:rPr>
        <w:t xml:space="preserve"> for a food application</w:t>
      </w:r>
      <w:r w:rsidR="005401DD">
        <w:rPr>
          <w:lang w:val="en-US"/>
        </w:rPr>
        <w:t xml:space="preserve">. </w:t>
      </w:r>
      <w:r w:rsidR="00457671" w:rsidRPr="00457671">
        <w:rPr>
          <w:lang w:val="en-US"/>
        </w:rPr>
        <w:t xml:space="preserve">In the past few years, microgreens have become more popular as </w:t>
      </w:r>
      <w:r w:rsidR="008321D9">
        <w:rPr>
          <w:lang w:val="en-US"/>
        </w:rPr>
        <w:t>new</w:t>
      </w:r>
      <w:r w:rsidR="00457671" w:rsidRPr="00457671">
        <w:rPr>
          <w:lang w:val="en-US"/>
        </w:rPr>
        <w:t xml:space="preserve"> </w:t>
      </w:r>
      <w:r w:rsidR="00457671">
        <w:rPr>
          <w:lang w:val="en-US"/>
        </w:rPr>
        <w:t xml:space="preserve">food </w:t>
      </w:r>
      <w:r w:rsidR="00A001A0">
        <w:rPr>
          <w:lang w:val="en-US"/>
        </w:rPr>
        <w:t xml:space="preserve">with high </w:t>
      </w:r>
      <w:r w:rsidR="002004D3">
        <w:rPr>
          <w:lang w:val="en-US"/>
        </w:rPr>
        <w:t>concentration</w:t>
      </w:r>
      <w:r w:rsidR="00EC32A7">
        <w:rPr>
          <w:lang w:val="en-US"/>
        </w:rPr>
        <w:t>s</w:t>
      </w:r>
      <w:r w:rsidR="002004D3">
        <w:rPr>
          <w:lang w:val="en-US"/>
        </w:rPr>
        <w:t xml:space="preserve"> of</w:t>
      </w:r>
      <w:r w:rsidR="00A001A0">
        <w:rPr>
          <w:lang w:val="en-US"/>
        </w:rPr>
        <w:t xml:space="preserve"> bioactive compounds</w:t>
      </w:r>
      <w:r w:rsidR="0091071C">
        <w:rPr>
          <w:lang w:val="en-US"/>
        </w:rPr>
        <w:t xml:space="preserve">, </w:t>
      </w:r>
      <w:r w:rsidR="00A001A0">
        <w:rPr>
          <w:lang w:val="en-US"/>
        </w:rPr>
        <w:t xml:space="preserve">and </w:t>
      </w:r>
      <w:r w:rsidR="0091071C">
        <w:rPr>
          <w:lang w:val="en-US"/>
        </w:rPr>
        <w:t xml:space="preserve">it has been </w:t>
      </w:r>
      <w:r w:rsidR="008321D9">
        <w:rPr>
          <w:lang w:val="en-US"/>
        </w:rPr>
        <w:t xml:space="preserve">shown </w:t>
      </w:r>
      <w:r w:rsidR="005953FF">
        <w:rPr>
          <w:lang w:val="en-US"/>
        </w:rPr>
        <w:t xml:space="preserve">that modulation </w:t>
      </w:r>
      <w:r w:rsidR="00A001A0">
        <w:rPr>
          <w:lang w:val="en-US"/>
        </w:rPr>
        <w:t xml:space="preserve">of </w:t>
      </w:r>
      <w:r w:rsidR="002004D3">
        <w:rPr>
          <w:lang w:val="en-US"/>
        </w:rPr>
        <w:t>growing conditions i</w:t>
      </w:r>
      <w:r w:rsidR="00FA09DC">
        <w:rPr>
          <w:lang w:val="en-US"/>
        </w:rPr>
        <w:t>mproves</w:t>
      </w:r>
      <w:r w:rsidR="002004D3">
        <w:rPr>
          <w:lang w:val="en-US"/>
        </w:rPr>
        <w:t xml:space="preserve"> the phytochemical profile</w:t>
      </w:r>
      <w:r w:rsidR="001B050E">
        <w:rPr>
          <w:lang w:val="en-US"/>
        </w:rPr>
        <w:t xml:space="preserve"> (</w:t>
      </w:r>
      <w:proofErr w:type="spellStart"/>
      <w:r w:rsidR="001B050E">
        <w:rPr>
          <w:lang w:val="en-US"/>
        </w:rPr>
        <w:t>Pannico</w:t>
      </w:r>
      <w:proofErr w:type="spellEnd"/>
      <w:r w:rsidR="001B050E">
        <w:rPr>
          <w:lang w:val="en-US"/>
        </w:rPr>
        <w:t xml:space="preserve"> </w:t>
      </w:r>
      <w:r w:rsidR="00277B07" w:rsidRPr="00DD24D3">
        <w:rPr>
          <w:i/>
          <w:iCs/>
          <w:lang w:val="en-US"/>
        </w:rPr>
        <w:t>et al.,</w:t>
      </w:r>
      <w:r w:rsidR="00277B07">
        <w:rPr>
          <w:lang w:val="en-US"/>
        </w:rPr>
        <w:t xml:space="preserve"> 2022;</w:t>
      </w:r>
      <w:r w:rsidR="006B5B7E">
        <w:rPr>
          <w:lang w:val="en-US"/>
        </w:rPr>
        <w:t xml:space="preserve"> </w:t>
      </w:r>
      <w:proofErr w:type="spellStart"/>
      <w:r w:rsidR="003D5346">
        <w:rPr>
          <w:lang w:val="en-US"/>
        </w:rPr>
        <w:t>Alloggia</w:t>
      </w:r>
      <w:proofErr w:type="spellEnd"/>
      <w:r w:rsidR="006B5B7E">
        <w:rPr>
          <w:lang w:val="en-US"/>
        </w:rPr>
        <w:t xml:space="preserve"> </w:t>
      </w:r>
      <w:r w:rsidR="006B5B7E" w:rsidRPr="006B5B7E">
        <w:rPr>
          <w:i/>
          <w:iCs/>
          <w:lang w:val="en-US"/>
        </w:rPr>
        <w:t>et al.,</w:t>
      </w:r>
      <w:r w:rsidR="006B5B7E">
        <w:rPr>
          <w:lang w:val="en-US"/>
        </w:rPr>
        <w:t xml:space="preserve"> 2023). Likewise</w:t>
      </w:r>
      <w:r w:rsidR="00426BD0">
        <w:rPr>
          <w:lang w:val="en-US"/>
        </w:rPr>
        <w:t>,</w:t>
      </w:r>
      <w:r w:rsidR="00953CB5">
        <w:rPr>
          <w:lang w:val="en-US"/>
        </w:rPr>
        <w:t xml:space="preserve"> also fruit by-products such as kiwi </w:t>
      </w:r>
      <w:r w:rsidR="00914AF1">
        <w:rPr>
          <w:lang w:val="en-US"/>
        </w:rPr>
        <w:t xml:space="preserve">peel may be an interesting source of </w:t>
      </w:r>
      <w:r w:rsidR="006339AD">
        <w:rPr>
          <w:lang w:val="en-US"/>
        </w:rPr>
        <w:t xml:space="preserve">volatile organic </w:t>
      </w:r>
      <w:r w:rsidR="00B457B0">
        <w:rPr>
          <w:lang w:val="en-US"/>
        </w:rPr>
        <w:t>compounds</w:t>
      </w:r>
      <w:r w:rsidR="00F26B61">
        <w:rPr>
          <w:lang w:val="en-US"/>
        </w:rPr>
        <w:t xml:space="preserve"> (Lindsay </w:t>
      </w:r>
      <w:r w:rsidR="00F26B61" w:rsidRPr="001D27A4">
        <w:rPr>
          <w:i/>
          <w:iCs/>
          <w:lang w:val="en-US"/>
        </w:rPr>
        <w:t>et al.,</w:t>
      </w:r>
      <w:r w:rsidR="001D27A4">
        <w:rPr>
          <w:lang w:val="en-US"/>
        </w:rPr>
        <w:t xml:space="preserve"> 2022)</w:t>
      </w:r>
      <w:r w:rsidR="00F90C42">
        <w:rPr>
          <w:lang w:val="en-US"/>
        </w:rPr>
        <w:t xml:space="preserve">. </w:t>
      </w:r>
      <w:r w:rsidR="00F4398A" w:rsidRPr="00F4398A">
        <w:rPr>
          <w:lang w:val="en-US"/>
        </w:rPr>
        <w:t>Currently, the widest extraction method used in the plant industry</w:t>
      </w:r>
      <w:r w:rsidR="00B542F5">
        <w:rPr>
          <w:lang w:val="en-US"/>
        </w:rPr>
        <w:t xml:space="preserve"> </w:t>
      </w:r>
      <w:r w:rsidR="002B5DD9">
        <w:rPr>
          <w:lang w:val="en-US"/>
        </w:rPr>
        <w:t xml:space="preserve">are </w:t>
      </w:r>
      <w:r w:rsidR="00B022AF">
        <w:rPr>
          <w:lang w:val="en-US"/>
        </w:rPr>
        <w:t>not</w:t>
      </w:r>
      <w:r w:rsidR="00B83AC8">
        <w:rPr>
          <w:lang w:val="en-US"/>
        </w:rPr>
        <w:t xml:space="preserve"> compatible </w:t>
      </w:r>
      <w:r w:rsidR="001454CD">
        <w:rPr>
          <w:lang w:val="en-US"/>
        </w:rPr>
        <w:t>with food industry</w:t>
      </w:r>
      <w:r w:rsidR="00D21245">
        <w:rPr>
          <w:lang w:val="en-US"/>
        </w:rPr>
        <w:t xml:space="preserve">. </w:t>
      </w:r>
      <w:r w:rsidR="009F5126">
        <w:rPr>
          <w:lang w:val="en-US"/>
        </w:rPr>
        <w:t>For these reasons,</w:t>
      </w:r>
      <w:r w:rsidR="002B5DD9">
        <w:rPr>
          <w:lang w:val="en-US"/>
        </w:rPr>
        <w:t xml:space="preserve"> </w:t>
      </w:r>
      <w:r w:rsidR="00A12ACA" w:rsidRPr="00A12ACA">
        <w:rPr>
          <w:lang w:val="en-US"/>
        </w:rPr>
        <w:t>green technologies</w:t>
      </w:r>
      <w:r w:rsidR="00790CFC">
        <w:rPr>
          <w:lang w:val="en-US"/>
        </w:rPr>
        <w:t xml:space="preserve"> (i.e.</w:t>
      </w:r>
      <w:r w:rsidR="002B5DD9">
        <w:rPr>
          <w:lang w:val="en-US"/>
        </w:rPr>
        <w:t xml:space="preserve">, </w:t>
      </w:r>
      <w:r w:rsidR="00CA72B1" w:rsidRPr="00CA72B1">
        <w:rPr>
          <w:lang w:val="en-US"/>
        </w:rPr>
        <w:t>pulsed electric field (PEF)</w:t>
      </w:r>
      <w:r w:rsidR="008321D9">
        <w:rPr>
          <w:lang w:val="en-US"/>
        </w:rPr>
        <w:t>)</w:t>
      </w:r>
      <w:r w:rsidR="00A12ACA" w:rsidRPr="00A12ACA">
        <w:rPr>
          <w:lang w:val="en-US"/>
        </w:rPr>
        <w:t xml:space="preserve"> </w:t>
      </w:r>
      <w:r w:rsidR="00CA72B1">
        <w:rPr>
          <w:lang w:val="en-US"/>
        </w:rPr>
        <w:t xml:space="preserve">or </w:t>
      </w:r>
      <w:r w:rsidR="003A31AA">
        <w:rPr>
          <w:lang w:val="en-US"/>
        </w:rPr>
        <w:t xml:space="preserve">supercritical fluid extraction </w:t>
      </w:r>
      <w:r w:rsidR="00DA6127" w:rsidRPr="00A12ACA">
        <w:rPr>
          <w:lang w:val="en-US"/>
        </w:rPr>
        <w:t xml:space="preserve">are </w:t>
      </w:r>
      <w:r w:rsidR="00DA6127">
        <w:rPr>
          <w:lang w:val="en-US"/>
        </w:rPr>
        <w:t>becoming</w:t>
      </w:r>
      <w:r w:rsidR="00991601">
        <w:rPr>
          <w:lang w:val="en-US"/>
        </w:rPr>
        <w:t xml:space="preserve"> in</w:t>
      </w:r>
      <w:r w:rsidR="00991601" w:rsidRPr="00991601">
        <w:rPr>
          <w:lang w:val="en-US"/>
        </w:rPr>
        <w:t xml:space="preserve">creasingly </w:t>
      </w:r>
      <w:r w:rsidR="00DA6127">
        <w:rPr>
          <w:lang w:val="en-US"/>
        </w:rPr>
        <w:t>preferred</w:t>
      </w:r>
      <w:r w:rsidR="00991601" w:rsidRPr="00991601">
        <w:rPr>
          <w:lang w:val="en-US"/>
        </w:rPr>
        <w:t xml:space="preserve"> extraction methods</w:t>
      </w:r>
      <w:r w:rsidR="00A12ACA">
        <w:rPr>
          <w:lang w:val="en-US"/>
        </w:rPr>
        <w:t xml:space="preserve"> </w:t>
      </w:r>
      <w:r w:rsidR="00A12ACA" w:rsidRPr="00A12ACA">
        <w:rPr>
          <w:lang w:val="en-US"/>
        </w:rPr>
        <w:t xml:space="preserve">to recover bioactive molecules </w:t>
      </w:r>
      <w:proofErr w:type="gramStart"/>
      <w:r w:rsidR="00CE3E18">
        <w:rPr>
          <w:lang w:val="en-US"/>
        </w:rPr>
        <w:t>in order</w:t>
      </w:r>
      <w:r w:rsidR="00A12ACA" w:rsidRPr="00A12ACA">
        <w:rPr>
          <w:lang w:val="en-US"/>
        </w:rPr>
        <w:t xml:space="preserve"> to</w:t>
      </w:r>
      <w:proofErr w:type="gramEnd"/>
      <w:r w:rsidR="00266C61">
        <w:rPr>
          <w:lang w:val="en-US"/>
        </w:rPr>
        <w:t xml:space="preserve"> </w:t>
      </w:r>
      <w:r w:rsidR="00A12ACA" w:rsidRPr="00A12ACA">
        <w:rPr>
          <w:lang w:val="en-US"/>
        </w:rPr>
        <w:t>reduce the use of organic solvents</w:t>
      </w:r>
      <w:r w:rsidR="00DA6127">
        <w:rPr>
          <w:lang w:val="en-US"/>
        </w:rPr>
        <w:t xml:space="preserve">. </w:t>
      </w:r>
      <w:r w:rsidR="008C73ED" w:rsidRPr="008C73ED">
        <w:rPr>
          <w:lang w:val="en-US"/>
        </w:rPr>
        <w:t>Thus,</w:t>
      </w:r>
      <w:r w:rsidR="002446A6">
        <w:rPr>
          <w:lang w:val="en-US"/>
        </w:rPr>
        <w:t xml:space="preserve"> </w:t>
      </w:r>
      <w:r w:rsidR="002446A6" w:rsidRPr="002446A6">
        <w:rPr>
          <w:lang w:val="en-US"/>
        </w:rPr>
        <w:t xml:space="preserve">this PhD thesis </w:t>
      </w:r>
      <w:r w:rsidR="008321D9">
        <w:rPr>
          <w:lang w:val="en-US"/>
        </w:rPr>
        <w:t>will be aimed</w:t>
      </w:r>
      <w:r w:rsidR="002446A6" w:rsidRPr="002446A6">
        <w:rPr>
          <w:lang w:val="en-US"/>
        </w:rPr>
        <w:t xml:space="preserve"> </w:t>
      </w:r>
      <w:r w:rsidR="002446A6">
        <w:rPr>
          <w:lang w:val="en-US"/>
        </w:rPr>
        <w:t>to se</w:t>
      </w:r>
      <w:r w:rsidR="002E4492">
        <w:rPr>
          <w:lang w:val="en-US"/>
        </w:rPr>
        <w:t xml:space="preserve">lect a </w:t>
      </w:r>
      <w:r w:rsidR="000E6973">
        <w:rPr>
          <w:lang w:val="en-US"/>
        </w:rPr>
        <w:t>plant material</w:t>
      </w:r>
      <w:r w:rsidR="009B75BC">
        <w:rPr>
          <w:lang w:val="en-US"/>
        </w:rPr>
        <w:t xml:space="preserve"> </w:t>
      </w:r>
      <w:r w:rsidR="009B75BC" w:rsidRPr="008C73ED">
        <w:rPr>
          <w:lang w:val="en-US"/>
        </w:rPr>
        <w:t>that</w:t>
      </w:r>
      <w:r w:rsidR="00C02C96" w:rsidRPr="00C02C96">
        <w:rPr>
          <w:lang w:val="en-US"/>
        </w:rPr>
        <w:t xml:space="preserve"> can undergo extraction of bioactive compounds and subsequent chemical characterization</w:t>
      </w:r>
      <w:r w:rsidR="008321D9">
        <w:rPr>
          <w:lang w:val="en-US"/>
        </w:rPr>
        <w:t>, as to evaluate the re-use of the characterized by-product as potential ingredient in food preparations.</w:t>
      </w:r>
    </w:p>
    <w:p w14:paraId="5CF44C67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PhD Thesis Objectives and Milestones</w:t>
      </w:r>
    </w:p>
    <w:p w14:paraId="2323F777" w14:textId="77777777" w:rsidR="00081E79" w:rsidRDefault="00081E79" w:rsidP="00081E79">
      <w:pPr>
        <w:jc w:val="both"/>
        <w:rPr>
          <w:lang w:val="en-GB"/>
        </w:rPr>
      </w:pPr>
      <w:r>
        <w:rPr>
          <w:lang w:val="en-GB"/>
        </w:rPr>
        <w:t xml:space="preserve">Within the overall objective mentioned above this PhD thesis project can be subdivided into the following activities according to the Gantt diagram given in Table 2: </w:t>
      </w:r>
    </w:p>
    <w:p w14:paraId="7059CB1F" w14:textId="71E9366D" w:rsidR="00081E79" w:rsidRPr="00432AC7" w:rsidRDefault="00081E79" w:rsidP="00131980">
      <w:pPr>
        <w:ind w:left="426" w:hanging="426"/>
        <w:jc w:val="both"/>
        <w:rPr>
          <w:lang w:val="en-US"/>
        </w:rPr>
      </w:pPr>
      <w:r>
        <w:rPr>
          <w:lang w:val="en-GB"/>
        </w:rPr>
        <w:t>A1)</w:t>
      </w:r>
      <w:r w:rsidR="00DE740F">
        <w:rPr>
          <w:lang w:val="en-GB"/>
        </w:rPr>
        <w:t xml:space="preserve"> </w:t>
      </w:r>
      <w:r w:rsidR="00DE740F" w:rsidRPr="00DE740F">
        <w:rPr>
          <w:b/>
          <w:bCs/>
          <w:lang w:val="en-GB"/>
        </w:rPr>
        <w:t>Preliminary assessment of plant materials</w:t>
      </w:r>
      <w:r w:rsidR="007F4908">
        <w:rPr>
          <w:b/>
          <w:bCs/>
          <w:lang w:val="en-GB"/>
        </w:rPr>
        <w:t xml:space="preserve"> </w:t>
      </w:r>
      <w:r w:rsidR="00D20ABE" w:rsidRPr="00D20ABE">
        <w:rPr>
          <w:lang w:val="en-US"/>
        </w:rPr>
        <w:t>both in vitro culture and plant waste</w:t>
      </w:r>
      <w:r w:rsidR="00D20ABE">
        <w:rPr>
          <w:lang w:val="en-US"/>
        </w:rPr>
        <w:t>.</w:t>
      </w:r>
    </w:p>
    <w:p w14:paraId="3FD26729" w14:textId="33C291D7"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</w:t>
      </w:r>
      <w:r w:rsidR="00144129">
        <w:rPr>
          <w:lang w:val="en-GB"/>
        </w:rPr>
        <w:t>2</w:t>
      </w:r>
      <w:r w:rsidR="00D20ABE">
        <w:rPr>
          <w:lang w:val="en-GB"/>
        </w:rPr>
        <w:t xml:space="preserve">) </w:t>
      </w:r>
      <w:r w:rsidR="00D20ABE" w:rsidRPr="00D20ABE">
        <w:rPr>
          <w:b/>
          <w:bCs/>
          <w:lang w:val="en-GB"/>
        </w:rPr>
        <w:t>Extraction of bioactive compounds and VOCs</w:t>
      </w:r>
      <w:r w:rsidR="00D20ABE">
        <w:rPr>
          <w:b/>
          <w:bCs/>
          <w:lang w:val="en-GB"/>
        </w:rPr>
        <w:t xml:space="preserve"> </w:t>
      </w:r>
      <w:r w:rsidR="007316F0" w:rsidRPr="007316F0">
        <w:rPr>
          <w:lang w:val="en-GB"/>
        </w:rPr>
        <w:t>through</w:t>
      </w:r>
      <w:r w:rsidR="007316F0">
        <w:rPr>
          <w:b/>
          <w:bCs/>
          <w:lang w:val="en-GB"/>
        </w:rPr>
        <w:t xml:space="preserve"> </w:t>
      </w:r>
      <w:r w:rsidR="007316F0" w:rsidRPr="007316F0">
        <w:rPr>
          <w:lang w:val="en-GB"/>
        </w:rPr>
        <w:t>conventional and non-conventional techniques</w:t>
      </w:r>
      <w:r w:rsidR="007316F0">
        <w:rPr>
          <w:lang w:val="en-GB"/>
        </w:rPr>
        <w:t>.</w:t>
      </w:r>
    </w:p>
    <w:p w14:paraId="05CC7653" w14:textId="146C1A5B" w:rsidR="00081E79" w:rsidRPr="00C436F1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</w:t>
      </w:r>
      <w:r w:rsidR="00144129">
        <w:rPr>
          <w:lang w:val="en-GB"/>
        </w:rPr>
        <w:t>3</w:t>
      </w:r>
      <w:r>
        <w:rPr>
          <w:lang w:val="en-GB"/>
        </w:rPr>
        <w:t>)</w:t>
      </w:r>
      <w:r w:rsidR="00144129">
        <w:rPr>
          <w:lang w:val="en-GB"/>
        </w:rPr>
        <w:t xml:space="preserve"> </w:t>
      </w:r>
      <w:r w:rsidR="00144129" w:rsidRPr="00144129">
        <w:rPr>
          <w:b/>
          <w:bCs/>
          <w:lang w:val="en-US"/>
        </w:rPr>
        <w:t xml:space="preserve">Preliminary </w:t>
      </w:r>
      <w:r w:rsidR="00A45C35">
        <w:rPr>
          <w:b/>
          <w:bCs/>
          <w:lang w:val="en-US"/>
        </w:rPr>
        <w:t>assessment</w:t>
      </w:r>
      <w:r w:rsidR="00144129" w:rsidRPr="00144129">
        <w:rPr>
          <w:b/>
          <w:bCs/>
          <w:lang w:val="en-US"/>
        </w:rPr>
        <w:t xml:space="preserve"> of bioactive compounds</w:t>
      </w:r>
      <w:r w:rsidR="00FB68EF">
        <w:rPr>
          <w:b/>
          <w:bCs/>
          <w:lang w:val="en-US"/>
        </w:rPr>
        <w:t xml:space="preserve"> </w:t>
      </w:r>
      <w:r w:rsidR="00A45C35" w:rsidRPr="00A45C35">
        <w:rPr>
          <w:lang w:val="en-GB"/>
        </w:rPr>
        <w:t>applying several assay</w:t>
      </w:r>
      <w:r w:rsidR="00BC6190">
        <w:rPr>
          <w:lang w:val="en-GB"/>
        </w:rPr>
        <w:t xml:space="preserve">s and </w:t>
      </w:r>
      <w:r w:rsidR="008D3307">
        <w:rPr>
          <w:lang w:val="en-GB"/>
        </w:rPr>
        <w:t xml:space="preserve">evaluate the </w:t>
      </w:r>
      <w:r w:rsidR="009E15FC" w:rsidRPr="009E15FC">
        <w:rPr>
          <w:lang w:val="en-US"/>
        </w:rPr>
        <w:t>antimicrobial</w:t>
      </w:r>
      <w:r w:rsidR="009E15FC">
        <w:rPr>
          <w:lang w:val="en-US"/>
        </w:rPr>
        <w:t xml:space="preserve"> and </w:t>
      </w:r>
      <w:r w:rsidR="002F4AAD">
        <w:rPr>
          <w:lang w:val="en-US"/>
        </w:rPr>
        <w:t>cytotoxicity</w:t>
      </w:r>
      <w:r w:rsidR="009E15FC" w:rsidRPr="009E15FC">
        <w:rPr>
          <w:lang w:val="en-US"/>
        </w:rPr>
        <w:t xml:space="preserve"> activity</w:t>
      </w:r>
      <w:r w:rsidR="009E15FC">
        <w:rPr>
          <w:lang w:val="en-US"/>
        </w:rPr>
        <w:t xml:space="preserve"> </w:t>
      </w:r>
      <w:r w:rsidR="00C436F1" w:rsidRPr="00C436F1">
        <w:rPr>
          <w:lang w:val="en-US"/>
        </w:rPr>
        <w:t>of more promising extracts</w:t>
      </w:r>
      <w:r w:rsidR="00C436F1">
        <w:rPr>
          <w:lang w:val="en-US"/>
        </w:rPr>
        <w:t>.</w:t>
      </w:r>
      <w:r w:rsidR="00E853B3">
        <w:rPr>
          <w:lang w:val="en-US"/>
        </w:rPr>
        <w:t xml:space="preserve"> T</w:t>
      </w:r>
      <w:r w:rsidR="00E853B3" w:rsidRPr="00E853B3">
        <w:rPr>
          <w:lang w:val="en-US"/>
        </w:rPr>
        <w:t>he most promising extracts</w:t>
      </w:r>
      <w:r w:rsidR="00871DA1">
        <w:rPr>
          <w:lang w:val="en-US"/>
        </w:rPr>
        <w:t xml:space="preserve"> will be used to fortify food products. </w:t>
      </w:r>
    </w:p>
    <w:p w14:paraId="03F45692" w14:textId="1B81593A" w:rsidR="007316F0" w:rsidRPr="00155BB4" w:rsidRDefault="00081E79" w:rsidP="00081E79">
      <w:pPr>
        <w:ind w:left="426" w:hanging="426"/>
        <w:jc w:val="both"/>
        <w:rPr>
          <w:b/>
          <w:bCs/>
          <w:lang w:val="en-GB"/>
        </w:rPr>
      </w:pPr>
      <w:r>
        <w:rPr>
          <w:lang w:val="en-GB"/>
        </w:rPr>
        <w:t>A</w:t>
      </w:r>
      <w:r w:rsidR="00144129">
        <w:rPr>
          <w:lang w:val="en-GB"/>
        </w:rPr>
        <w:t>4</w:t>
      </w:r>
      <w:r>
        <w:rPr>
          <w:lang w:val="en-GB"/>
        </w:rPr>
        <w:t>)</w:t>
      </w:r>
      <w:r w:rsidR="00233EFC" w:rsidRPr="00233EFC">
        <w:rPr>
          <w:b/>
          <w:bCs/>
          <w:color w:val="000000"/>
          <w:kern w:val="24"/>
          <w:sz w:val="16"/>
          <w:szCs w:val="16"/>
          <w:lang w:val="en-US" w:eastAsia="en-US"/>
        </w:rPr>
        <w:t xml:space="preserve"> </w:t>
      </w:r>
      <w:r w:rsidR="00233EFC" w:rsidRPr="00155BB4">
        <w:rPr>
          <w:b/>
          <w:bCs/>
          <w:lang w:val="en-GB"/>
        </w:rPr>
        <w:t>Advanced chemical characterization of bioactive compounds and VOCs</w:t>
      </w:r>
    </w:p>
    <w:p w14:paraId="1CF1C24F" w14:textId="238FB88C" w:rsidR="00233EFC" w:rsidRDefault="00155BB4" w:rsidP="00081E79"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A5) </w:t>
      </w:r>
      <w:r w:rsidRPr="00155BB4">
        <w:rPr>
          <w:b/>
          <w:bCs/>
          <w:lang w:val="en-GB"/>
        </w:rPr>
        <w:t>Bio</w:t>
      </w:r>
      <w:r w:rsidR="0008252B">
        <w:rPr>
          <w:b/>
          <w:bCs/>
          <w:lang w:val="en-GB"/>
        </w:rPr>
        <w:t>-</w:t>
      </w:r>
      <w:r w:rsidRPr="00155BB4">
        <w:rPr>
          <w:b/>
          <w:bCs/>
          <w:lang w:val="en-GB"/>
        </w:rPr>
        <w:t>accessibility of Phenolic Compounds</w:t>
      </w:r>
    </w:p>
    <w:p w14:paraId="3ADCDB1E" w14:textId="4A498CBF" w:rsidR="00081E79" w:rsidRDefault="007316F0" w:rsidP="00045B5C">
      <w:pPr>
        <w:ind w:left="426" w:hanging="426"/>
        <w:jc w:val="both"/>
        <w:rPr>
          <w:i/>
          <w:iCs/>
          <w:sz w:val="18"/>
          <w:lang w:val="en-GB"/>
        </w:rPr>
      </w:pPr>
      <w:r>
        <w:rPr>
          <w:lang w:val="en-GB"/>
        </w:rPr>
        <w:t>A</w:t>
      </w:r>
      <w:r w:rsidR="00155BB4">
        <w:rPr>
          <w:lang w:val="en-GB"/>
        </w:rPr>
        <w:t>6</w:t>
      </w:r>
      <w:r>
        <w:rPr>
          <w:lang w:val="en-GB"/>
        </w:rPr>
        <w:t>)</w:t>
      </w:r>
      <w:r w:rsidR="00155BB4">
        <w:rPr>
          <w:lang w:val="en-GB"/>
        </w:rPr>
        <w:t xml:space="preserve"> </w:t>
      </w:r>
      <w:r w:rsidR="00081E79">
        <w:rPr>
          <w:b/>
          <w:bCs/>
          <w:lang w:val="en-GB"/>
        </w:rPr>
        <w:t>Writing and Editing</w:t>
      </w:r>
      <w:r w:rsidR="00081E79">
        <w:rPr>
          <w:lang w:val="en-GB"/>
        </w:rPr>
        <w:t xml:space="preserve"> of the PhD thesis, scientific papers and oral and/or poster communications.</w:t>
      </w:r>
      <w:r w:rsidR="00081E79">
        <w:rPr>
          <w:i/>
          <w:iCs/>
          <w:sz w:val="18"/>
          <w:lang w:val="en-GB"/>
        </w:rPr>
        <w:tab/>
      </w:r>
    </w:p>
    <w:p w14:paraId="1865D9CB" w14:textId="02F9F570" w:rsidR="00045B5C" w:rsidRPr="001610CF" w:rsidRDefault="00045B5C" w:rsidP="007B4E23">
      <w:pPr>
        <w:pStyle w:val="Didascalia"/>
        <w:keepNext/>
        <w:spacing w:before="300" w:after="120"/>
        <w:rPr>
          <w:i w:val="0"/>
          <w:iCs w:val="0"/>
          <w:color w:val="auto"/>
          <w:sz w:val="20"/>
          <w:szCs w:val="20"/>
          <w:lang w:val="en-GB"/>
        </w:rPr>
      </w:pPr>
      <w:r w:rsidRPr="00A62F73">
        <w:rPr>
          <w:b/>
          <w:bCs/>
          <w:color w:val="auto"/>
          <w:lang w:val="en-GB"/>
        </w:rPr>
        <w:t xml:space="preserve">Table </w:t>
      </w:r>
      <w:r w:rsidRPr="00A62F73">
        <w:rPr>
          <w:b/>
          <w:bCs/>
          <w:color w:val="auto"/>
          <w:lang w:val="en-GB"/>
        </w:rPr>
        <w:fldChar w:fldCharType="begin"/>
      </w:r>
      <w:r w:rsidRPr="00A62F73">
        <w:rPr>
          <w:b/>
          <w:bCs/>
          <w:color w:val="auto"/>
          <w:lang w:val="en-GB"/>
        </w:rPr>
        <w:instrText xml:space="preserve"> SEQ Table \* ARABIC </w:instrText>
      </w:r>
      <w:r w:rsidRPr="00A62F73">
        <w:rPr>
          <w:b/>
          <w:bCs/>
          <w:color w:val="auto"/>
          <w:lang w:val="en-GB"/>
        </w:rPr>
        <w:fldChar w:fldCharType="separate"/>
      </w:r>
      <w:r w:rsidRPr="00A62F73">
        <w:rPr>
          <w:b/>
          <w:bCs/>
          <w:color w:val="auto"/>
          <w:lang w:val="en-GB"/>
        </w:rPr>
        <w:t>2</w:t>
      </w:r>
      <w:r w:rsidRPr="00A62F73">
        <w:rPr>
          <w:b/>
          <w:bCs/>
          <w:color w:val="auto"/>
          <w:lang w:val="en-GB"/>
        </w:rPr>
        <w:fldChar w:fldCharType="end"/>
      </w:r>
      <w:r w:rsidRPr="001610CF">
        <w:rPr>
          <w:i w:val="0"/>
          <w:iCs w:val="0"/>
          <w:color w:val="auto"/>
          <w:sz w:val="20"/>
          <w:szCs w:val="20"/>
          <w:lang w:val="en-GB"/>
        </w:rPr>
        <w:t xml:space="preserve"> Gantt diagram of PhD activity during next two years.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4"/>
        <w:gridCol w:w="2528"/>
        <w:gridCol w:w="211"/>
        <w:gridCol w:w="213"/>
        <w:gridCol w:w="243"/>
        <w:gridCol w:w="214"/>
        <w:gridCol w:w="214"/>
        <w:gridCol w:w="243"/>
        <w:gridCol w:w="214"/>
        <w:gridCol w:w="214"/>
        <w:gridCol w:w="214"/>
        <w:gridCol w:w="214"/>
        <w:gridCol w:w="255"/>
        <w:gridCol w:w="255"/>
        <w:gridCol w:w="255"/>
        <w:gridCol w:w="270"/>
        <w:gridCol w:w="255"/>
        <w:gridCol w:w="243"/>
        <w:gridCol w:w="299"/>
        <w:gridCol w:w="255"/>
        <w:gridCol w:w="270"/>
        <w:gridCol w:w="284"/>
        <w:gridCol w:w="299"/>
        <w:gridCol w:w="270"/>
        <w:gridCol w:w="255"/>
        <w:gridCol w:w="340"/>
      </w:tblGrid>
      <w:tr w:rsidR="008E256C" w:rsidRPr="008E256C" w14:paraId="5F1D6EE8" w14:textId="77777777" w:rsidTr="008E256C">
        <w:trPr>
          <w:trHeight w:val="230"/>
        </w:trPr>
        <w:tc>
          <w:tcPr>
            <w:tcW w:w="16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D4DAA1" w14:textId="77777777" w:rsidR="008E256C" w:rsidRPr="008E256C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color w:val="000000"/>
                <w:kern w:val="24"/>
                <w:sz w:val="14"/>
                <w:szCs w:val="14"/>
                <w:lang w:val="en-US" w:eastAsia="en-US"/>
              </w:rPr>
              <w:t>Activity                                      Months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D43DDC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5605FF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31091D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377294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3377D2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88AE40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918380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7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6E8C75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8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0F3EDE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9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EBA6BD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10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685D33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11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CC64BD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12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418020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13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DD20D1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14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40DFED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15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DB2D17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16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5D825A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17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5E9CFA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18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B8EAF9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19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1B4F97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20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C91486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21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2502C9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22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E8DC5F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23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5AEC05" w14:textId="77777777" w:rsidR="008E256C" w:rsidRPr="008E256C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val="en-US" w:eastAsia="en-US"/>
              </w:rPr>
            </w:pPr>
            <w:r w:rsidRPr="008E256C">
              <w:rPr>
                <w:b/>
                <w:bCs/>
                <w:color w:val="000000"/>
                <w:kern w:val="24"/>
                <w:sz w:val="14"/>
                <w:szCs w:val="14"/>
                <w:lang w:val="en-US" w:eastAsia="en-US"/>
              </w:rPr>
              <w:t>24</w:t>
            </w:r>
          </w:p>
        </w:tc>
      </w:tr>
      <w:tr w:rsidR="008E256C" w:rsidRPr="00EF0E60" w14:paraId="3BB885E9" w14:textId="77777777" w:rsidTr="00A86996">
        <w:trPr>
          <w:trHeight w:val="219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349420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A1)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233AF0" w14:textId="7DE67062" w:rsidR="008E256C" w:rsidRPr="006204DE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6204DE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 xml:space="preserve">Preliminary </w:t>
            </w:r>
            <w:r w:rsidR="00427CF4" w:rsidRPr="006204DE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>assessment</w:t>
            </w:r>
            <w:r w:rsidRPr="006204DE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98BC3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79583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39B50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E1D9B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69AF4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75E4F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DD13E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520FD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35788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5E98D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19F48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C6AE1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119A7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5FDFF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1EB4B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07584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D25975" w14:textId="77777777" w:rsidR="008E256C" w:rsidRPr="00EF0E60" w:rsidRDefault="008E256C" w:rsidP="008E256C">
            <w:pPr>
              <w:widowControl/>
              <w:suppressAutoHyphens w:val="0"/>
              <w:jc w:val="both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BECA2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5DFC5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A60B5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0DE6F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61795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7853D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3483F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518222DB" w14:textId="77777777" w:rsidTr="003943FD">
        <w:trPr>
          <w:trHeight w:val="115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F5FEEE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41CEA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1)</w:t>
            </w:r>
            <w:r w:rsidRPr="00EF0E60">
              <w:rPr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 xml:space="preserve"> In-vitro</w:t>
            </w: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 plant growth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A1762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3E39F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4382D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003DF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55F2D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52E2BA" w14:textId="77777777" w:rsidR="008E256C" w:rsidRPr="00EF0E60" w:rsidRDefault="008E256C" w:rsidP="008E256C">
            <w:pPr>
              <w:widowControl/>
              <w:suppressAutoHyphens w:val="0"/>
              <w:jc w:val="both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D0B64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ED072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3727D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0085C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18E3E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EB1E9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02016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FD28E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18221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E1320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486C8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77CC1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DE24F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3BF21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C238B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06835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E9BE6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39ABD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DC4545" w14:paraId="602E73BF" w14:textId="77777777" w:rsidTr="003943FD">
        <w:trPr>
          <w:trHeight w:val="161"/>
        </w:trPr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801DE7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07E17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2) Recovery of plant or fruit material by-product 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605A3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7178E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37DAA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CB52F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3BA18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B0AE4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1ACBC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07B5E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D961D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8C2F0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F608C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BB61E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A8C4A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8DD2D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DDDF6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D05F8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ED106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9B74A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D7ACE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0FBE4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04814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DFD9C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B1A8F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ABDC4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5C164A95" w14:textId="77777777" w:rsidTr="0085592F">
        <w:trPr>
          <w:trHeight w:val="165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1B4C10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A2)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41EE4F" w14:textId="6D104444" w:rsidR="008E256C" w:rsidRPr="006204DE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6204DE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 xml:space="preserve">Extraction of </w:t>
            </w:r>
            <w:r w:rsidR="0085592F" w:rsidRPr="006204DE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 xml:space="preserve">compounds 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60272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CA4CC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F0005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4A4DE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9C065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AB120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DEECF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35541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E89F9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3F79D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32DF7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B48DD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B212E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8BE3D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AFE4D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E9E8E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991B5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B9E91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30CC9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25622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33F6F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97535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657EC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BEA03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31250948" w14:textId="77777777" w:rsidTr="003943FD">
        <w:trPr>
          <w:trHeight w:val="129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380ADF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05F790" w14:textId="6B47238E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1) Conventional extraction </w:t>
            </w:r>
            <w:r w:rsidR="00A23511"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techniques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F70E0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E1FDA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CCEB1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6317F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9B0CF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4D15F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51052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3F107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669B2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5A70A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9F549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7DBE2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F41A0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98871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836EC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3E621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4638B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F9AF7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CC9DC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CCB9D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019CC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E8894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E78D3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2031D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46A461E0" w14:textId="77777777" w:rsidTr="003943FD">
        <w:trPr>
          <w:trHeight w:val="35"/>
        </w:trPr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E1D284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D14BD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color w:val="000000"/>
                <w:kern w:val="24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2) Green </w:t>
            </w:r>
            <w:r w:rsidR="00A23511"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techniques</w:t>
            </w:r>
          </w:p>
          <w:p w14:paraId="1655F71C" w14:textId="0557A260" w:rsidR="003D2792" w:rsidRPr="00EF0E60" w:rsidRDefault="003D2792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F5A90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62C37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F2911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B5E54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2A4D5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E57C9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EA587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51C23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94E67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5B24D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A07D3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F029D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81801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1C80B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82144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513CB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94010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F8C96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5450E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B0CD3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BD974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60CED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EBDE5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BE112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164F502A" w14:textId="77777777" w:rsidTr="005E6114">
        <w:trPr>
          <w:trHeight w:val="171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4BB973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A3)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31639E9" w14:textId="57585061" w:rsidR="008E256C" w:rsidRPr="006204DE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6204DE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>Preliminary</w:t>
            </w:r>
            <w:r w:rsidR="005E6114" w:rsidRPr="006204DE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 xml:space="preserve"> </w:t>
            </w:r>
            <w:r w:rsidR="007739C2" w:rsidRPr="006204DE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>assessment</w:t>
            </w:r>
            <w:r w:rsidR="005E6114" w:rsidRPr="006204DE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 xml:space="preserve"> by assays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B85DE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F78B4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A8437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31307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1DA90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E9B92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6FBCB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A7AC3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87B8B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C6176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7D8D5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A4D77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EAD04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457B7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9ED40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381EA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FCC2E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CE411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A4883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09A27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AB2B1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9FF19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04BD9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EB4F5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42E69265" w14:textId="77777777" w:rsidTr="003943FD">
        <w:trPr>
          <w:trHeight w:val="44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C31E64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71D8F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1)  Polyphenol content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9C5DB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C3BF8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97383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5398B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15F04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AED6A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6E049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B1C2C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895A0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4F984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92D96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AB21E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41755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3E4D5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29BCD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3DC9A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6E3E8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617B4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C2985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5B747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8F9C7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71A97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8005B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68072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403C97EE" w14:textId="77777777" w:rsidTr="003943FD">
        <w:trPr>
          <w:trHeight w:val="61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8B0DE0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A01467" w14:textId="396DD72C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2) </w:t>
            </w:r>
            <w:r w:rsidR="009971D5"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Antioxidant</w:t>
            </w: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 activity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3B9EF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4D502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07CDE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727DB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4EBAA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5BE10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D4982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DD8BA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44233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07FE1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ABEE5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E3FAC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1805A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9D800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466F4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26E61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567D5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12484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6C441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7D980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3D09D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AEA49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EE076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9E129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28EEAF94" w14:textId="77777777" w:rsidTr="003943FD">
        <w:trPr>
          <w:trHeight w:val="80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9D5435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B471C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3) Antimicrobial activity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7E01A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12A1D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D77FB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4BF7D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6F8A7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20844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803BF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88485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4C2FD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D4E73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B7BA3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70C76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9D621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C94A1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2B917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77947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8748B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FE42A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5062F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F0F36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B651E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71714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1265A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D2F43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6D794F95" w14:textId="77777777" w:rsidTr="003943FD">
        <w:trPr>
          <w:trHeight w:val="111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D287F2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B63E30" w14:textId="3AFC859C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4) </w:t>
            </w:r>
            <w:r w:rsidR="00A23511"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Cytotoxicity</w:t>
            </w: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 assay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7C60C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9A562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E7696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C4B6A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A094C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79CF7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191B9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453AF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F3E2E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54BBB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B248B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9CDAF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89160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1E5AA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89030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46D4A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58D6B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3238B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B5D51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BB9CD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7C5EE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52E2A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CDBC6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C12A1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68D035EF" w14:textId="77777777" w:rsidTr="00A074DC">
        <w:trPr>
          <w:trHeight w:val="60"/>
        </w:trPr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EEF80B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AEB403" w14:textId="5B97993C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5) </w:t>
            </w:r>
            <w:r w:rsidR="00DC0D58"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Te</w:t>
            </w:r>
            <w:r w:rsidR="003943FD"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sting</w:t>
            </w:r>
            <w:r w:rsidR="005A791B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 </w:t>
            </w: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on food product</w:t>
            </w:r>
            <w:r w:rsidR="003943FD"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3C8DC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1848C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AD2F1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F4910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6C5CD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32468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C75E4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7902C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6CEB5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8DD21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C1492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20D2C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432C8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102A2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2D343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380D7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69B45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38888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DBA1B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D7425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19F10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40946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8AEF3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08E89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7F547391" w14:textId="77777777" w:rsidTr="00155BB4">
        <w:trPr>
          <w:trHeight w:val="233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B1F170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A4)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880079" w14:textId="0C7AA735" w:rsidR="008E256C" w:rsidRPr="006204DE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6204DE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 xml:space="preserve">Advanced chemical characterization 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86F0E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D5C58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07E1E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72192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3CF7D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FBDB4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18F2A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22277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51EE6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33D95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256BA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9F63A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BE8E7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6BC5F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97708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C58B7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834D2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32FE7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58473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B1B15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EC7F8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E5A86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7B288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CE8F1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25B9CEA3" w14:textId="77777777" w:rsidTr="003943FD">
        <w:trPr>
          <w:trHeight w:val="83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5E2786F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3336C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1) UHPLC-MS/MS 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3C9652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3B7D5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442E1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A9577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8D36B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79C79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EA473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BAE9A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A1F83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BB51E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411C1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DFD27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9AAC0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C5447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E008C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BDB70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2431C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95B69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8BAEC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BBF66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E8DAE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21E78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BC985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2DEBB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41771937" w14:textId="77777777" w:rsidTr="003943FD">
        <w:trPr>
          <w:trHeight w:val="115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390B4B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73326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2) HS-SPME/GC-MS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61AAC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E17CD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7E46A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6A324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1819C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A09E8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EFBC8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21369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379F0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DC085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399C3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29FDD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FCB6B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FA637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C7D0E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A54E7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BFCF1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79B25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BB00B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17D30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07D69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C01BE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FC080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CBA49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2476A0C7" w14:textId="77777777" w:rsidTr="00EF0E60">
        <w:trPr>
          <w:trHeight w:val="129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0F2854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A5)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8ACDB9" w14:textId="42D2BAB0" w:rsidR="008E256C" w:rsidRPr="006204DE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6204DE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>Bioaccessibility</w:t>
            </w:r>
            <w:proofErr w:type="spellEnd"/>
            <w:r w:rsidRPr="006204DE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02F65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B05F8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4DEA0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16FD0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F5FF7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57213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A348A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25FAB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0F269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48B4A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47CBF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69171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A72B4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3390B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4495F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3A604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8C501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E898E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3FCCE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A5CB0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69F1E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73080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0718A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4AB10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2E48226D" w14:textId="77777777" w:rsidTr="003943FD">
        <w:trPr>
          <w:trHeight w:val="98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02CB74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44272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1) </w:t>
            </w:r>
            <w:r w:rsidRPr="00EF0E60">
              <w:rPr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>In-vitro</w:t>
            </w: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 xml:space="preserve"> digestion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A034A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0FD65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9D7C0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ABDE8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84AD8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0298C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AC81C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FBADE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4C0F8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FC6AF5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A02CB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DF6D8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87984D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E94FA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A1416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5641A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20FFC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014EE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3CFD6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D28AE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2766A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9A115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9866C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6AB221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  <w:tr w:rsidR="008E256C" w:rsidRPr="00EF0E60" w14:paraId="049783FA" w14:textId="77777777" w:rsidTr="003943FD">
        <w:trPr>
          <w:trHeight w:val="87"/>
        </w:trPr>
        <w:tc>
          <w:tcPr>
            <w:tcW w:w="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5D876A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20C2D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 xml:space="preserve">2) </w:t>
            </w:r>
            <w:proofErr w:type="spellStart"/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Transepithelial</w:t>
            </w:r>
            <w:proofErr w:type="spellEnd"/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trasposrt</w:t>
            </w:r>
            <w:proofErr w:type="spellEnd"/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 xml:space="preserve"> in Caco-2 </w:t>
            </w:r>
            <w:proofErr w:type="spellStart"/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cell</w:t>
            </w:r>
            <w:proofErr w:type="spellEnd"/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DFFAC3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A3F55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06DC2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39633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A0300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5EC6A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F8775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066B0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44D2D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5A7AF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2D554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2DCAC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C823E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16545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AF994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F99022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F5651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332C9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42A0E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22B3AC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53C8E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4EB2F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3462E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C41CF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eastAsia="en-US"/>
              </w:rPr>
              <w:t> </w:t>
            </w:r>
          </w:p>
        </w:tc>
      </w:tr>
      <w:tr w:rsidR="008E256C" w:rsidRPr="00EF0E60" w14:paraId="74BBA6E8" w14:textId="77777777" w:rsidTr="00A074DC">
        <w:trPr>
          <w:trHeight w:val="86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AEBE4D" w14:textId="77777777" w:rsidR="008E256C" w:rsidRPr="00EF0E60" w:rsidRDefault="008E256C" w:rsidP="008E256C">
            <w:pPr>
              <w:widowControl/>
              <w:suppressAutoHyphens w:val="0"/>
              <w:jc w:val="center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A6)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C75775" w14:textId="77777777" w:rsidR="008E256C" w:rsidRPr="005A791B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5A791B">
              <w:rPr>
                <w:b/>
                <w:bCs/>
                <w:i/>
                <w:iCs/>
                <w:color w:val="000000"/>
                <w:kern w:val="24"/>
                <w:sz w:val="18"/>
                <w:szCs w:val="18"/>
                <w:lang w:val="en-US" w:eastAsia="en-US"/>
              </w:rPr>
              <w:t>Thesis and Paper Preparation</w:t>
            </w:r>
          </w:p>
        </w:tc>
        <w:tc>
          <w:tcPr>
            <w:tcW w:w="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72E1E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51D9F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240AFD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C6441B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2FA27E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7977B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AF28D5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23E3D9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E8AEA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805C88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6ACBF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1F6E4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D5EEA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30A51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39BD37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1CD5B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4005E1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2E6340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A27846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ECF02A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C67A2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4A51E2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34521F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3F5564" w14:textId="77777777" w:rsidR="008E256C" w:rsidRPr="00EF0E60" w:rsidRDefault="008E256C" w:rsidP="008E256C">
            <w:pPr>
              <w:widowControl/>
              <w:suppressAutoHyphens w:val="0"/>
              <w:textAlignment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F0E60">
              <w:rPr>
                <w:color w:val="000000"/>
                <w:kern w:val="24"/>
                <w:sz w:val="18"/>
                <w:szCs w:val="18"/>
                <w:lang w:val="en-US" w:eastAsia="en-US"/>
              </w:rPr>
              <w:t> </w:t>
            </w:r>
          </w:p>
        </w:tc>
      </w:tr>
    </w:tbl>
    <w:p w14:paraId="1FCB330E" w14:textId="77777777" w:rsidR="00081E79" w:rsidRPr="005A791B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 w:rsidRPr="005A791B">
        <w:rPr>
          <w:b/>
          <w:bCs/>
          <w:color w:val="000000"/>
          <w:sz w:val="24"/>
          <w:lang w:val="en-GB"/>
        </w:rPr>
        <w:t>3. Selected References</w:t>
      </w:r>
    </w:p>
    <w:p w14:paraId="063048A2" w14:textId="77777777" w:rsidR="00C328BC" w:rsidRPr="0038105E" w:rsidRDefault="00C328BC" w:rsidP="00D21959">
      <w:pPr>
        <w:ind w:left="425" w:hanging="425"/>
        <w:jc w:val="both"/>
        <w:rPr>
          <w:sz w:val="18"/>
          <w:szCs w:val="18"/>
          <w:lang w:val="en-US"/>
        </w:rPr>
      </w:pPr>
      <w:bookmarkStart w:id="0" w:name="_Hlk138512225"/>
      <w:r w:rsidRPr="0038105E">
        <w:rPr>
          <w:sz w:val="18"/>
          <w:szCs w:val="18"/>
        </w:rPr>
        <w:t xml:space="preserve">Alloggia FP, </w:t>
      </w:r>
      <w:proofErr w:type="spellStart"/>
      <w:r w:rsidRPr="0038105E">
        <w:rPr>
          <w:sz w:val="18"/>
          <w:szCs w:val="18"/>
        </w:rPr>
        <w:t>Bafumo</w:t>
      </w:r>
      <w:proofErr w:type="spellEnd"/>
      <w:r w:rsidRPr="0038105E">
        <w:rPr>
          <w:sz w:val="18"/>
          <w:szCs w:val="18"/>
        </w:rPr>
        <w:t xml:space="preserve"> RF, Ramirez DA, Maza MA, Camargo AB (2023). </w:t>
      </w:r>
      <w:r w:rsidRPr="0038105E">
        <w:rPr>
          <w:sz w:val="18"/>
          <w:szCs w:val="18"/>
          <w:lang w:val="en-US"/>
        </w:rPr>
        <w:t>Brassicaceae microgreens: A novel and promissory source of sustainable bioactive compounds. </w:t>
      </w:r>
      <w:r w:rsidRPr="0038105E">
        <w:rPr>
          <w:i/>
          <w:iCs/>
          <w:sz w:val="18"/>
          <w:szCs w:val="18"/>
          <w:lang w:val="en-US"/>
        </w:rPr>
        <w:t>Current Research in Food Science</w:t>
      </w:r>
      <w:r w:rsidRPr="0038105E">
        <w:rPr>
          <w:sz w:val="18"/>
          <w:szCs w:val="18"/>
          <w:lang w:val="en-US"/>
        </w:rPr>
        <w:t xml:space="preserve">, 6, p.100480. </w:t>
      </w:r>
    </w:p>
    <w:bookmarkEnd w:id="0"/>
    <w:p w14:paraId="055F1489" w14:textId="77777777" w:rsidR="00C328BC" w:rsidRPr="0038105E" w:rsidRDefault="00C328BC" w:rsidP="00082EEB">
      <w:pPr>
        <w:ind w:left="425" w:hanging="425"/>
        <w:jc w:val="both"/>
        <w:rPr>
          <w:sz w:val="18"/>
          <w:szCs w:val="18"/>
          <w:lang w:val="en-US"/>
        </w:rPr>
      </w:pPr>
      <w:r w:rsidRPr="0038105E">
        <w:rPr>
          <w:sz w:val="18"/>
          <w:szCs w:val="18"/>
          <w:lang w:val="en-US"/>
        </w:rPr>
        <w:t xml:space="preserve">Essien SO, Young B, </w:t>
      </w:r>
      <w:proofErr w:type="spellStart"/>
      <w:r w:rsidRPr="0038105E">
        <w:rPr>
          <w:sz w:val="18"/>
          <w:szCs w:val="18"/>
          <w:lang w:val="en-US"/>
        </w:rPr>
        <w:t>Baroutian</w:t>
      </w:r>
      <w:proofErr w:type="spellEnd"/>
      <w:r w:rsidRPr="0038105E">
        <w:rPr>
          <w:sz w:val="18"/>
          <w:szCs w:val="18"/>
          <w:lang w:val="en-US"/>
        </w:rPr>
        <w:t xml:space="preserve"> S (2020). Recent advances in subcritical water and supercritical carbon dioxide extraction of bioactive compounds from plant materials. </w:t>
      </w:r>
      <w:r w:rsidRPr="0038105E">
        <w:rPr>
          <w:i/>
          <w:iCs/>
          <w:sz w:val="18"/>
          <w:szCs w:val="18"/>
          <w:lang w:val="en-US"/>
        </w:rPr>
        <w:t>Trends in Food Science &amp; Technology</w:t>
      </w:r>
      <w:r w:rsidRPr="0038105E">
        <w:rPr>
          <w:sz w:val="18"/>
          <w:szCs w:val="18"/>
          <w:lang w:val="en-US"/>
        </w:rPr>
        <w:t>, 97, pp.156–169.</w:t>
      </w:r>
    </w:p>
    <w:p w14:paraId="2BA37E00" w14:textId="77777777" w:rsidR="00C328BC" w:rsidRPr="0038105E" w:rsidRDefault="00C328BC" w:rsidP="005871B2">
      <w:pPr>
        <w:ind w:left="425" w:hanging="425"/>
        <w:jc w:val="both"/>
        <w:rPr>
          <w:sz w:val="18"/>
          <w:szCs w:val="18"/>
        </w:rPr>
      </w:pPr>
      <w:r w:rsidRPr="0038105E">
        <w:rPr>
          <w:sz w:val="18"/>
          <w:szCs w:val="18"/>
          <w:lang w:val="en-US"/>
        </w:rPr>
        <w:t xml:space="preserve">Lindsay MA, </w:t>
      </w:r>
      <w:proofErr w:type="spellStart"/>
      <w:r w:rsidRPr="0038105E">
        <w:rPr>
          <w:sz w:val="18"/>
          <w:szCs w:val="18"/>
          <w:lang w:val="en-US"/>
        </w:rPr>
        <w:t>Granucci</w:t>
      </w:r>
      <w:proofErr w:type="spellEnd"/>
      <w:r w:rsidRPr="0038105E">
        <w:rPr>
          <w:sz w:val="18"/>
          <w:szCs w:val="18"/>
          <w:lang w:val="en-US"/>
        </w:rPr>
        <w:t xml:space="preserve"> N, Greenwood DR, Villas-Boas SG (2022). Identification of New Natural Sources of </w:t>
      </w:r>
      <w:proofErr w:type="spellStart"/>
      <w:r w:rsidRPr="0038105E">
        <w:rPr>
          <w:sz w:val="18"/>
          <w:szCs w:val="18"/>
          <w:lang w:val="en-US"/>
        </w:rPr>
        <w:t>Flavour</w:t>
      </w:r>
      <w:proofErr w:type="spellEnd"/>
      <w:r w:rsidRPr="0038105E">
        <w:rPr>
          <w:sz w:val="18"/>
          <w:szCs w:val="18"/>
          <w:lang w:val="en-US"/>
        </w:rPr>
        <w:t xml:space="preserve"> and Aroma Metabolites from Solid-State Fermentation of Agro-Industrial By-Products. </w:t>
      </w:r>
      <w:proofErr w:type="spellStart"/>
      <w:r w:rsidRPr="0038105E">
        <w:rPr>
          <w:i/>
          <w:iCs/>
          <w:sz w:val="18"/>
          <w:szCs w:val="18"/>
        </w:rPr>
        <w:t>Metabolites</w:t>
      </w:r>
      <w:proofErr w:type="spellEnd"/>
      <w:r w:rsidRPr="0038105E">
        <w:rPr>
          <w:sz w:val="18"/>
          <w:szCs w:val="18"/>
        </w:rPr>
        <w:t xml:space="preserve">, 12(2), p.157. </w:t>
      </w:r>
    </w:p>
    <w:p w14:paraId="3A259BB6" w14:textId="77777777" w:rsidR="00C328BC" w:rsidRPr="0038105E" w:rsidRDefault="00C328BC" w:rsidP="00852578">
      <w:pPr>
        <w:ind w:left="425" w:hanging="425"/>
        <w:jc w:val="both"/>
        <w:rPr>
          <w:sz w:val="18"/>
          <w:szCs w:val="18"/>
          <w:lang w:val="en-US"/>
        </w:rPr>
      </w:pPr>
      <w:proofErr w:type="spellStart"/>
      <w:r w:rsidRPr="0038105E">
        <w:rPr>
          <w:sz w:val="18"/>
          <w:szCs w:val="18"/>
        </w:rPr>
        <w:t>Pannico</w:t>
      </w:r>
      <w:proofErr w:type="spellEnd"/>
      <w:r w:rsidRPr="0038105E">
        <w:rPr>
          <w:sz w:val="18"/>
          <w:szCs w:val="18"/>
        </w:rPr>
        <w:t xml:space="preserve"> A, </w:t>
      </w:r>
      <w:proofErr w:type="spellStart"/>
      <w:r w:rsidRPr="0038105E">
        <w:rPr>
          <w:sz w:val="18"/>
          <w:szCs w:val="18"/>
        </w:rPr>
        <w:t>Kyriacou</w:t>
      </w:r>
      <w:proofErr w:type="spellEnd"/>
      <w:r w:rsidRPr="0038105E">
        <w:rPr>
          <w:sz w:val="18"/>
          <w:szCs w:val="18"/>
        </w:rPr>
        <w:t xml:space="preserve"> MC, El-</w:t>
      </w:r>
      <w:proofErr w:type="spellStart"/>
      <w:r w:rsidRPr="0038105E">
        <w:rPr>
          <w:sz w:val="18"/>
          <w:szCs w:val="18"/>
        </w:rPr>
        <w:t>Nakhel</w:t>
      </w:r>
      <w:proofErr w:type="spellEnd"/>
      <w:r w:rsidRPr="0038105E">
        <w:rPr>
          <w:sz w:val="18"/>
          <w:szCs w:val="18"/>
        </w:rPr>
        <w:t xml:space="preserve"> C, Graziani G, Carillo P, Corrado G, Ritieni A, </w:t>
      </w:r>
      <w:proofErr w:type="spellStart"/>
      <w:r w:rsidRPr="0038105E">
        <w:rPr>
          <w:sz w:val="18"/>
          <w:szCs w:val="18"/>
        </w:rPr>
        <w:t>Rouphael</w:t>
      </w:r>
      <w:proofErr w:type="spellEnd"/>
      <w:r w:rsidRPr="0038105E">
        <w:rPr>
          <w:sz w:val="18"/>
          <w:szCs w:val="18"/>
        </w:rPr>
        <w:t xml:space="preserve"> Y, De Pascale S (2022). </w:t>
      </w:r>
      <w:r w:rsidRPr="0038105E">
        <w:rPr>
          <w:sz w:val="18"/>
          <w:szCs w:val="18"/>
          <w:lang w:val="en-US"/>
        </w:rPr>
        <w:t>Hemp microgreens as an innovative functional food: Variation in the organic acids, amino acids, polyphenols, and cannabinoids composition of six hemp cultivars. </w:t>
      </w:r>
      <w:r w:rsidRPr="0038105E">
        <w:rPr>
          <w:i/>
          <w:iCs/>
          <w:sz w:val="18"/>
          <w:szCs w:val="18"/>
          <w:lang w:val="en-US"/>
        </w:rPr>
        <w:t>Food Research International</w:t>
      </w:r>
      <w:r w:rsidRPr="0038105E">
        <w:rPr>
          <w:sz w:val="18"/>
          <w:szCs w:val="18"/>
          <w:lang w:val="en-US"/>
        </w:rPr>
        <w:t>, 161, p.111863.</w:t>
      </w:r>
    </w:p>
    <w:sectPr w:rsidR="00C328BC" w:rsidRPr="0038105E" w:rsidSect="004154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79"/>
    <w:rsid w:val="00002BE0"/>
    <w:rsid w:val="00012909"/>
    <w:rsid w:val="000141F7"/>
    <w:rsid w:val="00015CE3"/>
    <w:rsid w:val="00026046"/>
    <w:rsid w:val="0002637E"/>
    <w:rsid w:val="0004073E"/>
    <w:rsid w:val="00045A43"/>
    <w:rsid w:val="00045B5C"/>
    <w:rsid w:val="000462DA"/>
    <w:rsid w:val="0004690D"/>
    <w:rsid w:val="0005627E"/>
    <w:rsid w:val="00064B33"/>
    <w:rsid w:val="00066940"/>
    <w:rsid w:val="0007013A"/>
    <w:rsid w:val="000716D8"/>
    <w:rsid w:val="00074D59"/>
    <w:rsid w:val="0007532D"/>
    <w:rsid w:val="000773AA"/>
    <w:rsid w:val="00081E79"/>
    <w:rsid w:val="0008252B"/>
    <w:rsid w:val="00082EEB"/>
    <w:rsid w:val="00097646"/>
    <w:rsid w:val="000A5128"/>
    <w:rsid w:val="000A6B3E"/>
    <w:rsid w:val="000B4C6B"/>
    <w:rsid w:val="000B5D5C"/>
    <w:rsid w:val="000C1202"/>
    <w:rsid w:val="000C12A7"/>
    <w:rsid w:val="000C1ECD"/>
    <w:rsid w:val="000E6973"/>
    <w:rsid w:val="000F6CDB"/>
    <w:rsid w:val="000F7C24"/>
    <w:rsid w:val="001106FE"/>
    <w:rsid w:val="001120B4"/>
    <w:rsid w:val="0012281D"/>
    <w:rsid w:val="00131980"/>
    <w:rsid w:val="00144129"/>
    <w:rsid w:val="001454CD"/>
    <w:rsid w:val="00155BB4"/>
    <w:rsid w:val="001610CF"/>
    <w:rsid w:val="00165CB3"/>
    <w:rsid w:val="00167B10"/>
    <w:rsid w:val="00173163"/>
    <w:rsid w:val="001844D8"/>
    <w:rsid w:val="00186757"/>
    <w:rsid w:val="00186BF2"/>
    <w:rsid w:val="001879C8"/>
    <w:rsid w:val="001B050E"/>
    <w:rsid w:val="001B20F9"/>
    <w:rsid w:val="001B7EB5"/>
    <w:rsid w:val="001D27A4"/>
    <w:rsid w:val="001D69C2"/>
    <w:rsid w:val="001E2B5D"/>
    <w:rsid w:val="001F3FE1"/>
    <w:rsid w:val="002004D3"/>
    <w:rsid w:val="00221DC8"/>
    <w:rsid w:val="00225712"/>
    <w:rsid w:val="00233EFC"/>
    <w:rsid w:val="00236584"/>
    <w:rsid w:val="002446A6"/>
    <w:rsid w:val="00245033"/>
    <w:rsid w:val="0025526B"/>
    <w:rsid w:val="0025630C"/>
    <w:rsid w:val="00261AFF"/>
    <w:rsid w:val="00263198"/>
    <w:rsid w:val="00266C61"/>
    <w:rsid w:val="00277B07"/>
    <w:rsid w:val="0028305F"/>
    <w:rsid w:val="00287515"/>
    <w:rsid w:val="00291742"/>
    <w:rsid w:val="002A2C28"/>
    <w:rsid w:val="002A57C8"/>
    <w:rsid w:val="002B5DD9"/>
    <w:rsid w:val="002C1A66"/>
    <w:rsid w:val="002D2DE8"/>
    <w:rsid w:val="002D7EEB"/>
    <w:rsid w:val="002E01FF"/>
    <w:rsid w:val="002E4492"/>
    <w:rsid w:val="002E7333"/>
    <w:rsid w:val="002F191B"/>
    <w:rsid w:val="002F4AAD"/>
    <w:rsid w:val="00362262"/>
    <w:rsid w:val="00365432"/>
    <w:rsid w:val="003721E2"/>
    <w:rsid w:val="00372879"/>
    <w:rsid w:val="0038105E"/>
    <w:rsid w:val="003867E7"/>
    <w:rsid w:val="0038703C"/>
    <w:rsid w:val="003873A0"/>
    <w:rsid w:val="003943FD"/>
    <w:rsid w:val="00394FDD"/>
    <w:rsid w:val="003A31AA"/>
    <w:rsid w:val="003A5941"/>
    <w:rsid w:val="003A731E"/>
    <w:rsid w:val="003B4DD9"/>
    <w:rsid w:val="003C4CE8"/>
    <w:rsid w:val="003D2792"/>
    <w:rsid w:val="003D5346"/>
    <w:rsid w:val="003F58B5"/>
    <w:rsid w:val="004106C6"/>
    <w:rsid w:val="00414194"/>
    <w:rsid w:val="00415455"/>
    <w:rsid w:val="004155EF"/>
    <w:rsid w:val="00422F06"/>
    <w:rsid w:val="00426BD0"/>
    <w:rsid w:val="00427CF4"/>
    <w:rsid w:val="00454EEC"/>
    <w:rsid w:val="00457671"/>
    <w:rsid w:val="00482740"/>
    <w:rsid w:val="00483414"/>
    <w:rsid w:val="004863B6"/>
    <w:rsid w:val="00490D54"/>
    <w:rsid w:val="00495805"/>
    <w:rsid w:val="004B5AF6"/>
    <w:rsid w:val="004C7A54"/>
    <w:rsid w:val="004D3B2B"/>
    <w:rsid w:val="004D7DF6"/>
    <w:rsid w:val="00501C0A"/>
    <w:rsid w:val="00515F7D"/>
    <w:rsid w:val="005167A5"/>
    <w:rsid w:val="00521A9B"/>
    <w:rsid w:val="00523662"/>
    <w:rsid w:val="005401DD"/>
    <w:rsid w:val="0055104C"/>
    <w:rsid w:val="00561FE6"/>
    <w:rsid w:val="00577213"/>
    <w:rsid w:val="005871B2"/>
    <w:rsid w:val="005953FF"/>
    <w:rsid w:val="005956B4"/>
    <w:rsid w:val="005A4327"/>
    <w:rsid w:val="005A791B"/>
    <w:rsid w:val="005B1CD2"/>
    <w:rsid w:val="005B2D86"/>
    <w:rsid w:val="005B3B85"/>
    <w:rsid w:val="005C5231"/>
    <w:rsid w:val="005C5670"/>
    <w:rsid w:val="005D011F"/>
    <w:rsid w:val="005D22C6"/>
    <w:rsid w:val="005D47DC"/>
    <w:rsid w:val="005E6114"/>
    <w:rsid w:val="005E7038"/>
    <w:rsid w:val="005F7BAB"/>
    <w:rsid w:val="00614962"/>
    <w:rsid w:val="006204DE"/>
    <w:rsid w:val="0062340E"/>
    <w:rsid w:val="0063347A"/>
    <w:rsid w:val="006339AD"/>
    <w:rsid w:val="006403A9"/>
    <w:rsid w:val="00645545"/>
    <w:rsid w:val="00650BC6"/>
    <w:rsid w:val="00692D6D"/>
    <w:rsid w:val="006A5A98"/>
    <w:rsid w:val="006B4EED"/>
    <w:rsid w:val="006B5B7E"/>
    <w:rsid w:val="006C7B8B"/>
    <w:rsid w:val="006E0D48"/>
    <w:rsid w:val="006E38FC"/>
    <w:rsid w:val="006E4970"/>
    <w:rsid w:val="006E74BA"/>
    <w:rsid w:val="00714EE1"/>
    <w:rsid w:val="007316F0"/>
    <w:rsid w:val="00732791"/>
    <w:rsid w:val="00743B72"/>
    <w:rsid w:val="007554C1"/>
    <w:rsid w:val="007623C0"/>
    <w:rsid w:val="00770098"/>
    <w:rsid w:val="0077233C"/>
    <w:rsid w:val="0077290C"/>
    <w:rsid w:val="007739C2"/>
    <w:rsid w:val="00790CFC"/>
    <w:rsid w:val="007B4E23"/>
    <w:rsid w:val="007B6CCA"/>
    <w:rsid w:val="007F13E4"/>
    <w:rsid w:val="007F359F"/>
    <w:rsid w:val="007F4908"/>
    <w:rsid w:val="0080553E"/>
    <w:rsid w:val="008068E1"/>
    <w:rsid w:val="00810023"/>
    <w:rsid w:val="0081746D"/>
    <w:rsid w:val="00823DB5"/>
    <w:rsid w:val="008266C1"/>
    <w:rsid w:val="008321D9"/>
    <w:rsid w:val="008450FE"/>
    <w:rsid w:val="0084602F"/>
    <w:rsid w:val="00852578"/>
    <w:rsid w:val="0085592F"/>
    <w:rsid w:val="008648A3"/>
    <w:rsid w:val="008710E8"/>
    <w:rsid w:val="00871DA1"/>
    <w:rsid w:val="00876143"/>
    <w:rsid w:val="00895F41"/>
    <w:rsid w:val="008A399A"/>
    <w:rsid w:val="008B7E85"/>
    <w:rsid w:val="008C73ED"/>
    <w:rsid w:val="008D2CBB"/>
    <w:rsid w:val="008D3307"/>
    <w:rsid w:val="008D7132"/>
    <w:rsid w:val="008D7792"/>
    <w:rsid w:val="008E256C"/>
    <w:rsid w:val="008F73B0"/>
    <w:rsid w:val="0091071C"/>
    <w:rsid w:val="00914AF1"/>
    <w:rsid w:val="009214CA"/>
    <w:rsid w:val="0092586F"/>
    <w:rsid w:val="00931DA8"/>
    <w:rsid w:val="00935BCD"/>
    <w:rsid w:val="00936BFF"/>
    <w:rsid w:val="00953CB5"/>
    <w:rsid w:val="009615A8"/>
    <w:rsid w:val="00961BBF"/>
    <w:rsid w:val="00972B00"/>
    <w:rsid w:val="00991601"/>
    <w:rsid w:val="009921FC"/>
    <w:rsid w:val="00994A84"/>
    <w:rsid w:val="009971D5"/>
    <w:rsid w:val="009A4FC2"/>
    <w:rsid w:val="009B75BC"/>
    <w:rsid w:val="009E15FC"/>
    <w:rsid w:val="009E1BE7"/>
    <w:rsid w:val="009F0E98"/>
    <w:rsid w:val="009F5126"/>
    <w:rsid w:val="00A001A0"/>
    <w:rsid w:val="00A074DC"/>
    <w:rsid w:val="00A101FE"/>
    <w:rsid w:val="00A12ACA"/>
    <w:rsid w:val="00A23511"/>
    <w:rsid w:val="00A25FBA"/>
    <w:rsid w:val="00A336BB"/>
    <w:rsid w:val="00A45C35"/>
    <w:rsid w:val="00A4610E"/>
    <w:rsid w:val="00A62F73"/>
    <w:rsid w:val="00A64023"/>
    <w:rsid w:val="00A83E25"/>
    <w:rsid w:val="00A83EE9"/>
    <w:rsid w:val="00A86996"/>
    <w:rsid w:val="00A87FB7"/>
    <w:rsid w:val="00AA0179"/>
    <w:rsid w:val="00AA0ECA"/>
    <w:rsid w:val="00AA21AE"/>
    <w:rsid w:val="00AA608B"/>
    <w:rsid w:val="00AA6ABF"/>
    <w:rsid w:val="00AB2918"/>
    <w:rsid w:val="00AB4ED4"/>
    <w:rsid w:val="00AC0544"/>
    <w:rsid w:val="00AE76AE"/>
    <w:rsid w:val="00B022AF"/>
    <w:rsid w:val="00B24DE7"/>
    <w:rsid w:val="00B26E3D"/>
    <w:rsid w:val="00B32E01"/>
    <w:rsid w:val="00B424DF"/>
    <w:rsid w:val="00B43960"/>
    <w:rsid w:val="00B44716"/>
    <w:rsid w:val="00B457B0"/>
    <w:rsid w:val="00B512B5"/>
    <w:rsid w:val="00B542F5"/>
    <w:rsid w:val="00B56471"/>
    <w:rsid w:val="00B64989"/>
    <w:rsid w:val="00B8194A"/>
    <w:rsid w:val="00B83AC8"/>
    <w:rsid w:val="00B85C25"/>
    <w:rsid w:val="00B96E9C"/>
    <w:rsid w:val="00BC1169"/>
    <w:rsid w:val="00BC1F65"/>
    <w:rsid w:val="00BC3DDB"/>
    <w:rsid w:val="00BC43E0"/>
    <w:rsid w:val="00BC6190"/>
    <w:rsid w:val="00BD4168"/>
    <w:rsid w:val="00BE0397"/>
    <w:rsid w:val="00BE2569"/>
    <w:rsid w:val="00BF3D8A"/>
    <w:rsid w:val="00BF7422"/>
    <w:rsid w:val="00C016CC"/>
    <w:rsid w:val="00C02C96"/>
    <w:rsid w:val="00C1374F"/>
    <w:rsid w:val="00C15FA2"/>
    <w:rsid w:val="00C328BC"/>
    <w:rsid w:val="00C37760"/>
    <w:rsid w:val="00C42C9B"/>
    <w:rsid w:val="00C436F1"/>
    <w:rsid w:val="00C44E55"/>
    <w:rsid w:val="00C5545C"/>
    <w:rsid w:val="00C75302"/>
    <w:rsid w:val="00C809DA"/>
    <w:rsid w:val="00C94608"/>
    <w:rsid w:val="00C96251"/>
    <w:rsid w:val="00C965D8"/>
    <w:rsid w:val="00CA72B1"/>
    <w:rsid w:val="00CB0466"/>
    <w:rsid w:val="00CB52EF"/>
    <w:rsid w:val="00CC0DEC"/>
    <w:rsid w:val="00CC35C1"/>
    <w:rsid w:val="00CD47B7"/>
    <w:rsid w:val="00CE3E18"/>
    <w:rsid w:val="00CE5AA8"/>
    <w:rsid w:val="00D0781A"/>
    <w:rsid w:val="00D1258A"/>
    <w:rsid w:val="00D20ABE"/>
    <w:rsid w:val="00D21245"/>
    <w:rsid w:val="00D21959"/>
    <w:rsid w:val="00D22DAC"/>
    <w:rsid w:val="00D24B57"/>
    <w:rsid w:val="00D30C1B"/>
    <w:rsid w:val="00D461E9"/>
    <w:rsid w:val="00D6673A"/>
    <w:rsid w:val="00D6765A"/>
    <w:rsid w:val="00D67A20"/>
    <w:rsid w:val="00D82369"/>
    <w:rsid w:val="00D9165A"/>
    <w:rsid w:val="00DA1822"/>
    <w:rsid w:val="00DA6127"/>
    <w:rsid w:val="00DB49C3"/>
    <w:rsid w:val="00DC0D58"/>
    <w:rsid w:val="00DC4545"/>
    <w:rsid w:val="00DC5FC2"/>
    <w:rsid w:val="00DD24D3"/>
    <w:rsid w:val="00DE375B"/>
    <w:rsid w:val="00DE740F"/>
    <w:rsid w:val="00DE7EAC"/>
    <w:rsid w:val="00DF7884"/>
    <w:rsid w:val="00E017E5"/>
    <w:rsid w:val="00E11C03"/>
    <w:rsid w:val="00E21869"/>
    <w:rsid w:val="00E21B3E"/>
    <w:rsid w:val="00E2226E"/>
    <w:rsid w:val="00E32EA8"/>
    <w:rsid w:val="00E3489B"/>
    <w:rsid w:val="00E5219B"/>
    <w:rsid w:val="00E62281"/>
    <w:rsid w:val="00E63F92"/>
    <w:rsid w:val="00E67543"/>
    <w:rsid w:val="00E72E4A"/>
    <w:rsid w:val="00E82D94"/>
    <w:rsid w:val="00E853B3"/>
    <w:rsid w:val="00EA0899"/>
    <w:rsid w:val="00EA2954"/>
    <w:rsid w:val="00EB783D"/>
    <w:rsid w:val="00EC32A7"/>
    <w:rsid w:val="00EE2FCE"/>
    <w:rsid w:val="00EF0E60"/>
    <w:rsid w:val="00EF77E4"/>
    <w:rsid w:val="00F2547D"/>
    <w:rsid w:val="00F26B61"/>
    <w:rsid w:val="00F30709"/>
    <w:rsid w:val="00F4398A"/>
    <w:rsid w:val="00F506F5"/>
    <w:rsid w:val="00F51104"/>
    <w:rsid w:val="00F7325F"/>
    <w:rsid w:val="00F86140"/>
    <w:rsid w:val="00F90C42"/>
    <w:rsid w:val="00F9237F"/>
    <w:rsid w:val="00F950B2"/>
    <w:rsid w:val="00F958A4"/>
    <w:rsid w:val="00FA09DC"/>
    <w:rsid w:val="00FA1CBA"/>
    <w:rsid w:val="00FB68EF"/>
    <w:rsid w:val="00FC5D4E"/>
    <w:rsid w:val="00FE0BB9"/>
    <w:rsid w:val="00FF4E63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Didascalia">
    <w:name w:val="caption"/>
    <w:basedOn w:val="Normale"/>
    <w:next w:val="Normale"/>
    <w:uiPriority w:val="35"/>
    <w:unhideWhenUsed/>
    <w:qFormat/>
    <w:rsid w:val="005D47DC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E256C"/>
    <w:pPr>
      <w:widowControl/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3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33C"/>
    <w:rPr>
      <w:rFonts w:ascii="Segoe UI" w:eastAsia="Times New Roman" w:hAnsi="Segoe UI" w:cs="Segoe UI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0B4C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4C6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4C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4C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4C6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e">
    <w:name w:val="Revision"/>
    <w:hidden/>
    <w:uiPriority w:val="99"/>
    <w:semiHidden/>
    <w:rsid w:val="00F958A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0AFD-EBA3-4A5D-8BA6-6E0083E5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Lorenzo Del Vecchio</cp:lastModifiedBy>
  <cp:revision>372</cp:revision>
  <dcterms:created xsi:type="dcterms:W3CDTF">2023-02-24T09:56:00Z</dcterms:created>
  <dcterms:modified xsi:type="dcterms:W3CDTF">2023-06-27T07:18:00Z</dcterms:modified>
</cp:coreProperties>
</file>