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AB3A4" w14:textId="77777777" w:rsidR="00E41C36" w:rsidRPr="00863C09" w:rsidRDefault="00E41C36" w:rsidP="00863C09">
      <w:pPr>
        <w:pStyle w:val="Titolo"/>
        <w:spacing w:before="600" w:after="1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863C0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Microbial interactions during fermentations in winemaking</w:t>
      </w:r>
    </w:p>
    <w:p w14:paraId="6CDB02CF" w14:textId="1EEE4B47" w:rsidR="000137AF" w:rsidRDefault="006D1D51" w:rsidP="006D1D5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Gabriele Serafino (</w:t>
      </w:r>
      <w:r w:rsidRPr="006D1D51">
        <w:rPr>
          <w:rFonts w:ascii="Times New Roman" w:hAnsi="Times New Roman" w:cs="Times New Roman"/>
          <w:sz w:val="20"/>
          <w:szCs w:val="20"/>
        </w:rPr>
        <w:t>gabriele.serafino@unito.it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5D3338D3" w14:textId="17C44276" w:rsidR="006D1D51" w:rsidRDefault="006D1D51" w:rsidP="006D1D51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6D1D51">
        <w:rPr>
          <w:rFonts w:ascii="Times New Roman" w:hAnsi="Times New Roman" w:cs="Times New Roman"/>
          <w:sz w:val="20"/>
          <w:szCs w:val="20"/>
          <w:lang w:val="en-US"/>
        </w:rPr>
        <w:t>Department of Agricultural, Forest and Food Sciences, University of Turin, Largo Paolo Braccini 2, 10095 Grugliasco, Italy</w:t>
      </w:r>
    </w:p>
    <w:p w14:paraId="6D5C2845" w14:textId="771D9E3F" w:rsidR="008C280B" w:rsidRDefault="006D1D51" w:rsidP="00D033A9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Tutor: Prof. Kalliopi Rantsiou</w:t>
      </w:r>
    </w:p>
    <w:p w14:paraId="6667EF86" w14:textId="5CE0195F" w:rsidR="00B36424" w:rsidRPr="00D63C72" w:rsidRDefault="00B36424" w:rsidP="009C02A2">
      <w:pPr>
        <w:spacing w:before="1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740D2C">
        <w:rPr>
          <w:rFonts w:ascii="Times New Roman" w:hAnsi="Times New Roman" w:cs="Times New Roman"/>
          <w:sz w:val="20"/>
          <w:szCs w:val="20"/>
          <w:lang w:val="en-US"/>
        </w:rPr>
        <w:t xml:space="preserve">early </w:t>
      </w:r>
      <w:r>
        <w:rPr>
          <w:rFonts w:ascii="Times New Roman" w:hAnsi="Times New Roman" w:cs="Times New Roman"/>
          <w:sz w:val="20"/>
          <w:szCs w:val="20"/>
          <w:lang w:val="en-US"/>
        </w:rPr>
        <w:t>disappearance of</w:t>
      </w:r>
      <w:r w:rsidR="0099496A" w:rsidRPr="006E72CE">
        <w:rPr>
          <w:rFonts w:ascii="Times New Roman" w:hAnsi="Times New Roman" w:cs="Times New Roman"/>
          <w:sz w:val="20"/>
          <w:szCs w:val="20"/>
          <w:lang w:val="en-US"/>
        </w:rPr>
        <w:t xml:space="preserve"> non-</w:t>
      </w:r>
      <w:r w:rsidR="0099496A" w:rsidRPr="006E72CE">
        <w:rPr>
          <w:rFonts w:ascii="Times New Roman" w:hAnsi="Times New Roman" w:cs="Times New Roman"/>
          <w:i/>
          <w:iCs/>
          <w:sz w:val="20"/>
          <w:szCs w:val="20"/>
          <w:lang w:val="en-US"/>
        </w:rPr>
        <w:t>Saccharomyces</w:t>
      </w:r>
      <w:r w:rsidR="00317B26" w:rsidRPr="006E72CE">
        <w:rPr>
          <w:rFonts w:ascii="Times New Roman" w:hAnsi="Times New Roman" w:cs="Times New Roman"/>
          <w:sz w:val="20"/>
          <w:szCs w:val="20"/>
          <w:lang w:val="en-US"/>
        </w:rPr>
        <w:t xml:space="preserve"> yeasts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in mixed </w:t>
      </w:r>
      <w:r w:rsidR="001F1C9F">
        <w:rPr>
          <w:rFonts w:ascii="Times New Roman" w:hAnsi="Times New Roman" w:cs="Times New Roman"/>
          <w:sz w:val="20"/>
          <w:szCs w:val="20"/>
          <w:lang w:val="en-US"/>
        </w:rPr>
        <w:t xml:space="preserve">alcoholic </w:t>
      </w:r>
      <w:r>
        <w:rPr>
          <w:rFonts w:ascii="Times New Roman" w:hAnsi="Times New Roman" w:cs="Times New Roman"/>
          <w:sz w:val="20"/>
          <w:szCs w:val="20"/>
          <w:lang w:val="en-US"/>
        </w:rPr>
        <w:t>fermentations</w:t>
      </w:r>
      <w:r w:rsidR="001F1C9F">
        <w:rPr>
          <w:rFonts w:ascii="Times New Roman" w:hAnsi="Times New Roman" w:cs="Times New Roman"/>
          <w:sz w:val="20"/>
          <w:szCs w:val="20"/>
          <w:lang w:val="en-US"/>
        </w:rPr>
        <w:t xml:space="preserve"> for wine production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C47E3">
        <w:rPr>
          <w:rFonts w:ascii="Times New Roman" w:hAnsi="Times New Roman" w:cs="Times New Roman"/>
          <w:sz w:val="20"/>
          <w:szCs w:val="20"/>
          <w:lang w:val="en-US"/>
        </w:rPr>
        <w:t xml:space="preserve">has </w:t>
      </w:r>
      <w:r>
        <w:rPr>
          <w:rFonts w:ascii="Times New Roman" w:hAnsi="Times New Roman" w:cs="Times New Roman"/>
          <w:sz w:val="20"/>
          <w:szCs w:val="20"/>
          <w:lang w:val="en-US"/>
        </w:rPr>
        <w:t>not</w:t>
      </w:r>
      <w:r w:rsidR="009C47E3">
        <w:rPr>
          <w:rFonts w:ascii="Times New Roman" w:hAnsi="Times New Roman" w:cs="Times New Roman"/>
          <w:sz w:val="20"/>
          <w:szCs w:val="20"/>
          <w:lang w:val="en-US"/>
        </w:rPr>
        <w:t xml:space="preserve"> yet been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fully explained by classical microbiology. Applying RNA sequencing on </w:t>
      </w:r>
      <w:r w:rsidR="00D63C72">
        <w:rPr>
          <w:rFonts w:ascii="Times New Roman" w:hAnsi="Times New Roman" w:cs="Times New Roman"/>
          <w:sz w:val="20"/>
          <w:szCs w:val="20"/>
          <w:lang w:val="en-US"/>
        </w:rPr>
        <w:t xml:space="preserve">yeasts’ cells obtained by fermentation in real red grape must should </w:t>
      </w:r>
      <w:r w:rsidR="009C47E3">
        <w:rPr>
          <w:rFonts w:ascii="Times New Roman" w:hAnsi="Times New Roman" w:cs="Times New Roman"/>
          <w:sz w:val="20"/>
          <w:szCs w:val="20"/>
          <w:lang w:val="en-US"/>
        </w:rPr>
        <w:t>provide insights</w:t>
      </w:r>
      <w:r w:rsidR="00D63C72">
        <w:rPr>
          <w:rFonts w:ascii="Times New Roman" w:hAnsi="Times New Roman" w:cs="Times New Roman"/>
          <w:sz w:val="20"/>
          <w:szCs w:val="20"/>
          <w:lang w:val="en-US"/>
        </w:rPr>
        <w:t xml:space="preserve"> to the </w:t>
      </w:r>
      <w:r w:rsidR="009C47E3">
        <w:rPr>
          <w:rFonts w:ascii="Times New Roman" w:hAnsi="Times New Roman" w:cs="Times New Roman"/>
          <w:sz w:val="20"/>
          <w:szCs w:val="20"/>
          <w:lang w:val="en-US"/>
        </w:rPr>
        <w:t xml:space="preserve">microbial responses </w:t>
      </w:r>
      <w:r w:rsidR="00D63C72">
        <w:rPr>
          <w:rFonts w:ascii="Times New Roman" w:hAnsi="Times New Roman" w:cs="Times New Roman"/>
          <w:sz w:val="20"/>
          <w:szCs w:val="20"/>
          <w:lang w:val="en-US"/>
        </w:rPr>
        <w:t>occurr</w:t>
      </w:r>
      <w:r w:rsidR="009C47E3">
        <w:rPr>
          <w:rFonts w:ascii="Times New Roman" w:hAnsi="Times New Roman" w:cs="Times New Roman"/>
          <w:sz w:val="20"/>
          <w:szCs w:val="20"/>
          <w:lang w:val="en-US"/>
        </w:rPr>
        <w:t>ing in mixed fermentations</w:t>
      </w:r>
      <w:r w:rsidR="00D63C72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10434C">
        <w:rPr>
          <w:rFonts w:ascii="Times New Roman" w:hAnsi="Times New Roman" w:cs="Times New Roman"/>
          <w:sz w:val="20"/>
          <w:szCs w:val="20"/>
          <w:lang w:val="en-US"/>
        </w:rPr>
        <w:t xml:space="preserve">Fermentations with </w:t>
      </w:r>
      <w:r w:rsidR="00D63C72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Starmerella bacillaris </w:t>
      </w:r>
      <w:r w:rsidR="0010434C">
        <w:rPr>
          <w:rFonts w:ascii="Times New Roman" w:hAnsi="Times New Roman" w:cs="Times New Roman"/>
          <w:sz w:val="20"/>
          <w:szCs w:val="20"/>
          <w:lang w:val="en-US"/>
        </w:rPr>
        <w:t>and</w:t>
      </w:r>
      <w:r w:rsidR="00D63C7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63C72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Saccharomyces cerevisiae </w:t>
      </w:r>
      <w:r w:rsidR="006E19D5" w:rsidRPr="0022558B">
        <w:rPr>
          <w:rFonts w:ascii="Times New Roman" w:hAnsi="Times New Roman" w:cs="Times New Roman"/>
          <w:sz w:val="20"/>
          <w:szCs w:val="20"/>
          <w:lang w:val="en-US"/>
        </w:rPr>
        <w:t xml:space="preserve">were performed </w:t>
      </w:r>
      <w:r w:rsidR="00D63C72" w:rsidRPr="006E19D5">
        <w:rPr>
          <w:rFonts w:ascii="Times New Roman" w:hAnsi="Times New Roman" w:cs="Times New Roman"/>
          <w:sz w:val="20"/>
          <w:szCs w:val="20"/>
          <w:lang w:val="en-US"/>
        </w:rPr>
        <w:t>in</w:t>
      </w:r>
      <w:r w:rsidR="00D63C72">
        <w:rPr>
          <w:rFonts w:ascii="Times New Roman" w:hAnsi="Times New Roman" w:cs="Times New Roman"/>
          <w:sz w:val="20"/>
          <w:szCs w:val="20"/>
          <w:lang w:val="en-US"/>
        </w:rPr>
        <w:t xml:space="preserve"> Nebbiolo must </w:t>
      </w:r>
      <w:r w:rsidR="006E19D5">
        <w:rPr>
          <w:rFonts w:ascii="Times New Roman" w:hAnsi="Times New Roman" w:cs="Times New Roman"/>
          <w:sz w:val="20"/>
          <w:szCs w:val="20"/>
          <w:lang w:val="en-US"/>
        </w:rPr>
        <w:t xml:space="preserve">using </w:t>
      </w:r>
      <w:r w:rsidR="00D63C72">
        <w:rPr>
          <w:rFonts w:ascii="Times New Roman" w:hAnsi="Times New Roman" w:cs="Times New Roman"/>
          <w:sz w:val="20"/>
          <w:szCs w:val="20"/>
          <w:lang w:val="en-US"/>
        </w:rPr>
        <w:t xml:space="preserve">different conditions (pure, mixed, and mixed with physical separation of cells). Microbiological and chemical analyses </w:t>
      </w:r>
      <w:r w:rsidR="00222B11">
        <w:rPr>
          <w:rFonts w:ascii="Times New Roman" w:hAnsi="Times New Roman" w:cs="Times New Roman"/>
          <w:sz w:val="20"/>
          <w:szCs w:val="20"/>
          <w:lang w:val="en-US"/>
        </w:rPr>
        <w:t>data was in line with previous</w:t>
      </w:r>
      <w:r w:rsidR="0022558B">
        <w:rPr>
          <w:rFonts w:ascii="Times New Roman" w:hAnsi="Times New Roman" w:cs="Times New Roman"/>
          <w:sz w:val="20"/>
          <w:szCs w:val="20"/>
          <w:lang w:val="en-US"/>
        </w:rPr>
        <w:t xml:space="preserve"> studies</w:t>
      </w:r>
      <w:r w:rsidR="00D63C72">
        <w:rPr>
          <w:rFonts w:ascii="Times New Roman" w:hAnsi="Times New Roman" w:cs="Times New Roman"/>
          <w:sz w:val="20"/>
          <w:szCs w:val="20"/>
          <w:lang w:val="en-US"/>
        </w:rPr>
        <w:t xml:space="preserve">. Cells </w:t>
      </w:r>
      <w:r w:rsidR="00382E94">
        <w:rPr>
          <w:rFonts w:ascii="Times New Roman" w:hAnsi="Times New Roman" w:cs="Times New Roman"/>
          <w:sz w:val="20"/>
          <w:szCs w:val="20"/>
          <w:lang w:val="en-US"/>
        </w:rPr>
        <w:t xml:space="preserve">were </w:t>
      </w:r>
      <w:r w:rsidR="00D63C72">
        <w:rPr>
          <w:rFonts w:ascii="Times New Roman" w:hAnsi="Times New Roman" w:cs="Times New Roman"/>
          <w:sz w:val="20"/>
          <w:szCs w:val="20"/>
          <w:lang w:val="en-US"/>
        </w:rPr>
        <w:t xml:space="preserve">collected and frozen stored and RNA is going to be extracted with the protocol that has been set up the </w:t>
      </w:r>
      <w:r w:rsidR="0023631B">
        <w:rPr>
          <w:rFonts w:ascii="Times New Roman" w:hAnsi="Times New Roman" w:cs="Times New Roman"/>
          <w:sz w:val="20"/>
          <w:szCs w:val="20"/>
          <w:lang w:val="en-US"/>
        </w:rPr>
        <w:t xml:space="preserve">previous </w:t>
      </w:r>
      <w:r w:rsidR="00D63C72">
        <w:rPr>
          <w:rFonts w:ascii="Times New Roman" w:hAnsi="Times New Roman" w:cs="Times New Roman"/>
          <w:sz w:val="20"/>
          <w:szCs w:val="20"/>
          <w:lang w:val="en-US"/>
        </w:rPr>
        <w:t>year</w:t>
      </w:r>
      <w:r w:rsidR="00606182">
        <w:rPr>
          <w:rFonts w:ascii="Times New Roman" w:hAnsi="Times New Roman" w:cs="Times New Roman"/>
          <w:sz w:val="20"/>
          <w:szCs w:val="20"/>
          <w:lang w:val="en-US"/>
        </w:rPr>
        <w:t xml:space="preserve"> and sequenced</w:t>
      </w:r>
      <w:r w:rsidR="00D63C72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14:paraId="3493297D" w14:textId="42310AA5" w:rsidR="001075EA" w:rsidRDefault="001075EA" w:rsidP="009C02A2">
      <w:pPr>
        <w:spacing w:before="240" w:after="120"/>
        <w:jc w:val="center"/>
        <w:rPr>
          <w:rFonts w:ascii="Times New Roman" w:hAnsi="Times New Roman" w:cs="Times New Roman"/>
          <w:b/>
          <w:bCs/>
        </w:rPr>
      </w:pPr>
      <w:r w:rsidRPr="001075EA">
        <w:rPr>
          <w:rFonts w:ascii="Times New Roman" w:hAnsi="Times New Roman" w:cs="Times New Roman"/>
          <w:b/>
          <w:bCs/>
        </w:rPr>
        <w:t xml:space="preserve">Interazioni microbiche durante la fermentazione in </w:t>
      </w:r>
      <w:r>
        <w:rPr>
          <w:rFonts w:ascii="Times New Roman" w:hAnsi="Times New Roman" w:cs="Times New Roman"/>
          <w:b/>
          <w:bCs/>
        </w:rPr>
        <w:t>vinificazione</w:t>
      </w:r>
    </w:p>
    <w:p w14:paraId="3080678A" w14:textId="0625367F" w:rsidR="003872A7" w:rsidRPr="00CA4C8F" w:rsidRDefault="00D63C72" w:rsidP="009C02A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 rapida scomparsa dei lieviti </w:t>
      </w:r>
      <w:r w:rsidRPr="00D63C72">
        <w:rPr>
          <w:rFonts w:ascii="Times New Roman" w:hAnsi="Times New Roman" w:cs="Times New Roman"/>
          <w:sz w:val="20"/>
          <w:szCs w:val="20"/>
        </w:rPr>
        <w:t>non-</w:t>
      </w:r>
      <w:r w:rsidRPr="00D63C72">
        <w:rPr>
          <w:rFonts w:ascii="Times New Roman" w:hAnsi="Times New Roman" w:cs="Times New Roman"/>
          <w:i/>
          <w:iCs/>
          <w:sz w:val="20"/>
          <w:szCs w:val="20"/>
        </w:rPr>
        <w:t xml:space="preserve">Saccharomyces </w:t>
      </w:r>
      <w:r>
        <w:rPr>
          <w:rFonts w:ascii="Times New Roman" w:hAnsi="Times New Roman" w:cs="Times New Roman"/>
          <w:sz w:val="20"/>
          <w:szCs w:val="20"/>
        </w:rPr>
        <w:t>nell</w:t>
      </w:r>
      <w:r w:rsidR="001F1C9F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fermentazion</w:t>
      </w:r>
      <w:r w:rsidR="00C2567D">
        <w:rPr>
          <w:rFonts w:ascii="Times New Roman" w:hAnsi="Times New Roman" w:cs="Times New Roman"/>
          <w:sz w:val="20"/>
          <w:szCs w:val="20"/>
        </w:rPr>
        <w:t>e</w:t>
      </w:r>
      <w:r w:rsidR="001F1C9F">
        <w:rPr>
          <w:rFonts w:ascii="Times New Roman" w:hAnsi="Times New Roman" w:cs="Times New Roman"/>
          <w:sz w:val="20"/>
          <w:szCs w:val="20"/>
        </w:rPr>
        <w:t xml:space="preserve"> alcolica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F1C9F">
        <w:rPr>
          <w:rFonts w:ascii="Times New Roman" w:hAnsi="Times New Roman" w:cs="Times New Roman"/>
          <w:sz w:val="20"/>
          <w:szCs w:val="20"/>
        </w:rPr>
        <w:t xml:space="preserve">per la produzione del vino </w:t>
      </w:r>
      <w:r>
        <w:rPr>
          <w:rFonts w:ascii="Times New Roman" w:hAnsi="Times New Roman" w:cs="Times New Roman"/>
          <w:sz w:val="20"/>
          <w:szCs w:val="20"/>
        </w:rPr>
        <w:t xml:space="preserve">non è stata completamente spiegata dalla microbiologia classica. L’applicazione di RNA </w:t>
      </w:r>
      <w:r w:rsidRPr="00D63C72">
        <w:rPr>
          <w:rFonts w:ascii="Times New Roman" w:hAnsi="Times New Roman" w:cs="Times New Roman"/>
          <w:sz w:val="20"/>
          <w:szCs w:val="20"/>
        </w:rPr>
        <w:t xml:space="preserve">sequencing sulle cellule di lievito ottenute da </w:t>
      </w:r>
      <w:r>
        <w:rPr>
          <w:rFonts w:ascii="Times New Roman" w:hAnsi="Times New Roman" w:cs="Times New Roman"/>
          <w:sz w:val="20"/>
          <w:szCs w:val="20"/>
        </w:rPr>
        <w:t xml:space="preserve">fermentazioni in mosto d’uva rossa </w:t>
      </w:r>
      <w:r w:rsidR="0010434C">
        <w:rPr>
          <w:rFonts w:ascii="Times New Roman" w:hAnsi="Times New Roman" w:cs="Times New Roman"/>
          <w:sz w:val="20"/>
          <w:szCs w:val="20"/>
        </w:rPr>
        <w:t xml:space="preserve">naturale </w:t>
      </w:r>
      <w:r>
        <w:rPr>
          <w:rFonts w:ascii="Times New Roman" w:hAnsi="Times New Roman" w:cs="Times New Roman"/>
          <w:sz w:val="20"/>
          <w:szCs w:val="20"/>
        </w:rPr>
        <w:t xml:space="preserve">potrebbe fornire alcune risposte alle modifiche </w:t>
      </w:r>
      <w:r w:rsidR="00A920E2">
        <w:rPr>
          <w:rFonts w:ascii="Times New Roman" w:hAnsi="Times New Roman" w:cs="Times New Roman"/>
          <w:sz w:val="20"/>
          <w:szCs w:val="20"/>
        </w:rPr>
        <w:t>di espressione genica che avvengono durante la fermentazione</w:t>
      </w:r>
      <w:r>
        <w:rPr>
          <w:rFonts w:ascii="Times New Roman" w:hAnsi="Times New Roman" w:cs="Times New Roman"/>
          <w:sz w:val="20"/>
          <w:szCs w:val="20"/>
        </w:rPr>
        <w:t>.</w:t>
      </w:r>
      <w:r w:rsidR="006E19D5">
        <w:rPr>
          <w:rFonts w:ascii="Times New Roman" w:hAnsi="Times New Roman" w:cs="Times New Roman"/>
          <w:sz w:val="20"/>
          <w:szCs w:val="20"/>
        </w:rPr>
        <w:t xml:space="preserve"> Fermentazioni con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63C72">
        <w:rPr>
          <w:rFonts w:ascii="Times New Roman" w:hAnsi="Times New Roman" w:cs="Times New Roman"/>
          <w:i/>
          <w:iCs/>
          <w:sz w:val="20"/>
          <w:szCs w:val="20"/>
        </w:rPr>
        <w:t xml:space="preserve">Starmerella bacillaris </w:t>
      </w:r>
      <w:r w:rsidR="006E19D5">
        <w:rPr>
          <w:rFonts w:ascii="Times New Roman" w:hAnsi="Times New Roman" w:cs="Times New Roman"/>
          <w:sz w:val="20"/>
          <w:szCs w:val="20"/>
        </w:rPr>
        <w:t>e</w:t>
      </w:r>
      <w:r w:rsidRPr="00D63C72">
        <w:rPr>
          <w:rFonts w:ascii="Times New Roman" w:hAnsi="Times New Roman" w:cs="Times New Roman"/>
          <w:sz w:val="20"/>
          <w:szCs w:val="20"/>
        </w:rPr>
        <w:t xml:space="preserve"> </w:t>
      </w:r>
      <w:r w:rsidRPr="00D63C72">
        <w:rPr>
          <w:rFonts w:ascii="Times New Roman" w:hAnsi="Times New Roman" w:cs="Times New Roman"/>
          <w:i/>
          <w:iCs/>
          <w:sz w:val="20"/>
          <w:szCs w:val="20"/>
        </w:rPr>
        <w:t xml:space="preserve">Saccharomyces cerevisiae </w:t>
      </w:r>
      <w:r w:rsidR="006E19D5">
        <w:rPr>
          <w:rFonts w:ascii="Times New Roman" w:hAnsi="Times New Roman" w:cs="Times New Roman"/>
          <w:sz w:val="20"/>
          <w:szCs w:val="20"/>
        </w:rPr>
        <w:t xml:space="preserve">sono state svolte in </w:t>
      </w:r>
      <w:r w:rsidRPr="00D63C72">
        <w:rPr>
          <w:rFonts w:ascii="Times New Roman" w:hAnsi="Times New Roman" w:cs="Times New Roman"/>
          <w:sz w:val="20"/>
          <w:szCs w:val="20"/>
        </w:rPr>
        <w:t>mosto Nebbiolo</w:t>
      </w:r>
      <w:r w:rsidR="006E19D5">
        <w:rPr>
          <w:rFonts w:ascii="Times New Roman" w:hAnsi="Times New Roman" w:cs="Times New Roman"/>
          <w:sz w:val="20"/>
          <w:szCs w:val="20"/>
        </w:rPr>
        <w:t xml:space="preserve"> usando</w:t>
      </w:r>
      <w:r>
        <w:rPr>
          <w:rFonts w:ascii="Times New Roman" w:hAnsi="Times New Roman" w:cs="Times New Roman"/>
          <w:sz w:val="20"/>
          <w:szCs w:val="20"/>
        </w:rPr>
        <w:t xml:space="preserve"> diverse condizioni (in purezza, mista e mista </w:t>
      </w:r>
      <w:r w:rsidR="000941A3">
        <w:rPr>
          <w:rFonts w:ascii="Times New Roman" w:hAnsi="Times New Roman" w:cs="Times New Roman"/>
          <w:sz w:val="20"/>
          <w:szCs w:val="20"/>
        </w:rPr>
        <w:t xml:space="preserve">con separazione </w:t>
      </w:r>
      <w:r w:rsidR="00125B25">
        <w:rPr>
          <w:rFonts w:ascii="Times New Roman" w:hAnsi="Times New Roman" w:cs="Times New Roman"/>
          <w:sz w:val="20"/>
          <w:szCs w:val="20"/>
        </w:rPr>
        <w:t xml:space="preserve">fisica </w:t>
      </w:r>
      <w:r w:rsidR="000941A3">
        <w:rPr>
          <w:rFonts w:ascii="Times New Roman" w:hAnsi="Times New Roman" w:cs="Times New Roman"/>
          <w:sz w:val="20"/>
          <w:szCs w:val="20"/>
        </w:rPr>
        <w:t xml:space="preserve">delle cellule). </w:t>
      </w:r>
      <w:r w:rsidR="00A920E2">
        <w:rPr>
          <w:rFonts w:ascii="Times New Roman" w:hAnsi="Times New Roman" w:cs="Times New Roman"/>
          <w:sz w:val="20"/>
          <w:szCs w:val="20"/>
        </w:rPr>
        <w:t>I risultati delle a</w:t>
      </w:r>
      <w:r w:rsidR="000941A3">
        <w:rPr>
          <w:rFonts w:ascii="Times New Roman" w:hAnsi="Times New Roman" w:cs="Times New Roman"/>
          <w:sz w:val="20"/>
          <w:szCs w:val="20"/>
        </w:rPr>
        <w:t xml:space="preserve">nalisi chimiche e microbiologiche </w:t>
      </w:r>
      <w:r w:rsidR="006E19D5">
        <w:rPr>
          <w:rFonts w:ascii="Times New Roman" w:hAnsi="Times New Roman" w:cs="Times New Roman"/>
          <w:sz w:val="20"/>
          <w:szCs w:val="20"/>
        </w:rPr>
        <w:t>sono in linea con lavori precedenti</w:t>
      </w:r>
      <w:r w:rsidR="000941A3">
        <w:rPr>
          <w:rFonts w:ascii="Times New Roman" w:hAnsi="Times New Roman" w:cs="Times New Roman"/>
          <w:sz w:val="20"/>
          <w:szCs w:val="20"/>
        </w:rPr>
        <w:t>. Le cellule sono state raccolte</w:t>
      </w:r>
      <w:r w:rsidR="009654AB">
        <w:rPr>
          <w:rFonts w:ascii="Times New Roman" w:hAnsi="Times New Roman" w:cs="Times New Roman"/>
          <w:sz w:val="20"/>
          <w:szCs w:val="20"/>
        </w:rPr>
        <w:t>,</w:t>
      </w:r>
      <w:r w:rsidR="000941A3">
        <w:rPr>
          <w:rFonts w:ascii="Times New Roman" w:hAnsi="Times New Roman" w:cs="Times New Roman"/>
          <w:sz w:val="20"/>
          <w:szCs w:val="20"/>
        </w:rPr>
        <w:t xml:space="preserve"> stoccate surgelate e </w:t>
      </w:r>
      <w:r w:rsidR="00931FD4">
        <w:rPr>
          <w:rFonts w:ascii="Times New Roman" w:hAnsi="Times New Roman" w:cs="Times New Roman"/>
          <w:sz w:val="20"/>
          <w:szCs w:val="20"/>
        </w:rPr>
        <w:t>l’</w:t>
      </w:r>
      <w:r w:rsidR="000941A3">
        <w:rPr>
          <w:rFonts w:ascii="Times New Roman" w:hAnsi="Times New Roman" w:cs="Times New Roman"/>
          <w:sz w:val="20"/>
          <w:szCs w:val="20"/>
        </w:rPr>
        <w:t>RNA verrà estratto con il protocollo messo a punto l’anno scorso</w:t>
      </w:r>
      <w:r w:rsidR="00A920E2">
        <w:rPr>
          <w:rFonts w:ascii="Times New Roman" w:hAnsi="Times New Roman" w:cs="Times New Roman"/>
          <w:sz w:val="20"/>
          <w:szCs w:val="20"/>
        </w:rPr>
        <w:t xml:space="preserve"> per il successivo sequenziamento</w:t>
      </w:r>
      <w:r w:rsidR="000941A3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7D1E452" w14:textId="190DDE76" w:rsidR="00E17B53" w:rsidRDefault="006F539C" w:rsidP="006F539C">
      <w:pPr>
        <w:pStyle w:val="Titolo11"/>
        <w:numPr>
          <w:ilvl w:val="0"/>
          <w:numId w:val="0"/>
        </w:numPr>
      </w:pPr>
      <w:r>
        <w:t>1.</w:t>
      </w:r>
      <w:r w:rsidR="00F07335">
        <w:t xml:space="preserve"> </w:t>
      </w:r>
      <w:r w:rsidR="00686EE4">
        <w:t xml:space="preserve">Introduction </w:t>
      </w:r>
    </w:p>
    <w:p w14:paraId="66B91DEA" w14:textId="2F4ED442" w:rsidR="00AE35CD" w:rsidRDefault="009654AB" w:rsidP="00686EE4">
      <w:pPr>
        <w:spacing w:before="120"/>
        <w:jc w:val="both"/>
        <w:rPr>
          <w:rFonts w:ascii="Times New Roman" w:hAnsi="Times New Roman" w:cs="Times New Roman"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iCs/>
          <w:sz w:val="20"/>
          <w:szCs w:val="20"/>
          <w:lang w:val="en-US"/>
        </w:rPr>
        <w:t>Ma</w:t>
      </w:r>
      <w:r w:rsidR="00686EE4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ny 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 xml:space="preserve">studies demonstrated </w:t>
      </w:r>
      <w:r w:rsidR="00686EE4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that the evolution of the must </w:t>
      </w:r>
      <w:r w:rsidR="003656BF">
        <w:rPr>
          <w:rFonts w:ascii="Times New Roman" w:hAnsi="Times New Roman" w:cs="Times New Roman"/>
          <w:iCs/>
          <w:sz w:val="20"/>
          <w:szCs w:val="20"/>
          <w:lang w:val="en-US"/>
        </w:rPr>
        <w:t>from</w:t>
      </w:r>
      <w:r w:rsidR="00036D94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microbiological and chemical point of view </w:t>
      </w:r>
      <w:r w:rsidR="00686EE4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during the fermentation is one of the </w:t>
      </w:r>
      <w:r w:rsidR="00B36424">
        <w:rPr>
          <w:rFonts w:ascii="Times New Roman" w:hAnsi="Times New Roman" w:cs="Times New Roman"/>
          <w:iCs/>
          <w:sz w:val="20"/>
          <w:szCs w:val="20"/>
          <w:lang w:val="en-US"/>
        </w:rPr>
        <w:t>causes</w:t>
      </w:r>
      <w:r w:rsidR="00686EE4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that lead to the </w:t>
      </w:r>
      <w:r w:rsidR="00036D94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early </w:t>
      </w:r>
      <w:r w:rsidR="00686EE4">
        <w:rPr>
          <w:rFonts w:ascii="Times New Roman" w:hAnsi="Times New Roman" w:cs="Times New Roman"/>
          <w:iCs/>
          <w:sz w:val="20"/>
          <w:szCs w:val="20"/>
          <w:lang w:val="en-US"/>
        </w:rPr>
        <w:t>disappearance of non-</w:t>
      </w:r>
      <w:r w:rsidR="00686EE4">
        <w:rPr>
          <w:rFonts w:ascii="Times New Roman" w:hAnsi="Times New Roman" w:cs="Times New Roman"/>
          <w:i/>
          <w:sz w:val="20"/>
          <w:szCs w:val="20"/>
          <w:lang w:val="en-US"/>
        </w:rPr>
        <w:t>Saccharomyces</w:t>
      </w:r>
      <w:r w:rsidR="00686EE4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yeast. It was </w:t>
      </w:r>
      <w:r w:rsidR="00C21102">
        <w:rPr>
          <w:rFonts w:ascii="Times New Roman" w:hAnsi="Times New Roman" w:cs="Times New Roman"/>
          <w:iCs/>
          <w:sz w:val="20"/>
          <w:szCs w:val="20"/>
          <w:lang w:val="en-US"/>
        </w:rPr>
        <w:t>demonstrated</w:t>
      </w:r>
      <w:r w:rsidR="00686EE4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that the concentration of ethanol or other toxic compounds, as the depletion of nutrients are not the </w:t>
      </w:r>
      <w:r w:rsidR="00BC5582">
        <w:rPr>
          <w:rFonts w:ascii="Times New Roman" w:hAnsi="Times New Roman" w:cs="Times New Roman"/>
          <w:iCs/>
          <w:sz w:val="20"/>
          <w:szCs w:val="20"/>
          <w:lang w:val="en-US"/>
        </w:rPr>
        <w:t>unique</w:t>
      </w:r>
      <w:r w:rsidR="00686EE4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cause of this behavior (Niessen et al., 2003). Englezos et al.</w:t>
      </w:r>
      <w:r w:rsidR="00BC5582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(2019)</w:t>
      </w:r>
      <w:r w:rsidR="00686EE4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studied the consequences </w:t>
      </w:r>
      <w:r w:rsidR="00C21102">
        <w:rPr>
          <w:rFonts w:ascii="Times New Roman" w:hAnsi="Times New Roman" w:cs="Times New Roman"/>
          <w:iCs/>
          <w:sz w:val="20"/>
          <w:szCs w:val="20"/>
          <w:lang w:val="en-US"/>
        </w:rPr>
        <w:t>of</w:t>
      </w:r>
      <w:r w:rsidR="00686EE4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the physical contact of </w:t>
      </w:r>
      <w:r w:rsidR="00686EE4">
        <w:rPr>
          <w:rFonts w:ascii="Times New Roman" w:hAnsi="Times New Roman" w:cs="Times New Roman"/>
          <w:i/>
          <w:sz w:val="20"/>
          <w:szCs w:val="20"/>
          <w:lang w:val="en-US"/>
        </w:rPr>
        <w:t xml:space="preserve">Saccharomyces cerevisiae </w:t>
      </w:r>
      <w:r w:rsidR="00686EE4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and </w:t>
      </w:r>
      <w:r w:rsidR="00686EE4">
        <w:rPr>
          <w:rFonts w:ascii="Times New Roman" w:hAnsi="Times New Roman" w:cs="Times New Roman"/>
          <w:i/>
          <w:sz w:val="20"/>
          <w:szCs w:val="20"/>
          <w:lang w:val="en-US"/>
        </w:rPr>
        <w:t xml:space="preserve">Starmerella bacillaris </w:t>
      </w:r>
      <w:r w:rsidR="00686EE4">
        <w:rPr>
          <w:rFonts w:ascii="Times New Roman" w:hAnsi="Times New Roman" w:cs="Times New Roman"/>
          <w:iCs/>
          <w:sz w:val="20"/>
          <w:szCs w:val="20"/>
          <w:lang w:val="en-US"/>
        </w:rPr>
        <w:t>cells in growth dynamics</w:t>
      </w:r>
      <w:r w:rsidR="00686EE4" w:rsidRPr="00686EE4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="00686EE4">
        <w:rPr>
          <w:rFonts w:ascii="Times New Roman" w:hAnsi="Times New Roman" w:cs="Times New Roman"/>
          <w:iCs/>
          <w:sz w:val="20"/>
          <w:szCs w:val="20"/>
          <w:lang w:val="en-US"/>
        </w:rPr>
        <w:t>modulation. In case of cells’ separation, the non-</w:t>
      </w:r>
      <w:r w:rsidR="00686EE4">
        <w:rPr>
          <w:rFonts w:ascii="Times New Roman" w:hAnsi="Times New Roman" w:cs="Times New Roman"/>
          <w:i/>
          <w:sz w:val="20"/>
          <w:szCs w:val="20"/>
          <w:lang w:val="en-US"/>
        </w:rPr>
        <w:t xml:space="preserve">Saccharomyces </w:t>
      </w:r>
      <w:r w:rsidR="00686EE4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yeast was able to stay alive longer than in case of contact. </w:t>
      </w:r>
      <w:r w:rsidR="00BC5582">
        <w:rPr>
          <w:rFonts w:ascii="Times New Roman" w:hAnsi="Times New Roman" w:cs="Times New Roman"/>
          <w:iCs/>
          <w:sz w:val="20"/>
          <w:szCs w:val="20"/>
          <w:lang w:val="en-US"/>
        </w:rPr>
        <w:t>But, due to the inability of the classical microbiological tools to investigate</w:t>
      </w:r>
      <w:r w:rsidR="00C6561E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th</w:t>
      </w:r>
      <w:r w:rsidR="00B36424">
        <w:rPr>
          <w:rFonts w:ascii="Times New Roman" w:hAnsi="Times New Roman" w:cs="Times New Roman"/>
          <w:iCs/>
          <w:sz w:val="20"/>
          <w:szCs w:val="20"/>
          <w:lang w:val="en-US"/>
        </w:rPr>
        <w:t>e</w:t>
      </w:r>
      <w:r w:rsidR="00C21102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origin of these</w:t>
      </w:r>
      <w:r w:rsidR="00C6561E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findings, </w:t>
      </w:r>
      <w:r w:rsidR="007B4EB0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a </w:t>
      </w:r>
      <w:r w:rsidR="006D40F8">
        <w:rPr>
          <w:rFonts w:ascii="Times New Roman" w:hAnsi="Times New Roman" w:cs="Times New Roman"/>
          <w:iCs/>
          <w:sz w:val="20"/>
          <w:szCs w:val="20"/>
          <w:lang w:val="en-US"/>
        </w:rPr>
        <w:t>transcript</w:t>
      </w:r>
      <w:r w:rsidR="007B4EB0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omics approach to study the changes correlated to the physical contact of cells </w:t>
      </w:r>
      <w:r w:rsidR="00686EE4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was proposed. </w:t>
      </w:r>
      <w:r w:rsidR="006D40F8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RNA sequencing provides insights into </w:t>
      </w:r>
      <w:r w:rsidR="00686EE4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the expression of genes, </w:t>
      </w:r>
      <w:r w:rsidR="006D40F8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indicating </w:t>
      </w:r>
      <w:r w:rsidR="00686EE4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which metabolic pathways are over- or under expressed. </w:t>
      </w:r>
      <w:r w:rsidR="00B0442E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To </w:t>
      </w:r>
      <w:r w:rsidR="00AE35CD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the best of our knowledge, there is a lack of information regarding the study of </w:t>
      </w:r>
      <w:r w:rsidR="00A4788B">
        <w:rPr>
          <w:rFonts w:ascii="Times New Roman" w:hAnsi="Times New Roman" w:cs="Times New Roman"/>
          <w:iCs/>
          <w:sz w:val="20"/>
          <w:szCs w:val="20"/>
          <w:lang w:val="en-US"/>
        </w:rPr>
        <w:t>yeast-</w:t>
      </w:r>
      <w:r w:rsidR="00AE35CD">
        <w:rPr>
          <w:rFonts w:ascii="Times New Roman" w:hAnsi="Times New Roman" w:cs="Times New Roman"/>
          <w:iCs/>
          <w:sz w:val="20"/>
          <w:szCs w:val="20"/>
          <w:lang w:val="en-US"/>
        </w:rPr>
        <w:t>yeast</w:t>
      </w:r>
      <w:r w:rsidR="00A4788B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interactions</w:t>
      </w:r>
      <w:r w:rsidR="00AE35CD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involved in mixed fermentation in a real red grape must. </w:t>
      </w:r>
    </w:p>
    <w:p w14:paraId="05F1F454" w14:textId="04225681" w:rsidR="001A4245" w:rsidRDefault="006F539C" w:rsidP="006F539C">
      <w:pPr>
        <w:pStyle w:val="Titolo11"/>
        <w:numPr>
          <w:ilvl w:val="0"/>
          <w:numId w:val="0"/>
        </w:numPr>
      </w:pPr>
      <w:r>
        <w:t>2.</w:t>
      </w:r>
      <w:r w:rsidR="00F07335">
        <w:t xml:space="preserve"> </w:t>
      </w:r>
      <w:r w:rsidR="001A4245">
        <w:t xml:space="preserve">Materials and Methods </w:t>
      </w:r>
    </w:p>
    <w:p w14:paraId="06A5AABD" w14:textId="05F47862" w:rsidR="004E5054" w:rsidRDefault="001A4245" w:rsidP="00AE35CD">
      <w:pPr>
        <w:spacing w:before="120"/>
        <w:jc w:val="both"/>
        <w:rPr>
          <w:rFonts w:ascii="Times New Roman" w:hAnsi="Times New Roman" w:cs="Times New Roman"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iCs/>
          <w:sz w:val="20"/>
          <w:szCs w:val="20"/>
          <w:lang w:val="en-US"/>
        </w:rPr>
        <w:t xml:space="preserve">To simulate the real </w:t>
      </w:r>
      <w:r w:rsidR="00B0442E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red wine 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>fermentation conditions, a</w:t>
      </w:r>
      <w:r w:rsidR="00A4788B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natural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must of Nebbiolo grapes</w:t>
      </w:r>
      <w:r w:rsidR="00B0442E" w:rsidRPr="00B0442E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="00B0442E">
        <w:rPr>
          <w:rFonts w:ascii="Times New Roman" w:hAnsi="Times New Roman" w:cs="Times New Roman"/>
          <w:iCs/>
          <w:sz w:val="20"/>
          <w:szCs w:val="20"/>
          <w:lang w:val="en-US"/>
        </w:rPr>
        <w:t>was used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 xml:space="preserve">. Must </w:t>
      </w:r>
      <w:r w:rsidR="00A0671B">
        <w:rPr>
          <w:rFonts w:ascii="Times New Roman" w:hAnsi="Times New Roman" w:cs="Times New Roman"/>
          <w:iCs/>
          <w:sz w:val="20"/>
          <w:szCs w:val="20"/>
          <w:lang w:val="en-US"/>
        </w:rPr>
        <w:t>was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pasteurized at 70°C </w:t>
      </w:r>
      <w:r w:rsidR="00B0442E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for 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>2 hours to ensure the absence of viable microorganisms (</w:t>
      </w:r>
      <w:r w:rsidR="00B0442E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confirmed by 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 xml:space="preserve">spreading on WLN medium). </w:t>
      </w:r>
      <w:r w:rsidR="00A4788B">
        <w:rPr>
          <w:rFonts w:ascii="Times New Roman" w:hAnsi="Times New Roman" w:cs="Times New Roman"/>
          <w:iCs/>
          <w:sz w:val="20"/>
          <w:szCs w:val="20"/>
          <w:lang w:val="en-US"/>
        </w:rPr>
        <w:t>T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 xml:space="preserve">hree 500 mL flasks with 200 mL </w:t>
      </w:r>
      <w:r w:rsidR="00A4788B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of must 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>and the two compartments of the bioreactor (200 mL each one) separated by a filtering membrane (0.45 μm)</w:t>
      </w:r>
      <w:r w:rsidR="00A4788B">
        <w:rPr>
          <w:rFonts w:ascii="Times New Roman" w:hAnsi="Times New Roman" w:cs="Times New Roman"/>
          <w:iCs/>
          <w:sz w:val="20"/>
          <w:szCs w:val="20"/>
          <w:lang w:val="en-US"/>
        </w:rPr>
        <w:t>, were used in this study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>.</w:t>
      </w:r>
      <w:r w:rsidR="00A4788B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All trials were performed in triplicate.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="00B7305A">
        <w:rPr>
          <w:rFonts w:ascii="Times New Roman" w:hAnsi="Times New Roman" w:cs="Times New Roman"/>
          <w:iCs/>
          <w:sz w:val="20"/>
          <w:szCs w:val="20"/>
          <w:lang w:val="en-US"/>
        </w:rPr>
        <w:t>The yeasts used</w:t>
      </w:r>
      <w:r w:rsidR="00A0671B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were</w:t>
      </w:r>
      <w:r w:rsidR="00B7305A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a commercial </w:t>
      </w:r>
      <w:r w:rsidR="00B7305A">
        <w:rPr>
          <w:rFonts w:ascii="Times New Roman" w:hAnsi="Times New Roman" w:cs="Times New Roman"/>
          <w:i/>
          <w:sz w:val="20"/>
          <w:szCs w:val="20"/>
          <w:lang w:val="en-US"/>
        </w:rPr>
        <w:t>S</w:t>
      </w:r>
      <w:r w:rsidR="00C6561E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  <w:r w:rsidR="00B7305A">
        <w:rPr>
          <w:rFonts w:ascii="Times New Roman" w:hAnsi="Times New Roman" w:cs="Times New Roman"/>
          <w:i/>
          <w:sz w:val="20"/>
          <w:szCs w:val="20"/>
          <w:lang w:val="en-US"/>
        </w:rPr>
        <w:t xml:space="preserve"> cerevisiae</w:t>
      </w:r>
      <w:r w:rsidR="00B7305A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(U</w:t>
      </w:r>
      <w:r w:rsidR="005D1EA2">
        <w:rPr>
          <w:rFonts w:ascii="Times New Roman" w:hAnsi="Times New Roman" w:cs="Times New Roman"/>
          <w:iCs/>
          <w:sz w:val="20"/>
          <w:szCs w:val="20"/>
          <w:lang w:val="en-US"/>
        </w:rPr>
        <w:t>vaferm</w:t>
      </w:r>
      <w:r w:rsidR="00B7305A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BC, Lallemand, Verona) and two different strains of </w:t>
      </w:r>
      <w:r w:rsidR="00B7305A">
        <w:rPr>
          <w:rFonts w:ascii="Times New Roman" w:hAnsi="Times New Roman" w:cs="Times New Roman"/>
          <w:i/>
          <w:sz w:val="20"/>
          <w:szCs w:val="20"/>
          <w:lang w:val="en-US"/>
        </w:rPr>
        <w:t>Starm. bacillaris</w:t>
      </w:r>
      <w:r w:rsidR="00B7305A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(FC54 and MUT5705); their inoculation concentration </w:t>
      </w:r>
      <w:r w:rsidR="00A0671B">
        <w:rPr>
          <w:rFonts w:ascii="Times New Roman" w:hAnsi="Times New Roman" w:cs="Times New Roman"/>
          <w:iCs/>
          <w:sz w:val="20"/>
          <w:szCs w:val="20"/>
          <w:lang w:val="en-US"/>
        </w:rPr>
        <w:t>was</w:t>
      </w:r>
      <w:r w:rsidR="00B7305A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6.0 Log/mL. </w:t>
      </w:r>
      <w:r w:rsidR="00C6561E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The mixed fermentations </w:t>
      </w:r>
      <w:r w:rsidR="00A0671B">
        <w:rPr>
          <w:rFonts w:ascii="Times New Roman" w:hAnsi="Times New Roman" w:cs="Times New Roman"/>
          <w:iCs/>
          <w:sz w:val="20"/>
          <w:szCs w:val="20"/>
          <w:lang w:val="en-US"/>
        </w:rPr>
        <w:t>were</w:t>
      </w:r>
      <w:r w:rsidR="00C6561E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performed </w:t>
      </w:r>
      <w:r w:rsidR="000941A3">
        <w:rPr>
          <w:rFonts w:ascii="Times New Roman" w:hAnsi="Times New Roman" w:cs="Times New Roman"/>
          <w:iCs/>
          <w:sz w:val="20"/>
          <w:szCs w:val="20"/>
          <w:lang w:val="en-US"/>
        </w:rPr>
        <w:t>applying</w:t>
      </w:r>
      <w:r w:rsidR="00C6561E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a sequential inoculum of the </w:t>
      </w:r>
      <w:r w:rsidR="00C6561E">
        <w:rPr>
          <w:rFonts w:ascii="Times New Roman" w:hAnsi="Times New Roman" w:cs="Times New Roman"/>
          <w:i/>
          <w:sz w:val="20"/>
          <w:szCs w:val="20"/>
          <w:lang w:val="en-US"/>
        </w:rPr>
        <w:t xml:space="preserve">S. </w:t>
      </w:r>
      <w:r w:rsidR="00C6561E" w:rsidRPr="00C6561E">
        <w:rPr>
          <w:rFonts w:ascii="Times New Roman" w:hAnsi="Times New Roman" w:cs="Times New Roman"/>
          <w:i/>
          <w:sz w:val="20"/>
          <w:szCs w:val="20"/>
          <w:lang w:val="en-US"/>
        </w:rPr>
        <w:t>cerevisiae</w:t>
      </w:r>
      <w:r w:rsidR="00C6561E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="00A0671B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after </w:t>
      </w:r>
      <w:r w:rsidR="00C6561E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48 hours. </w:t>
      </w:r>
      <w:r w:rsidR="0029335B">
        <w:rPr>
          <w:rFonts w:ascii="Times New Roman" w:hAnsi="Times New Roman" w:cs="Times New Roman"/>
          <w:iCs/>
          <w:sz w:val="20"/>
          <w:szCs w:val="20"/>
          <w:lang w:val="en-US"/>
        </w:rPr>
        <w:t>Pure fermentations with each yeast were carried out as control</w:t>
      </w:r>
      <w:r w:rsidR="00361C5F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together with</w:t>
      </w:r>
      <w:r w:rsidR="00B7305A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="0029335B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two </w:t>
      </w:r>
      <w:r w:rsidR="00B7305A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mixed with </w:t>
      </w:r>
      <w:r w:rsidR="0029335B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and without </w:t>
      </w:r>
      <w:r w:rsidR="00B7305A">
        <w:rPr>
          <w:rFonts w:ascii="Times New Roman" w:hAnsi="Times New Roman" w:cs="Times New Roman"/>
          <w:iCs/>
          <w:sz w:val="20"/>
          <w:szCs w:val="20"/>
          <w:lang w:val="en-US"/>
        </w:rPr>
        <w:t>physical contact</w:t>
      </w:r>
      <w:r w:rsidR="0029335B">
        <w:rPr>
          <w:rFonts w:ascii="Times New Roman" w:hAnsi="Times New Roman" w:cs="Times New Roman"/>
          <w:iCs/>
          <w:sz w:val="20"/>
          <w:szCs w:val="20"/>
          <w:lang w:val="en-US"/>
        </w:rPr>
        <w:t>. F</w:t>
      </w:r>
      <w:r w:rsidR="00C6561E">
        <w:rPr>
          <w:rFonts w:ascii="Times New Roman" w:hAnsi="Times New Roman" w:cs="Times New Roman"/>
          <w:iCs/>
          <w:sz w:val="20"/>
          <w:szCs w:val="20"/>
          <w:lang w:val="en-US"/>
        </w:rPr>
        <w:t>ermentation</w:t>
      </w:r>
      <w:r w:rsidR="00A0671B">
        <w:rPr>
          <w:rFonts w:ascii="Times New Roman" w:hAnsi="Times New Roman" w:cs="Times New Roman"/>
          <w:iCs/>
          <w:sz w:val="20"/>
          <w:szCs w:val="20"/>
          <w:lang w:val="en-US"/>
        </w:rPr>
        <w:t>s were</w:t>
      </w:r>
      <w:r w:rsidR="00B7305A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conducted at 25°C </w:t>
      </w:r>
      <w:r w:rsidR="00361C5F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for </w:t>
      </w:r>
      <w:r w:rsidR="00B7305A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14 days. Samples for RNA extraction </w:t>
      </w:r>
      <w:r w:rsidR="00A0671B">
        <w:rPr>
          <w:rFonts w:ascii="Times New Roman" w:hAnsi="Times New Roman" w:cs="Times New Roman"/>
          <w:iCs/>
          <w:sz w:val="20"/>
          <w:szCs w:val="20"/>
          <w:lang w:val="en-US"/>
        </w:rPr>
        <w:t>were</w:t>
      </w:r>
      <w:r w:rsidR="00B7305A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collected at day 2 for pure </w:t>
      </w:r>
      <w:r w:rsidR="00B7305A">
        <w:rPr>
          <w:rFonts w:ascii="Times New Roman" w:hAnsi="Times New Roman" w:cs="Times New Roman"/>
          <w:i/>
          <w:sz w:val="20"/>
          <w:szCs w:val="20"/>
          <w:lang w:val="en-US"/>
        </w:rPr>
        <w:t>S. cerevisiae</w:t>
      </w:r>
      <w:r w:rsidR="00B7305A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, at day 4 for pure </w:t>
      </w:r>
      <w:r w:rsidR="00B7305A">
        <w:rPr>
          <w:rFonts w:ascii="Times New Roman" w:hAnsi="Times New Roman" w:cs="Times New Roman"/>
          <w:i/>
          <w:sz w:val="20"/>
          <w:szCs w:val="20"/>
          <w:lang w:val="en-US"/>
        </w:rPr>
        <w:t>Starm. bacillaris</w:t>
      </w:r>
      <w:r w:rsidR="00B7305A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, at day </w:t>
      </w:r>
      <w:r w:rsidR="00C0156B">
        <w:rPr>
          <w:rFonts w:ascii="Times New Roman" w:hAnsi="Times New Roman" w:cs="Times New Roman"/>
          <w:iCs/>
          <w:sz w:val="20"/>
          <w:szCs w:val="20"/>
          <w:lang w:val="en-US"/>
        </w:rPr>
        <w:t>2</w:t>
      </w:r>
      <w:r w:rsidR="00B7305A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plus 4 hours for the mixed fermentations, and at day 7 for all</w:t>
      </w:r>
      <w:r w:rsidR="00C6561E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; the delay for the pure fermentations has the goal to </w:t>
      </w:r>
      <w:r w:rsidR="001A5D22">
        <w:rPr>
          <w:rFonts w:ascii="Times New Roman" w:hAnsi="Times New Roman" w:cs="Times New Roman"/>
          <w:iCs/>
          <w:sz w:val="20"/>
          <w:szCs w:val="20"/>
          <w:lang w:val="en-US"/>
        </w:rPr>
        <w:t>collect cells from similar must’s conditions</w:t>
      </w:r>
      <w:r w:rsidR="00B7305A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. Sampling for microbiological and chemical analysis </w:t>
      </w:r>
      <w:r w:rsidR="00A0671B">
        <w:rPr>
          <w:rFonts w:ascii="Times New Roman" w:hAnsi="Times New Roman" w:cs="Times New Roman"/>
          <w:iCs/>
          <w:sz w:val="20"/>
          <w:szCs w:val="20"/>
          <w:lang w:val="en-US"/>
        </w:rPr>
        <w:t>were</w:t>
      </w:r>
      <w:r w:rsidR="00B7305A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done at day 0, 2</w:t>
      </w:r>
      <w:r w:rsidR="00C0156B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(for pure fermentations), 2 plus 4 hours (for mixed fermentations)</w:t>
      </w:r>
      <w:r w:rsidR="00B7305A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, 4, 7, 10, and 14. </w:t>
      </w:r>
      <w:r w:rsidR="00C0156B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The RNA extraction will be done using the </w:t>
      </w:r>
      <w:r w:rsidR="00C0156B" w:rsidRPr="00C0156B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RNeasy Micro Kit </w:t>
      </w:r>
      <w:r w:rsidR="00C0156B">
        <w:rPr>
          <w:rFonts w:ascii="Times New Roman" w:hAnsi="Times New Roman" w:cs="Times New Roman"/>
          <w:iCs/>
          <w:sz w:val="20"/>
          <w:szCs w:val="20"/>
          <w:lang w:val="en-US"/>
        </w:rPr>
        <w:t>(</w:t>
      </w:r>
      <w:r w:rsidR="00C0156B" w:rsidRPr="00C0156B">
        <w:rPr>
          <w:rFonts w:ascii="Times New Roman" w:hAnsi="Times New Roman" w:cs="Times New Roman"/>
          <w:iCs/>
          <w:sz w:val="20"/>
          <w:szCs w:val="20"/>
          <w:lang w:val="en-US"/>
        </w:rPr>
        <w:t>QIAGEN</w:t>
      </w:r>
      <w:r w:rsidR="00C0156B">
        <w:rPr>
          <w:rFonts w:ascii="Times New Roman" w:hAnsi="Times New Roman" w:cs="Times New Roman"/>
          <w:iCs/>
          <w:sz w:val="20"/>
          <w:szCs w:val="20"/>
          <w:lang w:val="en-US"/>
        </w:rPr>
        <w:t>,</w:t>
      </w:r>
      <w:r w:rsidR="00C0156B" w:rsidRPr="00C0156B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Milan</w:t>
      </w:r>
      <w:r w:rsidR="00C0156B">
        <w:rPr>
          <w:rFonts w:ascii="Times New Roman" w:hAnsi="Times New Roman" w:cs="Times New Roman"/>
          <w:iCs/>
          <w:sz w:val="20"/>
          <w:szCs w:val="20"/>
          <w:lang w:val="en-US"/>
        </w:rPr>
        <w:t>). The protocol was optimized</w:t>
      </w:r>
      <w:r w:rsidR="001A5D22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during</w:t>
      </w:r>
      <w:r w:rsidR="00C0156B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the past year applying some modifications to those proposed by the company. </w:t>
      </w:r>
    </w:p>
    <w:p w14:paraId="48036E5E" w14:textId="79E48353" w:rsidR="00A93006" w:rsidRPr="00356049" w:rsidRDefault="006F539C" w:rsidP="006F539C">
      <w:pPr>
        <w:pStyle w:val="Titolo11"/>
        <w:numPr>
          <w:ilvl w:val="0"/>
          <w:numId w:val="0"/>
        </w:numPr>
      </w:pPr>
      <w:r>
        <w:t>3.</w:t>
      </w:r>
      <w:r w:rsidR="00F07335">
        <w:t xml:space="preserve"> </w:t>
      </w:r>
      <w:r w:rsidR="001E4544" w:rsidRPr="00356049">
        <w:t xml:space="preserve">Results </w:t>
      </w:r>
    </w:p>
    <w:p w14:paraId="1036EA91" w14:textId="2DC14266" w:rsidR="000C7E51" w:rsidRDefault="00356049" w:rsidP="00356049">
      <w:pPr>
        <w:jc w:val="both"/>
        <w:rPr>
          <w:rFonts w:ascii="Times New Roman" w:hAnsi="Times New Roman" w:cs="Times New Roman"/>
          <w:iCs/>
          <w:sz w:val="20"/>
          <w:szCs w:val="20"/>
          <w:lang w:val="en-US"/>
        </w:rPr>
      </w:pPr>
      <w:r w:rsidRPr="00356049">
        <w:rPr>
          <w:rFonts w:ascii="Times New Roman" w:hAnsi="Times New Roman" w:cs="Times New Roman"/>
          <w:sz w:val="20"/>
          <w:szCs w:val="20"/>
          <w:lang w:val="en-US"/>
        </w:rPr>
        <w:t xml:space="preserve">The reported results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are those collected until the submission of this manuscript. </w:t>
      </w:r>
      <w:r w:rsidR="00B959BC">
        <w:rPr>
          <w:rFonts w:ascii="Times New Roman" w:hAnsi="Times New Roman" w:cs="Times New Roman"/>
          <w:sz w:val="20"/>
          <w:szCs w:val="20"/>
          <w:lang w:val="en-US"/>
        </w:rPr>
        <w:t xml:space="preserve">In pure fermentations, both yeasts overcame 8 Log/mL (at day 2 for </w:t>
      </w:r>
      <w:r w:rsidR="00B959BC">
        <w:rPr>
          <w:rFonts w:ascii="Times New Roman" w:hAnsi="Times New Roman" w:cs="Times New Roman"/>
          <w:i/>
          <w:sz w:val="20"/>
          <w:szCs w:val="20"/>
          <w:lang w:val="en-US"/>
        </w:rPr>
        <w:t xml:space="preserve">S. </w:t>
      </w:r>
      <w:r w:rsidR="00B959BC" w:rsidRPr="00B959BC">
        <w:rPr>
          <w:rFonts w:ascii="Times New Roman" w:hAnsi="Times New Roman" w:cs="Times New Roman"/>
          <w:i/>
          <w:sz w:val="20"/>
          <w:szCs w:val="20"/>
          <w:lang w:val="en-US"/>
        </w:rPr>
        <w:t>cerevisiae</w:t>
      </w:r>
      <w:r w:rsidR="00B959BC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="00F340AE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Uvaferm BC </w:t>
      </w:r>
      <w:r w:rsidR="00B959BC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and 4 for </w:t>
      </w:r>
      <w:r w:rsidR="00B959BC" w:rsidRPr="00B959BC">
        <w:rPr>
          <w:rFonts w:ascii="Times New Roman" w:hAnsi="Times New Roman" w:cs="Times New Roman"/>
          <w:i/>
          <w:sz w:val="20"/>
          <w:szCs w:val="20"/>
          <w:lang w:val="en-US"/>
        </w:rPr>
        <w:t>Starm.</w:t>
      </w:r>
      <w:r w:rsidR="00B959B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bacillaris</w:t>
      </w:r>
      <w:r w:rsidR="00F340AE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F340AE" w:rsidRPr="005D1EA2">
        <w:rPr>
          <w:rFonts w:ascii="Times New Roman" w:hAnsi="Times New Roman" w:cs="Times New Roman"/>
          <w:iCs/>
          <w:sz w:val="20"/>
          <w:szCs w:val="20"/>
          <w:lang w:val="en-US"/>
        </w:rPr>
        <w:t>FC54</w:t>
      </w:r>
      <w:r w:rsidR="00B959BC" w:rsidRPr="00F340AE">
        <w:rPr>
          <w:rFonts w:ascii="Times New Roman" w:hAnsi="Times New Roman" w:cs="Times New Roman"/>
          <w:iCs/>
          <w:sz w:val="20"/>
          <w:szCs w:val="20"/>
          <w:lang w:val="en-US"/>
        </w:rPr>
        <w:t>)</w:t>
      </w:r>
      <w:r w:rsidR="00B959BC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and then begun to </w:t>
      </w:r>
      <w:r w:rsidR="00B959BC">
        <w:rPr>
          <w:rFonts w:ascii="Times New Roman" w:hAnsi="Times New Roman" w:cs="Times New Roman"/>
          <w:iCs/>
          <w:sz w:val="20"/>
          <w:szCs w:val="20"/>
          <w:lang w:val="en-US"/>
        </w:rPr>
        <w:lastRenderedPageBreak/>
        <w:t xml:space="preserve">decline, more quickly in case of </w:t>
      </w:r>
      <w:r w:rsidR="00B959BC">
        <w:rPr>
          <w:rFonts w:ascii="Times New Roman" w:hAnsi="Times New Roman" w:cs="Times New Roman"/>
          <w:i/>
          <w:sz w:val="20"/>
          <w:szCs w:val="20"/>
          <w:lang w:val="en-US"/>
        </w:rPr>
        <w:t xml:space="preserve">S. </w:t>
      </w:r>
      <w:r w:rsidR="00B959BC" w:rsidRPr="00B959BC">
        <w:rPr>
          <w:rFonts w:ascii="Times New Roman" w:hAnsi="Times New Roman" w:cs="Times New Roman"/>
          <w:i/>
          <w:sz w:val="20"/>
          <w:szCs w:val="20"/>
          <w:lang w:val="en-US"/>
        </w:rPr>
        <w:t>cerevisiae</w:t>
      </w:r>
      <w:r w:rsidR="00B959BC">
        <w:rPr>
          <w:rFonts w:ascii="Times New Roman" w:hAnsi="Times New Roman" w:cs="Times New Roman"/>
          <w:iCs/>
          <w:sz w:val="20"/>
          <w:szCs w:val="20"/>
          <w:lang w:val="en-US"/>
        </w:rPr>
        <w:t>.</w:t>
      </w:r>
      <w:r w:rsidR="00DA4EB7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Cells</w:t>
      </w:r>
      <w:r w:rsidR="00A0671B">
        <w:rPr>
          <w:rFonts w:ascii="Times New Roman" w:hAnsi="Times New Roman" w:cs="Times New Roman"/>
          <w:iCs/>
          <w:sz w:val="20"/>
          <w:szCs w:val="20"/>
          <w:lang w:val="en-US"/>
        </w:rPr>
        <w:t>’</w:t>
      </w:r>
      <w:r w:rsidR="00DA4EB7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concentration of </w:t>
      </w:r>
      <w:r w:rsidR="00DA4EB7">
        <w:rPr>
          <w:rFonts w:ascii="Times New Roman" w:hAnsi="Times New Roman" w:cs="Times New Roman"/>
          <w:i/>
          <w:sz w:val="20"/>
          <w:szCs w:val="20"/>
          <w:lang w:val="en-US"/>
        </w:rPr>
        <w:t xml:space="preserve">Starm. bacillaris </w:t>
      </w:r>
      <w:r w:rsidR="00DA4EB7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was higher in both mixed fermentations than in case of pure. In this environment, </w:t>
      </w:r>
      <w:r w:rsidR="00DA4EB7">
        <w:rPr>
          <w:rFonts w:ascii="Times New Roman" w:hAnsi="Times New Roman" w:cs="Times New Roman"/>
          <w:i/>
          <w:sz w:val="20"/>
          <w:szCs w:val="20"/>
          <w:lang w:val="en-US"/>
        </w:rPr>
        <w:t>S. cerevisiae</w:t>
      </w:r>
      <w:r w:rsidR="00DA4EB7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="005869A5">
        <w:rPr>
          <w:rFonts w:ascii="Times New Roman" w:hAnsi="Times New Roman" w:cs="Times New Roman"/>
          <w:iCs/>
          <w:sz w:val="20"/>
          <w:szCs w:val="20"/>
          <w:lang w:val="en-US"/>
        </w:rPr>
        <w:t>was not able to reach the same high concentration as in pure</w:t>
      </w:r>
      <w:r w:rsidR="00D876CC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culture</w:t>
      </w:r>
      <w:r w:rsidR="005869A5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. In case of physical contact, the highest concentration was found at day 7 and was lower than 7.5 Log/mL. 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>Plate counts confirmed the quicker disappearance of the non-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Saccharomyces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yeast when involved in mixed fermentation with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S. cerevisiae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876CC">
        <w:rPr>
          <w:rFonts w:ascii="Times New Roman" w:hAnsi="Times New Roman" w:cs="Times New Roman"/>
          <w:sz w:val="20"/>
          <w:szCs w:val="20"/>
          <w:lang w:val="en-US"/>
        </w:rPr>
        <w:t xml:space="preserve">compared to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the case of physical separation. Differently from previous work (Englezos et al., 2019),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Starm. bacillaris 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>was not found (&lt;10</w:t>
      </w:r>
      <w:r w:rsidRPr="00356049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>CFU/mL)</w:t>
      </w:r>
      <w:r w:rsidR="003C6FBE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in mixed fermentation in bioreactor at the end point</w:t>
      </w:r>
      <w:r w:rsidR="005D1EA2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="00AB41E2">
        <w:rPr>
          <w:rFonts w:ascii="Times New Roman" w:hAnsi="Times New Roman" w:cs="Times New Roman"/>
          <w:iCs/>
          <w:sz w:val="20"/>
          <w:szCs w:val="20"/>
          <w:lang w:val="en-US"/>
        </w:rPr>
        <w:t>(</w:t>
      </w:r>
      <w:r w:rsidR="000C7E51" w:rsidRPr="009B5BF4">
        <w:rPr>
          <w:rFonts w:ascii="Times New Roman" w:hAnsi="Times New Roman" w:cs="Times New Roman"/>
          <w:iCs/>
          <w:sz w:val="20"/>
          <w:szCs w:val="20"/>
          <w:lang w:val="en-US"/>
        </w:rPr>
        <w:t>Table</w:t>
      </w:r>
      <w:r w:rsidR="00AB41E2" w:rsidRPr="009B5BF4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="000C7E51">
        <w:rPr>
          <w:rFonts w:ascii="Times New Roman" w:hAnsi="Times New Roman" w:cs="Times New Roman"/>
          <w:iCs/>
          <w:sz w:val="20"/>
          <w:szCs w:val="20"/>
          <w:lang w:val="en-US"/>
        </w:rPr>
        <w:t>1</w:t>
      </w:r>
      <w:r w:rsidR="00AB41E2">
        <w:rPr>
          <w:rFonts w:ascii="Times New Roman" w:hAnsi="Times New Roman" w:cs="Times New Roman"/>
          <w:iCs/>
          <w:sz w:val="20"/>
          <w:szCs w:val="20"/>
          <w:lang w:val="en-US"/>
        </w:rPr>
        <w:t>)</w:t>
      </w:r>
      <w:r w:rsidR="00D6500A">
        <w:rPr>
          <w:rFonts w:ascii="Times New Roman" w:hAnsi="Times New Roman" w:cs="Times New Roman"/>
          <w:iCs/>
          <w:sz w:val="20"/>
          <w:szCs w:val="20"/>
          <w:lang w:val="en-US"/>
        </w:rPr>
        <w:t>.</w:t>
      </w:r>
      <w:r w:rsidR="005D1EA2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="0034107D">
        <w:rPr>
          <w:rFonts w:ascii="Times New Roman" w:hAnsi="Times New Roman" w:cs="Times New Roman"/>
          <w:iCs/>
          <w:sz w:val="20"/>
          <w:szCs w:val="20"/>
          <w:lang w:val="en-US"/>
        </w:rPr>
        <w:t>In this case, it was absent at the 14</w:t>
      </w:r>
      <w:r w:rsidR="0034107D" w:rsidRPr="0034107D">
        <w:rPr>
          <w:rFonts w:ascii="Times New Roman" w:hAnsi="Times New Roman" w:cs="Times New Roman"/>
          <w:iCs/>
          <w:sz w:val="20"/>
          <w:szCs w:val="20"/>
          <w:vertAlign w:val="superscript"/>
          <w:lang w:val="en-US"/>
        </w:rPr>
        <w:t>th</w:t>
      </w:r>
      <w:r w:rsidR="0034107D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day while in fermentation conducted in flask it was at the 10</w:t>
      </w:r>
      <w:r w:rsidR="0034107D" w:rsidRPr="0034107D">
        <w:rPr>
          <w:rFonts w:ascii="Times New Roman" w:hAnsi="Times New Roman" w:cs="Times New Roman"/>
          <w:iCs/>
          <w:sz w:val="20"/>
          <w:szCs w:val="20"/>
          <w:vertAlign w:val="superscript"/>
          <w:lang w:val="en-US"/>
        </w:rPr>
        <w:t>th</w:t>
      </w:r>
      <w:r w:rsidR="0034107D">
        <w:rPr>
          <w:rFonts w:ascii="Times New Roman" w:hAnsi="Times New Roman" w:cs="Times New Roman"/>
          <w:iCs/>
          <w:sz w:val="20"/>
          <w:szCs w:val="20"/>
          <w:lang w:val="en-US"/>
        </w:rPr>
        <w:t>.</w:t>
      </w:r>
    </w:p>
    <w:p w14:paraId="7683BBD9" w14:textId="183D5BE2" w:rsidR="000C7E51" w:rsidRPr="00725B7E" w:rsidRDefault="000C7E51" w:rsidP="00725B7E">
      <w:pPr>
        <w:pStyle w:val="Didascalia"/>
        <w:keepNext/>
        <w:spacing w:before="240" w:after="0"/>
        <w:jc w:val="both"/>
        <w:rPr>
          <w:rFonts w:ascii="Times New Roman" w:hAnsi="Times New Roman" w:cs="Times New Roman"/>
          <w:color w:val="auto"/>
          <w:lang w:val="en-US"/>
        </w:rPr>
      </w:pPr>
      <w:r w:rsidRPr="00725B7E">
        <w:rPr>
          <w:rFonts w:ascii="Times New Roman" w:hAnsi="Times New Roman" w:cs="Times New Roman"/>
          <w:b/>
          <w:bCs/>
          <w:color w:val="auto"/>
          <w:lang w:val="en-US"/>
        </w:rPr>
        <w:t xml:space="preserve">Table </w:t>
      </w:r>
      <w:r w:rsidRPr="00725B7E">
        <w:rPr>
          <w:rFonts w:ascii="Times New Roman" w:hAnsi="Times New Roman" w:cs="Times New Roman"/>
          <w:b/>
          <w:bCs/>
          <w:color w:val="auto"/>
          <w:lang w:val="en-US"/>
        </w:rPr>
        <w:fldChar w:fldCharType="begin"/>
      </w:r>
      <w:r w:rsidRPr="00725B7E">
        <w:rPr>
          <w:rFonts w:ascii="Times New Roman" w:hAnsi="Times New Roman" w:cs="Times New Roman"/>
          <w:b/>
          <w:bCs/>
          <w:color w:val="auto"/>
          <w:lang w:val="en-US"/>
        </w:rPr>
        <w:instrText xml:space="preserve"> SEQ Table \* ARABIC </w:instrText>
      </w:r>
      <w:r w:rsidRPr="00725B7E">
        <w:rPr>
          <w:rFonts w:ascii="Times New Roman" w:hAnsi="Times New Roman" w:cs="Times New Roman"/>
          <w:b/>
          <w:bCs/>
          <w:color w:val="auto"/>
          <w:lang w:val="en-US"/>
        </w:rPr>
        <w:fldChar w:fldCharType="separate"/>
      </w:r>
      <w:r w:rsidR="00E63284">
        <w:rPr>
          <w:rFonts w:ascii="Times New Roman" w:hAnsi="Times New Roman" w:cs="Times New Roman"/>
          <w:b/>
          <w:bCs/>
          <w:noProof/>
          <w:color w:val="auto"/>
          <w:lang w:val="en-US"/>
        </w:rPr>
        <w:t>1</w:t>
      </w:r>
      <w:r w:rsidRPr="00725B7E">
        <w:rPr>
          <w:rFonts w:ascii="Times New Roman" w:hAnsi="Times New Roman" w:cs="Times New Roman"/>
          <w:b/>
          <w:bCs/>
          <w:color w:val="auto"/>
          <w:lang w:val="en-US"/>
        </w:rPr>
        <w:fldChar w:fldCharType="end"/>
      </w:r>
      <w:r w:rsidR="00725B7E">
        <w:rPr>
          <w:rFonts w:ascii="Times New Roman" w:hAnsi="Times New Roman" w:cs="Times New Roman"/>
          <w:color w:val="auto"/>
          <w:lang w:val="en-US"/>
        </w:rPr>
        <w:tab/>
      </w:r>
      <w:r w:rsidR="00ED3648" w:rsidRPr="00725B7E">
        <w:rPr>
          <w:rFonts w:ascii="Times New Roman" w:hAnsi="Times New Roman" w:cs="Times New Roman"/>
          <w:color w:val="auto"/>
          <w:lang w:val="en-US"/>
        </w:rPr>
        <w:t xml:space="preserve">Cells </w:t>
      </w:r>
      <w:r w:rsidRPr="00725B7E">
        <w:rPr>
          <w:rFonts w:ascii="Times New Roman" w:hAnsi="Times New Roman" w:cs="Times New Roman"/>
          <w:color w:val="auto"/>
          <w:lang w:val="en-US"/>
        </w:rPr>
        <w:t>count on WLN medium. Values expressed as Log/mL</w:t>
      </w:r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4"/>
        <w:gridCol w:w="1295"/>
        <w:gridCol w:w="1295"/>
        <w:gridCol w:w="1295"/>
      </w:tblGrid>
      <w:tr w:rsidR="00725B7E" w:rsidRPr="00725B7E" w14:paraId="532840D6" w14:textId="77777777" w:rsidTr="00E63284">
        <w:tc>
          <w:tcPr>
            <w:tcW w:w="1294" w:type="dxa"/>
            <w:tcBorders>
              <w:top w:val="single" w:sz="8" w:space="0" w:color="auto"/>
              <w:bottom w:val="nil"/>
            </w:tcBorders>
          </w:tcPr>
          <w:p w14:paraId="13B3E871" w14:textId="77777777" w:rsidR="00725B7E" w:rsidRPr="00725B7E" w:rsidRDefault="00725B7E" w:rsidP="00E63284">
            <w:pPr>
              <w:jc w:val="right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</w:p>
        </w:tc>
        <w:tc>
          <w:tcPr>
            <w:tcW w:w="1294" w:type="dxa"/>
            <w:tcBorders>
              <w:top w:val="single" w:sz="8" w:space="0" w:color="auto"/>
              <w:bottom w:val="nil"/>
            </w:tcBorders>
          </w:tcPr>
          <w:p w14:paraId="77E8EF65" w14:textId="0DC86A2B" w:rsidR="00725B7E" w:rsidRPr="00725B7E" w:rsidRDefault="00725B7E" w:rsidP="00E63284">
            <w:pP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725B7E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Pure</w:t>
            </w:r>
          </w:p>
        </w:tc>
        <w:tc>
          <w:tcPr>
            <w:tcW w:w="1294" w:type="dxa"/>
            <w:tcBorders>
              <w:top w:val="single" w:sz="8" w:space="0" w:color="auto"/>
              <w:bottom w:val="nil"/>
            </w:tcBorders>
          </w:tcPr>
          <w:p w14:paraId="3E34E64F" w14:textId="0281D7F7" w:rsidR="00725B7E" w:rsidRPr="00725B7E" w:rsidRDefault="00725B7E" w:rsidP="00E63284">
            <w:pP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725B7E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Pure</w:t>
            </w:r>
          </w:p>
        </w:tc>
        <w:tc>
          <w:tcPr>
            <w:tcW w:w="2589" w:type="dxa"/>
            <w:gridSpan w:val="2"/>
            <w:tcBorders>
              <w:top w:val="single" w:sz="8" w:space="0" w:color="auto"/>
              <w:bottom w:val="nil"/>
            </w:tcBorders>
          </w:tcPr>
          <w:p w14:paraId="1C9B854A" w14:textId="1BA56B35" w:rsidR="00725B7E" w:rsidRPr="00725B7E" w:rsidRDefault="00725B7E" w:rsidP="006F539C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725B7E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Mixed flask</w:t>
            </w:r>
          </w:p>
        </w:tc>
        <w:tc>
          <w:tcPr>
            <w:tcW w:w="2590" w:type="dxa"/>
            <w:gridSpan w:val="2"/>
            <w:tcBorders>
              <w:top w:val="single" w:sz="8" w:space="0" w:color="auto"/>
              <w:bottom w:val="nil"/>
            </w:tcBorders>
          </w:tcPr>
          <w:p w14:paraId="003D851C" w14:textId="7C67E3FF" w:rsidR="00725B7E" w:rsidRPr="00725B7E" w:rsidRDefault="00725B7E" w:rsidP="006F539C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725B7E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Mixed bioreactor</w:t>
            </w:r>
          </w:p>
        </w:tc>
      </w:tr>
      <w:tr w:rsidR="00725B7E" w:rsidRPr="00725B7E" w14:paraId="065DB544" w14:textId="77777777" w:rsidTr="00E63284">
        <w:tc>
          <w:tcPr>
            <w:tcW w:w="1294" w:type="dxa"/>
            <w:tcBorders>
              <w:top w:val="nil"/>
              <w:bottom w:val="single" w:sz="4" w:space="0" w:color="auto"/>
            </w:tcBorders>
          </w:tcPr>
          <w:p w14:paraId="4A4C3E64" w14:textId="5B091BE2" w:rsidR="00725B7E" w:rsidRPr="00725B7E" w:rsidRDefault="00725B7E" w:rsidP="00E63284">
            <w:pP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725B7E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Sampling day</w:t>
            </w:r>
          </w:p>
        </w:tc>
        <w:tc>
          <w:tcPr>
            <w:tcW w:w="1294" w:type="dxa"/>
            <w:tcBorders>
              <w:top w:val="nil"/>
              <w:bottom w:val="single" w:sz="4" w:space="0" w:color="auto"/>
            </w:tcBorders>
          </w:tcPr>
          <w:p w14:paraId="6A0252B9" w14:textId="73A25077" w:rsidR="00725B7E" w:rsidRPr="00725B7E" w:rsidRDefault="00725B7E" w:rsidP="00E63284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725B7E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Starm. bacillaris</w:t>
            </w:r>
          </w:p>
        </w:tc>
        <w:tc>
          <w:tcPr>
            <w:tcW w:w="1294" w:type="dxa"/>
            <w:tcBorders>
              <w:top w:val="nil"/>
              <w:bottom w:val="single" w:sz="4" w:space="0" w:color="auto"/>
            </w:tcBorders>
          </w:tcPr>
          <w:p w14:paraId="762C7F96" w14:textId="106C0BF0" w:rsidR="00725B7E" w:rsidRPr="00725B7E" w:rsidRDefault="00725B7E" w:rsidP="00E63284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725B7E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S. cerevisiae</w:t>
            </w:r>
          </w:p>
        </w:tc>
        <w:tc>
          <w:tcPr>
            <w:tcW w:w="1294" w:type="dxa"/>
            <w:tcBorders>
              <w:top w:val="nil"/>
              <w:bottom w:val="single" w:sz="4" w:space="0" w:color="auto"/>
            </w:tcBorders>
          </w:tcPr>
          <w:p w14:paraId="24278B6A" w14:textId="1C52B9D7" w:rsidR="00725B7E" w:rsidRPr="00725B7E" w:rsidRDefault="00725B7E" w:rsidP="00E63284">
            <w:pP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 w:rsidRPr="00725B7E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Starm. bacillaris</w:t>
            </w:r>
          </w:p>
        </w:tc>
        <w:tc>
          <w:tcPr>
            <w:tcW w:w="1295" w:type="dxa"/>
            <w:tcBorders>
              <w:top w:val="nil"/>
              <w:bottom w:val="single" w:sz="4" w:space="0" w:color="auto"/>
            </w:tcBorders>
          </w:tcPr>
          <w:p w14:paraId="1C1C26F8" w14:textId="147F1F5D" w:rsidR="00725B7E" w:rsidRPr="00725B7E" w:rsidRDefault="00725B7E" w:rsidP="00E63284">
            <w:pP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 w:rsidRPr="00725B7E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S. cerevisiae</w:t>
            </w:r>
          </w:p>
        </w:tc>
        <w:tc>
          <w:tcPr>
            <w:tcW w:w="1295" w:type="dxa"/>
            <w:tcBorders>
              <w:top w:val="nil"/>
              <w:bottom w:val="single" w:sz="4" w:space="0" w:color="auto"/>
            </w:tcBorders>
          </w:tcPr>
          <w:p w14:paraId="7F0FBA2D" w14:textId="1DE7D3A5" w:rsidR="00725B7E" w:rsidRPr="00725B7E" w:rsidRDefault="00725B7E" w:rsidP="00E63284">
            <w:pP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 w:rsidRPr="00725B7E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Starm. bacillaris</w:t>
            </w:r>
          </w:p>
        </w:tc>
        <w:tc>
          <w:tcPr>
            <w:tcW w:w="1295" w:type="dxa"/>
            <w:tcBorders>
              <w:top w:val="nil"/>
              <w:bottom w:val="single" w:sz="4" w:space="0" w:color="auto"/>
            </w:tcBorders>
          </w:tcPr>
          <w:p w14:paraId="1966587F" w14:textId="6BE2DEEA" w:rsidR="00725B7E" w:rsidRPr="00725B7E" w:rsidRDefault="00725B7E" w:rsidP="00E63284">
            <w:pP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 w:rsidRPr="00725B7E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S. cerevisiae</w:t>
            </w:r>
          </w:p>
        </w:tc>
      </w:tr>
      <w:tr w:rsidR="00725B7E" w:rsidRPr="00725B7E" w14:paraId="0B15F1DE" w14:textId="77777777" w:rsidTr="00E63284">
        <w:tc>
          <w:tcPr>
            <w:tcW w:w="1294" w:type="dxa"/>
            <w:tcBorders>
              <w:bottom w:val="nil"/>
            </w:tcBorders>
          </w:tcPr>
          <w:p w14:paraId="53FF9CDC" w14:textId="793C6878" w:rsidR="00725B7E" w:rsidRPr="00725B7E" w:rsidRDefault="00725B7E" w:rsidP="00E63284">
            <w:pPr>
              <w:jc w:val="right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725B7E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D0</w:t>
            </w:r>
          </w:p>
        </w:tc>
        <w:tc>
          <w:tcPr>
            <w:tcW w:w="1294" w:type="dxa"/>
            <w:tcBorders>
              <w:bottom w:val="nil"/>
            </w:tcBorders>
            <w:shd w:val="clear" w:color="auto" w:fill="auto"/>
            <w:vAlign w:val="bottom"/>
          </w:tcPr>
          <w:p w14:paraId="103195BE" w14:textId="0EF42133" w:rsidR="00725B7E" w:rsidRPr="00725B7E" w:rsidRDefault="00725B7E" w:rsidP="00E63284">
            <w:pP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725B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 ± 0.2</w:t>
            </w:r>
          </w:p>
        </w:tc>
        <w:tc>
          <w:tcPr>
            <w:tcW w:w="1294" w:type="dxa"/>
            <w:tcBorders>
              <w:bottom w:val="nil"/>
            </w:tcBorders>
            <w:shd w:val="clear" w:color="auto" w:fill="auto"/>
            <w:vAlign w:val="bottom"/>
          </w:tcPr>
          <w:p w14:paraId="594A4A20" w14:textId="46AA6244" w:rsidR="00725B7E" w:rsidRPr="00725B7E" w:rsidRDefault="00725B7E" w:rsidP="00E63284">
            <w:pP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725B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 ± 0.1</w:t>
            </w:r>
          </w:p>
        </w:tc>
        <w:tc>
          <w:tcPr>
            <w:tcW w:w="1294" w:type="dxa"/>
            <w:tcBorders>
              <w:bottom w:val="nil"/>
            </w:tcBorders>
            <w:shd w:val="clear" w:color="auto" w:fill="auto"/>
            <w:vAlign w:val="bottom"/>
          </w:tcPr>
          <w:p w14:paraId="120A9EFF" w14:textId="1188A226" w:rsidR="00725B7E" w:rsidRPr="00725B7E" w:rsidRDefault="00725B7E" w:rsidP="00E63284">
            <w:pP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725B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 ± 0.2</w:t>
            </w:r>
          </w:p>
        </w:tc>
        <w:tc>
          <w:tcPr>
            <w:tcW w:w="1295" w:type="dxa"/>
            <w:tcBorders>
              <w:bottom w:val="nil"/>
            </w:tcBorders>
            <w:shd w:val="clear" w:color="auto" w:fill="auto"/>
            <w:vAlign w:val="bottom"/>
          </w:tcPr>
          <w:p w14:paraId="3C82494B" w14:textId="41C13E4E" w:rsidR="00725B7E" w:rsidRPr="00725B7E" w:rsidRDefault="00725B7E" w:rsidP="00E63284">
            <w:pP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725B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bottom w:val="nil"/>
            </w:tcBorders>
            <w:shd w:val="clear" w:color="auto" w:fill="auto"/>
            <w:vAlign w:val="bottom"/>
          </w:tcPr>
          <w:p w14:paraId="6D42A5F9" w14:textId="2D802083" w:rsidR="00725B7E" w:rsidRPr="00725B7E" w:rsidRDefault="00725B7E" w:rsidP="00E63284">
            <w:pP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725B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 ± 0.2</w:t>
            </w:r>
          </w:p>
        </w:tc>
        <w:tc>
          <w:tcPr>
            <w:tcW w:w="1295" w:type="dxa"/>
            <w:tcBorders>
              <w:bottom w:val="nil"/>
            </w:tcBorders>
            <w:shd w:val="clear" w:color="auto" w:fill="auto"/>
            <w:vAlign w:val="bottom"/>
          </w:tcPr>
          <w:p w14:paraId="30E63898" w14:textId="276C03D4" w:rsidR="00725B7E" w:rsidRPr="00725B7E" w:rsidRDefault="00725B7E" w:rsidP="00E63284">
            <w:pP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725B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25B7E" w:rsidRPr="00725B7E" w14:paraId="38AE3278" w14:textId="77777777" w:rsidTr="00E63284">
        <w:trPr>
          <w:trHeight w:val="424"/>
        </w:trPr>
        <w:tc>
          <w:tcPr>
            <w:tcW w:w="1294" w:type="dxa"/>
            <w:tcBorders>
              <w:top w:val="nil"/>
              <w:bottom w:val="nil"/>
            </w:tcBorders>
          </w:tcPr>
          <w:p w14:paraId="1695C97A" w14:textId="77777777" w:rsidR="00725B7E" w:rsidRPr="00725B7E" w:rsidRDefault="00725B7E" w:rsidP="00E63284">
            <w:pPr>
              <w:jc w:val="right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725B7E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D2</w:t>
            </w:r>
          </w:p>
          <w:p w14:paraId="63EC9289" w14:textId="0B5EFF73" w:rsidR="00725B7E" w:rsidRPr="00725B7E" w:rsidRDefault="00725B7E" w:rsidP="00E63284">
            <w:pPr>
              <w:jc w:val="right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725B7E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D2 + 4 h</w:t>
            </w:r>
          </w:p>
        </w:tc>
        <w:tc>
          <w:tcPr>
            <w:tcW w:w="129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AEF210D" w14:textId="77777777" w:rsidR="00725B7E" w:rsidRDefault="00725B7E" w:rsidP="00E632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5B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7.9 ± 0.1</w:t>
            </w:r>
          </w:p>
          <w:p w14:paraId="05BE7727" w14:textId="1025F330" w:rsidR="00E63284" w:rsidRPr="00725B7E" w:rsidRDefault="00E63284" w:rsidP="00E63284">
            <w:pP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</w:p>
        </w:tc>
        <w:tc>
          <w:tcPr>
            <w:tcW w:w="129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EBDCF74" w14:textId="77777777" w:rsidR="00725B7E" w:rsidRDefault="00725B7E" w:rsidP="00E632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5B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 ± 0.0</w:t>
            </w:r>
          </w:p>
          <w:p w14:paraId="76EDBD6D" w14:textId="62D3B46E" w:rsidR="00E63284" w:rsidRPr="00725B7E" w:rsidRDefault="00E63284" w:rsidP="00E63284">
            <w:pP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</w:p>
        </w:tc>
        <w:tc>
          <w:tcPr>
            <w:tcW w:w="129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988E986" w14:textId="62E11522" w:rsidR="00725B7E" w:rsidRPr="00725B7E" w:rsidRDefault="00725B7E" w:rsidP="00E63284">
            <w:pP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725B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8.0 ± 0.1</w:t>
            </w:r>
          </w:p>
        </w:tc>
        <w:tc>
          <w:tcPr>
            <w:tcW w:w="129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47374F3" w14:textId="158E872A" w:rsidR="00725B7E" w:rsidRPr="00725B7E" w:rsidRDefault="00725B7E" w:rsidP="00E63284">
            <w:pP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725B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 ± 0.4</w:t>
            </w:r>
          </w:p>
        </w:tc>
        <w:tc>
          <w:tcPr>
            <w:tcW w:w="129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C5A5BC1" w14:textId="23D1B1E6" w:rsidR="00725B7E" w:rsidRPr="00725B7E" w:rsidRDefault="00725B7E" w:rsidP="00E63284">
            <w:pP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725B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 ± 0.2</w:t>
            </w:r>
          </w:p>
        </w:tc>
        <w:tc>
          <w:tcPr>
            <w:tcW w:w="129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17ECDE9" w14:textId="7E89A709" w:rsidR="00725B7E" w:rsidRPr="00725B7E" w:rsidRDefault="00725B7E" w:rsidP="00E63284">
            <w:pP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725B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 ± 0.0</w:t>
            </w:r>
          </w:p>
        </w:tc>
      </w:tr>
      <w:tr w:rsidR="00725B7E" w:rsidRPr="00725B7E" w14:paraId="362B3F5B" w14:textId="77777777" w:rsidTr="00E63284">
        <w:tc>
          <w:tcPr>
            <w:tcW w:w="1294" w:type="dxa"/>
            <w:tcBorders>
              <w:top w:val="nil"/>
              <w:bottom w:val="nil"/>
            </w:tcBorders>
          </w:tcPr>
          <w:p w14:paraId="4B3DFE95" w14:textId="55359430" w:rsidR="00725B7E" w:rsidRPr="00725B7E" w:rsidRDefault="00725B7E" w:rsidP="00E63284">
            <w:pPr>
              <w:jc w:val="right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725B7E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D4</w:t>
            </w:r>
          </w:p>
        </w:tc>
        <w:tc>
          <w:tcPr>
            <w:tcW w:w="129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45C6655" w14:textId="7397E678" w:rsidR="00725B7E" w:rsidRPr="00725B7E" w:rsidRDefault="00725B7E" w:rsidP="00E63284">
            <w:pP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725B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 ± 0.0</w:t>
            </w:r>
          </w:p>
        </w:tc>
        <w:tc>
          <w:tcPr>
            <w:tcW w:w="129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CE9A4F" w14:textId="0DE8BE12" w:rsidR="00725B7E" w:rsidRPr="00725B7E" w:rsidRDefault="00725B7E" w:rsidP="00E63284">
            <w:pP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725B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7.8 ± 0.1</w:t>
            </w:r>
          </w:p>
        </w:tc>
        <w:tc>
          <w:tcPr>
            <w:tcW w:w="129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C026A7F" w14:textId="34D063D9" w:rsidR="00725B7E" w:rsidRPr="00725B7E" w:rsidRDefault="00725B7E" w:rsidP="00E63284">
            <w:pP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725B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8.2 ± 0.1</w:t>
            </w:r>
          </w:p>
        </w:tc>
        <w:tc>
          <w:tcPr>
            <w:tcW w:w="129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BC3A8B" w14:textId="39935539" w:rsidR="00725B7E" w:rsidRPr="00725B7E" w:rsidRDefault="00725B7E" w:rsidP="00E63284">
            <w:pP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725B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 ± 0.1</w:t>
            </w:r>
          </w:p>
        </w:tc>
        <w:tc>
          <w:tcPr>
            <w:tcW w:w="129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1EA703" w14:textId="643939EE" w:rsidR="00725B7E" w:rsidRPr="00725B7E" w:rsidRDefault="00725B7E" w:rsidP="00E63284">
            <w:pP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725B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8.4 ± 0.2</w:t>
            </w:r>
          </w:p>
        </w:tc>
        <w:tc>
          <w:tcPr>
            <w:tcW w:w="129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DF9E0A0" w14:textId="02705195" w:rsidR="00725B7E" w:rsidRPr="00725B7E" w:rsidRDefault="00725B7E" w:rsidP="00E63284">
            <w:pP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725B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7.9 ± 0.1</w:t>
            </w:r>
          </w:p>
        </w:tc>
      </w:tr>
      <w:tr w:rsidR="00725B7E" w:rsidRPr="00725B7E" w14:paraId="684260EE" w14:textId="77777777" w:rsidTr="00E63284">
        <w:tc>
          <w:tcPr>
            <w:tcW w:w="1294" w:type="dxa"/>
            <w:tcBorders>
              <w:top w:val="nil"/>
              <w:bottom w:val="nil"/>
            </w:tcBorders>
          </w:tcPr>
          <w:p w14:paraId="4C7E3D22" w14:textId="08D16E56" w:rsidR="00725B7E" w:rsidRPr="00725B7E" w:rsidRDefault="00725B7E" w:rsidP="00E63284">
            <w:pPr>
              <w:jc w:val="right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725B7E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D7</w:t>
            </w:r>
          </w:p>
        </w:tc>
        <w:tc>
          <w:tcPr>
            <w:tcW w:w="129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1FC2B27" w14:textId="65DB2B28" w:rsidR="00725B7E" w:rsidRPr="00725B7E" w:rsidRDefault="00725B7E" w:rsidP="00E63284">
            <w:pP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725B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8.0 ± 0.0</w:t>
            </w:r>
          </w:p>
        </w:tc>
        <w:tc>
          <w:tcPr>
            <w:tcW w:w="129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103CED" w14:textId="2413793F" w:rsidR="00725B7E" w:rsidRPr="00725B7E" w:rsidRDefault="00725B7E" w:rsidP="00E63284">
            <w:pP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725B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7.7 ± 0.0</w:t>
            </w:r>
          </w:p>
        </w:tc>
        <w:tc>
          <w:tcPr>
            <w:tcW w:w="129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FE2E0F" w14:textId="1A1F25F4" w:rsidR="00725B7E" w:rsidRPr="00725B7E" w:rsidRDefault="00725B7E" w:rsidP="00E63284">
            <w:pP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725B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7.7 ± 0.1</w:t>
            </w:r>
          </w:p>
        </w:tc>
        <w:tc>
          <w:tcPr>
            <w:tcW w:w="129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39C6BF" w14:textId="37FFC0BB" w:rsidR="00725B7E" w:rsidRPr="00725B7E" w:rsidRDefault="00725B7E" w:rsidP="00E63284">
            <w:pP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725B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7.4 ± 0.1</w:t>
            </w:r>
          </w:p>
        </w:tc>
        <w:tc>
          <w:tcPr>
            <w:tcW w:w="129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8A6A4C" w14:textId="69919D86" w:rsidR="00725B7E" w:rsidRPr="00725B7E" w:rsidRDefault="00725B7E" w:rsidP="00E63284">
            <w:pP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725B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8.5 ± 0.4</w:t>
            </w:r>
          </w:p>
        </w:tc>
        <w:tc>
          <w:tcPr>
            <w:tcW w:w="129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11CC871" w14:textId="1255047C" w:rsidR="00725B7E" w:rsidRPr="00725B7E" w:rsidRDefault="00725B7E" w:rsidP="00E63284">
            <w:pP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725B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7.7 ± 0.2</w:t>
            </w:r>
          </w:p>
        </w:tc>
      </w:tr>
      <w:tr w:rsidR="00725B7E" w:rsidRPr="00725B7E" w14:paraId="250CF0E1" w14:textId="77777777" w:rsidTr="00E63284">
        <w:tc>
          <w:tcPr>
            <w:tcW w:w="1294" w:type="dxa"/>
            <w:tcBorders>
              <w:top w:val="nil"/>
              <w:bottom w:val="nil"/>
            </w:tcBorders>
          </w:tcPr>
          <w:p w14:paraId="558D680C" w14:textId="1FA9D102" w:rsidR="00725B7E" w:rsidRPr="00725B7E" w:rsidRDefault="00725B7E" w:rsidP="00E63284">
            <w:pPr>
              <w:jc w:val="right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725B7E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D10</w:t>
            </w:r>
          </w:p>
        </w:tc>
        <w:tc>
          <w:tcPr>
            <w:tcW w:w="129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CDD692E" w14:textId="6299C49D" w:rsidR="00725B7E" w:rsidRPr="00725B7E" w:rsidRDefault="00725B7E" w:rsidP="00E63284">
            <w:pP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725B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7.9 ± 0.1</w:t>
            </w:r>
          </w:p>
        </w:tc>
        <w:tc>
          <w:tcPr>
            <w:tcW w:w="129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518D4DD" w14:textId="4018A462" w:rsidR="00725B7E" w:rsidRPr="00725B7E" w:rsidRDefault="00725B7E" w:rsidP="00E63284">
            <w:pP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725B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 ± 0.3</w:t>
            </w:r>
          </w:p>
        </w:tc>
        <w:tc>
          <w:tcPr>
            <w:tcW w:w="129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4AB033E" w14:textId="1018D276" w:rsidR="00725B7E" w:rsidRPr="00725B7E" w:rsidRDefault="00725B7E" w:rsidP="00E63284">
            <w:pP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725B7E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&lt;1</w:t>
            </w:r>
          </w:p>
        </w:tc>
        <w:tc>
          <w:tcPr>
            <w:tcW w:w="129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FA83D04" w14:textId="6D1A701D" w:rsidR="00725B7E" w:rsidRPr="00725B7E" w:rsidRDefault="00725B7E" w:rsidP="00E63284">
            <w:pP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725B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 ± 0.2</w:t>
            </w:r>
          </w:p>
        </w:tc>
        <w:tc>
          <w:tcPr>
            <w:tcW w:w="129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4396D9D" w14:textId="2A4BFDF3" w:rsidR="00725B7E" w:rsidRPr="00725B7E" w:rsidRDefault="00725B7E" w:rsidP="00E63284">
            <w:pP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725B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 ± 1.3</w:t>
            </w:r>
          </w:p>
        </w:tc>
        <w:tc>
          <w:tcPr>
            <w:tcW w:w="129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A2EEB7C" w14:textId="405A1F08" w:rsidR="00725B7E" w:rsidRPr="00725B7E" w:rsidRDefault="00725B7E" w:rsidP="00E63284">
            <w:pP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725B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7.4 ± 0.5</w:t>
            </w:r>
          </w:p>
        </w:tc>
      </w:tr>
      <w:tr w:rsidR="00725B7E" w:rsidRPr="00725B7E" w14:paraId="0B31FBC7" w14:textId="77777777" w:rsidTr="00E63284">
        <w:tc>
          <w:tcPr>
            <w:tcW w:w="1294" w:type="dxa"/>
            <w:tcBorders>
              <w:top w:val="nil"/>
              <w:bottom w:val="single" w:sz="8" w:space="0" w:color="auto"/>
            </w:tcBorders>
          </w:tcPr>
          <w:p w14:paraId="7C81B2BD" w14:textId="2DEBF7F3" w:rsidR="00725B7E" w:rsidRPr="00725B7E" w:rsidRDefault="00725B7E" w:rsidP="00E63284">
            <w:pPr>
              <w:jc w:val="right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725B7E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D14</w:t>
            </w:r>
          </w:p>
        </w:tc>
        <w:tc>
          <w:tcPr>
            <w:tcW w:w="1294" w:type="dxa"/>
            <w:tcBorders>
              <w:top w:val="nil"/>
              <w:bottom w:val="single" w:sz="8" w:space="0" w:color="auto"/>
            </w:tcBorders>
            <w:shd w:val="clear" w:color="auto" w:fill="auto"/>
            <w:vAlign w:val="bottom"/>
          </w:tcPr>
          <w:p w14:paraId="16B2F60C" w14:textId="5C6541E2" w:rsidR="00725B7E" w:rsidRPr="00725B7E" w:rsidRDefault="00725B7E" w:rsidP="00E63284">
            <w:pP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725B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 ± 0.3</w:t>
            </w:r>
          </w:p>
        </w:tc>
        <w:tc>
          <w:tcPr>
            <w:tcW w:w="1294" w:type="dxa"/>
            <w:tcBorders>
              <w:top w:val="nil"/>
              <w:bottom w:val="single" w:sz="8" w:space="0" w:color="auto"/>
            </w:tcBorders>
            <w:shd w:val="clear" w:color="auto" w:fill="auto"/>
            <w:vAlign w:val="bottom"/>
          </w:tcPr>
          <w:p w14:paraId="6A95E7B9" w14:textId="339D5BFC" w:rsidR="00725B7E" w:rsidRPr="00725B7E" w:rsidRDefault="00725B7E" w:rsidP="00E63284">
            <w:pP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725B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 ± 0.5</w:t>
            </w:r>
          </w:p>
        </w:tc>
        <w:tc>
          <w:tcPr>
            <w:tcW w:w="1294" w:type="dxa"/>
            <w:tcBorders>
              <w:top w:val="nil"/>
              <w:bottom w:val="single" w:sz="8" w:space="0" w:color="auto"/>
            </w:tcBorders>
            <w:shd w:val="clear" w:color="auto" w:fill="auto"/>
            <w:vAlign w:val="bottom"/>
          </w:tcPr>
          <w:p w14:paraId="13E79B59" w14:textId="1F1EFC26" w:rsidR="00725B7E" w:rsidRPr="00725B7E" w:rsidRDefault="00725B7E" w:rsidP="00E63284">
            <w:pP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725B7E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&lt;</w:t>
            </w:r>
            <w:r w:rsidRPr="00725B7E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1</w:t>
            </w:r>
          </w:p>
        </w:tc>
        <w:tc>
          <w:tcPr>
            <w:tcW w:w="1295" w:type="dxa"/>
            <w:tcBorders>
              <w:top w:val="nil"/>
              <w:bottom w:val="single" w:sz="8" w:space="0" w:color="auto"/>
            </w:tcBorders>
            <w:shd w:val="clear" w:color="auto" w:fill="auto"/>
            <w:vAlign w:val="bottom"/>
          </w:tcPr>
          <w:p w14:paraId="373F5177" w14:textId="16BC0CD2" w:rsidR="00725B7E" w:rsidRPr="00725B7E" w:rsidRDefault="00725B7E" w:rsidP="00E63284">
            <w:pP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725B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 ± 0.2</w:t>
            </w:r>
          </w:p>
        </w:tc>
        <w:tc>
          <w:tcPr>
            <w:tcW w:w="1295" w:type="dxa"/>
            <w:tcBorders>
              <w:top w:val="nil"/>
              <w:bottom w:val="single" w:sz="8" w:space="0" w:color="auto"/>
            </w:tcBorders>
            <w:shd w:val="clear" w:color="auto" w:fill="auto"/>
            <w:vAlign w:val="bottom"/>
          </w:tcPr>
          <w:p w14:paraId="13251B8C" w14:textId="00187DD7" w:rsidR="00725B7E" w:rsidRPr="00725B7E" w:rsidRDefault="00725B7E" w:rsidP="00E63284">
            <w:pP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725B7E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&lt;</w:t>
            </w:r>
            <w:r w:rsidRPr="00725B7E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1</w:t>
            </w:r>
          </w:p>
        </w:tc>
        <w:tc>
          <w:tcPr>
            <w:tcW w:w="1295" w:type="dxa"/>
            <w:tcBorders>
              <w:top w:val="nil"/>
              <w:bottom w:val="single" w:sz="8" w:space="0" w:color="auto"/>
            </w:tcBorders>
            <w:shd w:val="clear" w:color="auto" w:fill="auto"/>
            <w:vAlign w:val="bottom"/>
          </w:tcPr>
          <w:p w14:paraId="119E911F" w14:textId="2EA2B324" w:rsidR="00725B7E" w:rsidRPr="00725B7E" w:rsidRDefault="00725B7E" w:rsidP="00E63284">
            <w:pP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725B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7.0 ± 0.3</w:t>
            </w:r>
          </w:p>
        </w:tc>
      </w:tr>
    </w:tbl>
    <w:p w14:paraId="6A3A941A" w14:textId="77777777" w:rsidR="00725B7E" w:rsidRDefault="00725B7E" w:rsidP="00356049">
      <w:pPr>
        <w:jc w:val="both"/>
        <w:rPr>
          <w:rFonts w:ascii="Times New Roman" w:hAnsi="Times New Roman" w:cs="Times New Roman"/>
          <w:iCs/>
          <w:sz w:val="20"/>
          <w:szCs w:val="20"/>
          <w:lang w:val="en-US"/>
        </w:rPr>
      </w:pPr>
    </w:p>
    <w:p w14:paraId="6E7DB320" w14:textId="138180E5" w:rsidR="00D6500A" w:rsidRDefault="00D876CC" w:rsidP="00356049">
      <w:pPr>
        <w:jc w:val="both"/>
        <w:rPr>
          <w:rFonts w:ascii="Times New Roman" w:hAnsi="Times New Roman" w:cs="Times New Roman"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iCs/>
          <w:sz w:val="20"/>
          <w:szCs w:val="20"/>
          <w:lang w:val="en-US"/>
        </w:rPr>
        <w:t xml:space="preserve">The </w:t>
      </w:r>
      <w:r w:rsidR="001802DC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Nebbiolo </w:t>
      </w:r>
      <w:r w:rsidR="00D6500A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grape must </w:t>
      </w:r>
      <w:r w:rsidR="007319FD">
        <w:rPr>
          <w:rFonts w:ascii="Times New Roman" w:hAnsi="Times New Roman" w:cs="Times New Roman"/>
          <w:iCs/>
          <w:sz w:val="20"/>
          <w:szCs w:val="20"/>
          <w:lang w:val="en-US"/>
        </w:rPr>
        <w:t>used</w:t>
      </w:r>
      <w:r w:rsidR="00105248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="007319FD">
        <w:rPr>
          <w:rFonts w:ascii="Times New Roman" w:hAnsi="Times New Roman" w:cs="Times New Roman"/>
          <w:iCs/>
          <w:sz w:val="20"/>
          <w:szCs w:val="20"/>
          <w:lang w:val="en-US"/>
        </w:rPr>
        <w:t>ha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>d</w:t>
      </w:r>
      <w:r w:rsidR="007319FD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a concentration of total sugars of 246.39 g/L (glucose </w:t>
      </w:r>
      <w:r w:rsidR="007319FD" w:rsidRPr="007319FD">
        <w:rPr>
          <w:rFonts w:ascii="Times New Roman" w:hAnsi="Times New Roman" w:cs="Times New Roman"/>
          <w:iCs/>
          <w:sz w:val="20"/>
          <w:szCs w:val="20"/>
          <w:lang w:val="en-US"/>
        </w:rPr>
        <w:t>120</w:t>
      </w:r>
      <w:r w:rsidR="007319FD">
        <w:rPr>
          <w:rFonts w:ascii="Times New Roman" w:hAnsi="Times New Roman" w:cs="Times New Roman"/>
          <w:iCs/>
          <w:sz w:val="20"/>
          <w:szCs w:val="20"/>
          <w:lang w:val="en-US"/>
        </w:rPr>
        <w:t>.</w:t>
      </w:r>
      <w:r w:rsidR="007319FD" w:rsidRPr="007319FD">
        <w:rPr>
          <w:rFonts w:ascii="Times New Roman" w:hAnsi="Times New Roman" w:cs="Times New Roman"/>
          <w:iCs/>
          <w:sz w:val="20"/>
          <w:szCs w:val="20"/>
          <w:lang w:val="en-US"/>
        </w:rPr>
        <w:t>37</w:t>
      </w:r>
      <w:r w:rsidR="007319FD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g/L, fructose </w:t>
      </w:r>
      <w:r w:rsidR="007319FD" w:rsidRPr="007319FD">
        <w:rPr>
          <w:rFonts w:ascii="Times New Roman" w:hAnsi="Times New Roman" w:cs="Times New Roman"/>
          <w:iCs/>
          <w:sz w:val="20"/>
          <w:szCs w:val="20"/>
          <w:lang w:val="en-US"/>
        </w:rPr>
        <w:t>126</w:t>
      </w:r>
      <w:r w:rsidR="00EE35B4">
        <w:rPr>
          <w:rFonts w:ascii="Times New Roman" w:hAnsi="Times New Roman" w:cs="Times New Roman"/>
          <w:iCs/>
          <w:sz w:val="20"/>
          <w:szCs w:val="20"/>
          <w:lang w:val="en-US"/>
        </w:rPr>
        <w:t>.</w:t>
      </w:r>
      <w:r w:rsidR="007319FD" w:rsidRPr="007319FD">
        <w:rPr>
          <w:rFonts w:ascii="Times New Roman" w:hAnsi="Times New Roman" w:cs="Times New Roman"/>
          <w:iCs/>
          <w:sz w:val="20"/>
          <w:szCs w:val="20"/>
          <w:lang w:val="en-US"/>
        </w:rPr>
        <w:t>0</w:t>
      </w:r>
      <w:r w:rsidR="007319FD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2 g/L). </w:t>
      </w:r>
      <w:r w:rsidR="0037787E">
        <w:rPr>
          <w:rFonts w:ascii="Times New Roman" w:hAnsi="Times New Roman" w:cs="Times New Roman"/>
          <w:i/>
          <w:sz w:val="20"/>
          <w:szCs w:val="20"/>
          <w:lang w:val="en-US"/>
        </w:rPr>
        <w:t xml:space="preserve">Starm. bacillaris </w:t>
      </w:r>
      <w:r w:rsidR="0037787E">
        <w:rPr>
          <w:rFonts w:ascii="Times New Roman" w:hAnsi="Times New Roman" w:cs="Times New Roman"/>
          <w:iCs/>
          <w:sz w:val="20"/>
          <w:szCs w:val="20"/>
          <w:lang w:val="en-US"/>
        </w:rPr>
        <w:t>was not able to ferment all the available sugars (residue of 70.86 g/L mainly represent</w:t>
      </w:r>
      <w:r w:rsidR="00105248">
        <w:rPr>
          <w:rFonts w:ascii="Times New Roman" w:hAnsi="Times New Roman" w:cs="Times New Roman"/>
          <w:iCs/>
          <w:sz w:val="20"/>
          <w:szCs w:val="20"/>
          <w:lang w:val="en-US"/>
        </w:rPr>
        <w:t>ed</w:t>
      </w:r>
      <w:r w:rsidR="0037787E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by glucose) and produced a final amount of ethanol of 11.36 % (v/v). </w:t>
      </w:r>
      <w:r w:rsidR="0037787E">
        <w:rPr>
          <w:rFonts w:ascii="Times New Roman" w:hAnsi="Times New Roman" w:cs="Times New Roman"/>
          <w:i/>
          <w:sz w:val="20"/>
          <w:szCs w:val="20"/>
          <w:lang w:val="en-US"/>
        </w:rPr>
        <w:t>S. cerevisiae</w:t>
      </w:r>
      <w:r w:rsidR="0037787E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and the mixed fermentation in flask went dry</w:t>
      </w:r>
      <w:r w:rsidR="00DC295D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and produced high amount of ethanol (15.82 % (v/v) and 15.68 % (v/v)</w:t>
      </w:r>
      <w:r w:rsidR="00105248">
        <w:rPr>
          <w:rFonts w:ascii="Times New Roman" w:hAnsi="Times New Roman" w:cs="Times New Roman"/>
          <w:iCs/>
          <w:sz w:val="20"/>
          <w:szCs w:val="20"/>
          <w:lang w:val="en-US"/>
        </w:rPr>
        <w:t>,</w:t>
      </w:r>
      <w:r w:rsidR="00DC295D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respectively)</w:t>
      </w:r>
      <w:r w:rsidR="0037787E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, while this didn’t happen in mixed fermentation conducted in bioreactor where </w:t>
      </w:r>
      <w:r w:rsidR="008A3434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the highest amount of glycerol (around 10.53 g/L) </w:t>
      </w:r>
      <w:r w:rsidR="0037787E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was produced </w:t>
      </w:r>
      <w:r w:rsidR="00DC295D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and ethanol was reduced </w:t>
      </w:r>
      <w:r w:rsidR="008A3434">
        <w:rPr>
          <w:rFonts w:ascii="Times New Roman" w:hAnsi="Times New Roman" w:cs="Times New Roman"/>
          <w:iCs/>
          <w:sz w:val="20"/>
          <w:szCs w:val="20"/>
          <w:lang w:val="en-US"/>
        </w:rPr>
        <w:t>by</w:t>
      </w:r>
      <w:r w:rsidR="00DC295D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about 1 % (v/v)</w:t>
      </w:r>
      <w:r w:rsidR="0034107D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, if compared to the control fermented by </w:t>
      </w:r>
      <w:r w:rsidR="0034107D">
        <w:rPr>
          <w:rFonts w:ascii="Times New Roman" w:hAnsi="Times New Roman" w:cs="Times New Roman"/>
          <w:i/>
          <w:sz w:val="20"/>
          <w:szCs w:val="20"/>
          <w:lang w:val="en-US"/>
        </w:rPr>
        <w:t xml:space="preserve">S. cerevisiae </w:t>
      </w:r>
      <w:r w:rsidR="0034107D">
        <w:rPr>
          <w:rFonts w:ascii="Times New Roman" w:hAnsi="Times New Roman" w:cs="Times New Roman"/>
          <w:iCs/>
          <w:sz w:val="20"/>
          <w:szCs w:val="20"/>
          <w:lang w:val="en-US"/>
        </w:rPr>
        <w:t>in pureness</w:t>
      </w:r>
      <w:r w:rsidR="0037787E">
        <w:rPr>
          <w:rFonts w:ascii="Times New Roman" w:hAnsi="Times New Roman" w:cs="Times New Roman"/>
          <w:iCs/>
          <w:sz w:val="20"/>
          <w:szCs w:val="20"/>
          <w:lang w:val="en-US"/>
        </w:rPr>
        <w:t>.</w:t>
      </w:r>
    </w:p>
    <w:p w14:paraId="566F7B17" w14:textId="605EFCB3" w:rsidR="0037787E" w:rsidRDefault="006F539C" w:rsidP="006F539C">
      <w:pPr>
        <w:pStyle w:val="Titolo11"/>
        <w:numPr>
          <w:ilvl w:val="0"/>
          <w:numId w:val="0"/>
        </w:numPr>
      </w:pPr>
      <w:r>
        <w:t>4.</w:t>
      </w:r>
      <w:r w:rsidR="00F07335">
        <w:t xml:space="preserve"> </w:t>
      </w:r>
      <w:r w:rsidR="00CC0A97">
        <w:t>Discussion</w:t>
      </w:r>
    </w:p>
    <w:p w14:paraId="0637B297" w14:textId="6AE9E907" w:rsidR="00DA4EB7" w:rsidRPr="00DA6031" w:rsidRDefault="00AB41E2" w:rsidP="00356049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iCs/>
          <w:sz w:val="20"/>
          <w:szCs w:val="20"/>
          <w:lang w:val="en-US"/>
        </w:rPr>
        <w:t>With the goal to study the interactions occurr</w:t>
      </w:r>
      <w:r w:rsidR="008A3434">
        <w:rPr>
          <w:rFonts w:ascii="Times New Roman" w:hAnsi="Times New Roman" w:cs="Times New Roman"/>
          <w:iCs/>
          <w:sz w:val="20"/>
          <w:szCs w:val="20"/>
          <w:lang w:val="en-US"/>
        </w:rPr>
        <w:t>ing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between a </w:t>
      </w:r>
      <w:r w:rsidR="00366541">
        <w:rPr>
          <w:rFonts w:ascii="Times New Roman" w:hAnsi="Times New Roman" w:cs="Times New Roman"/>
          <w:iCs/>
          <w:sz w:val="20"/>
          <w:szCs w:val="20"/>
          <w:lang w:val="en-US"/>
        </w:rPr>
        <w:t>non-</w:t>
      </w:r>
      <w:r w:rsidR="00366541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Saccharomyces </w:t>
      </w:r>
      <w:r w:rsidR="00366541">
        <w:rPr>
          <w:rFonts w:ascii="Times New Roman" w:hAnsi="Times New Roman" w:cs="Times New Roman"/>
          <w:sz w:val="20"/>
          <w:szCs w:val="20"/>
          <w:lang w:val="en-US"/>
        </w:rPr>
        <w:t xml:space="preserve">yeast and </w:t>
      </w:r>
      <w:r w:rsidR="00366541">
        <w:rPr>
          <w:rFonts w:ascii="Times New Roman" w:hAnsi="Times New Roman" w:cs="Times New Roman"/>
          <w:i/>
          <w:iCs/>
          <w:sz w:val="20"/>
          <w:szCs w:val="20"/>
          <w:lang w:val="en-US"/>
        </w:rPr>
        <w:t>S. cerevisiae</w:t>
      </w:r>
      <w:r w:rsidR="00366541">
        <w:rPr>
          <w:rFonts w:ascii="Times New Roman" w:hAnsi="Times New Roman" w:cs="Times New Roman"/>
          <w:sz w:val="20"/>
          <w:szCs w:val="20"/>
          <w:lang w:val="en-US"/>
        </w:rPr>
        <w:t>, transcriptomic analysis is going to be applied on the RNA extracted from the cells collected under different fermentation conditions.</w:t>
      </w:r>
      <w:r w:rsidR="00B959B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C295D">
        <w:rPr>
          <w:rFonts w:ascii="Times New Roman" w:hAnsi="Times New Roman" w:cs="Times New Roman"/>
          <w:sz w:val="20"/>
          <w:szCs w:val="20"/>
          <w:lang w:val="en-US"/>
        </w:rPr>
        <w:t xml:space="preserve">The choice of </w:t>
      </w:r>
      <w:r w:rsidR="00B959BC">
        <w:rPr>
          <w:rFonts w:ascii="Times New Roman" w:hAnsi="Times New Roman" w:cs="Times New Roman"/>
          <w:sz w:val="20"/>
          <w:szCs w:val="20"/>
          <w:lang w:val="en-US"/>
        </w:rPr>
        <w:t xml:space="preserve">two different days for the first sampling point </w:t>
      </w:r>
      <w:r w:rsidR="00DC295D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="00B959BC">
        <w:rPr>
          <w:rFonts w:ascii="Times New Roman" w:hAnsi="Times New Roman" w:cs="Times New Roman"/>
          <w:sz w:val="20"/>
          <w:szCs w:val="20"/>
          <w:lang w:val="en-US"/>
        </w:rPr>
        <w:t xml:space="preserve"> cells collection f</w:t>
      </w:r>
      <w:r w:rsidR="00DC295D">
        <w:rPr>
          <w:rFonts w:ascii="Times New Roman" w:hAnsi="Times New Roman" w:cs="Times New Roman"/>
          <w:sz w:val="20"/>
          <w:szCs w:val="20"/>
          <w:lang w:val="en-US"/>
        </w:rPr>
        <w:t>or</w:t>
      </w:r>
      <w:r w:rsidR="00B959BC">
        <w:rPr>
          <w:rFonts w:ascii="Times New Roman" w:hAnsi="Times New Roman" w:cs="Times New Roman"/>
          <w:sz w:val="20"/>
          <w:szCs w:val="20"/>
          <w:lang w:val="en-US"/>
        </w:rPr>
        <w:t xml:space="preserve"> pure fermentations to have similar conditions </w:t>
      </w:r>
      <w:r w:rsidR="00DC295D">
        <w:rPr>
          <w:rFonts w:ascii="Times New Roman" w:hAnsi="Times New Roman" w:cs="Times New Roman"/>
          <w:sz w:val="20"/>
          <w:szCs w:val="20"/>
          <w:lang w:val="en-US"/>
        </w:rPr>
        <w:t>of the must was confirmed by HPLC (</w:t>
      </w:r>
      <w:r w:rsidR="00EF17A7">
        <w:rPr>
          <w:rFonts w:ascii="Times New Roman" w:hAnsi="Times New Roman" w:cs="Times New Roman"/>
          <w:sz w:val="20"/>
          <w:szCs w:val="20"/>
          <w:lang w:val="en-US"/>
        </w:rPr>
        <w:t>sugars and ethanol</w:t>
      </w:r>
      <w:r w:rsidR="00A0671B">
        <w:rPr>
          <w:rFonts w:ascii="Times New Roman" w:hAnsi="Times New Roman" w:cs="Times New Roman"/>
          <w:sz w:val="20"/>
          <w:szCs w:val="20"/>
          <w:lang w:val="en-US"/>
        </w:rPr>
        <w:t xml:space="preserve"> nearly equal</w:t>
      </w:r>
      <w:r w:rsidR="00EF17A7"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r w:rsidR="00DC295D">
        <w:rPr>
          <w:rFonts w:ascii="Times New Roman" w:hAnsi="Times New Roman" w:cs="Times New Roman"/>
          <w:sz w:val="20"/>
          <w:szCs w:val="20"/>
          <w:lang w:val="en-US"/>
        </w:rPr>
        <w:t>data not shown)</w:t>
      </w:r>
      <w:r w:rsidR="00B959BC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36654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A4EB7">
        <w:rPr>
          <w:rFonts w:ascii="Times New Roman" w:hAnsi="Times New Roman" w:cs="Times New Roman"/>
          <w:sz w:val="20"/>
          <w:szCs w:val="20"/>
          <w:lang w:val="en-US"/>
        </w:rPr>
        <w:t>The quicker disappearance of</w:t>
      </w:r>
      <w:r w:rsidR="00B959BC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="00B959BC">
        <w:rPr>
          <w:rFonts w:ascii="Times New Roman" w:hAnsi="Times New Roman" w:cs="Times New Roman"/>
          <w:i/>
          <w:sz w:val="20"/>
          <w:szCs w:val="20"/>
          <w:lang w:val="en-US"/>
        </w:rPr>
        <w:t xml:space="preserve">S. </w:t>
      </w:r>
      <w:r w:rsidR="00B959BC" w:rsidRPr="00B959BC">
        <w:rPr>
          <w:rFonts w:ascii="Times New Roman" w:hAnsi="Times New Roman" w:cs="Times New Roman"/>
          <w:i/>
          <w:sz w:val="20"/>
          <w:szCs w:val="20"/>
          <w:lang w:val="en-US"/>
        </w:rPr>
        <w:t>cerevisiae</w:t>
      </w:r>
      <w:r w:rsidR="00DA4EB7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DA4EB7">
        <w:rPr>
          <w:rFonts w:ascii="Times New Roman" w:hAnsi="Times New Roman" w:cs="Times New Roman"/>
          <w:iCs/>
          <w:sz w:val="20"/>
          <w:szCs w:val="20"/>
          <w:lang w:val="en-US"/>
        </w:rPr>
        <w:t>in pure fermentation</w:t>
      </w:r>
      <w:r w:rsidR="00B959BC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probably</w:t>
      </w:r>
      <w:r w:rsidR="00DA4EB7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is</w:t>
      </w:r>
      <w:r w:rsidR="00B959BC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due to the complete depletion of nutrient</w:t>
      </w:r>
      <w:r w:rsidR="00DA4EB7">
        <w:rPr>
          <w:rFonts w:ascii="Times New Roman" w:hAnsi="Times New Roman" w:cs="Times New Roman"/>
          <w:iCs/>
          <w:sz w:val="20"/>
          <w:szCs w:val="20"/>
          <w:lang w:val="en-US"/>
        </w:rPr>
        <w:t>s</w:t>
      </w:r>
      <w:r w:rsidR="00B959BC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. </w:t>
      </w:r>
      <w:r w:rsidR="00DA4EB7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The highest amount of </w:t>
      </w:r>
      <w:r w:rsidR="00DA4EB7">
        <w:rPr>
          <w:rFonts w:ascii="Times New Roman" w:hAnsi="Times New Roman" w:cs="Times New Roman"/>
          <w:i/>
          <w:sz w:val="20"/>
          <w:szCs w:val="20"/>
          <w:lang w:val="en-US"/>
        </w:rPr>
        <w:t xml:space="preserve">Starm. bacillaris </w:t>
      </w:r>
      <w:r w:rsidR="00DA4EB7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cells in mixed fermentation should be correlated to a response due to the competition with another yeast. </w:t>
      </w:r>
      <w:r w:rsidR="00D60D24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While </w:t>
      </w:r>
      <w:r w:rsidR="005869A5">
        <w:rPr>
          <w:rFonts w:ascii="Times New Roman" w:hAnsi="Times New Roman" w:cs="Times New Roman"/>
          <w:i/>
          <w:sz w:val="20"/>
          <w:szCs w:val="20"/>
          <w:lang w:val="en-US"/>
        </w:rPr>
        <w:t>S. cerevisiae</w:t>
      </w:r>
      <w:r w:rsidR="00D60D24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="005869A5">
        <w:rPr>
          <w:rFonts w:ascii="Times New Roman" w:hAnsi="Times New Roman" w:cs="Times New Roman"/>
          <w:iCs/>
          <w:sz w:val="20"/>
          <w:szCs w:val="20"/>
          <w:lang w:val="en-US"/>
        </w:rPr>
        <w:t>overpass</w:t>
      </w:r>
      <w:r w:rsidR="00D60D24">
        <w:rPr>
          <w:rFonts w:ascii="Times New Roman" w:hAnsi="Times New Roman" w:cs="Times New Roman"/>
          <w:iCs/>
          <w:sz w:val="20"/>
          <w:szCs w:val="20"/>
          <w:lang w:val="en-US"/>
        </w:rPr>
        <w:t>ed</w:t>
      </w:r>
      <w:r w:rsidR="005869A5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8 Log/mL </w:t>
      </w:r>
      <w:r w:rsidR="00D60D24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at the second day in pure fermentation, this was not achieved </w:t>
      </w:r>
      <w:r w:rsidR="005869A5">
        <w:rPr>
          <w:rFonts w:ascii="Times New Roman" w:hAnsi="Times New Roman" w:cs="Times New Roman"/>
          <w:iCs/>
          <w:sz w:val="20"/>
          <w:szCs w:val="20"/>
          <w:lang w:val="en-US"/>
        </w:rPr>
        <w:t>in case of mixed</w:t>
      </w:r>
      <w:r w:rsidR="00D60D24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; this </w:t>
      </w:r>
      <w:r w:rsidR="005869A5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should be correlated to factors that reduce its ability to reach high cell concentration. This behavior is more evident in case of mixed fermentation with contact, hypothesizing a disturbance due to the presence of high concentration of a competing yeast (for space and nutrients). </w:t>
      </w:r>
      <w:r w:rsidR="006E5656">
        <w:rPr>
          <w:rFonts w:ascii="Times New Roman" w:hAnsi="Times New Roman" w:cs="Times New Roman"/>
          <w:iCs/>
          <w:sz w:val="20"/>
          <w:szCs w:val="20"/>
          <w:lang w:val="en-US"/>
        </w:rPr>
        <w:t>As was studied in the past, the physical separation of cells allows a longer permanence of the non-</w:t>
      </w:r>
      <w:r w:rsidR="006E5656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Saccharomyces </w:t>
      </w:r>
      <w:r w:rsidR="006E5656">
        <w:rPr>
          <w:rFonts w:ascii="Times New Roman" w:hAnsi="Times New Roman" w:cs="Times New Roman"/>
          <w:sz w:val="20"/>
          <w:szCs w:val="20"/>
          <w:lang w:val="en-US"/>
        </w:rPr>
        <w:t xml:space="preserve">yeast. In this last case, the presence of </w:t>
      </w:r>
      <w:r w:rsidR="009B5BF4">
        <w:rPr>
          <w:rFonts w:ascii="Times New Roman" w:hAnsi="Times New Roman" w:cs="Times New Roman"/>
          <w:i/>
          <w:sz w:val="20"/>
          <w:szCs w:val="20"/>
          <w:lang w:val="en-US"/>
        </w:rPr>
        <w:t xml:space="preserve">Starm. bacillaris </w:t>
      </w:r>
      <w:r w:rsidR="004A1A10">
        <w:rPr>
          <w:rFonts w:ascii="Times New Roman" w:hAnsi="Times New Roman" w:cs="Times New Roman"/>
          <w:sz w:val="20"/>
          <w:szCs w:val="20"/>
          <w:lang w:val="en-US"/>
        </w:rPr>
        <w:t>lasted</w:t>
      </w:r>
      <w:r w:rsidR="009B5BF4">
        <w:rPr>
          <w:rFonts w:ascii="Times New Roman" w:hAnsi="Times New Roman" w:cs="Times New Roman"/>
          <w:sz w:val="20"/>
          <w:szCs w:val="20"/>
          <w:lang w:val="en-US"/>
        </w:rPr>
        <w:t xml:space="preserve"> until</w:t>
      </w:r>
      <w:r w:rsidR="006E5656">
        <w:rPr>
          <w:rFonts w:ascii="Times New Roman" w:hAnsi="Times New Roman" w:cs="Times New Roman"/>
          <w:sz w:val="20"/>
          <w:szCs w:val="20"/>
          <w:lang w:val="en-US"/>
        </w:rPr>
        <w:t xml:space="preserve"> the tenth day while </w:t>
      </w:r>
      <w:r w:rsidR="00D60D24">
        <w:rPr>
          <w:rFonts w:ascii="Times New Roman" w:hAnsi="Times New Roman" w:cs="Times New Roman"/>
          <w:sz w:val="20"/>
          <w:szCs w:val="20"/>
          <w:lang w:val="en-US"/>
        </w:rPr>
        <w:t xml:space="preserve">it was undetectable in case of fermentations with contact. </w:t>
      </w:r>
      <w:r w:rsidR="00DF2756">
        <w:rPr>
          <w:rFonts w:ascii="Times New Roman" w:hAnsi="Times New Roman" w:cs="Times New Roman"/>
          <w:sz w:val="20"/>
          <w:szCs w:val="20"/>
          <w:lang w:val="en-US"/>
        </w:rPr>
        <w:t xml:space="preserve">Viable cells of </w:t>
      </w:r>
      <w:r w:rsidR="00D60D24">
        <w:rPr>
          <w:rFonts w:ascii="Times New Roman" w:hAnsi="Times New Roman" w:cs="Times New Roman"/>
          <w:i/>
          <w:sz w:val="20"/>
          <w:szCs w:val="20"/>
          <w:lang w:val="en-US"/>
        </w:rPr>
        <w:t>Starm. bacillaris</w:t>
      </w:r>
      <w:r w:rsidR="009B5BF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60D24">
        <w:rPr>
          <w:rFonts w:ascii="Times New Roman" w:hAnsi="Times New Roman" w:cs="Times New Roman"/>
          <w:sz w:val="20"/>
          <w:szCs w:val="20"/>
          <w:lang w:val="en-US"/>
        </w:rPr>
        <w:t>was</w:t>
      </w:r>
      <w:r w:rsidR="005B56F0">
        <w:rPr>
          <w:rFonts w:ascii="Times New Roman" w:hAnsi="Times New Roman" w:cs="Times New Roman"/>
          <w:sz w:val="20"/>
          <w:szCs w:val="20"/>
          <w:lang w:val="en-US"/>
        </w:rPr>
        <w:t xml:space="preserve"> no</w:t>
      </w:r>
      <w:r w:rsidR="00DF2756">
        <w:rPr>
          <w:rFonts w:ascii="Times New Roman" w:hAnsi="Times New Roman" w:cs="Times New Roman"/>
          <w:sz w:val="20"/>
          <w:szCs w:val="20"/>
          <w:lang w:val="en-US"/>
        </w:rPr>
        <w:t>t found at the fourteenth day in mixed fermentation with physical separation</w:t>
      </w:r>
      <w:r w:rsidR="005B56F0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DF275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B56F0"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DF2756">
        <w:rPr>
          <w:rFonts w:ascii="Times New Roman" w:hAnsi="Times New Roman" w:cs="Times New Roman"/>
          <w:sz w:val="20"/>
          <w:szCs w:val="20"/>
          <w:lang w:val="en-US"/>
        </w:rPr>
        <w:t xml:space="preserve">he ethanol concentration (14.97 % (v/v)), that is higher than previous studies done on this couple of yeasts (Englezos et al., 2016), </w:t>
      </w:r>
      <w:r w:rsidR="005B56F0">
        <w:rPr>
          <w:rFonts w:ascii="Times New Roman" w:hAnsi="Times New Roman" w:cs="Times New Roman"/>
          <w:sz w:val="20"/>
          <w:szCs w:val="20"/>
          <w:lang w:val="en-US"/>
        </w:rPr>
        <w:t>may have played a role in</w:t>
      </w:r>
      <w:r w:rsidR="00DF2756">
        <w:rPr>
          <w:rFonts w:ascii="Times New Roman" w:hAnsi="Times New Roman" w:cs="Times New Roman"/>
          <w:sz w:val="20"/>
          <w:szCs w:val="20"/>
          <w:lang w:val="en-US"/>
        </w:rPr>
        <w:t xml:space="preserve"> its </w:t>
      </w:r>
      <w:r w:rsidR="005B56F0">
        <w:rPr>
          <w:rFonts w:ascii="Times New Roman" w:hAnsi="Times New Roman" w:cs="Times New Roman"/>
          <w:sz w:val="20"/>
          <w:szCs w:val="20"/>
          <w:lang w:val="en-US"/>
        </w:rPr>
        <w:t xml:space="preserve">earlier </w:t>
      </w:r>
      <w:r w:rsidR="00DF2756">
        <w:rPr>
          <w:rFonts w:ascii="Times New Roman" w:hAnsi="Times New Roman" w:cs="Times New Roman"/>
          <w:sz w:val="20"/>
          <w:szCs w:val="20"/>
          <w:lang w:val="en-US"/>
        </w:rPr>
        <w:t xml:space="preserve">suppression. </w:t>
      </w:r>
      <w:r w:rsidR="009B5BF4"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DA6031">
        <w:rPr>
          <w:rFonts w:ascii="Times New Roman" w:hAnsi="Times New Roman" w:cs="Times New Roman"/>
          <w:sz w:val="20"/>
          <w:szCs w:val="20"/>
          <w:lang w:val="en-US"/>
        </w:rPr>
        <w:t xml:space="preserve">he longer presence of </w:t>
      </w:r>
      <w:r w:rsidR="00DA6031">
        <w:rPr>
          <w:rFonts w:ascii="Times New Roman" w:hAnsi="Times New Roman" w:cs="Times New Roman"/>
          <w:i/>
          <w:iCs/>
          <w:sz w:val="20"/>
          <w:szCs w:val="20"/>
          <w:lang w:val="en-US"/>
        </w:rPr>
        <w:t>Starm. bacillaris</w:t>
      </w:r>
      <w:r w:rsidR="00DA6031">
        <w:rPr>
          <w:rFonts w:ascii="Times New Roman" w:hAnsi="Times New Roman" w:cs="Times New Roman"/>
          <w:sz w:val="20"/>
          <w:szCs w:val="20"/>
          <w:lang w:val="en-US"/>
        </w:rPr>
        <w:t xml:space="preserve"> lowe</w:t>
      </w:r>
      <w:r w:rsidR="009B5BF4">
        <w:rPr>
          <w:rFonts w:ascii="Times New Roman" w:hAnsi="Times New Roman" w:cs="Times New Roman"/>
          <w:sz w:val="20"/>
          <w:szCs w:val="20"/>
          <w:lang w:val="en-US"/>
        </w:rPr>
        <w:t>red the ethanol</w:t>
      </w:r>
      <w:r w:rsidR="00DA6031">
        <w:rPr>
          <w:rFonts w:ascii="Times New Roman" w:hAnsi="Times New Roman" w:cs="Times New Roman"/>
          <w:sz w:val="20"/>
          <w:szCs w:val="20"/>
          <w:lang w:val="en-US"/>
        </w:rPr>
        <w:t xml:space="preserve"> and </w:t>
      </w:r>
      <w:r w:rsidR="009B5BF4">
        <w:rPr>
          <w:rFonts w:ascii="Times New Roman" w:hAnsi="Times New Roman" w:cs="Times New Roman"/>
          <w:sz w:val="20"/>
          <w:szCs w:val="20"/>
          <w:lang w:val="en-US"/>
        </w:rPr>
        <w:t>increased the</w:t>
      </w:r>
      <w:r w:rsidR="00DA6031">
        <w:rPr>
          <w:rFonts w:ascii="Times New Roman" w:hAnsi="Times New Roman" w:cs="Times New Roman"/>
          <w:sz w:val="20"/>
          <w:szCs w:val="20"/>
          <w:lang w:val="en-US"/>
        </w:rPr>
        <w:t xml:space="preserve"> glycerol (10.53 g/L)</w:t>
      </w:r>
      <w:r w:rsidR="00627116">
        <w:rPr>
          <w:rFonts w:ascii="Times New Roman" w:hAnsi="Times New Roman" w:cs="Times New Roman"/>
          <w:sz w:val="20"/>
          <w:szCs w:val="20"/>
          <w:lang w:val="en-US"/>
        </w:rPr>
        <w:t xml:space="preserve"> as well</w:t>
      </w:r>
      <w:r w:rsidR="009B5BF4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260847">
        <w:rPr>
          <w:rFonts w:ascii="Times New Roman" w:hAnsi="Times New Roman" w:cs="Times New Roman"/>
          <w:sz w:val="20"/>
          <w:szCs w:val="20"/>
          <w:lang w:val="en-US"/>
        </w:rPr>
        <w:t xml:space="preserve"> It is expected that the transcriptome analysis will lead to a better understanding of the phenomena observed during mixed fermentations.</w:t>
      </w:r>
    </w:p>
    <w:p w14:paraId="5029B0DC" w14:textId="2E266723" w:rsidR="006E5656" w:rsidRPr="00AB41E2" w:rsidRDefault="006F539C" w:rsidP="006F539C">
      <w:pPr>
        <w:pStyle w:val="Titolo11"/>
        <w:numPr>
          <w:ilvl w:val="0"/>
          <w:numId w:val="0"/>
        </w:numPr>
      </w:pPr>
      <w:r>
        <w:t>5.</w:t>
      </w:r>
      <w:r w:rsidR="00F07335">
        <w:t xml:space="preserve"> </w:t>
      </w:r>
      <w:r w:rsidR="00AB41E2">
        <w:t>References</w:t>
      </w:r>
    </w:p>
    <w:p w14:paraId="40F8F178" w14:textId="676B75D7" w:rsidR="009B5BF4" w:rsidRDefault="009B5BF4" w:rsidP="00A7142C">
      <w:pPr>
        <w:spacing w:before="1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B5BF4">
        <w:rPr>
          <w:rFonts w:ascii="Times New Roman" w:hAnsi="Times New Roman" w:cs="Times New Roman"/>
          <w:sz w:val="20"/>
          <w:szCs w:val="20"/>
        </w:rPr>
        <w:t xml:space="preserve">Englezos, V., Rantsiou, K., Cravero, F., Torchio, F., Ortiz-Julien, A., Gerbi, V., Rolle, L., Cocolin, L. (2016). </w:t>
      </w:r>
      <w:r w:rsidRPr="009B5BF4">
        <w:rPr>
          <w:rFonts w:ascii="Times New Roman" w:hAnsi="Times New Roman" w:cs="Times New Roman"/>
          <w:i/>
          <w:iCs/>
          <w:sz w:val="20"/>
          <w:szCs w:val="20"/>
          <w:lang w:val="en-US"/>
        </w:rPr>
        <w:t>Starmerella bacillaris</w:t>
      </w:r>
      <w:r w:rsidRPr="009B5BF4">
        <w:rPr>
          <w:rFonts w:ascii="Times New Roman" w:hAnsi="Times New Roman" w:cs="Times New Roman"/>
          <w:sz w:val="20"/>
          <w:szCs w:val="20"/>
          <w:lang w:val="en-US"/>
        </w:rPr>
        <w:t xml:space="preserve"> and </w:t>
      </w:r>
      <w:r w:rsidRPr="009B5BF4">
        <w:rPr>
          <w:rFonts w:ascii="Times New Roman" w:hAnsi="Times New Roman" w:cs="Times New Roman"/>
          <w:i/>
          <w:iCs/>
          <w:sz w:val="20"/>
          <w:szCs w:val="20"/>
          <w:lang w:val="en-US"/>
        </w:rPr>
        <w:t>Saccharomyces cerevisiae</w:t>
      </w:r>
      <w:r w:rsidRPr="009B5BF4">
        <w:rPr>
          <w:rFonts w:ascii="Times New Roman" w:hAnsi="Times New Roman" w:cs="Times New Roman"/>
          <w:sz w:val="20"/>
          <w:szCs w:val="20"/>
          <w:lang w:val="en-US"/>
        </w:rPr>
        <w:t xml:space="preserve"> mixed fermentations to reduce ethanol content in wine. </w:t>
      </w:r>
      <w:r w:rsidRPr="00AC20ED">
        <w:rPr>
          <w:rFonts w:ascii="Times New Roman" w:hAnsi="Times New Roman" w:cs="Times New Roman"/>
          <w:i/>
          <w:iCs/>
          <w:sz w:val="20"/>
          <w:szCs w:val="20"/>
          <w:lang w:val="en-US"/>
        </w:rPr>
        <w:t>Applied Microbiology and Biotechnology</w:t>
      </w:r>
      <w:r w:rsidR="00AC20ED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9B5BF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C20ED">
        <w:rPr>
          <w:rFonts w:ascii="Times New Roman" w:hAnsi="Times New Roman" w:cs="Times New Roman"/>
          <w:i/>
          <w:iCs/>
          <w:sz w:val="20"/>
          <w:szCs w:val="20"/>
          <w:lang w:val="en-US"/>
        </w:rPr>
        <w:t>100</w:t>
      </w:r>
      <w:r w:rsidRPr="009B5BF4">
        <w:rPr>
          <w:rFonts w:ascii="Times New Roman" w:hAnsi="Times New Roman" w:cs="Times New Roman"/>
          <w:sz w:val="20"/>
          <w:szCs w:val="20"/>
          <w:lang w:val="en-US"/>
        </w:rPr>
        <w:t>, 5515–5526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9B5BF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6" w:history="1">
        <w:r w:rsidRPr="00002020">
          <w:rPr>
            <w:rStyle w:val="Collegamentoipertestuale"/>
            <w:rFonts w:ascii="Times New Roman" w:hAnsi="Times New Roman" w:cs="Times New Roman"/>
            <w:sz w:val="20"/>
            <w:szCs w:val="20"/>
            <w:lang w:val="en-US"/>
          </w:rPr>
          <w:t>https://doi.org/10.1007/s00253-016-7413-z</w:t>
        </w:r>
      </w:hyperlink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6820790B" w14:textId="2A30E39D" w:rsidR="009B5BF4" w:rsidRDefault="000812E2" w:rsidP="009B5BF4">
      <w:pPr>
        <w:spacing w:before="120"/>
        <w:jc w:val="both"/>
        <w:rPr>
          <w:rFonts w:ascii="Times New Roman" w:hAnsi="Times New Roman" w:cs="Times New Roman"/>
          <w:iCs/>
          <w:sz w:val="20"/>
          <w:szCs w:val="20"/>
          <w:lang w:val="en-US"/>
        </w:rPr>
      </w:pPr>
      <w:r w:rsidRPr="00A7142C">
        <w:rPr>
          <w:rFonts w:ascii="Times New Roman" w:hAnsi="Times New Roman" w:cs="Times New Roman"/>
          <w:sz w:val="20"/>
          <w:szCs w:val="20"/>
          <w:lang w:val="en-US"/>
        </w:rPr>
        <w:t>Englezos</w:t>
      </w:r>
      <w:r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A7142C">
        <w:rPr>
          <w:rFonts w:ascii="Times New Roman" w:hAnsi="Times New Roman" w:cs="Times New Roman"/>
          <w:sz w:val="20"/>
          <w:szCs w:val="20"/>
          <w:lang w:val="en-US"/>
        </w:rPr>
        <w:t xml:space="preserve"> V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A7142C">
        <w:rPr>
          <w:rFonts w:ascii="Times New Roman" w:hAnsi="Times New Roman" w:cs="Times New Roman"/>
          <w:sz w:val="20"/>
          <w:szCs w:val="20"/>
          <w:lang w:val="en-US"/>
        </w:rPr>
        <w:t>, Rantsiou</w:t>
      </w:r>
      <w:r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A7142C">
        <w:rPr>
          <w:rFonts w:ascii="Times New Roman" w:hAnsi="Times New Roman" w:cs="Times New Roman"/>
          <w:sz w:val="20"/>
          <w:szCs w:val="20"/>
          <w:lang w:val="en-US"/>
        </w:rPr>
        <w:t xml:space="preserve"> K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A7142C">
        <w:rPr>
          <w:rFonts w:ascii="Times New Roman" w:hAnsi="Times New Roman" w:cs="Times New Roman"/>
          <w:sz w:val="20"/>
          <w:szCs w:val="20"/>
          <w:lang w:val="en-US"/>
        </w:rPr>
        <w:t>, Giacosa</w:t>
      </w:r>
      <w:r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A7142C">
        <w:rPr>
          <w:rFonts w:ascii="Times New Roman" w:hAnsi="Times New Roman" w:cs="Times New Roman"/>
          <w:sz w:val="20"/>
          <w:szCs w:val="20"/>
          <w:lang w:val="en-US"/>
        </w:rPr>
        <w:t xml:space="preserve"> S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A7142C">
        <w:rPr>
          <w:rFonts w:ascii="Times New Roman" w:hAnsi="Times New Roman" w:cs="Times New Roman"/>
          <w:sz w:val="20"/>
          <w:szCs w:val="20"/>
          <w:lang w:val="en-US"/>
        </w:rPr>
        <w:t>, Río Segade</w:t>
      </w:r>
      <w:r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A7142C">
        <w:rPr>
          <w:rFonts w:ascii="Times New Roman" w:hAnsi="Times New Roman" w:cs="Times New Roman"/>
          <w:sz w:val="20"/>
          <w:szCs w:val="20"/>
          <w:lang w:val="en-US"/>
        </w:rPr>
        <w:t xml:space="preserve"> S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A7142C">
        <w:rPr>
          <w:rFonts w:ascii="Times New Roman" w:hAnsi="Times New Roman" w:cs="Times New Roman"/>
          <w:sz w:val="20"/>
          <w:szCs w:val="20"/>
          <w:lang w:val="en-US"/>
        </w:rPr>
        <w:t>, Rolle</w:t>
      </w:r>
      <w:r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A7142C">
        <w:rPr>
          <w:rFonts w:ascii="Times New Roman" w:hAnsi="Times New Roman" w:cs="Times New Roman"/>
          <w:sz w:val="20"/>
          <w:szCs w:val="20"/>
          <w:lang w:val="en-US"/>
        </w:rPr>
        <w:t xml:space="preserve"> L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A7142C">
        <w:rPr>
          <w:rFonts w:ascii="Times New Roman" w:hAnsi="Times New Roman" w:cs="Times New Roman"/>
          <w:sz w:val="20"/>
          <w:szCs w:val="20"/>
          <w:lang w:val="en-US"/>
        </w:rPr>
        <w:t>, Cocolin</w:t>
      </w:r>
      <w:r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A7142C">
        <w:rPr>
          <w:rFonts w:ascii="Times New Roman" w:hAnsi="Times New Roman" w:cs="Times New Roman"/>
          <w:sz w:val="20"/>
          <w:szCs w:val="20"/>
          <w:lang w:val="en-US"/>
        </w:rPr>
        <w:t xml:space="preserve"> L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A7142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A7142C">
        <w:rPr>
          <w:rFonts w:ascii="Times New Roman" w:hAnsi="Times New Roman" w:cs="Times New Roman"/>
          <w:sz w:val="20"/>
          <w:szCs w:val="20"/>
          <w:lang w:val="en-US"/>
        </w:rPr>
        <w:t>2019</w:t>
      </w:r>
      <w:r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A7142C">
        <w:rPr>
          <w:rFonts w:ascii="Times New Roman" w:hAnsi="Times New Roman" w:cs="Times New Roman"/>
          <w:sz w:val="20"/>
          <w:szCs w:val="20"/>
          <w:lang w:val="en-US"/>
        </w:rPr>
        <w:t xml:space="preserve"> Cell-to-cell contact mechanism modulates </w:t>
      </w:r>
      <w:r w:rsidRPr="00A7142C">
        <w:rPr>
          <w:rFonts w:ascii="Times New Roman" w:hAnsi="Times New Roman" w:cs="Times New Roman"/>
          <w:i/>
          <w:iCs/>
          <w:sz w:val="20"/>
          <w:szCs w:val="20"/>
          <w:lang w:val="en-US"/>
        </w:rPr>
        <w:t>Starmerella bacillaris</w:t>
      </w:r>
      <w:r w:rsidRPr="00A7142C">
        <w:rPr>
          <w:rFonts w:ascii="Times New Roman" w:hAnsi="Times New Roman" w:cs="Times New Roman"/>
          <w:sz w:val="20"/>
          <w:szCs w:val="20"/>
          <w:lang w:val="en-US"/>
        </w:rPr>
        <w:t xml:space="preserve"> death in mixed culture fermentations with </w:t>
      </w:r>
      <w:r w:rsidRPr="00A7142C">
        <w:rPr>
          <w:rFonts w:ascii="Times New Roman" w:hAnsi="Times New Roman" w:cs="Times New Roman"/>
          <w:i/>
          <w:iCs/>
          <w:sz w:val="20"/>
          <w:szCs w:val="20"/>
          <w:lang w:val="en-US"/>
        </w:rPr>
        <w:t>Saccharomyces cerevisiae</w:t>
      </w:r>
      <w:r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A7142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C7CFF">
        <w:rPr>
          <w:rFonts w:ascii="Times New Roman" w:hAnsi="Times New Roman" w:cs="Times New Roman"/>
          <w:i/>
          <w:iCs/>
          <w:sz w:val="20"/>
          <w:szCs w:val="20"/>
          <w:lang w:val="en-US"/>
        </w:rPr>
        <w:t>International Journal of Food Microbiology</w:t>
      </w:r>
      <w:r w:rsidR="00AC20ED">
        <w:rPr>
          <w:rFonts w:ascii="Times New Roman" w:hAnsi="Times New Roman" w:cs="Times New Roman"/>
          <w:i/>
          <w:iCs/>
          <w:sz w:val="20"/>
          <w:szCs w:val="20"/>
          <w:lang w:val="en-US"/>
        </w:rPr>
        <w:t>,</w:t>
      </w:r>
      <w:r w:rsidRPr="000812E2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289</w:t>
      </w:r>
      <w:r w:rsidR="00AC20ED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A7142C">
        <w:rPr>
          <w:rFonts w:ascii="Times New Roman" w:hAnsi="Times New Roman" w:cs="Times New Roman"/>
          <w:sz w:val="20"/>
          <w:szCs w:val="20"/>
          <w:lang w:val="en-US"/>
        </w:rPr>
        <w:t xml:space="preserve"> 106–114</w:t>
      </w:r>
      <w:r w:rsidR="0034107D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hyperlink r:id="rId7" w:history="1">
        <w:r w:rsidR="0034107D" w:rsidRPr="00E37288">
          <w:rPr>
            <w:rStyle w:val="Collegamentoipertestuale"/>
            <w:rFonts w:ascii="Times New Roman" w:hAnsi="Times New Roman" w:cs="Times New Roman"/>
            <w:sz w:val="20"/>
            <w:szCs w:val="20"/>
            <w:lang w:val="en-US"/>
          </w:rPr>
          <w:t>https://doi.org/10.1016/j.ijfoodmicro.2018.09.009</w:t>
        </w:r>
      </w:hyperlink>
      <w:r w:rsidR="0034107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0D1B87E9" w14:textId="3098C452" w:rsidR="004E5054" w:rsidRPr="00DF2756" w:rsidRDefault="009B5BF4">
      <w:pPr>
        <w:spacing w:before="120"/>
        <w:jc w:val="both"/>
        <w:rPr>
          <w:rFonts w:ascii="Times New Roman" w:hAnsi="Times New Roman" w:cs="Times New Roman"/>
          <w:iCs/>
          <w:sz w:val="20"/>
          <w:szCs w:val="20"/>
          <w:lang w:val="en-US"/>
        </w:rPr>
      </w:pPr>
      <w:r w:rsidRPr="006E5656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Nissen, P., Arneborg, N. 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 xml:space="preserve">(2003). </w:t>
      </w:r>
      <w:r w:rsidRPr="006E5656">
        <w:rPr>
          <w:rFonts w:ascii="Times New Roman" w:hAnsi="Times New Roman" w:cs="Times New Roman"/>
          <w:iCs/>
          <w:sz w:val="20"/>
          <w:szCs w:val="20"/>
          <w:lang w:val="en-US"/>
        </w:rPr>
        <w:t>Characterization of early deaths of non-</w:t>
      </w:r>
      <w:r w:rsidRPr="006E5656">
        <w:rPr>
          <w:rFonts w:ascii="Times New Roman" w:hAnsi="Times New Roman" w:cs="Times New Roman"/>
          <w:i/>
          <w:sz w:val="20"/>
          <w:szCs w:val="20"/>
          <w:lang w:val="en-US"/>
        </w:rPr>
        <w:t>Saccharomyces</w:t>
      </w:r>
      <w:r w:rsidRPr="006E5656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yeasts in mixed cultures with </w:t>
      </w:r>
      <w:r w:rsidRPr="006E5656">
        <w:rPr>
          <w:rFonts w:ascii="Times New Roman" w:hAnsi="Times New Roman" w:cs="Times New Roman"/>
          <w:i/>
          <w:sz w:val="20"/>
          <w:szCs w:val="20"/>
          <w:lang w:val="en-US"/>
        </w:rPr>
        <w:t>Saccharomyces cerevisiae</w:t>
      </w:r>
      <w:r w:rsidRPr="006E5656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. </w:t>
      </w:r>
      <w:r w:rsidRPr="00AC20ED">
        <w:rPr>
          <w:rFonts w:ascii="Times New Roman" w:hAnsi="Times New Roman" w:cs="Times New Roman"/>
          <w:i/>
          <w:sz w:val="20"/>
          <w:szCs w:val="20"/>
          <w:lang w:val="en-US"/>
        </w:rPr>
        <w:t>Archives of Microbiology</w:t>
      </w:r>
      <w:r w:rsidR="00AC20ED" w:rsidRPr="00AC20ED">
        <w:rPr>
          <w:rFonts w:ascii="Times New Roman" w:hAnsi="Times New Roman" w:cs="Times New Roman"/>
          <w:iCs/>
          <w:sz w:val="20"/>
          <w:szCs w:val="20"/>
          <w:lang w:val="en-US"/>
        </w:rPr>
        <w:t>,</w:t>
      </w:r>
      <w:r w:rsidRPr="00AC20ED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AC20ED">
        <w:rPr>
          <w:rFonts w:ascii="Times New Roman" w:hAnsi="Times New Roman" w:cs="Times New Roman"/>
          <w:i/>
          <w:sz w:val="20"/>
          <w:szCs w:val="20"/>
          <w:lang w:val="en-US"/>
        </w:rPr>
        <w:t>180</w:t>
      </w:r>
      <w:r w:rsidRPr="00AC20ED">
        <w:rPr>
          <w:rFonts w:ascii="Times New Roman" w:hAnsi="Times New Roman" w:cs="Times New Roman"/>
          <w:iCs/>
          <w:sz w:val="20"/>
          <w:szCs w:val="20"/>
          <w:lang w:val="en-US"/>
        </w:rPr>
        <w:t>, 257–263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 xml:space="preserve">. </w:t>
      </w:r>
      <w:hyperlink r:id="rId8" w:history="1">
        <w:r w:rsidRPr="00002020">
          <w:rPr>
            <w:rStyle w:val="Collegamentoipertestuale"/>
            <w:rFonts w:ascii="Times New Roman" w:hAnsi="Times New Roman" w:cs="Times New Roman"/>
            <w:iCs/>
            <w:sz w:val="20"/>
            <w:szCs w:val="20"/>
            <w:lang w:val="en-US"/>
          </w:rPr>
          <w:t>https://doi.org/10.1007/s00203-003-0585-9</w:t>
        </w:r>
      </w:hyperlink>
      <w:r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</w:p>
    <w:sectPr w:rsidR="004E5054" w:rsidRPr="00DF2756" w:rsidSect="00E6328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A3269"/>
    <w:multiLevelType w:val="hybridMultilevel"/>
    <w:tmpl w:val="37D0ABC2"/>
    <w:lvl w:ilvl="0" w:tplc="3DFE87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474E1"/>
    <w:multiLevelType w:val="hybridMultilevel"/>
    <w:tmpl w:val="D21AD2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1819885">
    <w:abstractNumId w:val="0"/>
  </w:num>
  <w:num w:numId="2" w16cid:durableId="1482308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7AF"/>
    <w:rsid w:val="00002BE8"/>
    <w:rsid w:val="0000725A"/>
    <w:rsid w:val="000137AF"/>
    <w:rsid w:val="0002248B"/>
    <w:rsid w:val="00025010"/>
    <w:rsid w:val="0002560C"/>
    <w:rsid w:val="00030BF7"/>
    <w:rsid w:val="00036D94"/>
    <w:rsid w:val="0006168E"/>
    <w:rsid w:val="0007329B"/>
    <w:rsid w:val="000812E2"/>
    <w:rsid w:val="00084D81"/>
    <w:rsid w:val="000862D0"/>
    <w:rsid w:val="000941A3"/>
    <w:rsid w:val="00096045"/>
    <w:rsid w:val="000A287F"/>
    <w:rsid w:val="000A2EFA"/>
    <w:rsid w:val="000B37C2"/>
    <w:rsid w:val="000C222D"/>
    <w:rsid w:val="000C7E51"/>
    <w:rsid w:val="000E4741"/>
    <w:rsid w:val="0010434C"/>
    <w:rsid w:val="00105248"/>
    <w:rsid w:val="001075EA"/>
    <w:rsid w:val="001139E8"/>
    <w:rsid w:val="00120631"/>
    <w:rsid w:val="001220B8"/>
    <w:rsid w:val="00125B25"/>
    <w:rsid w:val="0014164D"/>
    <w:rsid w:val="00164390"/>
    <w:rsid w:val="00167C4B"/>
    <w:rsid w:val="00173E78"/>
    <w:rsid w:val="001802DC"/>
    <w:rsid w:val="001853C5"/>
    <w:rsid w:val="001877B2"/>
    <w:rsid w:val="0019110D"/>
    <w:rsid w:val="00195354"/>
    <w:rsid w:val="001A00FC"/>
    <w:rsid w:val="001A03D1"/>
    <w:rsid w:val="001A4245"/>
    <w:rsid w:val="001A5D22"/>
    <w:rsid w:val="001B1A83"/>
    <w:rsid w:val="001B37A8"/>
    <w:rsid w:val="001C0A12"/>
    <w:rsid w:val="001E2FDF"/>
    <w:rsid w:val="001E4544"/>
    <w:rsid w:val="001E6332"/>
    <w:rsid w:val="001F1C9F"/>
    <w:rsid w:val="001F30A1"/>
    <w:rsid w:val="001F316B"/>
    <w:rsid w:val="0020099D"/>
    <w:rsid w:val="0021249F"/>
    <w:rsid w:val="0021402D"/>
    <w:rsid w:val="00222B11"/>
    <w:rsid w:val="0022558B"/>
    <w:rsid w:val="00232CE8"/>
    <w:rsid w:val="00235580"/>
    <w:rsid w:val="0023631B"/>
    <w:rsid w:val="00237C0A"/>
    <w:rsid w:val="00237CDE"/>
    <w:rsid w:val="00246A95"/>
    <w:rsid w:val="00246F57"/>
    <w:rsid w:val="00253DB0"/>
    <w:rsid w:val="00254567"/>
    <w:rsid w:val="00260847"/>
    <w:rsid w:val="00270F37"/>
    <w:rsid w:val="002820D7"/>
    <w:rsid w:val="002869E8"/>
    <w:rsid w:val="0029335B"/>
    <w:rsid w:val="002A020A"/>
    <w:rsid w:val="002A5801"/>
    <w:rsid w:val="002B6930"/>
    <w:rsid w:val="002C07E2"/>
    <w:rsid w:val="002E062F"/>
    <w:rsid w:val="002E213F"/>
    <w:rsid w:val="00305D6B"/>
    <w:rsid w:val="00314765"/>
    <w:rsid w:val="00317B26"/>
    <w:rsid w:val="00322A26"/>
    <w:rsid w:val="00323002"/>
    <w:rsid w:val="003257B3"/>
    <w:rsid w:val="00337366"/>
    <w:rsid w:val="0034107D"/>
    <w:rsid w:val="003478A2"/>
    <w:rsid w:val="003558F2"/>
    <w:rsid w:val="00356049"/>
    <w:rsid w:val="00361C5F"/>
    <w:rsid w:val="003656BF"/>
    <w:rsid w:val="00366541"/>
    <w:rsid w:val="00371A2C"/>
    <w:rsid w:val="0037787E"/>
    <w:rsid w:val="00377CDC"/>
    <w:rsid w:val="00377FD4"/>
    <w:rsid w:val="0038244D"/>
    <w:rsid w:val="00382B72"/>
    <w:rsid w:val="00382E94"/>
    <w:rsid w:val="0038356C"/>
    <w:rsid w:val="003872A7"/>
    <w:rsid w:val="0039388B"/>
    <w:rsid w:val="003C6FBE"/>
    <w:rsid w:val="003D02BC"/>
    <w:rsid w:val="003D1E10"/>
    <w:rsid w:val="003D3391"/>
    <w:rsid w:val="003D41ED"/>
    <w:rsid w:val="003D6559"/>
    <w:rsid w:val="003E0A38"/>
    <w:rsid w:val="003F0CDC"/>
    <w:rsid w:val="003F48B4"/>
    <w:rsid w:val="003F59DB"/>
    <w:rsid w:val="004022CF"/>
    <w:rsid w:val="00416866"/>
    <w:rsid w:val="00430C2D"/>
    <w:rsid w:val="004569C6"/>
    <w:rsid w:val="004636E8"/>
    <w:rsid w:val="00473D47"/>
    <w:rsid w:val="00474218"/>
    <w:rsid w:val="004846B3"/>
    <w:rsid w:val="00485EFB"/>
    <w:rsid w:val="00493DEC"/>
    <w:rsid w:val="00496B97"/>
    <w:rsid w:val="00497844"/>
    <w:rsid w:val="004A0E2D"/>
    <w:rsid w:val="004A1A10"/>
    <w:rsid w:val="004A47BF"/>
    <w:rsid w:val="004A5E80"/>
    <w:rsid w:val="004B3A76"/>
    <w:rsid w:val="004C4CCD"/>
    <w:rsid w:val="004C544A"/>
    <w:rsid w:val="004C7C1A"/>
    <w:rsid w:val="004D44B8"/>
    <w:rsid w:val="004E26E7"/>
    <w:rsid w:val="004E5054"/>
    <w:rsid w:val="004F287B"/>
    <w:rsid w:val="00500C38"/>
    <w:rsid w:val="005038C6"/>
    <w:rsid w:val="005144AD"/>
    <w:rsid w:val="0052721B"/>
    <w:rsid w:val="00545C36"/>
    <w:rsid w:val="0056457B"/>
    <w:rsid w:val="00564849"/>
    <w:rsid w:val="005725D0"/>
    <w:rsid w:val="005739E2"/>
    <w:rsid w:val="00576448"/>
    <w:rsid w:val="00581DA1"/>
    <w:rsid w:val="005869A5"/>
    <w:rsid w:val="0059213D"/>
    <w:rsid w:val="00593344"/>
    <w:rsid w:val="005936A1"/>
    <w:rsid w:val="00597AD6"/>
    <w:rsid w:val="005A1BCF"/>
    <w:rsid w:val="005B40A2"/>
    <w:rsid w:val="005B56F0"/>
    <w:rsid w:val="005D1EA2"/>
    <w:rsid w:val="005D4027"/>
    <w:rsid w:val="005D7D54"/>
    <w:rsid w:val="005F347D"/>
    <w:rsid w:val="005F577F"/>
    <w:rsid w:val="006051C1"/>
    <w:rsid w:val="00606182"/>
    <w:rsid w:val="0062481E"/>
    <w:rsid w:val="00627116"/>
    <w:rsid w:val="00627AE8"/>
    <w:rsid w:val="0064092A"/>
    <w:rsid w:val="00646187"/>
    <w:rsid w:val="006466A7"/>
    <w:rsid w:val="006716FF"/>
    <w:rsid w:val="00672AE7"/>
    <w:rsid w:val="00676943"/>
    <w:rsid w:val="00683671"/>
    <w:rsid w:val="00686EE4"/>
    <w:rsid w:val="0069317D"/>
    <w:rsid w:val="006A0077"/>
    <w:rsid w:val="006B5861"/>
    <w:rsid w:val="006D1207"/>
    <w:rsid w:val="006D1D51"/>
    <w:rsid w:val="006D310C"/>
    <w:rsid w:val="006D40F8"/>
    <w:rsid w:val="006E1565"/>
    <w:rsid w:val="006E19D5"/>
    <w:rsid w:val="006E5656"/>
    <w:rsid w:val="006E5EF4"/>
    <w:rsid w:val="006E72CE"/>
    <w:rsid w:val="006E74AE"/>
    <w:rsid w:val="006E7AAF"/>
    <w:rsid w:val="006F539C"/>
    <w:rsid w:val="00703394"/>
    <w:rsid w:val="00704A78"/>
    <w:rsid w:val="007233D7"/>
    <w:rsid w:val="00725B7E"/>
    <w:rsid w:val="007319FD"/>
    <w:rsid w:val="00740D2C"/>
    <w:rsid w:val="00744746"/>
    <w:rsid w:val="00745133"/>
    <w:rsid w:val="00746A35"/>
    <w:rsid w:val="00760B6E"/>
    <w:rsid w:val="00762B6F"/>
    <w:rsid w:val="00765ADE"/>
    <w:rsid w:val="00794839"/>
    <w:rsid w:val="007B4EB0"/>
    <w:rsid w:val="007B65F0"/>
    <w:rsid w:val="007D275C"/>
    <w:rsid w:val="007D2802"/>
    <w:rsid w:val="007E5179"/>
    <w:rsid w:val="007E5523"/>
    <w:rsid w:val="007E55A0"/>
    <w:rsid w:val="007F3321"/>
    <w:rsid w:val="007F6569"/>
    <w:rsid w:val="007F7B70"/>
    <w:rsid w:val="00802B23"/>
    <w:rsid w:val="00803AE2"/>
    <w:rsid w:val="008137B6"/>
    <w:rsid w:val="0082106A"/>
    <w:rsid w:val="00833F40"/>
    <w:rsid w:val="0084216C"/>
    <w:rsid w:val="00847FAF"/>
    <w:rsid w:val="008514A4"/>
    <w:rsid w:val="00863C09"/>
    <w:rsid w:val="008721AE"/>
    <w:rsid w:val="008812DE"/>
    <w:rsid w:val="008874DE"/>
    <w:rsid w:val="008A0001"/>
    <w:rsid w:val="008A3434"/>
    <w:rsid w:val="008C280B"/>
    <w:rsid w:val="008C422B"/>
    <w:rsid w:val="008D0CE4"/>
    <w:rsid w:val="008D6F23"/>
    <w:rsid w:val="008E294A"/>
    <w:rsid w:val="008E31DB"/>
    <w:rsid w:val="008F5233"/>
    <w:rsid w:val="008F6B23"/>
    <w:rsid w:val="00903D76"/>
    <w:rsid w:val="00907A41"/>
    <w:rsid w:val="009132A4"/>
    <w:rsid w:val="00917125"/>
    <w:rsid w:val="00921558"/>
    <w:rsid w:val="00931FD4"/>
    <w:rsid w:val="00940499"/>
    <w:rsid w:val="00951EB7"/>
    <w:rsid w:val="00952E6D"/>
    <w:rsid w:val="0095711C"/>
    <w:rsid w:val="00957524"/>
    <w:rsid w:val="00957536"/>
    <w:rsid w:val="00964C72"/>
    <w:rsid w:val="009654AB"/>
    <w:rsid w:val="00967687"/>
    <w:rsid w:val="00973C53"/>
    <w:rsid w:val="00975ABC"/>
    <w:rsid w:val="00984A78"/>
    <w:rsid w:val="00985A1E"/>
    <w:rsid w:val="0099287E"/>
    <w:rsid w:val="009938F4"/>
    <w:rsid w:val="0099496A"/>
    <w:rsid w:val="009A7E5C"/>
    <w:rsid w:val="009B1C98"/>
    <w:rsid w:val="009B4120"/>
    <w:rsid w:val="009B488A"/>
    <w:rsid w:val="009B5BF4"/>
    <w:rsid w:val="009C02A2"/>
    <w:rsid w:val="009C47E3"/>
    <w:rsid w:val="009C7CFF"/>
    <w:rsid w:val="009D1181"/>
    <w:rsid w:val="009D1782"/>
    <w:rsid w:val="009D6338"/>
    <w:rsid w:val="009F5CF7"/>
    <w:rsid w:val="00A004BA"/>
    <w:rsid w:val="00A02B61"/>
    <w:rsid w:val="00A041C1"/>
    <w:rsid w:val="00A061D4"/>
    <w:rsid w:val="00A0671B"/>
    <w:rsid w:val="00A06B3C"/>
    <w:rsid w:val="00A07AA5"/>
    <w:rsid w:val="00A16A04"/>
    <w:rsid w:val="00A26FCE"/>
    <w:rsid w:val="00A3222B"/>
    <w:rsid w:val="00A41B20"/>
    <w:rsid w:val="00A4788B"/>
    <w:rsid w:val="00A54379"/>
    <w:rsid w:val="00A708E0"/>
    <w:rsid w:val="00A71131"/>
    <w:rsid w:val="00A7142C"/>
    <w:rsid w:val="00A920E2"/>
    <w:rsid w:val="00A93006"/>
    <w:rsid w:val="00A97918"/>
    <w:rsid w:val="00AA12C0"/>
    <w:rsid w:val="00AA4C8A"/>
    <w:rsid w:val="00AB02B0"/>
    <w:rsid w:val="00AB41E2"/>
    <w:rsid w:val="00AB669F"/>
    <w:rsid w:val="00AC20ED"/>
    <w:rsid w:val="00AC5EF3"/>
    <w:rsid w:val="00AC74AF"/>
    <w:rsid w:val="00AD7A5D"/>
    <w:rsid w:val="00AE35CD"/>
    <w:rsid w:val="00B0442E"/>
    <w:rsid w:val="00B139F5"/>
    <w:rsid w:val="00B177A2"/>
    <w:rsid w:val="00B2623F"/>
    <w:rsid w:val="00B30FD8"/>
    <w:rsid w:val="00B36424"/>
    <w:rsid w:val="00B52EBD"/>
    <w:rsid w:val="00B5371B"/>
    <w:rsid w:val="00B574CF"/>
    <w:rsid w:val="00B62349"/>
    <w:rsid w:val="00B705AE"/>
    <w:rsid w:val="00B7305A"/>
    <w:rsid w:val="00B746EA"/>
    <w:rsid w:val="00B94B91"/>
    <w:rsid w:val="00B959BC"/>
    <w:rsid w:val="00B95C42"/>
    <w:rsid w:val="00BB0939"/>
    <w:rsid w:val="00BB5E2F"/>
    <w:rsid w:val="00BC5582"/>
    <w:rsid w:val="00BD71A0"/>
    <w:rsid w:val="00BD7AA0"/>
    <w:rsid w:val="00BF528F"/>
    <w:rsid w:val="00C0156B"/>
    <w:rsid w:val="00C033E4"/>
    <w:rsid w:val="00C03A2E"/>
    <w:rsid w:val="00C04905"/>
    <w:rsid w:val="00C04974"/>
    <w:rsid w:val="00C21102"/>
    <w:rsid w:val="00C2567D"/>
    <w:rsid w:val="00C2621F"/>
    <w:rsid w:val="00C470AA"/>
    <w:rsid w:val="00C6561E"/>
    <w:rsid w:val="00C75FE9"/>
    <w:rsid w:val="00C779E5"/>
    <w:rsid w:val="00C91957"/>
    <w:rsid w:val="00CA4C8F"/>
    <w:rsid w:val="00CA65EE"/>
    <w:rsid w:val="00CC0A97"/>
    <w:rsid w:val="00CC367B"/>
    <w:rsid w:val="00CD0707"/>
    <w:rsid w:val="00CD78C2"/>
    <w:rsid w:val="00CE707B"/>
    <w:rsid w:val="00CF1319"/>
    <w:rsid w:val="00CF2D8B"/>
    <w:rsid w:val="00CF324C"/>
    <w:rsid w:val="00CF7AD3"/>
    <w:rsid w:val="00D019EE"/>
    <w:rsid w:val="00D0224E"/>
    <w:rsid w:val="00D033A9"/>
    <w:rsid w:val="00D06700"/>
    <w:rsid w:val="00D14D57"/>
    <w:rsid w:val="00D20004"/>
    <w:rsid w:val="00D25CD8"/>
    <w:rsid w:val="00D325C7"/>
    <w:rsid w:val="00D513BA"/>
    <w:rsid w:val="00D57109"/>
    <w:rsid w:val="00D60D24"/>
    <w:rsid w:val="00D63C72"/>
    <w:rsid w:val="00D6500A"/>
    <w:rsid w:val="00D74635"/>
    <w:rsid w:val="00D76D72"/>
    <w:rsid w:val="00D773A8"/>
    <w:rsid w:val="00D861BA"/>
    <w:rsid w:val="00D876CC"/>
    <w:rsid w:val="00D91087"/>
    <w:rsid w:val="00DA420A"/>
    <w:rsid w:val="00DA4EB7"/>
    <w:rsid w:val="00DA6031"/>
    <w:rsid w:val="00DB57A5"/>
    <w:rsid w:val="00DC295D"/>
    <w:rsid w:val="00DD2128"/>
    <w:rsid w:val="00DE2197"/>
    <w:rsid w:val="00DE5777"/>
    <w:rsid w:val="00DE5EB5"/>
    <w:rsid w:val="00DF2756"/>
    <w:rsid w:val="00E030C7"/>
    <w:rsid w:val="00E13EE9"/>
    <w:rsid w:val="00E14E66"/>
    <w:rsid w:val="00E17B53"/>
    <w:rsid w:val="00E34A9D"/>
    <w:rsid w:val="00E41C36"/>
    <w:rsid w:val="00E42CED"/>
    <w:rsid w:val="00E46190"/>
    <w:rsid w:val="00E566A9"/>
    <w:rsid w:val="00E628AA"/>
    <w:rsid w:val="00E63284"/>
    <w:rsid w:val="00E744FC"/>
    <w:rsid w:val="00EB78B4"/>
    <w:rsid w:val="00EC025A"/>
    <w:rsid w:val="00ED3648"/>
    <w:rsid w:val="00ED4464"/>
    <w:rsid w:val="00EE1DCE"/>
    <w:rsid w:val="00EE35B4"/>
    <w:rsid w:val="00EE5FA2"/>
    <w:rsid w:val="00EF17A7"/>
    <w:rsid w:val="00EF34FE"/>
    <w:rsid w:val="00F054B6"/>
    <w:rsid w:val="00F07335"/>
    <w:rsid w:val="00F14E97"/>
    <w:rsid w:val="00F2448F"/>
    <w:rsid w:val="00F276A0"/>
    <w:rsid w:val="00F331B4"/>
    <w:rsid w:val="00F340AE"/>
    <w:rsid w:val="00F3444E"/>
    <w:rsid w:val="00F520D5"/>
    <w:rsid w:val="00F56BB9"/>
    <w:rsid w:val="00F657A6"/>
    <w:rsid w:val="00F76219"/>
    <w:rsid w:val="00F76DE0"/>
    <w:rsid w:val="00F81222"/>
    <w:rsid w:val="00F81CCF"/>
    <w:rsid w:val="00F82871"/>
    <w:rsid w:val="00F92D0F"/>
    <w:rsid w:val="00F962BC"/>
    <w:rsid w:val="00FA66FE"/>
    <w:rsid w:val="00FD06A2"/>
    <w:rsid w:val="00FE29C9"/>
    <w:rsid w:val="00FE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1366F"/>
  <w15:chartTrackingRefBased/>
  <w15:docId w15:val="{17D8A34E-CF4B-FE43-831A-FB5C20B4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3C09"/>
  </w:style>
  <w:style w:type="paragraph" w:styleId="Titolo1">
    <w:name w:val="heading 1"/>
    <w:basedOn w:val="Normale"/>
    <w:next w:val="Normale"/>
    <w:link w:val="Titolo1Carattere"/>
    <w:uiPriority w:val="9"/>
    <w:qFormat/>
    <w:rsid w:val="00863C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D1D5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D1D5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3444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CF1319"/>
    <w:rPr>
      <w:rFonts w:ascii="Times New Roman" w:hAnsi="Times New Roman" w:cs="Times New Roman"/>
    </w:rPr>
  </w:style>
  <w:style w:type="paragraph" w:styleId="Revisione">
    <w:name w:val="Revision"/>
    <w:hidden/>
    <w:uiPriority w:val="99"/>
    <w:semiHidden/>
    <w:rsid w:val="003D3391"/>
  </w:style>
  <w:style w:type="character" w:styleId="Rimandocommento">
    <w:name w:val="annotation reference"/>
    <w:basedOn w:val="Carpredefinitoparagrafo"/>
    <w:uiPriority w:val="99"/>
    <w:semiHidden/>
    <w:unhideWhenUsed/>
    <w:rsid w:val="003D339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D339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D339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D339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D3391"/>
    <w:rPr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67C4B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63C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863C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63C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033A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033A9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TitoloWS">
    <w:name w:val="Titolo WS"/>
    <w:basedOn w:val="Titolo"/>
    <w:qFormat/>
    <w:rsid w:val="00D033A9"/>
    <w:pPr>
      <w:spacing w:before="600" w:after="120"/>
      <w:jc w:val="center"/>
    </w:pPr>
    <w:rPr>
      <w:rFonts w:ascii="Times New Roman" w:hAnsi="Times New Roman" w:cs="Times New Roman"/>
      <w:b/>
      <w:bCs/>
      <w:color w:val="000000" w:themeColor="text1"/>
      <w:sz w:val="28"/>
      <w:szCs w:val="28"/>
      <w:lang w:val="en-US"/>
    </w:rPr>
  </w:style>
  <w:style w:type="paragraph" w:customStyle="1" w:styleId="Titolo11">
    <w:name w:val="Titolo 11"/>
    <w:basedOn w:val="Sottotitolo"/>
    <w:qFormat/>
    <w:rsid w:val="00D033A9"/>
    <w:pPr>
      <w:spacing w:before="240" w:after="120"/>
    </w:pPr>
    <w:rPr>
      <w:rFonts w:ascii="Times New Roman" w:hAnsi="Times New Roman" w:cs="Times New Roman"/>
      <w:b/>
      <w:bCs/>
      <w:color w:val="000000" w:themeColor="text1"/>
      <w:sz w:val="24"/>
      <w:szCs w:val="24"/>
      <w:lang w:val="en-US"/>
    </w:rPr>
  </w:style>
  <w:style w:type="paragraph" w:styleId="Didascalia">
    <w:name w:val="caption"/>
    <w:basedOn w:val="Normale"/>
    <w:next w:val="Normale"/>
    <w:uiPriority w:val="35"/>
    <w:unhideWhenUsed/>
    <w:qFormat/>
    <w:rsid w:val="000C7E51"/>
    <w:pPr>
      <w:spacing w:after="200"/>
    </w:pPr>
    <w:rPr>
      <w:i/>
      <w:iCs/>
      <w:color w:val="44546A" w:themeColor="text2"/>
      <w:sz w:val="18"/>
      <w:szCs w:val="18"/>
    </w:rPr>
  </w:style>
  <w:style w:type="table" w:styleId="Grigliatabella">
    <w:name w:val="Table Grid"/>
    <w:basedOn w:val="Tabellanormale"/>
    <w:uiPriority w:val="39"/>
    <w:rsid w:val="00725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1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4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8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5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0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9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317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7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98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1308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0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6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1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s00203-003-0585-9" TargetMode="External"/><Relationship Id="rId3" Type="http://schemas.openxmlformats.org/officeDocument/2006/relationships/styles" Target="styles.xml"/><Relationship Id="rId7" Type="http://schemas.openxmlformats.org/officeDocument/2006/relationships/hyperlink" Target="https://doi.org/10.1016/j.ijfoodmicro.2018.09.0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1007/s00253-016-7413-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C12917-DC9A-D349-8FE4-9BE0BE14D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1533</Words>
  <Characters>8509</Characters>
  <Application>Microsoft Office Word</Application>
  <DocSecurity>0</DocSecurity>
  <Lines>189</Lines>
  <Paragraphs>123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Serafino</dc:creator>
  <cp:keywords/>
  <dc:description/>
  <cp:lastModifiedBy>Gabriele Serafino</cp:lastModifiedBy>
  <cp:revision>5</cp:revision>
  <cp:lastPrinted>2023-06-23T13:21:00Z</cp:lastPrinted>
  <dcterms:created xsi:type="dcterms:W3CDTF">2023-06-08T08:59:00Z</dcterms:created>
  <dcterms:modified xsi:type="dcterms:W3CDTF">2023-06-23T13:31:00Z</dcterms:modified>
</cp:coreProperties>
</file>