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885A" w14:textId="229901CC" w:rsidR="007D40F9" w:rsidRDefault="000955C5" w:rsidP="007D40F9">
      <w:pPr>
        <w:pStyle w:val="Titolo"/>
        <w:spacing w:before="600" w:line="240" w:lineRule="auto"/>
        <w:rPr>
          <w:lang w:val="en-GB"/>
        </w:rPr>
      </w:pPr>
      <w:r>
        <w:rPr>
          <w:lang w:val="en-GB"/>
        </w:rPr>
        <w:t xml:space="preserve">Enrichment of Extra Virgin Olive Oil for the Development of Functional Oil </w:t>
      </w:r>
      <w:r w:rsidR="000E3EE0">
        <w:rPr>
          <w:lang w:val="en-GB"/>
        </w:rPr>
        <w:t xml:space="preserve">for </w:t>
      </w:r>
      <w:r>
        <w:rPr>
          <w:lang w:val="en-GB"/>
        </w:rPr>
        <w:t>Special Consumers</w:t>
      </w:r>
    </w:p>
    <w:p w14:paraId="21C2B6D2" w14:textId="768F6C65" w:rsidR="007D40F9" w:rsidRDefault="000955C5" w:rsidP="007D40F9">
      <w:pPr>
        <w:jc w:val="center"/>
        <w:rPr>
          <w:lang w:val="de-DE"/>
        </w:rPr>
      </w:pPr>
      <w:r>
        <w:rPr>
          <w:lang w:val="de-DE"/>
        </w:rPr>
        <w:t>Irene Maria Grazia Custureri</w:t>
      </w:r>
      <w:r w:rsidR="007D40F9">
        <w:rPr>
          <w:lang w:val="de-DE"/>
        </w:rPr>
        <w:t xml:space="preserve"> (</w:t>
      </w:r>
      <w:r>
        <w:rPr>
          <w:lang w:val="de-DE"/>
        </w:rPr>
        <w:t>irene.custureri@unirc</w:t>
      </w:r>
      <w:r w:rsidR="007D40F9">
        <w:rPr>
          <w:lang w:val="de-DE"/>
        </w:rPr>
        <w:t>.it)</w:t>
      </w:r>
    </w:p>
    <w:p w14:paraId="45EC4CC3" w14:textId="65666728" w:rsidR="007D40F9" w:rsidRPr="00803717" w:rsidRDefault="007D40F9" w:rsidP="007D40F9">
      <w:pPr>
        <w:jc w:val="center"/>
      </w:pPr>
      <w:proofErr w:type="spellStart"/>
      <w:r w:rsidRPr="00803717">
        <w:t>Dept</w:t>
      </w:r>
      <w:proofErr w:type="spellEnd"/>
      <w:r w:rsidR="000955C5" w:rsidRPr="00803717">
        <w:t xml:space="preserve">. of Agraria, </w:t>
      </w:r>
      <w:proofErr w:type="spellStart"/>
      <w:r w:rsidRPr="00803717">
        <w:t>University</w:t>
      </w:r>
      <w:proofErr w:type="spellEnd"/>
      <w:r w:rsidRPr="00803717">
        <w:t xml:space="preserve"> </w:t>
      </w:r>
      <w:r w:rsidR="000955C5" w:rsidRPr="00803717">
        <w:t xml:space="preserve">“Mediterranea” </w:t>
      </w:r>
      <w:r w:rsidRPr="00803717">
        <w:t>of</w:t>
      </w:r>
      <w:r w:rsidR="000955C5" w:rsidRPr="00803717">
        <w:t xml:space="preserve"> Reggio Calabria, </w:t>
      </w:r>
      <w:proofErr w:type="spellStart"/>
      <w:r w:rsidRPr="00803717">
        <w:t>Italy</w:t>
      </w:r>
      <w:proofErr w:type="spellEnd"/>
    </w:p>
    <w:p w14:paraId="1549B0B4" w14:textId="14A9E45C" w:rsidR="007D40F9" w:rsidRPr="00803717" w:rsidRDefault="007D40F9" w:rsidP="007D40F9">
      <w:pPr>
        <w:jc w:val="center"/>
      </w:pPr>
      <w:r w:rsidRPr="00803717">
        <w:t xml:space="preserve">Tutor: Prof. </w:t>
      </w:r>
      <w:r w:rsidR="000955C5" w:rsidRPr="00803717">
        <w:t>Vincenzo Sicari</w:t>
      </w:r>
    </w:p>
    <w:p w14:paraId="770636B8" w14:textId="446E1686" w:rsidR="0095342A" w:rsidRPr="00803717" w:rsidRDefault="000955C5" w:rsidP="007D40F9">
      <w:pPr>
        <w:jc w:val="center"/>
      </w:pPr>
      <w:r w:rsidRPr="00803717">
        <w:t xml:space="preserve">Co-Tutor: Prof. Monica Rosa </w:t>
      </w:r>
      <w:proofErr w:type="spellStart"/>
      <w:r w:rsidRPr="00803717">
        <w:t>Loizzo</w:t>
      </w:r>
      <w:proofErr w:type="spellEnd"/>
      <w:r w:rsidRPr="00803717">
        <w:t xml:space="preserve"> and Prof. Angelo Maria </w:t>
      </w:r>
      <w:proofErr w:type="spellStart"/>
      <w:r w:rsidRPr="00803717">
        <w:t>Giuffrè</w:t>
      </w:r>
      <w:proofErr w:type="spellEnd"/>
    </w:p>
    <w:p w14:paraId="470CB764" w14:textId="77777777" w:rsidR="007D40F9" w:rsidRPr="00803717" w:rsidRDefault="007D40F9" w:rsidP="0095342A">
      <w:pPr>
        <w:jc w:val="center"/>
      </w:pPr>
    </w:p>
    <w:p w14:paraId="642900DB" w14:textId="788426D1" w:rsidR="000955C5" w:rsidRPr="00AA3C98" w:rsidRDefault="00A654B6" w:rsidP="007D40F9">
      <w:pPr>
        <w:jc w:val="both"/>
        <w:rPr>
          <w:lang w:val="en-GB"/>
        </w:rPr>
      </w:pPr>
      <w:r w:rsidRPr="00AA3C98">
        <w:rPr>
          <w:lang w:val="en-GB"/>
        </w:rPr>
        <w:t>The aim of this PhD resea</w:t>
      </w:r>
      <w:r w:rsidR="0073669B" w:rsidRPr="00AA3C98">
        <w:rPr>
          <w:lang w:val="en-GB"/>
        </w:rPr>
        <w:t>r</w:t>
      </w:r>
      <w:r w:rsidRPr="00AA3C98">
        <w:rPr>
          <w:lang w:val="en-GB"/>
        </w:rPr>
        <w:t>ch project</w:t>
      </w:r>
      <w:r w:rsidR="00165780" w:rsidRPr="00AA3C98">
        <w:rPr>
          <w:lang w:val="en-GB"/>
        </w:rPr>
        <w:t xml:space="preserve"> was to evaluate</w:t>
      </w:r>
      <w:r w:rsidR="0095342A" w:rsidRPr="00AA3C98">
        <w:rPr>
          <w:lang w:val="en-GB"/>
        </w:rPr>
        <w:t xml:space="preserve"> </w:t>
      </w:r>
      <w:r w:rsidR="00D6343C" w:rsidRPr="00AA3C98">
        <w:rPr>
          <w:lang w:val="en-GB"/>
        </w:rPr>
        <w:t xml:space="preserve">the impact on </w:t>
      </w:r>
      <w:r w:rsidR="00F44D3B" w:rsidRPr="00AA3C98">
        <w:rPr>
          <w:lang w:val="en-GB"/>
        </w:rPr>
        <w:t xml:space="preserve">the shelf </w:t>
      </w:r>
      <w:r w:rsidR="0073669B" w:rsidRPr="00AA3C98">
        <w:rPr>
          <w:lang w:val="en-GB"/>
        </w:rPr>
        <w:t>life evolution a</w:t>
      </w:r>
      <w:r w:rsidR="00D6343C" w:rsidRPr="00AA3C98">
        <w:rPr>
          <w:lang w:val="en-GB"/>
        </w:rPr>
        <w:t xml:space="preserve">nd </w:t>
      </w:r>
      <w:r w:rsidR="0073669B" w:rsidRPr="00AA3C98">
        <w:rPr>
          <w:lang w:val="en-GB"/>
        </w:rPr>
        <w:t xml:space="preserve">bioactivity </w:t>
      </w:r>
      <w:r w:rsidR="00D6343C" w:rsidRPr="00AA3C98">
        <w:rPr>
          <w:lang w:val="en-GB"/>
        </w:rPr>
        <w:t xml:space="preserve">of </w:t>
      </w:r>
      <w:r w:rsidR="0073669B" w:rsidRPr="00AA3C98">
        <w:rPr>
          <w:lang w:val="en-GB"/>
        </w:rPr>
        <w:t>functional olive oils</w:t>
      </w:r>
      <w:r w:rsidR="00D6343C" w:rsidRPr="00AA3C98">
        <w:rPr>
          <w:lang w:val="en-GB"/>
        </w:rPr>
        <w:t xml:space="preserve"> obtained b</w:t>
      </w:r>
      <w:r w:rsidR="0075293D" w:rsidRPr="00AA3C98">
        <w:rPr>
          <w:lang w:val="en-GB"/>
        </w:rPr>
        <w:t>y</w:t>
      </w:r>
      <w:r w:rsidR="000E3EE0" w:rsidRPr="00AA3C98">
        <w:rPr>
          <w:lang w:val="en-GB"/>
        </w:rPr>
        <w:t xml:space="preserve"> </w:t>
      </w:r>
      <w:r w:rsidR="00165780" w:rsidRPr="00AA3C98">
        <w:rPr>
          <w:lang w:val="en-GB"/>
        </w:rPr>
        <w:t>EVOO enrichment with selected matrices by using two different technological approaches</w:t>
      </w:r>
      <w:r w:rsidR="00A2205F" w:rsidRPr="00AA3C98">
        <w:rPr>
          <w:lang w:val="en-GB"/>
        </w:rPr>
        <w:t xml:space="preserve">: </w:t>
      </w:r>
      <w:proofErr w:type="spellStart"/>
      <w:r w:rsidR="00A2205F" w:rsidRPr="00AA3C98">
        <w:rPr>
          <w:lang w:val="en-GB"/>
        </w:rPr>
        <w:t>malaxation</w:t>
      </w:r>
      <w:proofErr w:type="spellEnd"/>
      <w:r w:rsidR="00A2205F" w:rsidRPr="00AA3C98">
        <w:rPr>
          <w:lang w:val="en-GB"/>
        </w:rPr>
        <w:t xml:space="preserve"> and infusion</w:t>
      </w:r>
      <w:r w:rsidR="0095342A" w:rsidRPr="00AA3C98">
        <w:rPr>
          <w:lang w:val="en-GB"/>
        </w:rPr>
        <w:t>.</w:t>
      </w:r>
      <w:r w:rsidR="00165780" w:rsidRPr="00AA3C98">
        <w:rPr>
          <w:lang w:val="en-GB"/>
        </w:rPr>
        <w:t xml:space="preserve"> </w:t>
      </w:r>
      <w:r w:rsidR="008F30DB" w:rsidRPr="00AA3C98">
        <w:rPr>
          <w:lang w:val="en-GB"/>
        </w:rPr>
        <w:t>The obtained flavoured</w:t>
      </w:r>
      <w:r w:rsidR="008F30DB">
        <w:rPr>
          <w:lang w:val="en-GB"/>
        </w:rPr>
        <w:t xml:space="preserve"> </w:t>
      </w:r>
      <w:r w:rsidR="0073669B">
        <w:rPr>
          <w:lang w:val="en-GB"/>
        </w:rPr>
        <w:t xml:space="preserve">virgin olive </w:t>
      </w:r>
      <w:r w:rsidR="008F30DB">
        <w:rPr>
          <w:lang w:val="en-GB"/>
        </w:rPr>
        <w:t>oils (F</w:t>
      </w:r>
      <w:r w:rsidR="0095342A">
        <w:rPr>
          <w:lang w:val="en-GB"/>
        </w:rPr>
        <w:t>V</w:t>
      </w:r>
      <w:r w:rsidR="000955C5" w:rsidRPr="009C5E00">
        <w:rPr>
          <w:lang w:val="en-GB"/>
        </w:rPr>
        <w:t>OO</w:t>
      </w:r>
      <w:r w:rsidR="002118D8">
        <w:rPr>
          <w:lang w:val="en-GB"/>
        </w:rPr>
        <w:t>s</w:t>
      </w:r>
      <w:r w:rsidR="000955C5" w:rsidRPr="009C5E00">
        <w:rPr>
          <w:lang w:val="en-GB"/>
        </w:rPr>
        <w:t>) w</w:t>
      </w:r>
      <w:r w:rsidR="008F30DB">
        <w:rPr>
          <w:lang w:val="en-GB"/>
        </w:rPr>
        <w:t xml:space="preserve">ere </w:t>
      </w:r>
      <w:r w:rsidR="000955C5" w:rsidRPr="009C5E00">
        <w:rPr>
          <w:lang w:val="en-GB"/>
        </w:rPr>
        <w:t>found to be pleasant from a sensorial point of view and with marked health properties</w:t>
      </w:r>
      <w:r w:rsidR="000E3EE0">
        <w:rPr>
          <w:lang w:val="en-GB"/>
        </w:rPr>
        <w:t xml:space="preserve"> during </w:t>
      </w:r>
      <w:r w:rsidR="00A75DD7">
        <w:rPr>
          <w:lang w:val="en-GB"/>
        </w:rPr>
        <w:t>shelf life</w:t>
      </w:r>
      <w:r w:rsidR="000955C5" w:rsidRPr="009C5E00">
        <w:rPr>
          <w:lang w:val="en-GB"/>
        </w:rPr>
        <w:t>.</w:t>
      </w:r>
    </w:p>
    <w:p w14:paraId="4B8C0A79" w14:textId="2C83D868" w:rsidR="007D40F9" w:rsidRDefault="000955C5" w:rsidP="007D40F9">
      <w:pPr>
        <w:pStyle w:val="Titolo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>Funzionalizzazione di un olio extravergine di oliva per la creazione di prodotti destinati a categorie speciali</w:t>
      </w:r>
    </w:p>
    <w:p w14:paraId="60749444" w14:textId="7C1335BD" w:rsidR="00165780" w:rsidRPr="00AA3C98" w:rsidRDefault="00165780" w:rsidP="00B07B95">
      <w:pPr>
        <w:jc w:val="both"/>
      </w:pPr>
      <w:r w:rsidRPr="00AA3C98">
        <w:t xml:space="preserve">Lo scopo del progetto di dottorato è stato quello di valutare l'impatto </w:t>
      </w:r>
      <w:r w:rsidR="0073669B" w:rsidRPr="00AA3C98">
        <w:t xml:space="preserve">sull’evoluzione della </w:t>
      </w:r>
      <w:proofErr w:type="spellStart"/>
      <w:r w:rsidR="0073669B" w:rsidRPr="00AA3C98">
        <w:t>shelf</w:t>
      </w:r>
      <w:proofErr w:type="spellEnd"/>
      <w:r w:rsidR="0044436E" w:rsidRPr="00AA3C98">
        <w:t xml:space="preserve"> </w:t>
      </w:r>
      <w:r w:rsidR="0073669B" w:rsidRPr="00AA3C98">
        <w:t>life</w:t>
      </w:r>
      <w:r w:rsidRPr="00AA3C98">
        <w:t xml:space="preserve"> </w:t>
      </w:r>
      <w:r w:rsidR="0073669B" w:rsidRPr="00AA3C98">
        <w:t xml:space="preserve">e la </w:t>
      </w:r>
      <w:proofErr w:type="spellStart"/>
      <w:r w:rsidR="0073669B" w:rsidRPr="00AA3C98">
        <w:t>bioattività</w:t>
      </w:r>
      <w:proofErr w:type="spellEnd"/>
      <w:r w:rsidR="0073669B" w:rsidRPr="00AA3C98">
        <w:t xml:space="preserve"> di </w:t>
      </w:r>
      <w:r w:rsidRPr="00AA3C98">
        <w:t xml:space="preserve">oli di oliva </w:t>
      </w:r>
      <w:r w:rsidR="0073669B" w:rsidRPr="00AA3C98">
        <w:t>funzionalizzati</w:t>
      </w:r>
      <w:r w:rsidRPr="00AA3C98">
        <w:t xml:space="preserve"> ottenuti dall'arricchimento di EVOO</w:t>
      </w:r>
      <w:r w:rsidR="0075293D" w:rsidRPr="00AA3C98">
        <w:t xml:space="preserve"> </w:t>
      </w:r>
      <w:r w:rsidRPr="00AA3C98">
        <w:t>con matrici selezionate, utilizzando d</w:t>
      </w:r>
      <w:r w:rsidR="00A2205F" w:rsidRPr="00AA3C98">
        <w:t>ue divers</w:t>
      </w:r>
      <w:bookmarkStart w:id="0" w:name="_GoBack"/>
      <w:bookmarkEnd w:id="0"/>
      <w:r w:rsidR="00A2205F" w:rsidRPr="00AA3C98">
        <w:t>i approcci tecnologici: gramolatura e infusione.</w:t>
      </w:r>
      <w:r w:rsidRPr="00AA3C98">
        <w:t xml:space="preserve"> Gli oli </w:t>
      </w:r>
      <w:r w:rsidR="0073669B" w:rsidRPr="00AA3C98">
        <w:t xml:space="preserve">di oliva vergini </w:t>
      </w:r>
      <w:r w:rsidRPr="00AA3C98">
        <w:t>aromatizzati (</w:t>
      </w:r>
      <w:proofErr w:type="spellStart"/>
      <w:r w:rsidRPr="00AA3C98">
        <w:t>F</w:t>
      </w:r>
      <w:r w:rsidR="0095342A" w:rsidRPr="00AA3C98">
        <w:t>V</w:t>
      </w:r>
      <w:r w:rsidRPr="00AA3C98">
        <w:t>OOs</w:t>
      </w:r>
      <w:proofErr w:type="spellEnd"/>
      <w:r w:rsidRPr="00AA3C98">
        <w:t>) ottenuti sono risultati gradevoli dal punto di vista sensoriale e con spiccate proprietà salutistiche</w:t>
      </w:r>
      <w:r w:rsidR="00A75DD7" w:rsidRPr="00AA3C98">
        <w:t xml:space="preserve"> durante la </w:t>
      </w:r>
      <w:proofErr w:type="spellStart"/>
      <w:r w:rsidR="00A75DD7" w:rsidRPr="00AA3C98">
        <w:t>shelf</w:t>
      </w:r>
      <w:proofErr w:type="spellEnd"/>
      <w:r w:rsidR="00A75DD7" w:rsidRPr="00AA3C98">
        <w:t xml:space="preserve"> </w:t>
      </w:r>
      <w:r w:rsidR="0075293D" w:rsidRPr="00AA3C98">
        <w:t>life</w:t>
      </w:r>
      <w:r w:rsidRPr="00AA3C98">
        <w:t>.</w:t>
      </w:r>
    </w:p>
    <w:p w14:paraId="7796D3CD" w14:textId="77777777" w:rsidR="00B07B95" w:rsidRPr="00AA3C98" w:rsidRDefault="00B07B95" w:rsidP="007D40F9">
      <w:pPr>
        <w:jc w:val="both"/>
      </w:pPr>
    </w:p>
    <w:p w14:paraId="0188BB6A" w14:textId="0A20D164" w:rsidR="007D40F9" w:rsidRPr="00AA3C98" w:rsidRDefault="007D40F9" w:rsidP="00B07B95">
      <w:pPr>
        <w:jc w:val="both"/>
      </w:pPr>
      <w:r w:rsidRPr="00AA3C98">
        <w:rPr>
          <w:b/>
        </w:rPr>
        <w:t>Key words</w:t>
      </w:r>
      <w:r w:rsidRPr="00AA3C98">
        <w:t xml:space="preserve">: </w:t>
      </w:r>
      <w:r w:rsidR="008F30DB" w:rsidRPr="00AA3C98">
        <w:t>Functional olive oil; antioxidant activity,</w:t>
      </w:r>
      <w:r w:rsidR="009F3FB3" w:rsidRPr="00AA3C98">
        <w:t xml:space="preserve"> enzy</w:t>
      </w:r>
      <w:r w:rsidR="00503FFF" w:rsidRPr="00AA3C98">
        <w:t>matic</w:t>
      </w:r>
      <w:r w:rsidR="008F30DB" w:rsidRPr="00AA3C98">
        <w:t xml:space="preserve"> activity; health properties</w:t>
      </w:r>
      <w:r w:rsidRPr="00AA3C98">
        <w:t>.</w:t>
      </w:r>
    </w:p>
    <w:p w14:paraId="758A709A" w14:textId="77777777" w:rsidR="007D40F9" w:rsidRDefault="007D40F9" w:rsidP="00B07B95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6D12E1">
        <w:rPr>
          <w:b/>
          <w:bCs/>
          <w:color w:val="000000"/>
          <w:sz w:val="24"/>
          <w:lang w:val="en-GB"/>
        </w:rPr>
        <w:t>1. Introduction</w:t>
      </w:r>
    </w:p>
    <w:p w14:paraId="5844D05B" w14:textId="4681F472" w:rsidR="00B97D6E" w:rsidRPr="000E261D" w:rsidRDefault="00B97D6E" w:rsidP="00B97D6E">
      <w:pPr>
        <w:jc w:val="both"/>
        <w:rPr>
          <w:color w:val="000000" w:themeColor="text1"/>
          <w:lang w:val="en-GB"/>
        </w:rPr>
      </w:pPr>
      <w:r w:rsidRPr="000E261D">
        <w:rPr>
          <w:color w:val="000000" w:themeColor="text1"/>
          <w:lang w:val="en-GB"/>
        </w:rPr>
        <w:t>In accordance with the PhD thesis project previously described (Custureri, 2021), in this oral presentation the following aspect</w:t>
      </w:r>
      <w:r w:rsidR="000E3EE0">
        <w:rPr>
          <w:color w:val="000000" w:themeColor="text1"/>
          <w:lang w:val="en-GB"/>
        </w:rPr>
        <w:t xml:space="preserve">s </w:t>
      </w:r>
      <w:r w:rsidRPr="000E261D">
        <w:rPr>
          <w:color w:val="000000" w:themeColor="text1"/>
          <w:lang w:val="en-GB"/>
        </w:rPr>
        <w:t>were analysed</w:t>
      </w:r>
      <w:r w:rsidR="002A3BDA">
        <w:rPr>
          <w:color w:val="000000" w:themeColor="text1"/>
          <w:lang w:val="en-GB"/>
        </w:rPr>
        <w:t>:</w:t>
      </w:r>
    </w:p>
    <w:p w14:paraId="62FA1CC8" w14:textId="5A308DEF" w:rsidR="00B97D6E" w:rsidRPr="000E261D" w:rsidRDefault="0067277B" w:rsidP="00F44D3B">
      <w:pPr>
        <w:ind w:left="567" w:hanging="567"/>
        <w:jc w:val="both"/>
        <w:rPr>
          <w:color w:val="000000" w:themeColor="text1"/>
          <w:lang w:val="en-GB"/>
        </w:rPr>
      </w:pPr>
      <w:r w:rsidRPr="000E261D">
        <w:rPr>
          <w:color w:val="000000" w:themeColor="text1"/>
          <w:lang w:val="en-GB"/>
        </w:rPr>
        <w:t>A1</w:t>
      </w:r>
      <w:r w:rsidR="00A56507">
        <w:rPr>
          <w:color w:val="000000" w:themeColor="text1"/>
          <w:lang w:val="en-GB"/>
        </w:rPr>
        <w:t xml:space="preserve">) </w:t>
      </w:r>
      <w:r w:rsidR="00B97D6E" w:rsidRPr="000E261D">
        <w:rPr>
          <w:color w:val="000000" w:themeColor="text1"/>
          <w:lang w:val="en-GB"/>
        </w:rPr>
        <w:t xml:space="preserve">EVOO enrichment with selected matrices by using two different technological approaches: </w:t>
      </w:r>
      <w:proofErr w:type="spellStart"/>
      <w:r w:rsidR="00B97D6E" w:rsidRPr="000E261D">
        <w:rPr>
          <w:color w:val="000000" w:themeColor="text1"/>
          <w:lang w:val="en-GB"/>
        </w:rPr>
        <w:t>malaxation</w:t>
      </w:r>
      <w:proofErr w:type="spellEnd"/>
      <w:r w:rsidR="00B97D6E" w:rsidRPr="000E261D">
        <w:rPr>
          <w:color w:val="000000" w:themeColor="text1"/>
          <w:lang w:val="en-GB"/>
        </w:rPr>
        <w:t xml:space="preserve"> and infusion;</w:t>
      </w:r>
    </w:p>
    <w:p w14:paraId="302F09D0" w14:textId="24BAF9F6" w:rsidR="00B97D6E" w:rsidRPr="000171FC" w:rsidRDefault="0067277B" w:rsidP="00B97D6E">
      <w:pPr>
        <w:jc w:val="both"/>
        <w:rPr>
          <w:color w:val="000000" w:themeColor="text1"/>
          <w:lang w:val="en-GB"/>
        </w:rPr>
      </w:pPr>
      <w:r w:rsidRPr="000E261D">
        <w:rPr>
          <w:color w:val="000000" w:themeColor="text1"/>
          <w:lang w:val="en-GB"/>
        </w:rPr>
        <w:t>A2</w:t>
      </w:r>
      <w:r w:rsidR="00F44D3B">
        <w:rPr>
          <w:color w:val="000000" w:themeColor="text1"/>
          <w:lang w:val="en-GB"/>
        </w:rPr>
        <w:t>)</w:t>
      </w:r>
      <w:r w:rsidR="00A56507">
        <w:rPr>
          <w:color w:val="000000" w:themeColor="text1"/>
          <w:lang w:val="en-GB"/>
        </w:rPr>
        <w:t xml:space="preserve"> </w:t>
      </w:r>
      <w:r w:rsidR="00B97D6E" w:rsidRPr="000E261D">
        <w:rPr>
          <w:color w:val="000000" w:themeColor="text1"/>
          <w:lang w:val="en-GB"/>
        </w:rPr>
        <w:t xml:space="preserve">EVOO and FVOOs </w:t>
      </w:r>
      <w:r w:rsidR="00B97D6E" w:rsidRPr="0095342A">
        <w:rPr>
          <w:color w:val="000000" w:themeColor="text1"/>
          <w:lang w:val="en-GB"/>
        </w:rPr>
        <w:t>physical-chemical and sensorial analysis;</w:t>
      </w:r>
    </w:p>
    <w:p w14:paraId="17982C48" w14:textId="34140DDC" w:rsidR="00B97D6E" w:rsidRPr="0095342A" w:rsidRDefault="0067277B" w:rsidP="00B97D6E">
      <w:pPr>
        <w:jc w:val="both"/>
        <w:rPr>
          <w:color w:val="000000" w:themeColor="text1"/>
          <w:lang w:val="en-GB"/>
        </w:rPr>
      </w:pPr>
      <w:r w:rsidRPr="00584ADE">
        <w:rPr>
          <w:color w:val="000000" w:themeColor="text1"/>
          <w:lang w:val="en-GB"/>
        </w:rPr>
        <w:t>A3</w:t>
      </w:r>
      <w:r w:rsidR="00F44D3B">
        <w:rPr>
          <w:color w:val="000000" w:themeColor="text1"/>
          <w:lang w:val="en-GB"/>
        </w:rPr>
        <w:t xml:space="preserve">) </w:t>
      </w:r>
      <w:r w:rsidR="00B97D6E" w:rsidRPr="000E261D">
        <w:rPr>
          <w:color w:val="000000" w:themeColor="text1"/>
          <w:lang w:val="en-GB"/>
        </w:rPr>
        <w:t>EVOO and FVOOs UHPLC analysis</w:t>
      </w:r>
      <w:r w:rsidR="00B97D6E" w:rsidRPr="0095342A">
        <w:rPr>
          <w:color w:val="000000" w:themeColor="text1"/>
          <w:lang w:val="en-GB"/>
        </w:rPr>
        <w:t>;</w:t>
      </w:r>
    </w:p>
    <w:p w14:paraId="43E79714" w14:textId="510F9E84" w:rsidR="00B97D6E" w:rsidRPr="000E261D" w:rsidRDefault="0067277B" w:rsidP="00F44D3B">
      <w:pPr>
        <w:ind w:left="567" w:hanging="567"/>
        <w:jc w:val="both"/>
        <w:rPr>
          <w:color w:val="000000" w:themeColor="text1"/>
          <w:lang w:val="en-GB"/>
        </w:rPr>
      </w:pPr>
      <w:r w:rsidRPr="000E261D">
        <w:rPr>
          <w:color w:val="000000" w:themeColor="text1"/>
          <w:lang w:val="en-GB"/>
        </w:rPr>
        <w:t>A4</w:t>
      </w:r>
      <w:r w:rsidR="00A56507">
        <w:rPr>
          <w:color w:val="000000" w:themeColor="text1"/>
          <w:lang w:val="en-GB"/>
        </w:rPr>
        <w:t xml:space="preserve">) </w:t>
      </w:r>
      <w:r w:rsidR="00B97D6E" w:rsidRPr="000E261D">
        <w:rPr>
          <w:color w:val="000000" w:themeColor="text1"/>
          <w:lang w:val="en-GB"/>
        </w:rPr>
        <w:t>Determination of antioxidant activity by multi-target approaches and enzyme inhibitory assays related to health status;</w:t>
      </w:r>
    </w:p>
    <w:p w14:paraId="269BBAB3" w14:textId="2F01453A" w:rsidR="00B97D6E" w:rsidRPr="000E261D" w:rsidRDefault="0067277B" w:rsidP="00F44D3B">
      <w:pPr>
        <w:ind w:left="567" w:hanging="567"/>
        <w:jc w:val="both"/>
        <w:rPr>
          <w:color w:val="000000" w:themeColor="text1"/>
          <w:lang w:val="en-GB"/>
        </w:rPr>
      </w:pPr>
      <w:r w:rsidRPr="000E261D">
        <w:rPr>
          <w:color w:val="000000" w:themeColor="text1"/>
          <w:lang w:val="en-GB"/>
        </w:rPr>
        <w:t>A5</w:t>
      </w:r>
      <w:r w:rsidR="00F44D3B">
        <w:rPr>
          <w:color w:val="000000" w:themeColor="text1"/>
          <w:lang w:val="en-GB"/>
        </w:rPr>
        <w:t xml:space="preserve">) </w:t>
      </w:r>
      <w:r w:rsidR="00B97D6E" w:rsidRPr="000E261D">
        <w:rPr>
          <w:color w:val="000000" w:themeColor="text1"/>
          <w:lang w:val="en-GB"/>
        </w:rPr>
        <w:t xml:space="preserve">Evaluation of EVOO and a selection of FVOOs aroma profile by the optimization of </w:t>
      </w:r>
      <w:proofErr w:type="gramStart"/>
      <w:r w:rsidR="00B97D6E" w:rsidRPr="000E261D">
        <w:rPr>
          <w:color w:val="000000" w:themeColor="text1"/>
          <w:lang w:val="en-GB"/>
        </w:rPr>
        <w:t>a</w:t>
      </w:r>
      <w:proofErr w:type="gramEnd"/>
      <w:r w:rsidR="00B97D6E" w:rsidRPr="000E261D">
        <w:rPr>
          <w:color w:val="000000" w:themeColor="text1"/>
          <w:lang w:val="en-GB"/>
        </w:rPr>
        <w:t xml:space="preserve"> SPME-GC-MS method;</w:t>
      </w:r>
    </w:p>
    <w:p w14:paraId="75C586E0" w14:textId="673EBB25" w:rsidR="00690F7A" w:rsidRPr="000E261D" w:rsidRDefault="0067277B" w:rsidP="00B97D6E">
      <w:pPr>
        <w:jc w:val="both"/>
        <w:rPr>
          <w:color w:val="000000" w:themeColor="text1"/>
          <w:lang w:val="en-GB"/>
        </w:rPr>
      </w:pPr>
      <w:proofErr w:type="gramStart"/>
      <w:r w:rsidRPr="000E261D">
        <w:rPr>
          <w:color w:val="000000" w:themeColor="text1"/>
          <w:lang w:val="en-GB"/>
        </w:rPr>
        <w:t>A6</w:t>
      </w:r>
      <w:r w:rsidR="005F6E8F">
        <w:rPr>
          <w:color w:val="000000" w:themeColor="text1"/>
          <w:lang w:val="en-GB"/>
        </w:rPr>
        <w:t xml:space="preserve">) </w:t>
      </w:r>
      <w:r w:rsidR="00B97D6E" w:rsidRPr="000E261D">
        <w:rPr>
          <w:color w:val="000000" w:themeColor="text1"/>
          <w:lang w:val="en-GB"/>
        </w:rPr>
        <w:t>Statistical analysis</w:t>
      </w:r>
      <w:r w:rsidR="00A13292">
        <w:rPr>
          <w:color w:val="000000" w:themeColor="text1"/>
          <w:lang w:val="en-GB"/>
        </w:rPr>
        <w:t>.</w:t>
      </w:r>
      <w:proofErr w:type="gramEnd"/>
    </w:p>
    <w:p w14:paraId="2BAE5315" w14:textId="59B60E44" w:rsidR="0073669B" w:rsidRDefault="0073669B" w:rsidP="00D013A2">
      <w:pPr>
        <w:jc w:val="both"/>
        <w:rPr>
          <w:color w:val="000000" w:themeColor="text1"/>
          <w:lang w:val="en-GB"/>
        </w:rPr>
      </w:pPr>
      <w:r w:rsidRPr="00A951D4">
        <w:rPr>
          <w:color w:val="000000" w:themeColor="text1"/>
          <w:lang w:val="en-GB"/>
        </w:rPr>
        <w:t>Extra-virgin olive oil (EVOO) is an essential condiment used by the population of the Mediterranean basin.</w:t>
      </w:r>
    </w:p>
    <w:p w14:paraId="4605E445" w14:textId="6C9E78B1" w:rsidR="0075293D" w:rsidRPr="000E261D" w:rsidRDefault="00995338" w:rsidP="00D013A2">
      <w:pPr>
        <w:jc w:val="both"/>
        <w:rPr>
          <w:lang w:val="en-GB"/>
        </w:rPr>
      </w:pPr>
      <w:r w:rsidRPr="000E261D">
        <w:rPr>
          <w:color w:val="000000" w:themeColor="text1"/>
          <w:lang w:val="en-GB"/>
        </w:rPr>
        <w:t xml:space="preserve">Several published studies document that </w:t>
      </w:r>
      <w:r w:rsidR="00DC583E" w:rsidRPr="000E261D">
        <w:rPr>
          <w:color w:val="000000" w:themeColor="text1"/>
          <w:lang w:val="en-GB"/>
        </w:rPr>
        <w:t>most of the health effects of</w:t>
      </w:r>
      <w:r w:rsidR="000E3EE0">
        <w:rPr>
          <w:color w:val="000000" w:themeColor="text1"/>
          <w:lang w:val="en-GB"/>
        </w:rPr>
        <w:t xml:space="preserve"> the</w:t>
      </w:r>
      <w:r w:rsidR="00DC583E" w:rsidRPr="000E261D">
        <w:rPr>
          <w:color w:val="000000" w:themeColor="text1"/>
          <w:lang w:val="en-GB"/>
        </w:rPr>
        <w:t xml:space="preserve"> Mediterranean diet</w:t>
      </w:r>
      <w:r w:rsidRPr="000E261D">
        <w:rPr>
          <w:color w:val="000000" w:themeColor="text1"/>
          <w:lang w:val="en-GB"/>
        </w:rPr>
        <w:t xml:space="preserve"> can be ascribed to EVOO. In fact, consumption of EVOO is related to a reduction in</w:t>
      </w:r>
      <w:r w:rsidR="000E3EE0">
        <w:rPr>
          <w:color w:val="000000" w:themeColor="text1"/>
          <w:lang w:val="en-GB"/>
        </w:rPr>
        <w:t xml:space="preserve"> the</w:t>
      </w:r>
      <w:r w:rsidRPr="000E261D">
        <w:rPr>
          <w:color w:val="000000" w:themeColor="text1"/>
          <w:lang w:val="en-GB"/>
        </w:rPr>
        <w:t xml:space="preserve"> oxidation p</w:t>
      </w:r>
      <w:r w:rsidR="00DC583E" w:rsidRPr="000E261D">
        <w:rPr>
          <w:color w:val="000000" w:themeColor="text1"/>
          <w:lang w:val="en-GB"/>
        </w:rPr>
        <w:t xml:space="preserve">rocess of biomolecules such as </w:t>
      </w:r>
      <w:r w:rsidRPr="000E261D">
        <w:rPr>
          <w:color w:val="000000" w:themeColor="text1"/>
          <w:lang w:val="en-GB"/>
        </w:rPr>
        <w:t>lipid</w:t>
      </w:r>
      <w:r w:rsidR="000E3EE0">
        <w:rPr>
          <w:color w:val="000000" w:themeColor="text1"/>
          <w:lang w:val="en-GB"/>
        </w:rPr>
        <w:t>s</w:t>
      </w:r>
      <w:r w:rsidRPr="000E261D">
        <w:rPr>
          <w:color w:val="000000" w:themeColor="text1"/>
          <w:lang w:val="en-GB"/>
        </w:rPr>
        <w:t xml:space="preserve"> and DNA, a reduction in insulin-resistance and an improvement in the lipid profile etc. These effects protect from both metabolic disorders and cardiovascular disease (Buckland </w:t>
      </w:r>
      <w:r w:rsidR="0095342A" w:rsidRPr="000E261D">
        <w:rPr>
          <w:color w:val="000000" w:themeColor="text1"/>
          <w:lang w:val="en-GB"/>
        </w:rPr>
        <w:t xml:space="preserve">and </w:t>
      </w:r>
      <w:r w:rsidRPr="000E261D">
        <w:rPr>
          <w:color w:val="000000" w:themeColor="text1"/>
          <w:lang w:val="en-GB"/>
        </w:rPr>
        <w:t xml:space="preserve">Gonzalez, 2015).  Recently, an increasing </w:t>
      </w:r>
      <w:r w:rsidR="000E3EE0">
        <w:rPr>
          <w:color w:val="000000" w:themeColor="text1"/>
          <w:lang w:val="en-GB"/>
        </w:rPr>
        <w:t>amount</w:t>
      </w:r>
      <w:r w:rsidR="000E3EE0" w:rsidRPr="000E261D">
        <w:rPr>
          <w:color w:val="000000" w:themeColor="text1"/>
          <w:lang w:val="en-GB"/>
        </w:rPr>
        <w:t xml:space="preserve"> </w:t>
      </w:r>
      <w:r w:rsidRPr="000E261D">
        <w:rPr>
          <w:color w:val="000000" w:themeColor="text1"/>
          <w:lang w:val="en-GB"/>
        </w:rPr>
        <w:t>of scientific evidence ha</w:t>
      </w:r>
      <w:r w:rsidR="000E3EE0">
        <w:rPr>
          <w:color w:val="000000" w:themeColor="text1"/>
          <w:lang w:val="en-GB"/>
        </w:rPr>
        <w:t>s</w:t>
      </w:r>
      <w:r w:rsidRPr="000E261D">
        <w:rPr>
          <w:color w:val="000000" w:themeColor="text1"/>
          <w:lang w:val="en-GB"/>
        </w:rPr>
        <w:t xml:space="preserve"> revealed that phenolic compounds </w:t>
      </w:r>
      <w:r w:rsidR="000E3EE0">
        <w:rPr>
          <w:color w:val="000000" w:themeColor="text1"/>
          <w:lang w:val="en-GB"/>
        </w:rPr>
        <w:t>which</w:t>
      </w:r>
      <w:r w:rsidR="000E3EE0" w:rsidRPr="000E261D">
        <w:rPr>
          <w:color w:val="000000" w:themeColor="text1"/>
          <w:lang w:val="en-GB"/>
        </w:rPr>
        <w:t xml:space="preserve"> </w:t>
      </w:r>
      <w:r w:rsidRPr="000E261D">
        <w:rPr>
          <w:color w:val="000000" w:themeColor="text1"/>
          <w:lang w:val="en-GB"/>
        </w:rPr>
        <w:t xml:space="preserve">represent only ~2% of EVOO may also contribute to the </w:t>
      </w:r>
      <w:r w:rsidR="00F36487" w:rsidRPr="000E261D">
        <w:rPr>
          <w:color w:val="000000" w:themeColor="text1"/>
          <w:lang w:val="en-GB"/>
        </w:rPr>
        <w:t>healthy features of EVOO (</w:t>
      </w:r>
      <w:r w:rsidRPr="000E261D">
        <w:rPr>
          <w:color w:val="000000" w:themeColor="text1"/>
          <w:lang w:val="en-GB"/>
        </w:rPr>
        <w:t xml:space="preserve">Jimenez-Lopez et al., 2020). The chemical composition of the EVOO varies according to the olive cultivar, the harvesting period and geographical origin, the </w:t>
      </w:r>
      <w:proofErr w:type="spellStart"/>
      <w:r w:rsidRPr="000E261D">
        <w:rPr>
          <w:color w:val="000000" w:themeColor="text1"/>
          <w:lang w:val="en-GB"/>
        </w:rPr>
        <w:t>pedoclimatic</w:t>
      </w:r>
      <w:proofErr w:type="spellEnd"/>
      <w:r w:rsidRPr="000E261D">
        <w:rPr>
          <w:color w:val="000000" w:themeColor="text1"/>
          <w:lang w:val="en-GB"/>
        </w:rPr>
        <w:t xml:space="preserve"> conditions of </w:t>
      </w:r>
      <w:r w:rsidRPr="00125CD5">
        <w:rPr>
          <w:color w:val="000000" w:themeColor="text1"/>
          <w:lang w:val="en-GB"/>
        </w:rPr>
        <w:t>growth (</w:t>
      </w:r>
      <w:proofErr w:type="spellStart"/>
      <w:r w:rsidRPr="00125CD5">
        <w:rPr>
          <w:color w:val="000000" w:themeColor="text1"/>
          <w:lang w:val="en-GB"/>
        </w:rPr>
        <w:t>Giuffrè</w:t>
      </w:r>
      <w:proofErr w:type="spellEnd"/>
      <w:r w:rsidRPr="00125CD5">
        <w:rPr>
          <w:color w:val="000000" w:themeColor="text1"/>
          <w:lang w:val="en-GB"/>
        </w:rPr>
        <w:t>, 2017).</w:t>
      </w:r>
      <w:r w:rsidR="005A7DBF" w:rsidRPr="00125CD5">
        <w:rPr>
          <w:color w:val="000000" w:themeColor="text1"/>
          <w:lang w:val="en-GB"/>
        </w:rPr>
        <w:t xml:space="preserve"> </w:t>
      </w:r>
      <w:r w:rsidR="00881B16" w:rsidRPr="00125CD5">
        <w:rPr>
          <w:lang w:val="en-GB"/>
        </w:rPr>
        <w:t>Italy is the second largest EVOO producer with protected designation of origin (PDO) and protected geographical indication (PGI) mark. Many of these cultivars</w:t>
      </w:r>
      <w:r w:rsidR="000E3EE0">
        <w:rPr>
          <w:lang w:val="en-GB"/>
        </w:rPr>
        <w:t xml:space="preserve"> </w:t>
      </w:r>
      <w:r w:rsidR="00881B16" w:rsidRPr="00125CD5">
        <w:rPr>
          <w:lang w:val="en-GB"/>
        </w:rPr>
        <w:t>are located in Calabria, a region of southern Italy</w:t>
      </w:r>
      <w:r w:rsidR="000E3EE0">
        <w:rPr>
          <w:lang w:val="en-GB"/>
        </w:rPr>
        <w:t>, due its favourable microclimate conditions</w:t>
      </w:r>
      <w:r w:rsidR="00881B16" w:rsidRPr="00125CD5">
        <w:rPr>
          <w:lang w:val="en-GB"/>
        </w:rPr>
        <w:t xml:space="preserve"> (</w:t>
      </w:r>
      <w:proofErr w:type="spellStart"/>
      <w:r w:rsidR="00881B16" w:rsidRPr="00125CD5">
        <w:rPr>
          <w:lang w:val="en-GB"/>
        </w:rPr>
        <w:t>Marra</w:t>
      </w:r>
      <w:proofErr w:type="spellEnd"/>
      <w:r w:rsidR="00881B16" w:rsidRPr="00125CD5">
        <w:rPr>
          <w:lang w:val="en-GB"/>
        </w:rPr>
        <w:t xml:space="preserve"> et al., 2013). Among them </w:t>
      </w:r>
      <w:r w:rsidR="000E3EE0">
        <w:rPr>
          <w:lang w:val="en-GB"/>
        </w:rPr>
        <w:t xml:space="preserve">the </w:t>
      </w:r>
      <w:proofErr w:type="spellStart"/>
      <w:r w:rsidR="00881B16" w:rsidRPr="00125CD5">
        <w:rPr>
          <w:lang w:val="en-GB"/>
        </w:rPr>
        <w:t>Ottobratica</w:t>
      </w:r>
      <w:proofErr w:type="spellEnd"/>
      <w:r w:rsidR="00881B16" w:rsidRPr="00125CD5">
        <w:rPr>
          <w:lang w:val="en-GB"/>
        </w:rPr>
        <w:t xml:space="preserve"> cultivar represent one of the mos</w:t>
      </w:r>
      <w:r w:rsidR="000E6128" w:rsidRPr="00125CD5">
        <w:rPr>
          <w:lang w:val="en-GB"/>
        </w:rPr>
        <w:t>t cultivated (</w:t>
      </w:r>
      <w:proofErr w:type="spellStart"/>
      <w:r w:rsidR="000E6128" w:rsidRPr="00125CD5">
        <w:rPr>
          <w:lang w:val="en-GB"/>
        </w:rPr>
        <w:t>Sicari</w:t>
      </w:r>
      <w:proofErr w:type="spellEnd"/>
      <w:r w:rsidR="000E6128" w:rsidRPr="00125CD5">
        <w:rPr>
          <w:lang w:val="en-GB"/>
        </w:rPr>
        <w:t xml:space="preserve"> at al., 2009</w:t>
      </w:r>
      <w:r w:rsidR="00881B16" w:rsidRPr="00125CD5">
        <w:rPr>
          <w:lang w:val="en-GB"/>
        </w:rPr>
        <w:t>).</w:t>
      </w:r>
      <w:r w:rsidR="0075293D">
        <w:rPr>
          <w:lang w:val="en-GB"/>
        </w:rPr>
        <w:t xml:space="preserve"> </w:t>
      </w:r>
      <w:r w:rsidR="00881B16" w:rsidRPr="00125CD5">
        <w:rPr>
          <w:lang w:val="en-GB"/>
        </w:rPr>
        <w:t>Spices are widely used to increase food palatability (</w:t>
      </w:r>
      <w:proofErr w:type="spellStart"/>
      <w:r w:rsidR="00881B16" w:rsidRPr="00125CD5">
        <w:rPr>
          <w:lang w:val="en-GB"/>
        </w:rPr>
        <w:t>Issaoui</w:t>
      </w:r>
      <w:proofErr w:type="spellEnd"/>
      <w:r w:rsidR="00881B16" w:rsidRPr="00125CD5">
        <w:rPr>
          <w:lang w:val="en-GB"/>
        </w:rPr>
        <w:t xml:space="preserve"> et al., 2016).</w:t>
      </w:r>
      <w:r w:rsidR="005A7DBF" w:rsidRPr="00125CD5">
        <w:rPr>
          <w:lang w:val="en-GB"/>
        </w:rPr>
        <w:t xml:space="preserve"> </w:t>
      </w:r>
      <w:r w:rsidR="00881B16" w:rsidRPr="00125CD5">
        <w:rPr>
          <w:lang w:val="en-GB"/>
        </w:rPr>
        <w:t>Moreover, they provide some biological effect and extend the shelf life of food (</w:t>
      </w:r>
      <w:proofErr w:type="spellStart"/>
      <w:r w:rsidR="00881B16" w:rsidRPr="00125CD5">
        <w:rPr>
          <w:lang w:val="en-GB"/>
        </w:rPr>
        <w:t>Opara</w:t>
      </w:r>
      <w:proofErr w:type="spellEnd"/>
      <w:r w:rsidR="00881B16" w:rsidRPr="00125CD5">
        <w:rPr>
          <w:lang w:val="en-GB"/>
        </w:rPr>
        <w:t xml:space="preserve"> </w:t>
      </w:r>
      <w:r w:rsidR="0095342A" w:rsidRPr="00125CD5">
        <w:rPr>
          <w:lang w:val="en-GB"/>
        </w:rPr>
        <w:t xml:space="preserve">and </w:t>
      </w:r>
      <w:proofErr w:type="spellStart"/>
      <w:r w:rsidR="00881B16" w:rsidRPr="00125CD5">
        <w:rPr>
          <w:lang w:val="en-GB"/>
        </w:rPr>
        <w:t>Chohan</w:t>
      </w:r>
      <w:proofErr w:type="spellEnd"/>
      <w:r w:rsidR="00881B16" w:rsidRPr="00125CD5">
        <w:rPr>
          <w:lang w:val="en-GB"/>
        </w:rPr>
        <w:t xml:space="preserve">, 2014). These actions are due to their phytochemical content of polyphenols, </w:t>
      </w:r>
      <w:proofErr w:type="spellStart"/>
      <w:r w:rsidR="00881B16" w:rsidRPr="00125CD5">
        <w:rPr>
          <w:lang w:val="en-GB"/>
        </w:rPr>
        <w:t>terpenoids</w:t>
      </w:r>
      <w:proofErr w:type="spellEnd"/>
      <w:r w:rsidR="00881B16" w:rsidRPr="00125CD5">
        <w:rPr>
          <w:lang w:val="en-GB"/>
        </w:rPr>
        <w:t xml:space="preserve"> and carotenoids (</w:t>
      </w:r>
      <w:proofErr w:type="spellStart"/>
      <w:r w:rsidR="00881B16" w:rsidRPr="00125CD5">
        <w:rPr>
          <w:lang w:val="en-GB"/>
        </w:rPr>
        <w:t>Wahyuni</w:t>
      </w:r>
      <w:proofErr w:type="spellEnd"/>
      <w:r w:rsidR="00881B16" w:rsidRPr="00125CD5">
        <w:rPr>
          <w:lang w:val="en-GB"/>
        </w:rPr>
        <w:t xml:space="preserve"> et al., 2013).</w:t>
      </w:r>
      <w:r w:rsidR="005A7DBF" w:rsidRPr="00125CD5">
        <w:rPr>
          <w:lang w:val="en-GB"/>
        </w:rPr>
        <w:t xml:space="preserve"> </w:t>
      </w:r>
      <w:r w:rsidR="00881B16" w:rsidRPr="00125CD5">
        <w:rPr>
          <w:lang w:val="en-GB"/>
        </w:rPr>
        <w:t>The addition of herbs and spice</w:t>
      </w:r>
      <w:r w:rsidR="0095342A" w:rsidRPr="00125CD5">
        <w:rPr>
          <w:lang w:val="en-GB"/>
        </w:rPr>
        <w:t>s</w:t>
      </w:r>
      <w:r w:rsidR="00881B16" w:rsidRPr="00125CD5">
        <w:rPr>
          <w:lang w:val="en-GB"/>
        </w:rPr>
        <w:t xml:space="preserve"> to EVOO has become more popular in recent years, due to consumer demand of “gourmet oils” (</w:t>
      </w:r>
      <w:proofErr w:type="spellStart"/>
      <w:r w:rsidR="00881B16" w:rsidRPr="00125CD5">
        <w:rPr>
          <w:lang w:val="en-GB"/>
        </w:rPr>
        <w:t>Clodoveo</w:t>
      </w:r>
      <w:proofErr w:type="spellEnd"/>
      <w:r w:rsidR="00881B16" w:rsidRPr="00125CD5">
        <w:rPr>
          <w:lang w:val="en-GB"/>
        </w:rPr>
        <w:t xml:space="preserve"> et al., 2016). The addition of spices or other flavo</w:t>
      </w:r>
      <w:r w:rsidR="000E3EE0">
        <w:rPr>
          <w:lang w:val="en-GB"/>
        </w:rPr>
        <w:t>u</w:t>
      </w:r>
      <w:r w:rsidR="00881B16" w:rsidRPr="00125CD5">
        <w:rPr>
          <w:lang w:val="en-GB"/>
        </w:rPr>
        <w:t>rings means the resulting oil no longer satisfies the European Union Commission definition for extra virgin olive oil, but can be defined as</w:t>
      </w:r>
      <w:r w:rsidR="00881B16" w:rsidRPr="000E261D">
        <w:rPr>
          <w:lang w:val="en-GB"/>
        </w:rPr>
        <w:t xml:space="preserve"> a Flavo</w:t>
      </w:r>
      <w:r w:rsidR="005F6E8F">
        <w:rPr>
          <w:lang w:val="en-GB"/>
        </w:rPr>
        <w:t>u</w:t>
      </w:r>
      <w:r w:rsidR="00881B16" w:rsidRPr="000E261D">
        <w:rPr>
          <w:lang w:val="en-GB"/>
        </w:rPr>
        <w:t>red Olive Oil (FVOO).</w:t>
      </w:r>
      <w:r w:rsidR="005A7DBF">
        <w:rPr>
          <w:lang w:val="en-GB"/>
        </w:rPr>
        <w:t xml:space="preserve"> </w:t>
      </w:r>
      <w:r w:rsidR="00881B16" w:rsidRPr="000E261D">
        <w:rPr>
          <w:lang w:val="en-GB"/>
        </w:rPr>
        <w:t xml:space="preserve">Several research papers </w:t>
      </w:r>
      <w:r w:rsidR="000E3EE0">
        <w:rPr>
          <w:lang w:val="en-GB"/>
        </w:rPr>
        <w:t xml:space="preserve">have </w:t>
      </w:r>
      <w:r w:rsidR="00881B16" w:rsidRPr="000E261D">
        <w:rPr>
          <w:lang w:val="en-GB"/>
        </w:rPr>
        <w:t>investigated the effect of</w:t>
      </w:r>
      <w:r w:rsidR="000E3EE0">
        <w:rPr>
          <w:lang w:val="en-GB"/>
        </w:rPr>
        <w:t xml:space="preserve"> the addition of</w:t>
      </w:r>
      <w:r w:rsidR="00881B16" w:rsidRPr="000E261D">
        <w:rPr>
          <w:lang w:val="en-GB"/>
        </w:rPr>
        <w:t xml:space="preserve"> herbs and spice</w:t>
      </w:r>
      <w:r w:rsidR="000E3EE0">
        <w:rPr>
          <w:lang w:val="en-GB"/>
        </w:rPr>
        <w:t>s</w:t>
      </w:r>
      <w:r w:rsidR="00881B16" w:rsidRPr="000E261D">
        <w:rPr>
          <w:lang w:val="en-GB"/>
        </w:rPr>
        <w:t xml:space="preserve"> on oil nutritional quality, oxidative stability, and sensorial characteristics. </w:t>
      </w:r>
      <w:proofErr w:type="spellStart"/>
      <w:r w:rsidR="00881B16" w:rsidRPr="000E261D">
        <w:rPr>
          <w:lang w:val="en-GB"/>
        </w:rPr>
        <w:t>Clodoveo</w:t>
      </w:r>
      <w:proofErr w:type="spellEnd"/>
      <w:r w:rsidR="00881B16" w:rsidRPr="000E261D">
        <w:rPr>
          <w:lang w:val="en-GB"/>
        </w:rPr>
        <w:t xml:space="preserve"> et al. (2016) compared the impact of different FVOO</w:t>
      </w:r>
      <w:r w:rsidR="0092146D">
        <w:rPr>
          <w:lang w:val="en-GB"/>
        </w:rPr>
        <w:t>s</w:t>
      </w:r>
      <w:r w:rsidR="00881B16" w:rsidRPr="000E261D">
        <w:rPr>
          <w:lang w:val="en-GB"/>
        </w:rPr>
        <w:t xml:space="preserve"> production techniques (infusion of herbs into the oil, addition of herbs to the crushed olives before </w:t>
      </w:r>
      <w:proofErr w:type="spellStart"/>
      <w:r w:rsidR="00881B16" w:rsidRPr="000E261D">
        <w:rPr>
          <w:lang w:val="en-GB"/>
        </w:rPr>
        <w:t>malaxation</w:t>
      </w:r>
      <w:proofErr w:type="spellEnd"/>
      <w:r w:rsidR="00881B16" w:rsidRPr="000E261D">
        <w:rPr>
          <w:lang w:val="en-GB"/>
        </w:rPr>
        <w:t xml:space="preserve"> and application of ultrasound before the olive paste </w:t>
      </w:r>
      <w:proofErr w:type="spellStart"/>
      <w:r w:rsidR="00881B16" w:rsidRPr="000E261D">
        <w:rPr>
          <w:lang w:val="en-GB"/>
        </w:rPr>
        <w:t>malaxation</w:t>
      </w:r>
      <w:proofErr w:type="spellEnd"/>
      <w:r w:rsidR="00881B16" w:rsidRPr="000E261D">
        <w:rPr>
          <w:lang w:val="en-GB"/>
        </w:rPr>
        <w:t xml:space="preserve">) on the quality of the FVOO. </w:t>
      </w:r>
    </w:p>
    <w:p w14:paraId="5EC524A8" w14:textId="6FED6C74" w:rsidR="00A654B6" w:rsidRPr="000E261D" w:rsidRDefault="00A654B6" w:rsidP="0075293D">
      <w:pPr>
        <w:jc w:val="both"/>
        <w:rPr>
          <w:lang w:val="en-GB"/>
        </w:rPr>
      </w:pPr>
      <w:r w:rsidRPr="000E261D">
        <w:rPr>
          <w:lang w:val="en-GB"/>
        </w:rPr>
        <w:t xml:space="preserve">In this context, our work </w:t>
      </w:r>
      <w:r w:rsidR="000E3EE0">
        <w:rPr>
          <w:lang w:val="en-GB"/>
        </w:rPr>
        <w:t>examines</w:t>
      </w:r>
      <w:r w:rsidRPr="000E261D">
        <w:rPr>
          <w:lang w:val="en-GB"/>
        </w:rPr>
        <w:t xml:space="preserve"> the effect of two different technological approach</w:t>
      </w:r>
      <w:r w:rsidR="0095342A" w:rsidRPr="000E261D">
        <w:rPr>
          <w:lang w:val="en-GB"/>
        </w:rPr>
        <w:t>es</w:t>
      </w:r>
      <w:r w:rsidR="00790E00">
        <w:rPr>
          <w:lang w:val="en-GB"/>
        </w:rPr>
        <w:t>:</w:t>
      </w:r>
      <w:r w:rsidRPr="000E261D">
        <w:rPr>
          <w:lang w:val="en-GB"/>
        </w:rPr>
        <w:t xml:space="preserve"> </w:t>
      </w:r>
      <w:proofErr w:type="spellStart"/>
      <w:r w:rsidRPr="000E261D">
        <w:rPr>
          <w:lang w:val="en-GB"/>
        </w:rPr>
        <w:t>malaxation</w:t>
      </w:r>
      <w:proofErr w:type="spellEnd"/>
      <w:r w:rsidRPr="000E261D">
        <w:rPr>
          <w:lang w:val="en-GB"/>
        </w:rPr>
        <w:t xml:space="preserve"> and infusion.</w:t>
      </w:r>
    </w:p>
    <w:p w14:paraId="0D19D44A" w14:textId="192D2509" w:rsidR="00CA3B18" w:rsidRPr="000E261D" w:rsidRDefault="00B07B95" w:rsidP="00270844">
      <w:pPr>
        <w:pStyle w:val="MDPI31text"/>
        <w:spacing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0E261D">
        <w:rPr>
          <w:rFonts w:ascii="Times New Roman" w:hAnsi="Times New Roman"/>
          <w:color w:val="000000" w:themeColor="text1"/>
        </w:rPr>
        <w:lastRenderedPageBreak/>
        <w:t>The</w:t>
      </w:r>
      <w:r w:rsidR="006D2194" w:rsidRPr="000E261D">
        <w:rPr>
          <w:rFonts w:ascii="Times New Roman" w:hAnsi="Times New Roman"/>
          <w:color w:val="000000" w:themeColor="text1"/>
        </w:rPr>
        <w:t xml:space="preserve"> </w:t>
      </w:r>
      <w:r w:rsidR="00F729AF" w:rsidRPr="000E261D">
        <w:rPr>
          <w:rFonts w:ascii="Times New Roman" w:hAnsi="Times New Roman"/>
          <w:color w:val="000000" w:themeColor="text1"/>
        </w:rPr>
        <w:t xml:space="preserve">following plant </w:t>
      </w:r>
      <w:r w:rsidRPr="000E261D">
        <w:rPr>
          <w:rFonts w:ascii="Times New Roman" w:hAnsi="Times New Roman"/>
          <w:color w:val="000000" w:themeColor="text1"/>
        </w:rPr>
        <w:t xml:space="preserve">matrices </w:t>
      </w:r>
      <w:r w:rsidR="006D2194" w:rsidRPr="000E261D">
        <w:rPr>
          <w:rFonts w:ascii="Times New Roman" w:hAnsi="Times New Roman"/>
          <w:color w:val="000000" w:themeColor="text1"/>
        </w:rPr>
        <w:t>were used for enrich</w:t>
      </w:r>
      <w:r w:rsidR="00F729AF" w:rsidRPr="000E261D">
        <w:rPr>
          <w:rFonts w:ascii="Times New Roman" w:hAnsi="Times New Roman"/>
          <w:color w:val="000000" w:themeColor="text1"/>
        </w:rPr>
        <w:t>ment</w:t>
      </w:r>
      <w:r w:rsidRPr="000E261D">
        <w:rPr>
          <w:rFonts w:ascii="Times New Roman" w:hAnsi="Times New Roman"/>
          <w:color w:val="000000" w:themeColor="text1"/>
        </w:rPr>
        <w:t>:</w:t>
      </w:r>
      <w:r w:rsidR="005923B1" w:rsidRPr="000E261D">
        <w:rPr>
          <w:rFonts w:ascii="Times New Roman" w:hAnsi="Times New Roman"/>
          <w:color w:val="000000" w:themeColor="text1"/>
        </w:rPr>
        <w:t xml:space="preserve"> </w:t>
      </w:r>
      <w:r w:rsidR="00CA3B18" w:rsidRPr="000E261D">
        <w:rPr>
          <w:rFonts w:ascii="Times New Roman" w:hAnsi="Times New Roman"/>
          <w:color w:val="000000" w:themeColor="text1"/>
          <w:szCs w:val="20"/>
        </w:rPr>
        <w:t>Turmeric (</w:t>
      </w:r>
      <w:r w:rsidR="00CA3B18" w:rsidRPr="000E261D">
        <w:rPr>
          <w:rFonts w:ascii="Times New Roman" w:hAnsi="Times New Roman"/>
          <w:i/>
          <w:iCs/>
          <w:color w:val="000000" w:themeColor="text1"/>
          <w:szCs w:val="20"/>
        </w:rPr>
        <w:t xml:space="preserve">Curcuma longa </w:t>
      </w:r>
      <w:r w:rsidR="005923B1" w:rsidRPr="000E261D">
        <w:rPr>
          <w:rFonts w:ascii="Times New Roman" w:hAnsi="Times New Roman"/>
          <w:color w:val="000000" w:themeColor="text1"/>
          <w:szCs w:val="20"/>
        </w:rPr>
        <w:t xml:space="preserve">L.), </w:t>
      </w:r>
      <w:r w:rsidR="00CA3B18" w:rsidRPr="000E261D">
        <w:rPr>
          <w:rFonts w:ascii="Times New Roman" w:hAnsi="Times New Roman"/>
          <w:color w:val="000000" w:themeColor="text1"/>
          <w:szCs w:val="20"/>
        </w:rPr>
        <w:t>Ginger (</w:t>
      </w:r>
      <w:proofErr w:type="spellStart"/>
      <w:r w:rsidR="00CA3B18" w:rsidRPr="000E261D">
        <w:rPr>
          <w:rFonts w:ascii="Times New Roman" w:hAnsi="Times New Roman"/>
          <w:i/>
          <w:iCs/>
          <w:color w:val="000000" w:themeColor="text1"/>
          <w:szCs w:val="20"/>
        </w:rPr>
        <w:t>Zingiber</w:t>
      </w:r>
      <w:proofErr w:type="spellEnd"/>
      <w:r w:rsidR="00CA3B18" w:rsidRPr="000E261D">
        <w:rPr>
          <w:rFonts w:ascii="Times New Roman" w:hAnsi="Times New Roman"/>
          <w:i/>
          <w:iCs/>
          <w:color w:val="000000" w:themeColor="text1"/>
          <w:szCs w:val="20"/>
        </w:rPr>
        <w:t xml:space="preserve"> </w:t>
      </w:r>
      <w:proofErr w:type="spellStart"/>
      <w:r w:rsidR="00CA3B18" w:rsidRPr="000E261D">
        <w:rPr>
          <w:rFonts w:ascii="Times New Roman" w:hAnsi="Times New Roman"/>
          <w:i/>
          <w:iCs/>
          <w:color w:val="000000" w:themeColor="text1"/>
          <w:szCs w:val="20"/>
        </w:rPr>
        <w:t>officinale</w:t>
      </w:r>
      <w:proofErr w:type="spellEnd"/>
      <w:r w:rsidR="00CA3B18" w:rsidRPr="000E261D">
        <w:rPr>
          <w:rFonts w:ascii="Times New Roman" w:hAnsi="Times New Roman"/>
          <w:i/>
          <w:iCs/>
          <w:color w:val="000000" w:themeColor="text1"/>
          <w:szCs w:val="20"/>
        </w:rPr>
        <w:t xml:space="preserve"> </w:t>
      </w:r>
      <w:r w:rsidR="00CA3B18" w:rsidRPr="000E261D">
        <w:rPr>
          <w:rFonts w:ascii="Times New Roman" w:hAnsi="Times New Roman"/>
          <w:color w:val="000000" w:themeColor="text1"/>
          <w:szCs w:val="20"/>
        </w:rPr>
        <w:t>R</w:t>
      </w:r>
      <w:r w:rsidR="00D12DFA" w:rsidRPr="000E261D">
        <w:rPr>
          <w:rFonts w:ascii="Times New Roman" w:hAnsi="Times New Roman"/>
          <w:color w:val="000000" w:themeColor="text1"/>
          <w:szCs w:val="20"/>
        </w:rPr>
        <w:t>.</w:t>
      </w:r>
      <w:r w:rsidR="005923B1" w:rsidRPr="000E261D">
        <w:rPr>
          <w:rFonts w:ascii="Times New Roman" w:hAnsi="Times New Roman"/>
          <w:color w:val="000000" w:themeColor="text1"/>
          <w:szCs w:val="20"/>
        </w:rPr>
        <w:t xml:space="preserve">), </w:t>
      </w:r>
      <w:r w:rsidR="00CA3B18" w:rsidRPr="000E261D">
        <w:rPr>
          <w:rFonts w:ascii="Times New Roman" w:hAnsi="Times New Roman"/>
          <w:color w:val="000000" w:themeColor="text1"/>
          <w:szCs w:val="20"/>
        </w:rPr>
        <w:t>Mace (</w:t>
      </w:r>
      <w:proofErr w:type="spellStart"/>
      <w:r w:rsidR="00CA3B18" w:rsidRPr="000E261D">
        <w:rPr>
          <w:rFonts w:ascii="Times New Roman" w:hAnsi="Times New Roman"/>
          <w:i/>
          <w:iCs/>
          <w:color w:val="000000" w:themeColor="text1"/>
          <w:szCs w:val="20"/>
        </w:rPr>
        <w:t>Myristica</w:t>
      </w:r>
      <w:proofErr w:type="spellEnd"/>
      <w:r w:rsidR="00CA3B18" w:rsidRPr="000E261D">
        <w:rPr>
          <w:rFonts w:ascii="Times New Roman" w:hAnsi="Times New Roman"/>
          <w:i/>
          <w:iCs/>
          <w:color w:val="000000" w:themeColor="text1"/>
          <w:szCs w:val="20"/>
        </w:rPr>
        <w:t xml:space="preserve"> </w:t>
      </w:r>
      <w:proofErr w:type="spellStart"/>
      <w:r w:rsidR="00CA3B18" w:rsidRPr="000E261D">
        <w:rPr>
          <w:rFonts w:ascii="Times New Roman" w:hAnsi="Times New Roman"/>
          <w:i/>
          <w:iCs/>
          <w:color w:val="000000" w:themeColor="text1"/>
          <w:szCs w:val="20"/>
        </w:rPr>
        <w:t>fragrans</w:t>
      </w:r>
      <w:proofErr w:type="spellEnd"/>
      <w:r w:rsidR="00CA3B18" w:rsidRPr="000E261D">
        <w:rPr>
          <w:rFonts w:ascii="Times New Roman" w:hAnsi="Times New Roman"/>
          <w:i/>
          <w:iCs/>
          <w:color w:val="000000" w:themeColor="text1"/>
          <w:szCs w:val="20"/>
        </w:rPr>
        <w:t xml:space="preserve"> </w:t>
      </w:r>
      <w:proofErr w:type="spellStart"/>
      <w:r w:rsidR="00CA3B18" w:rsidRPr="000E261D">
        <w:rPr>
          <w:rFonts w:ascii="Times New Roman" w:hAnsi="Times New Roman"/>
          <w:color w:val="000000" w:themeColor="text1"/>
          <w:szCs w:val="20"/>
        </w:rPr>
        <w:t>Houtt</w:t>
      </w:r>
      <w:proofErr w:type="spellEnd"/>
      <w:r w:rsidR="00CA3B18" w:rsidRPr="000E261D">
        <w:rPr>
          <w:rFonts w:ascii="Times New Roman" w:hAnsi="Times New Roman"/>
          <w:color w:val="000000" w:themeColor="text1"/>
          <w:szCs w:val="20"/>
        </w:rPr>
        <w:t>.)</w:t>
      </w:r>
      <w:r w:rsidR="0095342A" w:rsidRPr="000E261D">
        <w:rPr>
          <w:rFonts w:ascii="Times New Roman" w:hAnsi="Times New Roman"/>
          <w:color w:val="000000" w:themeColor="text1"/>
          <w:szCs w:val="20"/>
        </w:rPr>
        <w:t xml:space="preserve">, </w:t>
      </w:r>
      <w:proofErr w:type="spellStart"/>
      <w:r w:rsidR="00C36E52" w:rsidRPr="000E261D">
        <w:rPr>
          <w:rFonts w:ascii="Times New Roman" w:hAnsi="Times New Roman"/>
          <w:color w:val="000000" w:themeColor="text1"/>
        </w:rPr>
        <w:t>Spirulina</w:t>
      </w:r>
      <w:proofErr w:type="spellEnd"/>
      <w:r w:rsidR="00C36E52" w:rsidRPr="000E261D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C36E52" w:rsidRPr="000E261D">
        <w:rPr>
          <w:rFonts w:ascii="Times New Roman" w:hAnsi="Times New Roman"/>
          <w:i/>
          <w:iCs/>
          <w:color w:val="000000" w:themeColor="text1"/>
        </w:rPr>
        <w:t>Spirulina</w:t>
      </w:r>
      <w:proofErr w:type="spellEnd"/>
      <w:r w:rsidR="00C36E52" w:rsidRPr="000E261D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C36E52" w:rsidRPr="000E261D">
        <w:rPr>
          <w:rFonts w:ascii="Times New Roman" w:hAnsi="Times New Roman"/>
          <w:color w:val="000000" w:themeColor="text1"/>
        </w:rPr>
        <w:t>sp.)</w:t>
      </w:r>
      <w:r w:rsidR="005923B1" w:rsidRPr="000E261D">
        <w:rPr>
          <w:rFonts w:ascii="Times New Roman" w:hAnsi="Times New Roman"/>
          <w:color w:val="000000" w:themeColor="text1"/>
        </w:rPr>
        <w:t>,</w:t>
      </w:r>
      <w:r w:rsidR="00C36E52" w:rsidRPr="000E261D">
        <w:rPr>
          <w:rFonts w:ascii="Times New Roman" w:hAnsi="Times New Roman"/>
          <w:color w:val="000000" w:themeColor="text1"/>
        </w:rPr>
        <w:t xml:space="preserve"> </w:t>
      </w:r>
      <w:r w:rsidR="00CA3B18" w:rsidRPr="000E261D">
        <w:rPr>
          <w:rFonts w:ascii="Times New Roman" w:hAnsi="Times New Roman"/>
          <w:color w:val="000000" w:themeColor="text1"/>
        </w:rPr>
        <w:t>Bergamot (</w:t>
      </w:r>
      <w:r w:rsidR="00CA3B18" w:rsidRPr="000E261D">
        <w:rPr>
          <w:rFonts w:ascii="Times New Roman" w:hAnsi="Times New Roman"/>
          <w:i/>
          <w:iCs/>
          <w:color w:val="000000" w:themeColor="text1"/>
        </w:rPr>
        <w:t xml:space="preserve">Citrus </w:t>
      </w:r>
      <w:proofErr w:type="spellStart"/>
      <w:r w:rsidR="00CA3B18" w:rsidRPr="000E261D">
        <w:rPr>
          <w:rFonts w:ascii="Times New Roman" w:hAnsi="Times New Roman"/>
          <w:i/>
          <w:iCs/>
          <w:color w:val="000000" w:themeColor="text1"/>
        </w:rPr>
        <w:t>bergamia</w:t>
      </w:r>
      <w:proofErr w:type="spellEnd"/>
      <w:r w:rsidR="00CA3B18" w:rsidRPr="000E261D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CA3B18" w:rsidRPr="000E261D">
        <w:rPr>
          <w:rFonts w:ascii="Times New Roman" w:hAnsi="Times New Roman"/>
          <w:color w:val="000000" w:themeColor="text1"/>
        </w:rPr>
        <w:t>Risso</w:t>
      </w:r>
      <w:proofErr w:type="spellEnd"/>
      <w:r w:rsidR="00CA3B18" w:rsidRPr="000E261D">
        <w:rPr>
          <w:rFonts w:ascii="Times New Roman" w:hAnsi="Times New Roman"/>
          <w:color w:val="000000" w:themeColor="text1"/>
        </w:rPr>
        <w:t xml:space="preserve"> &amp; </w:t>
      </w:r>
      <w:proofErr w:type="spellStart"/>
      <w:r w:rsidR="00CA3B18" w:rsidRPr="000E261D">
        <w:rPr>
          <w:rFonts w:ascii="Times New Roman" w:hAnsi="Times New Roman"/>
          <w:color w:val="000000" w:themeColor="text1"/>
        </w:rPr>
        <w:t>Poiteau</w:t>
      </w:r>
      <w:proofErr w:type="spellEnd"/>
      <w:r w:rsidR="00CA3B18" w:rsidRPr="000E261D">
        <w:rPr>
          <w:rFonts w:ascii="Times New Roman" w:hAnsi="Times New Roman"/>
          <w:color w:val="000000" w:themeColor="text1"/>
        </w:rPr>
        <w:t xml:space="preserve">) </w:t>
      </w:r>
      <w:r w:rsidR="005923B1" w:rsidRPr="000E261D">
        <w:rPr>
          <w:rFonts w:ascii="Times New Roman" w:hAnsi="Times New Roman"/>
          <w:color w:val="000000" w:themeColor="text1"/>
        </w:rPr>
        <w:t>and</w:t>
      </w:r>
      <w:r w:rsidR="005923B1" w:rsidRPr="000E261D">
        <w:rPr>
          <w:rFonts w:ascii="Times New Roman" w:hAnsi="Times New Roman"/>
          <w:color w:val="000000" w:themeColor="text1"/>
          <w:szCs w:val="20"/>
        </w:rPr>
        <w:t xml:space="preserve"> </w:t>
      </w:r>
      <w:proofErr w:type="spellStart"/>
      <w:r w:rsidR="00800305" w:rsidRPr="000E261D">
        <w:rPr>
          <w:rFonts w:ascii="Times New Roman" w:hAnsi="Times New Roman"/>
          <w:color w:val="000000" w:themeColor="text1"/>
        </w:rPr>
        <w:t>Goji</w:t>
      </w:r>
      <w:proofErr w:type="spellEnd"/>
      <w:r w:rsidR="00800305" w:rsidRPr="000E261D">
        <w:rPr>
          <w:rFonts w:ascii="Times New Roman" w:hAnsi="Times New Roman"/>
          <w:color w:val="000000" w:themeColor="text1"/>
        </w:rPr>
        <w:t xml:space="preserve"> berries </w:t>
      </w:r>
      <w:r w:rsidR="00CA3B18" w:rsidRPr="000E261D">
        <w:rPr>
          <w:rFonts w:ascii="Times New Roman" w:hAnsi="Times New Roman"/>
          <w:color w:val="000000" w:themeColor="text1"/>
        </w:rPr>
        <w:t>(</w:t>
      </w:r>
      <w:proofErr w:type="spellStart"/>
      <w:r w:rsidR="00CA3B18" w:rsidRPr="000E261D">
        <w:rPr>
          <w:rFonts w:ascii="Times New Roman" w:hAnsi="Times New Roman"/>
          <w:i/>
          <w:iCs/>
          <w:color w:val="000000" w:themeColor="text1"/>
        </w:rPr>
        <w:t>Lycium</w:t>
      </w:r>
      <w:proofErr w:type="spellEnd"/>
      <w:r w:rsidR="00CA3B18" w:rsidRPr="000E261D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CA3B18" w:rsidRPr="000E261D">
        <w:rPr>
          <w:rFonts w:ascii="Times New Roman" w:hAnsi="Times New Roman"/>
          <w:i/>
          <w:iCs/>
          <w:color w:val="000000" w:themeColor="text1"/>
        </w:rPr>
        <w:t>barbatum</w:t>
      </w:r>
      <w:proofErr w:type="spellEnd"/>
      <w:r w:rsidR="00CA3B18" w:rsidRPr="000E261D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CA3B18" w:rsidRPr="000E261D">
        <w:rPr>
          <w:rFonts w:ascii="Times New Roman" w:hAnsi="Times New Roman"/>
          <w:color w:val="000000" w:themeColor="text1"/>
        </w:rPr>
        <w:t>L.)</w:t>
      </w:r>
      <w:r w:rsidR="005923B1" w:rsidRPr="000E261D">
        <w:rPr>
          <w:rFonts w:ascii="Times New Roman" w:hAnsi="Times New Roman"/>
          <w:color w:val="000000" w:themeColor="text1"/>
        </w:rPr>
        <w:t>.</w:t>
      </w:r>
      <w:r w:rsidR="00CA3B18" w:rsidRPr="000E261D">
        <w:rPr>
          <w:rFonts w:ascii="Times New Roman" w:hAnsi="Times New Roman"/>
          <w:color w:val="000000" w:themeColor="text1"/>
        </w:rPr>
        <w:t xml:space="preserve"> </w:t>
      </w:r>
    </w:p>
    <w:p w14:paraId="500829AB" w14:textId="5B5F61BA" w:rsidR="007D40F9" w:rsidRDefault="007D40F9" w:rsidP="00B07B95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6D12E1">
        <w:rPr>
          <w:b/>
          <w:bCs/>
          <w:color w:val="000000"/>
          <w:sz w:val="24"/>
          <w:lang w:val="en-GB"/>
        </w:rPr>
        <w:t xml:space="preserve">2. </w:t>
      </w:r>
      <w:r w:rsidR="00381C45" w:rsidRPr="006D12E1">
        <w:rPr>
          <w:b/>
          <w:bCs/>
          <w:color w:val="000000"/>
          <w:sz w:val="24"/>
          <w:lang w:val="en-GB"/>
        </w:rPr>
        <w:t>Experimental procedures</w:t>
      </w:r>
    </w:p>
    <w:p w14:paraId="003073A9" w14:textId="2EA6DAF1" w:rsidR="00374828" w:rsidRPr="00803717" w:rsidRDefault="00374828" w:rsidP="00014DC5">
      <w:pPr>
        <w:jc w:val="both"/>
        <w:rPr>
          <w:lang w:val="en-GB"/>
        </w:rPr>
      </w:pPr>
      <w:r w:rsidRPr="00803717">
        <w:rPr>
          <w:lang w:val="en-GB"/>
        </w:rPr>
        <w:t>Olive fruits (</w:t>
      </w:r>
      <w:proofErr w:type="spellStart"/>
      <w:r w:rsidRPr="00803717">
        <w:rPr>
          <w:i/>
          <w:iCs/>
          <w:lang w:val="en-GB"/>
        </w:rPr>
        <w:t>Olea</w:t>
      </w:r>
      <w:proofErr w:type="spellEnd"/>
      <w:r w:rsidRPr="00803717">
        <w:rPr>
          <w:i/>
          <w:iCs/>
          <w:lang w:val="en-GB"/>
        </w:rPr>
        <w:t xml:space="preserve"> </w:t>
      </w:r>
      <w:proofErr w:type="spellStart"/>
      <w:r w:rsidRPr="00803717">
        <w:rPr>
          <w:i/>
          <w:iCs/>
          <w:lang w:val="en-GB"/>
        </w:rPr>
        <w:t>europea</w:t>
      </w:r>
      <w:proofErr w:type="spellEnd"/>
      <w:r w:rsidRPr="00803717">
        <w:rPr>
          <w:i/>
          <w:iCs/>
          <w:lang w:val="en-GB"/>
        </w:rPr>
        <w:t xml:space="preserve"> </w:t>
      </w:r>
      <w:r w:rsidRPr="00803717">
        <w:rPr>
          <w:lang w:val="en-GB"/>
        </w:rPr>
        <w:t xml:space="preserve">L.) of </w:t>
      </w:r>
      <w:proofErr w:type="spellStart"/>
      <w:r w:rsidRPr="00803717">
        <w:rPr>
          <w:lang w:val="en-GB"/>
        </w:rPr>
        <w:t>Ottobratica</w:t>
      </w:r>
      <w:proofErr w:type="spellEnd"/>
      <w:r w:rsidRPr="00803717">
        <w:rPr>
          <w:lang w:val="en-GB"/>
        </w:rPr>
        <w:t xml:space="preserve"> variety were harvested in Reggio Calabria province (Italy). </w:t>
      </w:r>
      <w:proofErr w:type="gramStart"/>
      <w:r w:rsidRPr="00803717">
        <w:rPr>
          <w:lang w:val="en-GB"/>
        </w:rPr>
        <w:t>The oil extraction was performed by a mini-pressing apparatus</w:t>
      </w:r>
      <w:proofErr w:type="gramEnd"/>
      <w:r w:rsidRPr="00803717">
        <w:rPr>
          <w:lang w:val="en-GB"/>
        </w:rPr>
        <w:t xml:space="preserve">. The parts of plants and spices were purchased at a local supermarket, </w:t>
      </w:r>
      <w:r w:rsidR="0092146D">
        <w:rPr>
          <w:lang w:val="en-GB"/>
        </w:rPr>
        <w:t>except for</w:t>
      </w:r>
      <w:r w:rsidRPr="00803717">
        <w:rPr>
          <w:lang w:val="en-GB"/>
        </w:rPr>
        <w:t xml:space="preserve"> the bergamot fruit and </w:t>
      </w:r>
      <w:proofErr w:type="spellStart"/>
      <w:r w:rsidRPr="00803717">
        <w:rPr>
          <w:lang w:val="en-GB"/>
        </w:rPr>
        <w:t>goji</w:t>
      </w:r>
      <w:proofErr w:type="spellEnd"/>
      <w:r w:rsidRPr="00803717">
        <w:rPr>
          <w:lang w:val="en-GB"/>
        </w:rPr>
        <w:t xml:space="preserve"> berr</w:t>
      </w:r>
      <w:r w:rsidR="002236C9">
        <w:rPr>
          <w:lang w:val="en-GB"/>
        </w:rPr>
        <w:t>y</w:t>
      </w:r>
      <w:r w:rsidR="004C7034" w:rsidRPr="00803717">
        <w:rPr>
          <w:lang w:val="en-GB"/>
        </w:rPr>
        <w:t xml:space="preserve"> puree</w:t>
      </w:r>
      <w:r w:rsidR="00B07B95" w:rsidRPr="00803717">
        <w:rPr>
          <w:lang w:val="en-GB"/>
        </w:rPr>
        <w:t xml:space="preserve"> (purchased from</w:t>
      </w:r>
      <w:r w:rsidRPr="00803717">
        <w:rPr>
          <w:lang w:val="en-GB"/>
        </w:rPr>
        <w:t xml:space="preserve"> </w:t>
      </w:r>
      <w:proofErr w:type="spellStart"/>
      <w:r w:rsidRPr="00803717">
        <w:rPr>
          <w:lang w:val="en-GB"/>
        </w:rPr>
        <w:t>Calabrian</w:t>
      </w:r>
      <w:proofErr w:type="spellEnd"/>
      <w:r w:rsidRPr="00803717">
        <w:rPr>
          <w:lang w:val="en-GB"/>
        </w:rPr>
        <w:t xml:space="preserve"> producer</w:t>
      </w:r>
      <w:r w:rsidR="00B07B95" w:rsidRPr="00803717">
        <w:rPr>
          <w:lang w:val="en-GB"/>
        </w:rPr>
        <w:t>s</w:t>
      </w:r>
      <w:r w:rsidRPr="00803717">
        <w:rPr>
          <w:lang w:val="en-GB"/>
        </w:rPr>
        <w:t>). All the matrices were added as a powder with the exception of bergamot fruits</w:t>
      </w:r>
      <w:r w:rsidR="002236C9">
        <w:rPr>
          <w:lang w:val="en-GB"/>
        </w:rPr>
        <w:t xml:space="preserve"> and </w:t>
      </w:r>
      <w:proofErr w:type="spellStart"/>
      <w:r w:rsidR="002236C9">
        <w:rPr>
          <w:lang w:val="en-GB"/>
        </w:rPr>
        <w:t>goji</w:t>
      </w:r>
      <w:proofErr w:type="spellEnd"/>
      <w:r w:rsidR="002236C9">
        <w:rPr>
          <w:lang w:val="en-GB"/>
        </w:rPr>
        <w:t xml:space="preserve"> berries, </w:t>
      </w:r>
      <w:r w:rsidRPr="00803717">
        <w:rPr>
          <w:lang w:val="en-GB"/>
        </w:rPr>
        <w:t>which were cut into slices and</w:t>
      </w:r>
      <w:r w:rsidR="002236C9">
        <w:rPr>
          <w:lang w:val="en-GB"/>
        </w:rPr>
        <w:t xml:space="preserve"> used</w:t>
      </w:r>
      <w:r w:rsidR="00967FEA">
        <w:rPr>
          <w:lang w:val="en-GB"/>
        </w:rPr>
        <w:t xml:space="preserve"> </w:t>
      </w:r>
      <w:r w:rsidRPr="00803717">
        <w:rPr>
          <w:lang w:val="en-GB"/>
        </w:rPr>
        <w:t>as a puree</w:t>
      </w:r>
      <w:r w:rsidR="002236C9">
        <w:rPr>
          <w:lang w:val="en-GB"/>
        </w:rPr>
        <w:t>, respectively</w:t>
      </w:r>
      <w:r w:rsidRPr="00803717">
        <w:rPr>
          <w:lang w:val="en-GB"/>
        </w:rPr>
        <w:t xml:space="preserve">. For the addition during </w:t>
      </w:r>
      <w:proofErr w:type="spellStart"/>
      <w:r w:rsidRPr="00803717">
        <w:rPr>
          <w:lang w:val="en-GB"/>
        </w:rPr>
        <w:t>malaxation</w:t>
      </w:r>
      <w:proofErr w:type="spellEnd"/>
      <w:r w:rsidRPr="00803717">
        <w:rPr>
          <w:lang w:val="en-GB"/>
        </w:rPr>
        <w:t xml:space="preserve"> (1%), the extraction was performed at room temperature and </w:t>
      </w:r>
      <w:proofErr w:type="spellStart"/>
      <w:r w:rsidRPr="00803717">
        <w:rPr>
          <w:lang w:val="en-GB"/>
        </w:rPr>
        <w:t>malaxation</w:t>
      </w:r>
      <w:proofErr w:type="spellEnd"/>
      <w:r w:rsidRPr="00803717">
        <w:rPr>
          <w:lang w:val="en-GB"/>
        </w:rPr>
        <w:t xml:space="preserve"> lasted for 40 minutes. With the aim of making a comparative analysis, the enrichment was also done by infusion (2%). The </w:t>
      </w:r>
      <w:r w:rsidR="002236C9">
        <w:rPr>
          <w:lang w:val="en-GB"/>
        </w:rPr>
        <w:t xml:space="preserve">oil was infused </w:t>
      </w:r>
      <w:r w:rsidRPr="00803717">
        <w:rPr>
          <w:lang w:val="en-GB"/>
        </w:rPr>
        <w:t xml:space="preserve">for 30 days in the dark and under constant agitation. The enrichment matrices were not added directly to the oil, but </w:t>
      </w:r>
      <w:r w:rsidR="002236C9">
        <w:rPr>
          <w:lang w:val="en-GB"/>
        </w:rPr>
        <w:t xml:space="preserve">small bags, similar to </w:t>
      </w:r>
      <w:r w:rsidRPr="00803717">
        <w:rPr>
          <w:lang w:val="en-GB"/>
        </w:rPr>
        <w:t>tea bags</w:t>
      </w:r>
      <w:r w:rsidR="00967FEA">
        <w:rPr>
          <w:lang w:val="en-GB"/>
        </w:rPr>
        <w:t>,</w:t>
      </w:r>
      <w:r w:rsidRPr="00803717">
        <w:rPr>
          <w:lang w:val="en-GB"/>
        </w:rPr>
        <w:t xml:space="preserve"> were created with sterile gauze. Bergamot and </w:t>
      </w:r>
      <w:proofErr w:type="spellStart"/>
      <w:r w:rsidRPr="00803717">
        <w:rPr>
          <w:lang w:val="en-GB"/>
        </w:rPr>
        <w:t>goji</w:t>
      </w:r>
      <w:proofErr w:type="spellEnd"/>
      <w:r w:rsidRPr="00803717">
        <w:rPr>
          <w:lang w:val="en-GB"/>
        </w:rPr>
        <w:t xml:space="preserve"> berr</w:t>
      </w:r>
      <w:r w:rsidR="009B25CD">
        <w:rPr>
          <w:lang w:val="en-GB"/>
        </w:rPr>
        <w:t>y</w:t>
      </w:r>
      <w:r w:rsidR="0092146D">
        <w:rPr>
          <w:lang w:val="en-GB"/>
        </w:rPr>
        <w:t xml:space="preserve"> puree</w:t>
      </w:r>
      <w:r w:rsidRPr="00803717">
        <w:rPr>
          <w:lang w:val="en-GB"/>
        </w:rPr>
        <w:t>, before the addition by infusion, were freeze-dried</w:t>
      </w:r>
      <w:r w:rsidR="00B07B95" w:rsidRPr="00803717">
        <w:rPr>
          <w:lang w:val="en-GB"/>
        </w:rPr>
        <w:t xml:space="preserve">. </w:t>
      </w:r>
      <w:r w:rsidR="007D53F0" w:rsidRPr="00803717">
        <w:rPr>
          <w:lang w:val="en-GB"/>
        </w:rPr>
        <w:t xml:space="preserve">The additions were made with single matrix or in combination with two or three matrices to evaluate any antagonistic or synergistic effect. </w:t>
      </w:r>
      <w:r w:rsidRPr="00803717">
        <w:rPr>
          <w:lang w:val="en-GB"/>
        </w:rPr>
        <w:t>The obtained F</w:t>
      </w:r>
      <w:r w:rsidR="000171FC">
        <w:rPr>
          <w:lang w:val="en-GB"/>
        </w:rPr>
        <w:t>V</w:t>
      </w:r>
      <w:r w:rsidRPr="00803717">
        <w:rPr>
          <w:lang w:val="en-GB"/>
        </w:rPr>
        <w:t>OOs were filtered and packaged in amber glass bottles with a capacity of 100 m</w:t>
      </w:r>
      <w:r w:rsidR="0092146D">
        <w:rPr>
          <w:lang w:val="en-GB"/>
        </w:rPr>
        <w:t>L</w:t>
      </w:r>
      <w:r w:rsidRPr="00803717">
        <w:rPr>
          <w:lang w:val="en-GB"/>
        </w:rPr>
        <w:t xml:space="preserve"> with threaded screw cap with drip catcher. The </w:t>
      </w:r>
      <w:r w:rsidR="004C7034" w:rsidRPr="00803717">
        <w:rPr>
          <w:lang w:val="en-GB"/>
        </w:rPr>
        <w:t>analys</w:t>
      </w:r>
      <w:r w:rsidR="009B25CD">
        <w:rPr>
          <w:lang w:val="en-GB"/>
        </w:rPr>
        <w:t>e</w:t>
      </w:r>
      <w:r w:rsidRPr="00803717">
        <w:rPr>
          <w:lang w:val="en-GB"/>
        </w:rPr>
        <w:t>s were made for EVOO and F</w:t>
      </w:r>
      <w:r w:rsidR="000171FC">
        <w:rPr>
          <w:lang w:val="en-GB"/>
        </w:rPr>
        <w:t>V</w:t>
      </w:r>
      <w:r w:rsidRPr="00803717">
        <w:rPr>
          <w:lang w:val="en-GB"/>
        </w:rPr>
        <w:t xml:space="preserve">OOs at different pre-established times to evaluate stability </w:t>
      </w:r>
      <w:r w:rsidR="009B25CD">
        <w:rPr>
          <w:lang w:val="en-GB"/>
        </w:rPr>
        <w:t xml:space="preserve">throughout </w:t>
      </w:r>
      <w:r w:rsidR="000B30EB" w:rsidRPr="00803717">
        <w:rPr>
          <w:lang w:val="en-GB"/>
        </w:rPr>
        <w:t>one year</w:t>
      </w:r>
      <w:r w:rsidR="009B25CD">
        <w:rPr>
          <w:lang w:val="en-GB"/>
        </w:rPr>
        <w:t xml:space="preserve"> of storage</w:t>
      </w:r>
      <w:r w:rsidRPr="00803717">
        <w:rPr>
          <w:lang w:val="en-GB"/>
        </w:rPr>
        <w:t xml:space="preserve">. </w:t>
      </w:r>
      <w:r w:rsidRPr="004B239A">
        <w:rPr>
          <w:lang w:val="en-GB"/>
        </w:rPr>
        <w:t>Samples were analy</w:t>
      </w:r>
      <w:r w:rsidR="004D494F">
        <w:rPr>
          <w:lang w:val="en-GB"/>
        </w:rPr>
        <w:t>s</w:t>
      </w:r>
      <w:r w:rsidRPr="004B239A">
        <w:rPr>
          <w:lang w:val="en-GB"/>
        </w:rPr>
        <w:t xml:space="preserve">ed in triplicate. The analysis of variance (one-way ANOVA) was conducted by applying the post hoc </w:t>
      </w:r>
      <w:proofErr w:type="spellStart"/>
      <w:r w:rsidRPr="004B239A">
        <w:rPr>
          <w:lang w:val="en-GB"/>
        </w:rPr>
        <w:t>Tukey</w:t>
      </w:r>
      <w:proofErr w:type="spellEnd"/>
      <w:r w:rsidRPr="004B239A">
        <w:rPr>
          <w:lang w:val="en-GB"/>
        </w:rPr>
        <w:t xml:space="preserve"> test at p &lt; 0.05 (SPSS software, 21.0 version, Armonk, NY, USA). </w:t>
      </w:r>
    </w:p>
    <w:p w14:paraId="5837B98F" w14:textId="2E1EC118" w:rsidR="007D40F9" w:rsidRDefault="00112E66" w:rsidP="003F7AFA">
      <w:pPr>
        <w:pStyle w:val="Titolo1"/>
        <w:tabs>
          <w:tab w:val="left" w:pos="567"/>
        </w:tabs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</w:t>
      </w:r>
      <w:r w:rsidR="007D40F9" w:rsidRPr="009C559D">
        <w:rPr>
          <w:b/>
          <w:bCs/>
          <w:color w:val="000000"/>
          <w:sz w:val="24"/>
          <w:lang w:val="en-GB"/>
        </w:rPr>
        <w:t>. Results and Discussion</w:t>
      </w:r>
    </w:p>
    <w:p w14:paraId="6C0AFD52" w14:textId="1C356FD1" w:rsidR="000171FC" w:rsidRPr="00CA1B08" w:rsidRDefault="0095342A" w:rsidP="00F44D3B">
      <w:pPr>
        <w:jc w:val="both"/>
        <w:rPr>
          <w:lang w:val="en-GB"/>
        </w:rPr>
      </w:pPr>
      <w:r>
        <w:rPr>
          <w:lang w:val="en-GB"/>
        </w:rPr>
        <w:t>I</w:t>
      </w:r>
      <w:r w:rsidR="000171FC">
        <w:rPr>
          <w:lang w:val="en-GB"/>
        </w:rPr>
        <w:t>n this discussion,</w:t>
      </w:r>
      <w:r w:rsidRPr="0095342A">
        <w:rPr>
          <w:lang w:val="en-GB"/>
        </w:rPr>
        <w:t xml:space="preserve"> </w:t>
      </w:r>
      <w:r w:rsidR="000E261D">
        <w:rPr>
          <w:lang w:val="en-GB"/>
        </w:rPr>
        <w:t>data</w:t>
      </w:r>
      <w:r w:rsidRPr="0095342A">
        <w:rPr>
          <w:lang w:val="en-GB"/>
        </w:rPr>
        <w:t xml:space="preserve"> concerning the </w:t>
      </w:r>
      <w:r>
        <w:rPr>
          <w:lang w:val="en-GB"/>
        </w:rPr>
        <w:t>enrichment</w:t>
      </w:r>
      <w:r w:rsidRPr="0095342A">
        <w:rPr>
          <w:lang w:val="en-GB"/>
        </w:rPr>
        <w:t xml:space="preserve"> with Turmeric (T</w:t>
      </w:r>
      <w:r w:rsidR="004D494F">
        <w:rPr>
          <w:lang w:val="en-GB"/>
        </w:rPr>
        <w:t>), Mace (M) and Ginger (G),</w:t>
      </w:r>
      <w:r w:rsidRPr="0095342A">
        <w:rPr>
          <w:lang w:val="en-GB"/>
        </w:rPr>
        <w:t xml:space="preserve"> </w:t>
      </w:r>
      <w:r w:rsidRPr="00CA1B08">
        <w:rPr>
          <w:lang w:val="en-GB"/>
        </w:rPr>
        <w:t>produced</w:t>
      </w:r>
      <w:r w:rsidR="004D494F">
        <w:rPr>
          <w:lang w:val="en-GB"/>
        </w:rPr>
        <w:t xml:space="preserve"> both</w:t>
      </w:r>
      <w:r w:rsidRPr="00CA1B08">
        <w:rPr>
          <w:lang w:val="en-GB"/>
        </w:rPr>
        <w:t xml:space="preserve"> by infusion (INF) and </w:t>
      </w:r>
      <w:r w:rsidR="004D494F">
        <w:rPr>
          <w:lang w:val="en-GB"/>
        </w:rPr>
        <w:t xml:space="preserve">by </w:t>
      </w:r>
      <w:proofErr w:type="spellStart"/>
      <w:r w:rsidR="004D494F">
        <w:rPr>
          <w:lang w:val="en-GB"/>
        </w:rPr>
        <w:t>malaxation</w:t>
      </w:r>
      <w:proofErr w:type="spellEnd"/>
      <w:r w:rsidR="004D494F">
        <w:rPr>
          <w:lang w:val="en-GB"/>
        </w:rPr>
        <w:t xml:space="preserve"> (MAL) are examined</w:t>
      </w:r>
      <w:r w:rsidRPr="00CA1B08">
        <w:rPr>
          <w:lang w:val="en-GB"/>
        </w:rPr>
        <w:t xml:space="preserve">. </w:t>
      </w:r>
    </w:p>
    <w:p w14:paraId="5AF58030" w14:textId="047129C3" w:rsidR="00230E0F" w:rsidRDefault="000171FC" w:rsidP="00F44D3B">
      <w:pPr>
        <w:jc w:val="both"/>
        <w:rPr>
          <w:color w:val="000000"/>
          <w:lang w:val="en-GB"/>
        </w:rPr>
      </w:pPr>
      <w:r w:rsidRPr="00CA1B08">
        <w:rPr>
          <w:lang w:val="en-GB"/>
        </w:rPr>
        <w:t xml:space="preserve">The unflavoured </w:t>
      </w:r>
      <w:r w:rsidR="00CA1B08">
        <w:rPr>
          <w:lang w:val="en-GB"/>
        </w:rPr>
        <w:t xml:space="preserve">olive </w:t>
      </w:r>
      <w:r w:rsidRPr="00CA1B08">
        <w:rPr>
          <w:lang w:val="en-GB"/>
        </w:rPr>
        <w:t xml:space="preserve">oil </w:t>
      </w:r>
      <w:r w:rsidR="004D494F">
        <w:rPr>
          <w:lang w:val="en-GB"/>
        </w:rPr>
        <w:t>during the storage suffered</w:t>
      </w:r>
      <w:r w:rsidRPr="00CA1B08">
        <w:rPr>
          <w:lang w:val="en-GB"/>
        </w:rPr>
        <w:t xml:space="preserve"> a slight oxidation, but it </w:t>
      </w:r>
      <w:r w:rsidR="007C5D62">
        <w:rPr>
          <w:lang w:val="en-GB"/>
        </w:rPr>
        <w:t>could be considered</w:t>
      </w:r>
      <w:r w:rsidRPr="00CA1B08">
        <w:rPr>
          <w:lang w:val="en-GB"/>
        </w:rPr>
        <w:t xml:space="preserve"> an extra virgin olive oil </w:t>
      </w:r>
      <w:r w:rsidR="004D494F">
        <w:rPr>
          <w:lang w:val="en-GB"/>
        </w:rPr>
        <w:t>(EVOO) due to the</w:t>
      </w:r>
      <w:r w:rsidRPr="00CA1B08">
        <w:rPr>
          <w:lang w:val="en-GB"/>
        </w:rPr>
        <w:t xml:space="preserve"> values of free acidity (FA) ranging from 0.68 to 0.84 % at T0 and T360, respectively and peroxide values (PV) from 9.45 to 17.89 </w:t>
      </w:r>
      <w:proofErr w:type="spellStart"/>
      <w:r w:rsidRPr="00CA1B08">
        <w:rPr>
          <w:lang w:val="en-GB"/>
        </w:rPr>
        <w:t>mEq</w:t>
      </w:r>
      <w:proofErr w:type="spellEnd"/>
      <w:r w:rsidRPr="00CA1B08">
        <w:rPr>
          <w:lang w:val="en-GB"/>
        </w:rPr>
        <w:t xml:space="preserve"> O</w:t>
      </w:r>
      <w:r w:rsidRPr="00CA1B08">
        <w:rPr>
          <w:vertAlign w:val="subscript"/>
          <w:lang w:val="en-GB"/>
        </w:rPr>
        <w:t>2</w:t>
      </w:r>
      <w:r w:rsidRPr="00CA1B08">
        <w:rPr>
          <w:lang w:val="en-GB"/>
        </w:rPr>
        <w:t xml:space="preserve"> kg</w:t>
      </w:r>
      <w:r w:rsidRPr="00CA1B08">
        <w:rPr>
          <w:vertAlign w:val="superscript"/>
          <w:lang w:val="en-GB"/>
        </w:rPr>
        <w:t>-1</w:t>
      </w:r>
      <w:r w:rsidRPr="00CA1B08">
        <w:rPr>
          <w:lang w:val="en-GB"/>
        </w:rPr>
        <w:t xml:space="preserve"> at T0 and T360, respectively. Among t</w:t>
      </w:r>
      <w:r w:rsidR="00CA1B08">
        <w:rPr>
          <w:lang w:val="en-GB"/>
        </w:rPr>
        <w:t>he FVOOs,</w:t>
      </w:r>
      <w:r w:rsidRPr="00CA1B08">
        <w:rPr>
          <w:lang w:val="en-GB"/>
        </w:rPr>
        <w:t xml:space="preserve"> FA and PV naturally increased during the storage, but</w:t>
      </w:r>
      <w:r w:rsidRPr="000171FC">
        <w:rPr>
          <w:lang w:val="en-GB"/>
        </w:rPr>
        <w:t xml:space="preserve"> </w:t>
      </w:r>
      <w:r>
        <w:rPr>
          <w:lang w:val="en-GB"/>
        </w:rPr>
        <w:t>did not greatly affect the</w:t>
      </w:r>
      <w:r w:rsidRPr="000171FC">
        <w:rPr>
          <w:lang w:val="en-GB"/>
        </w:rPr>
        <w:t xml:space="preserve"> quality of the oils.</w:t>
      </w:r>
      <w:r w:rsidR="00CA1B08">
        <w:rPr>
          <w:lang w:val="en-GB"/>
        </w:rPr>
        <w:t xml:space="preserve"> Only T-MAL and T-INF, showed </w:t>
      </w:r>
      <w:r w:rsidR="004D494F">
        <w:rPr>
          <w:lang w:val="en-GB"/>
        </w:rPr>
        <w:t xml:space="preserve">a </w:t>
      </w:r>
      <w:r w:rsidR="00CA1B08">
        <w:rPr>
          <w:lang w:val="en-GB"/>
        </w:rPr>
        <w:t xml:space="preserve">lower level in term of FA than the </w:t>
      </w:r>
      <w:r w:rsidR="00740754">
        <w:rPr>
          <w:lang w:val="en-GB"/>
        </w:rPr>
        <w:t>EVOO</w:t>
      </w:r>
      <w:r w:rsidR="00CA1B08">
        <w:rPr>
          <w:lang w:val="en-GB"/>
        </w:rPr>
        <w:t>, even after the storage.</w:t>
      </w:r>
      <w:r w:rsidR="00AF7874">
        <w:rPr>
          <w:lang w:val="en-GB"/>
        </w:rPr>
        <w:t xml:space="preserve"> </w:t>
      </w:r>
      <w:r w:rsidR="009C559D" w:rsidRPr="00061C2E">
        <w:rPr>
          <w:lang w:val="en-GB"/>
        </w:rPr>
        <w:t>A fundamental parameter for cons</w:t>
      </w:r>
      <w:r w:rsidR="006748CF">
        <w:rPr>
          <w:lang w:val="en-GB"/>
        </w:rPr>
        <w:t>umer acceptability is colo</w:t>
      </w:r>
      <w:r w:rsidR="004D494F">
        <w:rPr>
          <w:lang w:val="en-GB"/>
        </w:rPr>
        <w:t>u</w:t>
      </w:r>
      <w:r w:rsidR="006748CF">
        <w:rPr>
          <w:lang w:val="en-GB"/>
        </w:rPr>
        <w:t>r</w:t>
      </w:r>
      <w:r w:rsidR="004D494F">
        <w:rPr>
          <w:lang w:val="en-GB"/>
        </w:rPr>
        <w:t>,</w:t>
      </w:r>
      <w:r w:rsidR="006748CF">
        <w:rPr>
          <w:lang w:val="en-GB"/>
        </w:rPr>
        <w:t xml:space="preserve"> and the addition of spice</w:t>
      </w:r>
      <w:r w:rsidR="00740754">
        <w:rPr>
          <w:lang w:val="en-GB"/>
        </w:rPr>
        <w:t>s</w:t>
      </w:r>
      <w:r w:rsidR="006748CF">
        <w:rPr>
          <w:lang w:val="en-GB"/>
        </w:rPr>
        <w:t xml:space="preserve"> </w:t>
      </w:r>
      <w:r w:rsidR="004D494F">
        <w:rPr>
          <w:lang w:val="en-GB"/>
        </w:rPr>
        <w:t xml:space="preserve">can </w:t>
      </w:r>
      <w:r w:rsidR="006748CF">
        <w:rPr>
          <w:lang w:val="en-GB"/>
        </w:rPr>
        <w:t xml:space="preserve">greatly </w:t>
      </w:r>
      <w:r w:rsidR="001415AC">
        <w:rPr>
          <w:lang w:val="en-GB"/>
        </w:rPr>
        <w:t>alter</w:t>
      </w:r>
      <w:r w:rsidR="006748CF">
        <w:rPr>
          <w:lang w:val="en-GB"/>
        </w:rPr>
        <w:t xml:space="preserve"> t</w:t>
      </w:r>
      <w:r w:rsidR="004D494F">
        <w:rPr>
          <w:lang w:val="en-GB"/>
        </w:rPr>
        <w:t>his</w:t>
      </w:r>
      <w:r w:rsidR="006748CF">
        <w:rPr>
          <w:lang w:val="en-GB"/>
        </w:rPr>
        <w:t>.</w:t>
      </w:r>
      <w:r w:rsidR="009C559D" w:rsidRPr="00061C2E">
        <w:rPr>
          <w:lang w:val="en-GB"/>
        </w:rPr>
        <w:t xml:space="preserve"> In EVOO there </w:t>
      </w:r>
      <w:r w:rsidR="00417D72">
        <w:rPr>
          <w:lang w:val="en-GB"/>
        </w:rPr>
        <w:t>was</w:t>
      </w:r>
      <w:r w:rsidR="009C559D" w:rsidRPr="00061C2E">
        <w:rPr>
          <w:lang w:val="en-GB"/>
        </w:rPr>
        <w:t xml:space="preserve"> a significant decrease in </w:t>
      </w:r>
      <w:proofErr w:type="spellStart"/>
      <w:r w:rsidR="009C559D" w:rsidRPr="00061C2E">
        <w:rPr>
          <w:lang w:val="en-GB"/>
        </w:rPr>
        <w:t>chroma</w:t>
      </w:r>
      <w:proofErr w:type="spellEnd"/>
      <w:r w:rsidR="009C559D" w:rsidRPr="00061C2E">
        <w:rPr>
          <w:lang w:val="en-GB"/>
        </w:rPr>
        <w:t xml:space="preserve"> </w:t>
      </w:r>
      <w:r w:rsidR="003C62FD">
        <w:rPr>
          <w:lang w:val="en-GB"/>
        </w:rPr>
        <w:t>(</w:t>
      </w:r>
      <w:r w:rsidR="009C559D" w:rsidRPr="00061C2E">
        <w:rPr>
          <w:lang w:val="en-GB"/>
        </w:rPr>
        <w:t>C*</w:t>
      </w:r>
      <w:r w:rsidR="003C62FD">
        <w:rPr>
          <w:lang w:val="en-GB"/>
        </w:rPr>
        <w:t>)</w:t>
      </w:r>
      <w:r w:rsidR="00BB715E">
        <w:rPr>
          <w:lang w:val="en-GB"/>
        </w:rPr>
        <w:t xml:space="preserve"> (from 7.24 to 2.24</w:t>
      </w:r>
      <w:r w:rsidR="009C559D" w:rsidRPr="00061C2E">
        <w:rPr>
          <w:lang w:val="en-GB"/>
        </w:rPr>
        <w:t xml:space="preserve">). </w:t>
      </w:r>
      <w:r w:rsidR="006748CF">
        <w:rPr>
          <w:lang w:val="en-GB"/>
        </w:rPr>
        <w:t>For all the F</w:t>
      </w:r>
      <w:r w:rsidR="00740754">
        <w:rPr>
          <w:lang w:val="en-GB"/>
        </w:rPr>
        <w:t>V</w:t>
      </w:r>
      <w:r w:rsidR="006748CF">
        <w:rPr>
          <w:lang w:val="en-GB"/>
        </w:rPr>
        <w:t xml:space="preserve">OOs, a </w:t>
      </w:r>
      <w:r w:rsidR="004D494F">
        <w:rPr>
          <w:lang w:val="en-GB"/>
        </w:rPr>
        <w:t xml:space="preserve">decrease </w:t>
      </w:r>
      <w:r w:rsidR="006748CF" w:rsidRPr="00061C2E">
        <w:rPr>
          <w:lang w:val="en-GB"/>
        </w:rPr>
        <w:t>was found</w:t>
      </w:r>
      <w:r w:rsidR="00002AEB">
        <w:rPr>
          <w:lang w:val="en-GB"/>
        </w:rPr>
        <w:t xml:space="preserve"> with values approximately four-</w:t>
      </w:r>
      <w:r w:rsidR="006748CF" w:rsidRPr="00061C2E">
        <w:rPr>
          <w:lang w:val="en-GB"/>
        </w:rPr>
        <w:t>times lower than T0 after 360 days of storage</w:t>
      </w:r>
      <w:r w:rsidR="006748CF">
        <w:rPr>
          <w:lang w:val="en-GB"/>
        </w:rPr>
        <w:t>, too</w:t>
      </w:r>
      <w:r w:rsidR="006748CF" w:rsidRPr="00061C2E">
        <w:rPr>
          <w:lang w:val="en-GB"/>
        </w:rPr>
        <w:t>.</w:t>
      </w:r>
      <w:r w:rsidR="001415AC">
        <w:rPr>
          <w:lang w:val="en-GB"/>
        </w:rPr>
        <w:t xml:space="preserve"> </w:t>
      </w:r>
      <w:r w:rsidR="009C559D" w:rsidRPr="00061C2E">
        <w:rPr>
          <w:lang w:val="en-GB"/>
        </w:rPr>
        <w:t>The evaluation of</w:t>
      </w:r>
      <w:r w:rsidR="001415AC">
        <w:rPr>
          <w:lang w:val="en-GB"/>
        </w:rPr>
        <w:t xml:space="preserve"> </w:t>
      </w:r>
      <w:r w:rsidR="00AF7874">
        <w:rPr>
          <w:lang w:val="en-GB"/>
        </w:rPr>
        <w:t>t</w:t>
      </w:r>
      <w:r w:rsidR="003C62FD">
        <w:rPr>
          <w:lang w:val="en-GB"/>
        </w:rPr>
        <w:t xml:space="preserve">otal </w:t>
      </w:r>
      <w:r w:rsidR="00AF7874">
        <w:rPr>
          <w:lang w:val="en-GB"/>
        </w:rPr>
        <w:t>c</w:t>
      </w:r>
      <w:r w:rsidR="003C62FD">
        <w:rPr>
          <w:lang w:val="en-GB"/>
        </w:rPr>
        <w:t xml:space="preserve">arotenoids </w:t>
      </w:r>
      <w:r w:rsidR="00AF7874">
        <w:rPr>
          <w:lang w:val="en-GB"/>
        </w:rPr>
        <w:t>c</w:t>
      </w:r>
      <w:r w:rsidR="003C62FD">
        <w:rPr>
          <w:lang w:val="en-GB"/>
        </w:rPr>
        <w:t>ontent (</w:t>
      </w:r>
      <w:r w:rsidR="009C559D" w:rsidRPr="00740754">
        <w:rPr>
          <w:lang w:val="en-GB"/>
        </w:rPr>
        <w:t>TCC</w:t>
      </w:r>
      <w:r w:rsidR="003C62FD" w:rsidRPr="00740754">
        <w:rPr>
          <w:lang w:val="en-GB"/>
        </w:rPr>
        <w:t>)</w:t>
      </w:r>
      <w:r w:rsidR="009C559D" w:rsidRPr="00740754">
        <w:rPr>
          <w:lang w:val="en-GB"/>
        </w:rPr>
        <w:t xml:space="preserve"> </w:t>
      </w:r>
      <w:r w:rsidR="000E261D" w:rsidRPr="000E261D">
        <w:rPr>
          <w:lang w:val="en-GB"/>
        </w:rPr>
        <w:t>highlight</w:t>
      </w:r>
      <w:r w:rsidR="000E261D">
        <w:rPr>
          <w:lang w:val="en-GB"/>
        </w:rPr>
        <w:t>ed</w:t>
      </w:r>
      <w:r w:rsidR="000E261D" w:rsidRPr="00740754">
        <w:rPr>
          <w:lang w:val="en-GB"/>
        </w:rPr>
        <w:t xml:space="preserve"> </w:t>
      </w:r>
      <w:r w:rsidR="00740754" w:rsidRPr="00740754">
        <w:rPr>
          <w:lang w:val="en-GB"/>
        </w:rPr>
        <w:t xml:space="preserve">a great variability among the FVOOs. </w:t>
      </w:r>
      <w:r w:rsidR="003D5CB1" w:rsidRPr="00740754">
        <w:rPr>
          <w:lang w:val="en-GB"/>
        </w:rPr>
        <w:t>The values of EVOO rang</w:t>
      </w:r>
      <w:r w:rsidR="004D494F">
        <w:rPr>
          <w:lang w:val="en-GB"/>
        </w:rPr>
        <w:t>ed</w:t>
      </w:r>
      <w:r w:rsidR="003D5CB1" w:rsidRPr="00740754">
        <w:rPr>
          <w:lang w:val="en-GB"/>
        </w:rPr>
        <w:t xml:space="preserve"> from T0 6.15 to T360 4.80 mg kg</w:t>
      </w:r>
      <w:r w:rsidR="003D5CB1" w:rsidRPr="00740754">
        <w:rPr>
          <w:vertAlign w:val="superscript"/>
          <w:lang w:val="en-GB"/>
        </w:rPr>
        <w:t>-1</w:t>
      </w:r>
      <w:r w:rsidR="00740754" w:rsidRPr="00584ADE">
        <w:rPr>
          <w:lang w:val="en-GB"/>
        </w:rPr>
        <w:t>.</w:t>
      </w:r>
      <w:r w:rsidR="007F312C" w:rsidRPr="00584ADE">
        <w:rPr>
          <w:lang w:val="en-GB"/>
        </w:rPr>
        <w:t xml:space="preserve"> </w:t>
      </w:r>
      <w:r w:rsidR="00776263" w:rsidRPr="00584ADE">
        <w:rPr>
          <w:lang w:val="en-GB"/>
        </w:rPr>
        <w:t>Although the content of carotenoid</w:t>
      </w:r>
      <w:r w:rsidR="004D494F">
        <w:rPr>
          <w:lang w:val="en-GB"/>
        </w:rPr>
        <w:t>s</w:t>
      </w:r>
      <w:r w:rsidR="00776263" w:rsidRPr="00584ADE">
        <w:rPr>
          <w:lang w:val="en-GB"/>
        </w:rPr>
        <w:t xml:space="preserve"> is highly </w:t>
      </w:r>
      <w:r w:rsidR="007513E6" w:rsidRPr="00584ADE">
        <w:rPr>
          <w:lang w:val="en-GB"/>
        </w:rPr>
        <w:t>variable,</w:t>
      </w:r>
      <w:r w:rsidR="00776263" w:rsidRPr="00584ADE">
        <w:rPr>
          <w:lang w:val="en-GB"/>
        </w:rPr>
        <w:t xml:space="preserve"> at the end of storage all the samples had </w:t>
      </w:r>
      <w:r w:rsidR="007C5D62">
        <w:rPr>
          <w:lang w:val="en-GB"/>
        </w:rPr>
        <w:t xml:space="preserve">a </w:t>
      </w:r>
      <w:r w:rsidR="004D494F">
        <w:rPr>
          <w:lang w:val="en-GB"/>
        </w:rPr>
        <w:t>greater</w:t>
      </w:r>
      <w:r w:rsidR="004D494F" w:rsidRPr="00584ADE">
        <w:rPr>
          <w:lang w:val="en-GB"/>
        </w:rPr>
        <w:t xml:space="preserve"> </w:t>
      </w:r>
      <w:r w:rsidR="00776263" w:rsidRPr="00584ADE">
        <w:rPr>
          <w:lang w:val="en-GB"/>
        </w:rPr>
        <w:t>content</w:t>
      </w:r>
      <w:r w:rsidR="00002AEB" w:rsidRPr="00584ADE">
        <w:rPr>
          <w:lang w:val="en-GB"/>
        </w:rPr>
        <w:t xml:space="preserve"> than the EVOO</w:t>
      </w:r>
      <w:r w:rsidR="00776263" w:rsidRPr="00584ADE">
        <w:rPr>
          <w:lang w:val="en-GB"/>
        </w:rPr>
        <w:t>, except for M-</w:t>
      </w:r>
      <w:r w:rsidR="002601E3" w:rsidRPr="00584ADE">
        <w:rPr>
          <w:lang w:val="en-GB"/>
        </w:rPr>
        <w:t>M</w:t>
      </w:r>
      <w:r w:rsidR="002601E3">
        <w:rPr>
          <w:lang w:val="en-GB"/>
        </w:rPr>
        <w:t>AL</w:t>
      </w:r>
      <w:r w:rsidR="00776263" w:rsidRPr="00584ADE">
        <w:rPr>
          <w:lang w:val="en-GB"/>
        </w:rPr>
        <w:t xml:space="preserve">. </w:t>
      </w:r>
      <w:r w:rsidR="00740754" w:rsidRPr="00584ADE">
        <w:rPr>
          <w:lang w:val="en-GB"/>
        </w:rPr>
        <w:t>T</w:t>
      </w:r>
      <w:r w:rsidR="00776263" w:rsidRPr="00584ADE">
        <w:rPr>
          <w:lang w:val="en-GB"/>
        </w:rPr>
        <w:t>he different procedure</w:t>
      </w:r>
      <w:r w:rsidR="007C5D62">
        <w:rPr>
          <w:lang w:val="en-GB"/>
        </w:rPr>
        <w:t>s</w:t>
      </w:r>
      <w:r w:rsidR="00776263" w:rsidRPr="00584ADE">
        <w:rPr>
          <w:lang w:val="en-GB"/>
        </w:rPr>
        <w:t xml:space="preserve"> applied led </w:t>
      </w:r>
      <w:r w:rsidR="00AB7D90">
        <w:rPr>
          <w:lang w:val="en-GB"/>
        </w:rPr>
        <w:t xml:space="preserve">to </w:t>
      </w:r>
      <w:r w:rsidR="00776263" w:rsidRPr="00584ADE">
        <w:rPr>
          <w:lang w:val="en-GB"/>
        </w:rPr>
        <w:t>different result</w:t>
      </w:r>
      <w:r w:rsidR="007C5D62">
        <w:rPr>
          <w:lang w:val="en-GB"/>
        </w:rPr>
        <w:t>s</w:t>
      </w:r>
      <w:r w:rsidR="00F51B66" w:rsidRPr="00584ADE">
        <w:rPr>
          <w:lang w:val="en-GB"/>
        </w:rPr>
        <w:t xml:space="preserve"> and</w:t>
      </w:r>
      <w:r w:rsidR="00776263" w:rsidRPr="00584ADE">
        <w:rPr>
          <w:lang w:val="en-GB"/>
        </w:rPr>
        <w:t xml:space="preserve"> the infusion allowed a major recovery and stability of these compounds</w:t>
      </w:r>
      <w:r w:rsidR="00097F28">
        <w:rPr>
          <w:lang w:val="en-GB"/>
        </w:rPr>
        <w:t xml:space="preserve"> (Figure 1)</w:t>
      </w:r>
      <w:r w:rsidR="00776263" w:rsidRPr="00584ADE">
        <w:rPr>
          <w:lang w:val="en-GB"/>
        </w:rPr>
        <w:t>.</w:t>
      </w:r>
      <w:r w:rsidR="00BC74FC" w:rsidRPr="00740754">
        <w:rPr>
          <w:lang w:val="en-GB"/>
        </w:rPr>
        <w:t xml:space="preserve"> </w:t>
      </w:r>
      <w:r w:rsidR="00A25B0E" w:rsidRPr="00740754">
        <w:rPr>
          <w:lang w:val="en-GB"/>
        </w:rPr>
        <w:t>The</w:t>
      </w:r>
      <w:r w:rsidR="00A25B0E">
        <w:rPr>
          <w:lang w:val="en-GB"/>
        </w:rPr>
        <w:t xml:space="preserve"> </w:t>
      </w:r>
      <w:r w:rsidR="00AF7874">
        <w:rPr>
          <w:lang w:val="en-GB"/>
        </w:rPr>
        <w:t>total phenolic content (TP</w:t>
      </w:r>
      <w:r w:rsidR="00A25B0E">
        <w:rPr>
          <w:lang w:val="en-GB"/>
        </w:rPr>
        <w:t>C</w:t>
      </w:r>
      <w:r w:rsidR="00AF7874">
        <w:rPr>
          <w:lang w:val="en-GB"/>
        </w:rPr>
        <w:t>)</w:t>
      </w:r>
      <w:r w:rsidR="00A25B0E">
        <w:rPr>
          <w:lang w:val="en-GB"/>
        </w:rPr>
        <w:t xml:space="preserve"> trend</w:t>
      </w:r>
      <w:r w:rsidR="00A16790">
        <w:rPr>
          <w:lang w:val="en-GB"/>
        </w:rPr>
        <w:t>s are</w:t>
      </w:r>
      <w:r w:rsidR="00A25B0E">
        <w:rPr>
          <w:lang w:val="en-GB"/>
        </w:rPr>
        <w:t xml:space="preserve"> </w:t>
      </w:r>
      <w:r w:rsidR="00A25B0E" w:rsidRPr="000E261D">
        <w:rPr>
          <w:lang w:val="en-GB"/>
        </w:rPr>
        <w:t xml:space="preserve">described in Figure </w:t>
      </w:r>
      <w:r w:rsidR="00097F28">
        <w:rPr>
          <w:lang w:val="en-GB"/>
        </w:rPr>
        <w:t>2</w:t>
      </w:r>
      <w:r w:rsidR="00A25B0E" w:rsidRPr="000E261D">
        <w:rPr>
          <w:lang w:val="en-GB"/>
        </w:rPr>
        <w:t>.</w:t>
      </w:r>
      <w:r w:rsidR="00A25B0E" w:rsidRPr="00A25B0E">
        <w:rPr>
          <w:lang w:val="en-GB"/>
        </w:rPr>
        <w:t xml:space="preserve"> </w:t>
      </w:r>
      <w:r w:rsidR="003B02BC">
        <w:rPr>
          <w:lang w:val="en-GB"/>
        </w:rPr>
        <w:t>EVOO showed a TPC value of 418.51 mg kg</w:t>
      </w:r>
      <w:r w:rsidR="003B02BC">
        <w:rPr>
          <w:vertAlign w:val="superscript"/>
          <w:lang w:val="en-GB"/>
        </w:rPr>
        <w:t xml:space="preserve">-1 </w:t>
      </w:r>
      <w:r w:rsidR="003B02BC">
        <w:rPr>
          <w:lang w:val="en-GB"/>
        </w:rPr>
        <w:t>and an increase in phenols was observed in all the F</w:t>
      </w:r>
      <w:r w:rsidR="000E261D">
        <w:rPr>
          <w:lang w:val="en-GB"/>
        </w:rPr>
        <w:t>V</w:t>
      </w:r>
      <w:r w:rsidR="003B02BC">
        <w:rPr>
          <w:lang w:val="en-GB"/>
        </w:rPr>
        <w:t>OOs. Th</w:t>
      </w:r>
      <w:r w:rsidR="003B02BC" w:rsidRPr="00061C2E">
        <w:rPr>
          <w:lang w:val="en-GB"/>
        </w:rPr>
        <w:t>e highest value</w:t>
      </w:r>
      <w:r w:rsidR="003B02BC">
        <w:rPr>
          <w:lang w:val="en-GB"/>
        </w:rPr>
        <w:t>s</w:t>
      </w:r>
      <w:r w:rsidR="003B02BC" w:rsidRPr="00061C2E">
        <w:rPr>
          <w:lang w:val="en-GB"/>
        </w:rPr>
        <w:t xml:space="preserve"> </w:t>
      </w:r>
      <w:r w:rsidR="003B02BC">
        <w:rPr>
          <w:lang w:val="en-GB"/>
        </w:rPr>
        <w:t>were discovered</w:t>
      </w:r>
      <w:r w:rsidR="003B02BC" w:rsidRPr="00061C2E">
        <w:rPr>
          <w:lang w:val="en-GB"/>
        </w:rPr>
        <w:t xml:space="preserve"> in the first 30 days</w:t>
      </w:r>
      <w:r w:rsidR="00580EEE">
        <w:rPr>
          <w:lang w:val="en-GB"/>
        </w:rPr>
        <w:t>, probably for a solubilisation of these compounds,</w:t>
      </w:r>
      <w:r w:rsidR="003B02BC" w:rsidRPr="00061C2E">
        <w:rPr>
          <w:lang w:val="en-GB"/>
        </w:rPr>
        <w:t xml:space="preserve"> followed by a </w:t>
      </w:r>
      <w:r w:rsidR="00580EEE">
        <w:rPr>
          <w:lang w:val="en-GB"/>
        </w:rPr>
        <w:t xml:space="preserve">natural </w:t>
      </w:r>
      <w:r w:rsidR="003B02BC" w:rsidRPr="00061C2E">
        <w:rPr>
          <w:lang w:val="en-GB"/>
        </w:rPr>
        <w:t>decline after 60 days</w:t>
      </w:r>
      <w:r w:rsidR="003B02BC">
        <w:rPr>
          <w:lang w:val="en-GB"/>
        </w:rPr>
        <w:t>.</w:t>
      </w:r>
      <w:r w:rsidR="00580EEE">
        <w:rPr>
          <w:lang w:val="en-GB"/>
        </w:rPr>
        <w:t xml:space="preserve"> Regarding F</w:t>
      </w:r>
      <w:r w:rsidR="00740754">
        <w:rPr>
          <w:lang w:val="en-GB"/>
        </w:rPr>
        <w:t>V</w:t>
      </w:r>
      <w:r w:rsidR="00580EEE">
        <w:rPr>
          <w:lang w:val="en-GB"/>
        </w:rPr>
        <w:t>OOs-</w:t>
      </w:r>
      <w:r w:rsidR="00740754">
        <w:rPr>
          <w:lang w:val="en-GB"/>
        </w:rPr>
        <w:t>MAL</w:t>
      </w:r>
      <w:r w:rsidR="00580EEE">
        <w:rPr>
          <w:lang w:val="en-GB"/>
        </w:rPr>
        <w:t>, M at the end of storage presented the upper level of TPC (557.82 mg kg</w:t>
      </w:r>
      <w:r w:rsidR="00580EEE">
        <w:rPr>
          <w:vertAlign w:val="superscript"/>
          <w:lang w:val="en-GB"/>
        </w:rPr>
        <w:t>-1</w:t>
      </w:r>
      <w:r w:rsidR="00580EEE">
        <w:rPr>
          <w:lang w:val="en-GB"/>
        </w:rPr>
        <w:t xml:space="preserve">). </w:t>
      </w:r>
      <w:r w:rsidR="00AB7D90">
        <w:rPr>
          <w:lang w:val="en-GB"/>
        </w:rPr>
        <w:t>However</w:t>
      </w:r>
      <w:r w:rsidR="00580EEE">
        <w:rPr>
          <w:lang w:val="en-GB"/>
        </w:rPr>
        <w:t>, regarding the F</w:t>
      </w:r>
      <w:r w:rsidR="00740754">
        <w:rPr>
          <w:lang w:val="en-GB"/>
        </w:rPr>
        <w:t>V</w:t>
      </w:r>
      <w:r w:rsidR="00580EEE">
        <w:rPr>
          <w:lang w:val="en-GB"/>
        </w:rPr>
        <w:t>OOs-</w:t>
      </w:r>
      <w:r w:rsidR="00740754">
        <w:rPr>
          <w:lang w:val="en-GB"/>
        </w:rPr>
        <w:t>INF</w:t>
      </w:r>
      <w:r w:rsidR="00580EEE">
        <w:rPr>
          <w:lang w:val="en-GB"/>
        </w:rPr>
        <w:t xml:space="preserve">, all the samples presented </w:t>
      </w:r>
      <w:r w:rsidR="00AB7D90">
        <w:rPr>
          <w:lang w:val="en-GB"/>
        </w:rPr>
        <w:t xml:space="preserve">higher </w:t>
      </w:r>
      <w:r w:rsidR="00580EEE">
        <w:rPr>
          <w:lang w:val="en-GB"/>
        </w:rPr>
        <w:t xml:space="preserve">values in comparison to the control and about </w:t>
      </w:r>
      <w:proofErr w:type="gramStart"/>
      <w:r w:rsidR="00580EEE">
        <w:rPr>
          <w:lang w:val="en-GB"/>
        </w:rPr>
        <w:t>two-times</w:t>
      </w:r>
      <w:proofErr w:type="gramEnd"/>
      <w:r w:rsidR="00580EEE">
        <w:rPr>
          <w:lang w:val="en-GB"/>
        </w:rPr>
        <w:t xml:space="preserve"> higher than the F</w:t>
      </w:r>
      <w:r w:rsidR="00740754">
        <w:rPr>
          <w:lang w:val="en-GB"/>
        </w:rPr>
        <w:t>V</w:t>
      </w:r>
      <w:r w:rsidR="00580EEE">
        <w:rPr>
          <w:lang w:val="en-GB"/>
        </w:rPr>
        <w:t>OOs-</w:t>
      </w:r>
      <w:r w:rsidR="00740754">
        <w:rPr>
          <w:lang w:val="en-GB"/>
        </w:rPr>
        <w:t>MAL</w:t>
      </w:r>
      <w:r w:rsidR="00580EEE" w:rsidRPr="003E761D">
        <w:rPr>
          <w:lang w:val="en-GB"/>
        </w:rPr>
        <w:t xml:space="preserve">. </w:t>
      </w:r>
      <w:proofErr w:type="spellStart"/>
      <w:r w:rsidR="00584ADE" w:rsidRPr="003E761D">
        <w:t>These</w:t>
      </w:r>
      <w:proofErr w:type="spellEnd"/>
      <w:r w:rsidR="00584ADE" w:rsidRPr="003E761D">
        <w:t xml:space="preserve"> </w:t>
      </w:r>
      <w:proofErr w:type="spellStart"/>
      <w:r w:rsidR="00584ADE" w:rsidRPr="003E761D">
        <w:t>results</w:t>
      </w:r>
      <w:proofErr w:type="spellEnd"/>
      <w:r w:rsidR="00584ADE" w:rsidRPr="003E761D">
        <w:t xml:space="preserve"> </w:t>
      </w:r>
      <w:proofErr w:type="spellStart"/>
      <w:r w:rsidR="00584ADE" w:rsidRPr="003E761D">
        <w:t>could</w:t>
      </w:r>
      <w:proofErr w:type="spellEnd"/>
      <w:r w:rsidR="00584ADE" w:rsidRPr="003E761D">
        <w:t xml:space="preserve"> be </w:t>
      </w:r>
      <w:proofErr w:type="spellStart"/>
      <w:r w:rsidR="00584ADE" w:rsidRPr="003E761D">
        <w:t>explained</w:t>
      </w:r>
      <w:proofErr w:type="spellEnd"/>
      <w:r w:rsidR="00584ADE" w:rsidRPr="003E761D">
        <w:t xml:space="preserve"> </w:t>
      </w:r>
      <w:proofErr w:type="spellStart"/>
      <w:r w:rsidR="00AB7D90">
        <w:t>both</w:t>
      </w:r>
      <w:proofErr w:type="spellEnd"/>
      <w:r w:rsidR="00AB7D90">
        <w:t xml:space="preserve"> </w:t>
      </w:r>
      <w:r w:rsidR="00584ADE" w:rsidRPr="003E761D">
        <w:t xml:space="preserve">by the </w:t>
      </w:r>
      <w:proofErr w:type="spellStart"/>
      <w:r w:rsidR="00584ADE" w:rsidRPr="003E761D">
        <w:t>inhibition</w:t>
      </w:r>
      <w:proofErr w:type="spellEnd"/>
      <w:r w:rsidR="00584ADE" w:rsidRPr="003E761D">
        <w:t xml:space="preserve"> of </w:t>
      </w:r>
      <w:r w:rsidR="00DD3EED" w:rsidRPr="00DD3EED">
        <w:rPr>
          <w:color w:val="000000"/>
        </w:rPr>
        <w:t>β</w:t>
      </w:r>
      <w:r w:rsidR="00584ADE" w:rsidRPr="00DD3EED">
        <w:t>-</w:t>
      </w:r>
      <w:proofErr w:type="spellStart"/>
      <w:r w:rsidR="00584ADE" w:rsidRPr="00DD3EED">
        <w:t>g</w:t>
      </w:r>
      <w:r w:rsidR="00C36299">
        <w:t>ly</w:t>
      </w:r>
      <w:r w:rsidR="00AB7D90" w:rsidRPr="00DD3EED">
        <w:t>cosidase</w:t>
      </w:r>
      <w:proofErr w:type="spellEnd"/>
      <w:r w:rsidR="00AB7D90">
        <w:t xml:space="preserve"> </w:t>
      </w:r>
      <w:proofErr w:type="spellStart"/>
      <w:r w:rsidR="00AB7D90">
        <w:t>activity</w:t>
      </w:r>
      <w:proofErr w:type="spellEnd"/>
      <w:r w:rsidR="00AB7D90">
        <w:t xml:space="preserve"> and</w:t>
      </w:r>
      <w:r w:rsidR="003E761D" w:rsidRPr="003E761D">
        <w:t xml:space="preserve"> </w:t>
      </w:r>
      <w:r w:rsidR="00584ADE" w:rsidRPr="003E761D">
        <w:t xml:space="preserve">by the </w:t>
      </w:r>
      <w:proofErr w:type="spellStart"/>
      <w:r w:rsidR="00584ADE" w:rsidRPr="003E761D">
        <w:t>hydrolysis</w:t>
      </w:r>
      <w:proofErr w:type="spellEnd"/>
      <w:r w:rsidR="00584ADE" w:rsidRPr="003E761D">
        <w:t>/</w:t>
      </w:r>
      <w:proofErr w:type="spellStart"/>
      <w:r w:rsidR="00584ADE" w:rsidRPr="003E761D">
        <w:t>partition</w:t>
      </w:r>
      <w:proofErr w:type="spellEnd"/>
      <w:r w:rsidR="00584ADE" w:rsidRPr="003E761D">
        <w:t xml:space="preserve"> </w:t>
      </w:r>
      <w:proofErr w:type="spellStart"/>
      <w:r w:rsidR="00584ADE" w:rsidRPr="003E761D">
        <w:t>phenomena</w:t>
      </w:r>
      <w:proofErr w:type="spellEnd"/>
      <w:r w:rsidR="00584ADE" w:rsidRPr="003E761D">
        <w:t xml:space="preserve"> </w:t>
      </w:r>
      <w:proofErr w:type="spellStart"/>
      <w:r w:rsidR="00584ADE" w:rsidRPr="003E761D">
        <w:t>toward</w:t>
      </w:r>
      <w:proofErr w:type="spellEnd"/>
      <w:r w:rsidR="00584ADE" w:rsidRPr="003E761D">
        <w:t xml:space="preserve"> </w:t>
      </w:r>
      <w:proofErr w:type="spellStart"/>
      <w:r w:rsidR="00584ADE" w:rsidRPr="003E761D">
        <w:t>lipid</w:t>
      </w:r>
      <w:proofErr w:type="spellEnd"/>
      <w:r w:rsidR="00584ADE" w:rsidRPr="003E761D">
        <w:t xml:space="preserve"> and water </w:t>
      </w:r>
      <w:proofErr w:type="spellStart"/>
      <w:r w:rsidR="00584ADE" w:rsidRPr="003E761D">
        <w:t>phases</w:t>
      </w:r>
      <w:proofErr w:type="spellEnd"/>
      <w:r w:rsidR="00584ADE" w:rsidRPr="003E761D">
        <w:t xml:space="preserve"> of </w:t>
      </w:r>
      <w:proofErr w:type="spellStart"/>
      <w:r w:rsidR="00584ADE" w:rsidRPr="003E761D">
        <w:t>biophenols</w:t>
      </w:r>
      <w:proofErr w:type="spellEnd"/>
      <w:r w:rsidR="00584ADE" w:rsidRPr="003E761D">
        <w:t xml:space="preserve"> </w:t>
      </w:r>
      <w:proofErr w:type="spellStart"/>
      <w:r w:rsidR="00584ADE" w:rsidRPr="003E761D">
        <w:t>during</w:t>
      </w:r>
      <w:proofErr w:type="spellEnd"/>
      <w:r w:rsidR="00584ADE" w:rsidRPr="003E761D">
        <w:t xml:space="preserve"> the </w:t>
      </w:r>
      <w:proofErr w:type="spellStart"/>
      <w:r w:rsidR="00584ADE" w:rsidRPr="003E761D">
        <w:t>malaxation</w:t>
      </w:r>
      <w:proofErr w:type="spellEnd"/>
      <w:r w:rsidR="00584ADE" w:rsidRPr="003E761D">
        <w:t xml:space="preserve"> and </w:t>
      </w:r>
      <w:proofErr w:type="spellStart"/>
      <w:r w:rsidR="00584ADE" w:rsidRPr="003E761D">
        <w:t>centrifugation</w:t>
      </w:r>
      <w:proofErr w:type="spellEnd"/>
      <w:r w:rsidR="00584ADE" w:rsidRPr="003E761D">
        <w:t xml:space="preserve"> </w:t>
      </w:r>
      <w:proofErr w:type="spellStart"/>
      <w:r w:rsidR="00584ADE" w:rsidRPr="003E761D">
        <w:t>steps</w:t>
      </w:r>
      <w:proofErr w:type="spellEnd"/>
      <w:r w:rsidR="003E761D" w:rsidRPr="003E761D">
        <w:t xml:space="preserve"> </w:t>
      </w:r>
      <w:r w:rsidR="00AF7874" w:rsidRPr="003E761D">
        <w:rPr>
          <w:lang w:val="en-GB"/>
        </w:rPr>
        <w:t>(</w:t>
      </w:r>
      <w:proofErr w:type="spellStart"/>
      <w:r w:rsidR="00AF7874" w:rsidRPr="003E761D">
        <w:rPr>
          <w:lang w:val="en-GB"/>
        </w:rPr>
        <w:t>Sacchi</w:t>
      </w:r>
      <w:proofErr w:type="spellEnd"/>
      <w:r w:rsidR="00AF7874" w:rsidRPr="003E761D">
        <w:rPr>
          <w:lang w:val="en-GB"/>
        </w:rPr>
        <w:t xml:space="preserve"> et al. 2017)</w:t>
      </w:r>
      <w:r w:rsidR="00AB7D90">
        <w:t xml:space="preserve">. </w:t>
      </w:r>
      <w:r w:rsidR="002F07D4" w:rsidRPr="003E761D">
        <w:rPr>
          <w:lang w:val="en-GB"/>
        </w:rPr>
        <w:t>On the contrar</w:t>
      </w:r>
      <w:r w:rsidR="00D64F67" w:rsidRPr="003E761D">
        <w:rPr>
          <w:lang w:val="en-GB"/>
        </w:rPr>
        <w:t>y</w:t>
      </w:r>
      <w:r w:rsidR="002F07D4" w:rsidRPr="003E761D">
        <w:rPr>
          <w:lang w:val="en-GB"/>
        </w:rPr>
        <w:t xml:space="preserve"> the</w:t>
      </w:r>
      <w:r w:rsidR="00580EEE" w:rsidRPr="003E761D">
        <w:rPr>
          <w:lang w:val="en-GB"/>
        </w:rPr>
        <w:t xml:space="preserve"> add</w:t>
      </w:r>
      <w:r w:rsidR="002F07D4" w:rsidRPr="003E761D">
        <w:rPr>
          <w:lang w:val="en-GB"/>
        </w:rPr>
        <w:t>ition</w:t>
      </w:r>
      <w:r w:rsidR="00580EEE" w:rsidRPr="003E761D">
        <w:rPr>
          <w:lang w:val="en-GB"/>
        </w:rPr>
        <w:t xml:space="preserve"> </w:t>
      </w:r>
      <w:r w:rsidR="00584ADE" w:rsidRPr="003E761D">
        <w:rPr>
          <w:lang w:val="en-GB"/>
        </w:rPr>
        <w:t xml:space="preserve">by infusion </w:t>
      </w:r>
      <w:r w:rsidR="002F07D4" w:rsidRPr="003E761D">
        <w:rPr>
          <w:lang w:val="en-GB"/>
        </w:rPr>
        <w:t xml:space="preserve">of herbs and spices to EVOO lead </w:t>
      </w:r>
      <w:r w:rsidR="00AB7D90">
        <w:rPr>
          <w:lang w:val="en-GB"/>
        </w:rPr>
        <w:t xml:space="preserve">to </w:t>
      </w:r>
      <w:r w:rsidR="002F07D4" w:rsidRPr="003E761D">
        <w:rPr>
          <w:lang w:val="en-GB"/>
        </w:rPr>
        <w:t>FVOO</w:t>
      </w:r>
      <w:r w:rsidR="00584ADE" w:rsidRPr="003E761D">
        <w:rPr>
          <w:lang w:val="en-GB"/>
        </w:rPr>
        <w:t>s</w:t>
      </w:r>
      <w:r w:rsidR="002F07D4" w:rsidRPr="003E761D">
        <w:rPr>
          <w:lang w:val="en-GB"/>
        </w:rPr>
        <w:t xml:space="preserve"> riche</w:t>
      </w:r>
      <w:r w:rsidR="007C5D62">
        <w:rPr>
          <w:lang w:val="en-GB"/>
        </w:rPr>
        <w:t>r</w:t>
      </w:r>
      <w:r w:rsidR="002F07D4" w:rsidRPr="003E761D">
        <w:rPr>
          <w:lang w:val="en-GB"/>
        </w:rPr>
        <w:t xml:space="preserve"> in TPC.</w:t>
      </w:r>
      <w:r w:rsidR="00AB7D90">
        <w:rPr>
          <w:lang w:val="en-GB"/>
        </w:rPr>
        <w:t xml:space="preserve"> The combination of the plant matrix with olive paste does not </w:t>
      </w:r>
      <w:r w:rsidR="007C5D62">
        <w:rPr>
          <w:lang w:val="en-GB"/>
        </w:rPr>
        <w:t xml:space="preserve">seem to be </w:t>
      </w:r>
      <w:r w:rsidR="00AB7D90">
        <w:rPr>
          <w:lang w:val="en-GB"/>
        </w:rPr>
        <w:t xml:space="preserve">useful for the equilibrium of these molecules, presumably by the partitioning phenomena towards the </w:t>
      </w:r>
      <w:proofErr w:type="spellStart"/>
      <w:r w:rsidR="00AB7D90">
        <w:rPr>
          <w:lang w:val="en-GB"/>
        </w:rPr>
        <w:t>lipidic</w:t>
      </w:r>
      <w:proofErr w:type="spellEnd"/>
      <w:r w:rsidR="00AB7D90">
        <w:rPr>
          <w:lang w:val="en-GB"/>
        </w:rPr>
        <w:t xml:space="preserve"> and aqueous phases and by phenomena of antagonism.</w:t>
      </w:r>
      <w:r w:rsidR="002F07D4">
        <w:rPr>
          <w:lang w:val="en-GB"/>
        </w:rPr>
        <w:t xml:space="preserve"> </w:t>
      </w:r>
      <w:r w:rsidR="009C1037" w:rsidRPr="00C63EFE">
        <w:rPr>
          <w:lang w:val="en-GB"/>
        </w:rPr>
        <w:t>A</w:t>
      </w:r>
      <w:r w:rsidR="002F07D4">
        <w:rPr>
          <w:lang w:val="en-GB"/>
        </w:rPr>
        <w:t>mong the goals of the present</w:t>
      </w:r>
      <w:r w:rsidR="009C1037" w:rsidRPr="00C63EFE">
        <w:rPr>
          <w:lang w:val="en-GB"/>
        </w:rPr>
        <w:t xml:space="preserve"> study</w:t>
      </w:r>
      <w:r w:rsidR="002F07D4">
        <w:rPr>
          <w:lang w:val="en-GB"/>
        </w:rPr>
        <w:t xml:space="preserve"> there is the evaluation of the </w:t>
      </w:r>
      <w:r w:rsidR="00584ADE" w:rsidRPr="00061C2E">
        <w:rPr>
          <w:lang w:val="en-GB"/>
        </w:rPr>
        <w:t>α</w:t>
      </w:r>
      <w:r w:rsidR="002F07D4">
        <w:rPr>
          <w:lang w:val="en-GB"/>
        </w:rPr>
        <w:t>-</w:t>
      </w:r>
      <w:proofErr w:type="spellStart"/>
      <w:r w:rsidR="002F07D4">
        <w:rPr>
          <w:lang w:val="en-GB"/>
        </w:rPr>
        <w:t>tocopherol</w:t>
      </w:r>
      <w:proofErr w:type="spellEnd"/>
      <w:r w:rsidR="002F07D4">
        <w:rPr>
          <w:lang w:val="en-GB"/>
        </w:rPr>
        <w:t xml:space="preserve"> content.</w:t>
      </w:r>
      <w:r w:rsidR="00584ADE">
        <w:rPr>
          <w:lang w:val="en-GB"/>
        </w:rPr>
        <w:t xml:space="preserve"> </w:t>
      </w:r>
      <w:r w:rsidR="009C1037" w:rsidRPr="00C63EFE">
        <w:rPr>
          <w:lang w:val="en-GB"/>
        </w:rPr>
        <w:t xml:space="preserve">The </w:t>
      </w:r>
      <w:r w:rsidR="009C1037">
        <w:rPr>
          <w:lang w:val="en-GB"/>
        </w:rPr>
        <w:t xml:space="preserve">starter values were </w:t>
      </w:r>
      <w:r w:rsidR="00584ADE">
        <w:rPr>
          <w:lang w:val="en-GB"/>
        </w:rPr>
        <w:t xml:space="preserve">similar </w:t>
      </w:r>
      <w:r w:rsidR="009C1037" w:rsidRPr="00C63EFE">
        <w:rPr>
          <w:lang w:val="en-GB"/>
        </w:rPr>
        <w:t xml:space="preserve">for all </w:t>
      </w:r>
      <w:r w:rsidR="009C1037">
        <w:rPr>
          <w:lang w:val="en-GB"/>
        </w:rPr>
        <w:t>the F</w:t>
      </w:r>
      <w:r w:rsidR="00584ADE">
        <w:rPr>
          <w:lang w:val="en-GB"/>
        </w:rPr>
        <w:t>V</w:t>
      </w:r>
      <w:r w:rsidR="009C1037">
        <w:rPr>
          <w:lang w:val="en-GB"/>
        </w:rPr>
        <w:t>OOs, with the exception of</w:t>
      </w:r>
      <w:r w:rsidR="009C1037" w:rsidRPr="00C63EFE">
        <w:rPr>
          <w:lang w:val="en-GB"/>
        </w:rPr>
        <w:t xml:space="preserve"> </w:t>
      </w:r>
      <w:r w:rsidR="009C1037">
        <w:rPr>
          <w:lang w:val="en-GB"/>
        </w:rPr>
        <w:t>the mixture</w:t>
      </w:r>
      <w:r w:rsidR="00BB715E">
        <w:rPr>
          <w:lang w:val="en-GB"/>
        </w:rPr>
        <w:t>s</w:t>
      </w:r>
      <w:r w:rsidR="009C1037" w:rsidRPr="00C63EFE">
        <w:rPr>
          <w:lang w:val="en-GB"/>
        </w:rPr>
        <w:t xml:space="preserve"> with </w:t>
      </w:r>
      <w:r w:rsidR="000E261D">
        <w:rPr>
          <w:lang w:val="en-GB"/>
        </w:rPr>
        <w:t>T</w:t>
      </w:r>
      <w:r w:rsidR="000E261D" w:rsidRPr="00C63EFE">
        <w:rPr>
          <w:lang w:val="en-GB"/>
        </w:rPr>
        <w:t xml:space="preserve"> </w:t>
      </w:r>
      <w:r w:rsidR="009C1037">
        <w:rPr>
          <w:lang w:val="en-GB"/>
        </w:rPr>
        <w:t>that</w:t>
      </w:r>
      <w:r w:rsidR="009C1037" w:rsidRPr="00C63EFE">
        <w:rPr>
          <w:lang w:val="en-GB"/>
        </w:rPr>
        <w:t xml:space="preserve"> </w:t>
      </w:r>
      <w:r w:rsidR="009C1037">
        <w:rPr>
          <w:lang w:val="en-GB"/>
        </w:rPr>
        <w:t>possessed</w:t>
      </w:r>
      <w:r w:rsidR="009C1037" w:rsidRPr="00C63EFE">
        <w:rPr>
          <w:lang w:val="en-GB"/>
        </w:rPr>
        <w:t xml:space="preserve"> the lowest values</w:t>
      </w:r>
      <w:r w:rsidR="00584ADE">
        <w:rPr>
          <w:lang w:val="en-GB"/>
        </w:rPr>
        <w:t>.</w:t>
      </w:r>
      <w:r w:rsidR="00BB715E">
        <w:rPr>
          <w:lang w:val="en-GB"/>
        </w:rPr>
        <w:t xml:space="preserve"> At</w:t>
      </w:r>
      <w:r w:rsidR="009C1037">
        <w:rPr>
          <w:lang w:val="en-GB"/>
        </w:rPr>
        <w:t xml:space="preserve"> the end of storage, i</w:t>
      </w:r>
      <w:r w:rsidR="009C1037" w:rsidRPr="00C63EFE">
        <w:rPr>
          <w:lang w:val="en-GB"/>
        </w:rPr>
        <w:t xml:space="preserve">n </w:t>
      </w:r>
      <w:r w:rsidR="009C1037">
        <w:rPr>
          <w:lang w:val="en-GB"/>
        </w:rPr>
        <w:t>all the F</w:t>
      </w:r>
      <w:r w:rsidR="00584ADE">
        <w:rPr>
          <w:lang w:val="en-GB"/>
        </w:rPr>
        <w:t>V</w:t>
      </w:r>
      <w:r w:rsidR="009C1037">
        <w:rPr>
          <w:lang w:val="en-GB"/>
        </w:rPr>
        <w:t>OOs</w:t>
      </w:r>
      <w:r w:rsidR="009C1037" w:rsidRPr="00C63EFE">
        <w:rPr>
          <w:lang w:val="en-GB"/>
        </w:rPr>
        <w:t xml:space="preserve">, the content of </w:t>
      </w:r>
      <w:r w:rsidR="009C1037" w:rsidRPr="00061C2E">
        <w:rPr>
          <w:lang w:val="en-GB"/>
        </w:rPr>
        <w:t>α</w:t>
      </w:r>
      <w:r w:rsidR="009C1037">
        <w:rPr>
          <w:lang w:val="en-GB"/>
        </w:rPr>
        <w:t>-</w:t>
      </w:r>
      <w:proofErr w:type="spellStart"/>
      <w:r w:rsidR="009C1037">
        <w:rPr>
          <w:lang w:val="en-GB"/>
        </w:rPr>
        <w:t>tocopherol</w:t>
      </w:r>
      <w:proofErr w:type="spellEnd"/>
      <w:r w:rsidR="009C1037">
        <w:rPr>
          <w:lang w:val="en-GB"/>
        </w:rPr>
        <w:t xml:space="preserve"> </w:t>
      </w:r>
      <w:r w:rsidR="009C1037" w:rsidRPr="00C63EFE">
        <w:rPr>
          <w:lang w:val="en-GB"/>
        </w:rPr>
        <w:t xml:space="preserve">remained higher than </w:t>
      </w:r>
      <w:r w:rsidR="009C1037">
        <w:rPr>
          <w:lang w:val="en-GB"/>
        </w:rPr>
        <w:t>the control</w:t>
      </w:r>
      <w:r w:rsidR="00AB7D90">
        <w:rPr>
          <w:lang w:val="en-GB"/>
        </w:rPr>
        <w:t>; in</w:t>
      </w:r>
      <w:r w:rsidR="009C1037">
        <w:rPr>
          <w:lang w:val="en-GB"/>
        </w:rPr>
        <w:t xml:space="preserve"> particular </w:t>
      </w:r>
      <w:r w:rsidR="009C1037">
        <w:rPr>
          <w:color w:val="000000"/>
          <w:lang w:val="en-GB"/>
        </w:rPr>
        <w:t>G-</w:t>
      </w:r>
      <w:r w:rsidR="00584ADE">
        <w:rPr>
          <w:color w:val="000000"/>
          <w:lang w:val="en-GB"/>
        </w:rPr>
        <w:t>MAL</w:t>
      </w:r>
      <w:r w:rsidR="009C1037">
        <w:rPr>
          <w:color w:val="000000"/>
          <w:lang w:val="en-GB"/>
        </w:rPr>
        <w:t xml:space="preserve"> and M-</w:t>
      </w:r>
      <w:r w:rsidR="00584ADE">
        <w:rPr>
          <w:color w:val="000000"/>
          <w:lang w:val="en-GB"/>
        </w:rPr>
        <w:t>MAL</w:t>
      </w:r>
      <w:r w:rsidR="009C1037" w:rsidRPr="005A54FC">
        <w:rPr>
          <w:color w:val="000000"/>
          <w:lang w:val="en-GB"/>
        </w:rPr>
        <w:t xml:space="preserve"> show</w:t>
      </w:r>
      <w:r w:rsidR="00584ADE">
        <w:rPr>
          <w:color w:val="000000"/>
          <w:lang w:val="en-GB"/>
        </w:rPr>
        <w:t>ed</w:t>
      </w:r>
      <w:r w:rsidR="009C1037" w:rsidRPr="005A54FC">
        <w:rPr>
          <w:color w:val="000000"/>
          <w:lang w:val="en-GB"/>
        </w:rPr>
        <w:t xml:space="preserve"> the greatest pro</w:t>
      </w:r>
      <w:r w:rsidR="00BB715E">
        <w:rPr>
          <w:color w:val="000000"/>
          <w:lang w:val="en-GB"/>
        </w:rPr>
        <w:t xml:space="preserve">tection against </w:t>
      </w:r>
      <w:r w:rsidR="000E261D" w:rsidRPr="00061C2E">
        <w:rPr>
          <w:lang w:val="en-GB"/>
        </w:rPr>
        <w:t>α</w:t>
      </w:r>
      <w:r w:rsidR="000E261D">
        <w:rPr>
          <w:lang w:val="en-GB"/>
        </w:rPr>
        <w:t>-</w:t>
      </w:r>
      <w:proofErr w:type="spellStart"/>
      <w:r w:rsidR="00BB715E">
        <w:rPr>
          <w:color w:val="000000"/>
          <w:lang w:val="en-GB"/>
        </w:rPr>
        <w:t>tocopherol</w:t>
      </w:r>
      <w:proofErr w:type="spellEnd"/>
      <w:r w:rsidR="00BB715E">
        <w:rPr>
          <w:color w:val="000000"/>
          <w:lang w:val="en-GB"/>
        </w:rPr>
        <w:t xml:space="preserve"> loss, </w:t>
      </w:r>
      <w:r w:rsidR="00BA5D46">
        <w:rPr>
          <w:color w:val="000000"/>
          <w:lang w:val="en-GB"/>
        </w:rPr>
        <w:t>mainta</w:t>
      </w:r>
      <w:r w:rsidR="009C1037" w:rsidRPr="005A54FC">
        <w:rPr>
          <w:color w:val="000000"/>
          <w:lang w:val="en-GB"/>
        </w:rPr>
        <w:t>ining the highest values</w:t>
      </w:r>
      <w:r w:rsidR="009C1037">
        <w:rPr>
          <w:color w:val="000000"/>
          <w:lang w:val="en-GB"/>
        </w:rPr>
        <w:t xml:space="preserve"> (101.16 and 97.21 mg kg</w:t>
      </w:r>
      <w:r w:rsidR="009C1037">
        <w:rPr>
          <w:color w:val="000000"/>
          <w:vertAlign w:val="superscript"/>
          <w:lang w:val="en-GB"/>
        </w:rPr>
        <w:t>-1</w:t>
      </w:r>
      <w:r w:rsidR="009C1037">
        <w:rPr>
          <w:color w:val="000000"/>
          <w:lang w:val="en-GB"/>
        </w:rPr>
        <w:t>, respectively)</w:t>
      </w:r>
      <w:r w:rsidR="001803E9">
        <w:rPr>
          <w:color w:val="000000"/>
          <w:lang w:val="en-GB"/>
        </w:rPr>
        <w:t xml:space="preserve"> (Figure 3</w:t>
      </w:r>
      <w:r w:rsidR="0044651F">
        <w:rPr>
          <w:color w:val="000000"/>
          <w:lang w:val="en-GB"/>
        </w:rPr>
        <w:t>)</w:t>
      </w:r>
      <w:r w:rsidR="009C1037" w:rsidRPr="005A54FC">
        <w:rPr>
          <w:color w:val="000000"/>
          <w:lang w:val="en-GB"/>
        </w:rPr>
        <w:t>.</w:t>
      </w:r>
    </w:p>
    <w:p w14:paraId="5CE68500" w14:textId="30AED0C9" w:rsidR="00FC1C97" w:rsidRDefault="00FC1C97" w:rsidP="00584ADE">
      <w:pPr>
        <w:jc w:val="both"/>
        <w:rPr>
          <w:color w:val="000000"/>
          <w:lang w:val="en-GB"/>
        </w:rPr>
      </w:pPr>
      <w:r>
        <w:rPr>
          <w:noProof/>
          <w:lang w:eastAsia="it-IT"/>
        </w:rPr>
        <w:drawing>
          <wp:inline distT="0" distB="0" distL="0" distR="0" wp14:anchorId="41A1A2FA" wp14:editId="0EB3A2F9">
            <wp:extent cx="2736215" cy="1529862"/>
            <wp:effectExtent l="0" t="0" r="6985" b="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C1C97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0383C40" wp14:editId="1C7FF337">
            <wp:extent cx="2940050" cy="1487903"/>
            <wp:effectExtent l="0" t="0" r="31750" b="36195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868B38" w14:textId="1EB94FB5" w:rsidR="00FC1C97" w:rsidRPr="00024B60" w:rsidRDefault="00FC1C97" w:rsidP="009766D6">
      <w:pPr>
        <w:spacing w:before="300" w:after="300"/>
        <w:ind w:left="851" w:hanging="851"/>
        <w:jc w:val="both"/>
        <w:rPr>
          <w:sz w:val="18"/>
          <w:szCs w:val="18"/>
          <w:highlight w:val="yellow"/>
          <w:lang w:val="en-GB"/>
        </w:rPr>
      </w:pPr>
      <w:r w:rsidRPr="00024B60">
        <w:rPr>
          <w:b/>
          <w:sz w:val="18"/>
          <w:szCs w:val="18"/>
          <w:lang w:val="en-GB"/>
        </w:rPr>
        <w:lastRenderedPageBreak/>
        <w:t xml:space="preserve">Figure </w:t>
      </w:r>
      <w:r w:rsidR="001803E9" w:rsidRPr="00024B60">
        <w:rPr>
          <w:b/>
          <w:sz w:val="18"/>
          <w:szCs w:val="18"/>
          <w:lang w:val="en-GB"/>
        </w:rPr>
        <w:t>1</w:t>
      </w:r>
      <w:r w:rsidRPr="00024B60">
        <w:rPr>
          <w:b/>
          <w:sz w:val="18"/>
          <w:szCs w:val="18"/>
          <w:lang w:val="en-GB"/>
        </w:rPr>
        <w:t xml:space="preserve"> </w:t>
      </w:r>
      <w:r w:rsidR="00A56507">
        <w:rPr>
          <w:b/>
          <w:sz w:val="18"/>
          <w:szCs w:val="18"/>
          <w:lang w:val="en-GB"/>
        </w:rPr>
        <w:t xml:space="preserve">   </w:t>
      </w:r>
      <w:r w:rsidRPr="00024B60">
        <w:rPr>
          <w:i/>
          <w:sz w:val="18"/>
          <w:szCs w:val="18"/>
          <w:lang w:val="en-GB"/>
        </w:rPr>
        <w:t>Total carotenoid</w:t>
      </w:r>
      <w:r w:rsidRPr="00024B60">
        <w:rPr>
          <w:i/>
          <w:color w:val="000000"/>
          <w:sz w:val="18"/>
          <w:szCs w:val="18"/>
          <w:lang w:val="en-GB"/>
        </w:rPr>
        <w:t xml:space="preserve"> content </w:t>
      </w:r>
      <w:r w:rsidRPr="00024B60">
        <w:rPr>
          <w:i/>
          <w:sz w:val="18"/>
          <w:szCs w:val="18"/>
          <w:lang w:val="en-GB"/>
        </w:rPr>
        <w:t>of EVOO, FVOOs-MAL (</w:t>
      </w:r>
      <w:r w:rsidRPr="00A56507">
        <w:rPr>
          <w:b/>
          <w:i/>
          <w:sz w:val="18"/>
          <w:szCs w:val="18"/>
          <w:lang w:val="en-GB"/>
        </w:rPr>
        <w:t>a</w:t>
      </w:r>
      <w:r w:rsidRPr="00024B60">
        <w:rPr>
          <w:i/>
          <w:sz w:val="18"/>
          <w:szCs w:val="18"/>
          <w:lang w:val="en-GB"/>
        </w:rPr>
        <w:t>) and FVOOs-INF (</w:t>
      </w:r>
      <w:r w:rsidRPr="00A56507">
        <w:rPr>
          <w:b/>
          <w:i/>
          <w:sz w:val="18"/>
          <w:szCs w:val="18"/>
          <w:lang w:val="en-GB"/>
        </w:rPr>
        <w:t>b</w:t>
      </w:r>
      <w:r w:rsidRPr="00024B60">
        <w:rPr>
          <w:i/>
          <w:sz w:val="18"/>
          <w:szCs w:val="18"/>
          <w:lang w:val="en-GB"/>
        </w:rPr>
        <w:t>). Data are expressed as means ± S.D. (</w:t>
      </w:r>
      <w:r w:rsidRPr="00024B60">
        <w:rPr>
          <w:i/>
          <w:iCs/>
          <w:sz w:val="18"/>
          <w:szCs w:val="18"/>
          <w:lang w:val="en-GB"/>
        </w:rPr>
        <w:t>n</w:t>
      </w:r>
      <w:r w:rsidRPr="00024B60">
        <w:rPr>
          <w:i/>
          <w:sz w:val="18"/>
          <w:szCs w:val="18"/>
          <w:lang w:val="en-GB"/>
        </w:rPr>
        <w:t xml:space="preserve">= 3). </w:t>
      </w:r>
      <w:proofErr w:type="spellStart"/>
      <w:r w:rsidRPr="00024B60">
        <w:rPr>
          <w:rFonts w:eastAsia="Calibri"/>
          <w:i/>
          <w:sz w:val="18"/>
          <w:szCs w:val="18"/>
        </w:rPr>
        <w:t>Differences</w:t>
      </w:r>
      <w:proofErr w:type="spellEnd"/>
      <w:r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Pr="00024B60">
        <w:rPr>
          <w:rFonts w:eastAsia="Calibri"/>
          <w:i/>
          <w:sz w:val="18"/>
          <w:szCs w:val="18"/>
        </w:rPr>
        <w:t>within</w:t>
      </w:r>
      <w:proofErr w:type="spellEnd"/>
      <w:r w:rsidRPr="00024B60">
        <w:rPr>
          <w:rFonts w:eastAsia="Calibri"/>
          <w:i/>
          <w:sz w:val="18"/>
          <w:szCs w:val="18"/>
        </w:rPr>
        <w:t xml:space="preserve"> and </w:t>
      </w:r>
      <w:proofErr w:type="spellStart"/>
      <w:r w:rsidRPr="00024B60">
        <w:rPr>
          <w:rFonts w:eastAsia="Calibri"/>
          <w:i/>
          <w:sz w:val="18"/>
          <w:szCs w:val="18"/>
        </w:rPr>
        <w:t>between</w:t>
      </w:r>
      <w:proofErr w:type="spellEnd"/>
      <w:r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Pr="00024B60">
        <w:rPr>
          <w:rFonts w:eastAsia="Calibri"/>
          <w:i/>
          <w:sz w:val="18"/>
          <w:szCs w:val="18"/>
        </w:rPr>
        <w:t>groups</w:t>
      </w:r>
      <w:proofErr w:type="spellEnd"/>
      <w:r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Pr="00024B60">
        <w:rPr>
          <w:rFonts w:eastAsia="Calibri"/>
          <w:i/>
          <w:sz w:val="18"/>
          <w:szCs w:val="18"/>
        </w:rPr>
        <w:t>were</w:t>
      </w:r>
      <w:proofErr w:type="spellEnd"/>
      <w:r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Pr="00024B60">
        <w:rPr>
          <w:rFonts w:eastAsia="Calibri"/>
          <w:i/>
          <w:sz w:val="18"/>
          <w:szCs w:val="18"/>
        </w:rPr>
        <w:t>evaluated</w:t>
      </w:r>
      <w:proofErr w:type="spellEnd"/>
      <w:r w:rsidRPr="00024B60">
        <w:rPr>
          <w:rFonts w:eastAsia="Calibri"/>
          <w:i/>
          <w:sz w:val="18"/>
          <w:szCs w:val="18"/>
        </w:rPr>
        <w:t xml:space="preserve"> by </w:t>
      </w:r>
      <w:proofErr w:type="spellStart"/>
      <w:r w:rsidRPr="00024B60">
        <w:rPr>
          <w:rFonts w:eastAsia="Calibri"/>
          <w:i/>
          <w:sz w:val="18"/>
          <w:szCs w:val="18"/>
        </w:rPr>
        <w:t>one</w:t>
      </w:r>
      <w:proofErr w:type="spellEnd"/>
      <w:r w:rsidRPr="00024B60">
        <w:rPr>
          <w:rFonts w:eastAsia="Calibri"/>
          <w:i/>
          <w:sz w:val="18"/>
          <w:szCs w:val="18"/>
        </w:rPr>
        <w:t xml:space="preserve">-way ANOVA </w:t>
      </w:r>
      <w:proofErr w:type="spellStart"/>
      <w:r w:rsidRPr="00024B60">
        <w:rPr>
          <w:rFonts w:eastAsia="Calibri"/>
          <w:i/>
          <w:sz w:val="18"/>
          <w:szCs w:val="18"/>
        </w:rPr>
        <w:t>followed</w:t>
      </w:r>
      <w:proofErr w:type="spellEnd"/>
      <w:r w:rsidRPr="00024B60">
        <w:rPr>
          <w:rFonts w:eastAsia="Calibri"/>
          <w:i/>
          <w:sz w:val="18"/>
          <w:szCs w:val="18"/>
        </w:rPr>
        <w:t xml:space="preserve"> by </w:t>
      </w:r>
      <w:proofErr w:type="spellStart"/>
      <w:r w:rsidRPr="00024B60">
        <w:rPr>
          <w:rFonts w:eastAsia="Calibri"/>
          <w:i/>
          <w:sz w:val="18"/>
          <w:szCs w:val="18"/>
        </w:rPr>
        <w:t>Tukey’s</w:t>
      </w:r>
      <w:proofErr w:type="spellEnd"/>
      <w:r w:rsidRPr="00024B60">
        <w:rPr>
          <w:rFonts w:eastAsia="Calibri"/>
          <w:i/>
          <w:sz w:val="18"/>
          <w:szCs w:val="18"/>
        </w:rPr>
        <w:t xml:space="preserve"> test: **p &lt; 0.01.</w:t>
      </w:r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Results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followed</w:t>
      </w:r>
      <w:proofErr w:type="spellEnd"/>
      <w:r w:rsidR="00024B60">
        <w:rPr>
          <w:rFonts w:eastAsia="Calibri"/>
          <w:i/>
          <w:sz w:val="18"/>
          <w:szCs w:val="18"/>
        </w:rPr>
        <w:t xml:space="preserve"> by ** </w:t>
      </w:r>
      <w:proofErr w:type="spellStart"/>
      <w:r w:rsidR="00AC103F">
        <w:rPr>
          <w:rFonts w:eastAsia="Calibri"/>
          <w:i/>
          <w:sz w:val="18"/>
          <w:szCs w:val="18"/>
        </w:rPr>
        <w:t>differ</w:t>
      </w:r>
      <w:proofErr w:type="spellEnd"/>
      <w:r w:rsidR="00AC103F">
        <w:rPr>
          <w:rFonts w:eastAsia="Calibri"/>
          <w:i/>
          <w:sz w:val="18"/>
          <w:szCs w:val="18"/>
        </w:rPr>
        <w:t xml:space="preserve"> </w:t>
      </w:r>
      <w:proofErr w:type="spellStart"/>
      <w:r w:rsidR="00AC103F">
        <w:rPr>
          <w:rFonts w:eastAsia="Calibri"/>
          <w:i/>
          <w:sz w:val="18"/>
          <w:szCs w:val="18"/>
        </w:rPr>
        <w:t>significantly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at</w:t>
      </w:r>
      <w:proofErr w:type="spellEnd"/>
      <w:r w:rsid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>
        <w:rPr>
          <w:rFonts w:eastAsia="Calibri"/>
          <w:i/>
          <w:sz w:val="18"/>
          <w:szCs w:val="18"/>
        </w:rPr>
        <w:t>same</w:t>
      </w:r>
      <w:proofErr w:type="spellEnd"/>
      <w:r w:rsidR="00024B60">
        <w:rPr>
          <w:rFonts w:eastAsia="Calibri"/>
          <w:i/>
          <w:sz w:val="18"/>
          <w:szCs w:val="18"/>
        </w:rPr>
        <w:t xml:space="preserve"> time of </w:t>
      </w:r>
      <w:proofErr w:type="spellStart"/>
      <w:r w:rsidR="00024B60">
        <w:rPr>
          <w:rFonts w:eastAsia="Calibri"/>
          <w:i/>
          <w:sz w:val="18"/>
          <w:szCs w:val="18"/>
        </w:rPr>
        <w:t>analysis</w:t>
      </w:r>
      <w:proofErr w:type="spellEnd"/>
      <w:r w:rsidR="00024B60">
        <w:rPr>
          <w:rFonts w:eastAsia="Calibri"/>
          <w:i/>
          <w:sz w:val="18"/>
          <w:szCs w:val="18"/>
        </w:rPr>
        <w:t xml:space="preserve">; </w:t>
      </w:r>
      <w:proofErr w:type="spellStart"/>
      <w:r w:rsidR="00024B60">
        <w:rPr>
          <w:rFonts w:eastAsia="Calibri"/>
          <w:i/>
          <w:sz w:val="18"/>
          <w:szCs w:val="18"/>
        </w:rPr>
        <w:t>results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followed</w:t>
      </w:r>
      <w:proofErr w:type="spellEnd"/>
      <w:r w:rsidR="00024B60">
        <w:rPr>
          <w:rFonts w:eastAsia="Calibri"/>
          <w:i/>
          <w:sz w:val="18"/>
          <w:szCs w:val="18"/>
        </w:rPr>
        <w:t xml:space="preserve"> by </w:t>
      </w:r>
      <w:proofErr w:type="spellStart"/>
      <w:r w:rsidR="00024B60">
        <w:rPr>
          <w:rFonts w:eastAsia="Calibri"/>
          <w:i/>
          <w:sz w:val="18"/>
          <w:szCs w:val="18"/>
        </w:rPr>
        <w:t>letters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AC103F">
        <w:rPr>
          <w:rFonts w:eastAsia="Calibri"/>
          <w:i/>
          <w:sz w:val="18"/>
          <w:szCs w:val="18"/>
        </w:rPr>
        <w:t>differ</w:t>
      </w:r>
      <w:proofErr w:type="spellEnd"/>
      <w:r w:rsidR="00AC103F">
        <w:rPr>
          <w:rFonts w:eastAsia="Calibri"/>
          <w:i/>
          <w:sz w:val="18"/>
          <w:szCs w:val="18"/>
        </w:rPr>
        <w:t xml:space="preserve"> </w:t>
      </w:r>
      <w:proofErr w:type="spellStart"/>
      <w:r w:rsidR="00AC103F">
        <w:rPr>
          <w:rFonts w:eastAsia="Calibri"/>
          <w:i/>
          <w:sz w:val="18"/>
          <w:szCs w:val="18"/>
        </w:rPr>
        <w:t>significantly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during</w:t>
      </w:r>
      <w:proofErr w:type="spellEnd"/>
      <w:r w:rsid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>
        <w:rPr>
          <w:rFonts w:eastAsia="Calibri"/>
          <w:i/>
          <w:sz w:val="18"/>
          <w:szCs w:val="18"/>
        </w:rPr>
        <w:t>storage</w:t>
      </w:r>
      <w:proofErr w:type="spellEnd"/>
      <w:r w:rsidR="00205ADA">
        <w:rPr>
          <w:rFonts w:eastAsia="Calibri"/>
          <w:i/>
          <w:sz w:val="18"/>
          <w:szCs w:val="18"/>
        </w:rPr>
        <w:t>.</w:t>
      </w:r>
    </w:p>
    <w:p w14:paraId="3782C572" w14:textId="77777777" w:rsidR="009766D6" w:rsidRDefault="00AF7874" w:rsidP="009766D6">
      <w:pPr>
        <w:spacing w:before="300" w:after="300"/>
        <w:ind w:left="284" w:hanging="284"/>
        <w:jc w:val="both"/>
        <w:rPr>
          <w:b/>
          <w:sz w:val="18"/>
          <w:szCs w:val="18"/>
          <w:lang w:val="en-GB"/>
        </w:rPr>
      </w:pPr>
      <w:r>
        <w:rPr>
          <w:noProof/>
          <w:lang w:eastAsia="it-IT"/>
        </w:rPr>
        <w:drawing>
          <wp:inline distT="0" distB="0" distL="0" distR="0" wp14:anchorId="294181B9" wp14:editId="37DE501D">
            <wp:extent cx="2855595" cy="138049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F7874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78ED7848" wp14:editId="5AD06C8F">
            <wp:extent cx="2813685" cy="1378222"/>
            <wp:effectExtent l="0" t="0" r="5715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F7874">
        <w:rPr>
          <w:b/>
          <w:sz w:val="18"/>
          <w:szCs w:val="18"/>
          <w:lang w:val="en-GB"/>
        </w:rPr>
        <w:t xml:space="preserve"> </w:t>
      </w:r>
    </w:p>
    <w:p w14:paraId="5EF657EB" w14:textId="46338794" w:rsidR="001803E9" w:rsidRPr="001803E9" w:rsidRDefault="00AF7874" w:rsidP="009766D6">
      <w:pPr>
        <w:spacing w:before="300" w:after="300"/>
        <w:ind w:left="851" w:hanging="851"/>
        <w:jc w:val="both"/>
        <w:rPr>
          <w:b/>
          <w:sz w:val="18"/>
          <w:szCs w:val="18"/>
          <w:lang w:val="en-GB"/>
        </w:rPr>
      </w:pPr>
      <w:r w:rsidRPr="001E64AC">
        <w:rPr>
          <w:b/>
          <w:sz w:val="18"/>
          <w:szCs w:val="18"/>
          <w:lang w:val="en-GB"/>
        </w:rPr>
        <w:t xml:space="preserve">Figure </w:t>
      </w:r>
      <w:r w:rsidR="001803E9">
        <w:rPr>
          <w:b/>
          <w:sz w:val="18"/>
          <w:szCs w:val="18"/>
          <w:lang w:val="en-GB"/>
        </w:rPr>
        <w:t>2</w:t>
      </w:r>
      <w:r w:rsidRPr="0063083B">
        <w:rPr>
          <w:b/>
          <w:sz w:val="18"/>
          <w:szCs w:val="18"/>
          <w:lang w:val="en-GB"/>
        </w:rPr>
        <w:t xml:space="preserve"> </w:t>
      </w:r>
      <w:r w:rsidR="00A56507">
        <w:rPr>
          <w:b/>
          <w:sz w:val="18"/>
          <w:szCs w:val="18"/>
          <w:lang w:val="en-GB"/>
        </w:rPr>
        <w:t xml:space="preserve">    </w:t>
      </w:r>
      <w:r>
        <w:rPr>
          <w:i/>
          <w:sz w:val="18"/>
          <w:szCs w:val="18"/>
          <w:lang w:val="en-GB"/>
        </w:rPr>
        <w:t xml:space="preserve">Total phenolic content of </w:t>
      </w:r>
      <w:r w:rsidRPr="00792D66">
        <w:rPr>
          <w:i/>
          <w:sz w:val="18"/>
          <w:szCs w:val="18"/>
          <w:lang w:val="en-GB"/>
        </w:rPr>
        <w:t>EVOO</w:t>
      </w:r>
      <w:r>
        <w:rPr>
          <w:i/>
          <w:sz w:val="18"/>
          <w:szCs w:val="18"/>
          <w:lang w:val="en-GB"/>
        </w:rPr>
        <w:t>, FVOOs-MAL (</w:t>
      </w:r>
      <w:r w:rsidRPr="00A56507">
        <w:rPr>
          <w:b/>
          <w:i/>
          <w:sz w:val="18"/>
          <w:szCs w:val="18"/>
          <w:lang w:val="en-GB"/>
        </w:rPr>
        <w:t>a</w:t>
      </w:r>
      <w:r>
        <w:rPr>
          <w:i/>
          <w:sz w:val="18"/>
          <w:szCs w:val="18"/>
          <w:lang w:val="en-GB"/>
        </w:rPr>
        <w:t>) and FVOOs-INF (</w:t>
      </w:r>
      <w:r w:rsidRPr="00A56507">
        <w:rPr>
          <w:b/>
          <w:i/>
          <w:sz w:val="18"/>
          <w:szCs w:val="18"/>
          <w:lang w:val="en-GB"/>
        </w:rPr>
        <w:t>b</w:t>
      </w:r>
      <w:r>
        <w:rPr>
          <w:i/>
          <w:sz w:val="18"/>
          <w:szCs w:val="18"/>
          <w:lang w:val="en-GB"/>
        </w:rPr>
        <w:t xml:space="preserve">). </w:t>
      </w:r>
      <w:r w:rsidRPr="00CB4BAB">
        <w:rPr>
          <w:i/>
          <w:sz w:val="18"/>
          <w:szCs w:val="18"/>
          <w:lang w:val="en-GB"/>
        </w:rPr>
        <w:t>Data are expressed as means ± S.D. (</w:t>
      </w:r>
      <w:r w:rsidRPr="00CB4BAB">
        <w:rPr>
          <w:i/>
          <w:iCs/>
          <w:sz w:val="18"/>
          <w:szCs w:val="18"/>
          <w:lang w:val="en-GB"/>
        </w:rPr>
        <w:t>n</w:t>
      </w:r>
      <w:r w:rsidRPr="00CB4BAB">
        <w:rPr>
          <w:i/>
          <w:sz w:val="18"/>
          <w:szCs w:val="18"/>
          <w:lang w:val="en-GB"/>
        </w:rPr>
        <w:t xml:space="preserve">= 3). </w:t>
      </w:r>
      <w:proofErr w:type="spellStart"/>
      <w:r w:rsidRPr="00792D66">
        <w:rPr>
          <w:rFonts w:eastAsia="Calibri"/>
          <w:i/>
          <w:sz w:val="18"/>
          <w:szCs w:val="18"/>
        </w:rPr>
        <w:t>Differences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within</w:t>
      </w:r>
      <w:proofErr w:type="spellEnd"/>
      <w:r w:rsidRPr="00792D66">
        <w:rPr>
          <w:rFonts w:eastAsia="Calibri"/>
          <w:i/>
          <w:sz w:val="18"/>
          <w:szCs w:val="18"/>
        </w:rPr>
        <w:t xml:space="preserve"> and </w:t>
      </w:r>
      <w:proofErr w:type="spellStart"/>
      <w:r w:rsidRPr="00792D66">
        <w:rPr>
          <w:rFonts w:eastAsia="Calibri"/>
          <w:i/>
          <w:sz w:val="18"/>
          <w:szCs w:val="18"/>
        </w:rPr>
        <w:t>between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groups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were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evaluated</w:t>
      </w:r>
      <w:proofErr w:type="spellEnd"/>
      <w:r w:rsidRPr="00792D66">
        <w:rPr>
          <w:rFonts w:eastAsia="Calibri"/>
          <w:i/>
          <w:sz w:val="18"/>
          <w:szCs w:val="18"/>
        </w:rPr>
        <w:t xml:space="preserve"> by </w:t>
      </w:r>
      <w:proofErr w:type="spellStart"/>
      <w:r w:rsidRPr="00792D66">
        <w:rPr>
          <w:rFonts w:eastAsia="Calibri"/>
          <w:i/>
          <w:sz w:val="18"/>
          <w:szCs w:val="18"/>
        </w:rPr>
        <w:t>one</w:t>
      </w:r>
      <w:proofErr w:type="spellEnd"/>
      <w:r w:rsidRPr="00792D66">
        <w:rPr>
          <w:rFonts w:eastAsia="Calibri"/>
          <w:i/>
          <w:sz w:val="18"/>
          <w:szCs w:val="18"/>
        </w:rPr>
        <w:t xml:space="preserve">-way ANOVA </w:t>
      </w:r>
      <w:proofErr w:type="spellStart"/>
      <w:r w:rsidRPr="00792D66">
        <w:rPr>
          <w:rFonts w:eastAsia="Calibri"/>
          <w:i/>
          <w:sz w:val="18"/>
          <w:szCs w:val="18"/>
        </w:rPr>
        <w:t>followed</w:t>
      </w:r>
      <w:proofErr w:type="spellEnd"/>
      <w:r w:rsidRPr="00792D66">
        <w:rPr>
          <w:rFonts w:eastAsia="Calibri"/>
          <w:i/>
          <w:sz w:val="18"/>
          <w:szCs w:val="18"/>
        </w:rPr>
        <w:t xml:space="preserve"> by </w:t>
      </w:r>
      <w:proofErr w:type="spellStart"/>
      <w:r w:rsidRPr="00792D66">
        <w:rPr>
          <w:rFonts w:eastAsia="Calibri"/>
          <w:i/>
          <w:sz w:val="18"/>
          <w:szCs w:val="18"/>
        </w:rPr>
        <w:t>Tukey’s</w:t>
      </w:r>
      <w:proofErr w:type="spellEnd"/>
      <w:r w:rsidRPr="00792D66">
        <w:rPr>
          <w:rFonts w:eastAsia="Calibri"/>
          <w:i/>
          <w:sz w:val="18"/>
          <w:szCs w:val="18"/>
        </w:rPr>
        <w:t xml:space="preserve"> test: **</w:t>
      </w:r>
      <w:r w:rsidRPr="00CB4BAB">
        <w:rPr>
          <w:rFonts w:eastAsia="Calibri"/>
          <w:i/>
          <w:sz w:val="18"/>
          <w:szCs w:val="18"/>
        </w:rPr>
        <w:t>p</w:t>
      </w:r>
      <w:r>
        <w:rPr>
          <w:rFonts w:eastAsia="Calibri"/>
          <w:i/>
          <w:sz w:val="18"/>
          <w:szCs w:val="18"/>
        </w:rPr>
        <w:t xml:space="preserve"> </w:t>
      </w:r>
      <w:r w:rsidRPr="00792D66">
        <w:rPr>
          <w:rFonts w:eastAsia="Calibri"/>
          <w:i/>
          <w:sz w:val="18"/>
          <w:szCs w:val="18"/>
        </w:rPr>
        <w:t>&lt; 0.0</w:t>
      </w:r>
      <w:r>
        <w:rPr>
          <w:rFonts w:eastAsia="Calibri"/>
          <w:i/>
          <w:sz w:val="18"/>
          <w:szCs w:val="18"/>
        </w:rPr>
        <w:t xml:space="preserve">1. </w:t>
      </w:r>
      <w:proofErr w:type="spellStart"/>
      <w:r w:rsidR="00024B60">
        <w:rPr>
          <w:rFonts w:eastAsia="Calibri"/>
          <w:i/>
          <w:sz w:val="18"/>
          <w:szCs w:val="18"/>
        </w:rPr>
        <w:t>Results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followed</w:t>
      </w:r>
      <w:proofErr w:type="spellEnd"/>
      <w:r w:rsidR="00024B60">
        <w:rPr>
          <w:rFonts w:eastAsia="Calibri"/>
          <w:i/>
          <w:sz w:val="18"/>
          <w:szCs w:val="18"/>
        </w:rPr>
        <w:t xml:space="preserve"> by ** </w:t>
      </w:r>
      <w:proofErr w:type="spellStart"/>
      <w:r w:rsidR="006576DA">
        <w:rPr>
          <w:rFonts w:eastAsia="Calibri"/>
          <w:i/>
          <w:sz w:val="18"/>
          <w:szCs w:val="18"/>
        </w:rPr>
        <w:t>differ</w:t>
      </w:r>
      <w:proofErr w:type="spellEnd"/>
      <w:r w:rsidR="006576DA">
        <w:rPr>
          <w:rFonts w:eastAsia="Calibri"/>
          <w:i/>
          <w:sz w:val="18"/>
          <w:szCs w:val="18"/>
        </w:rPr>
        <w:t xml:space="preserve"> </w:t>
      </w:r>
      <w:proofErr w:type="spellStart"/>
      <w:r w:rsidR="006576DA">
        <w:rPr>
          <w:rFonts w:eastAsia="Calibri"/>
          <w:i/>
          <w:sz w:val="18"/>
          <w:szCs w:val="18"/>
        </w:rPr>
        <w:t>significantly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at</w:t>
      </w:r>
      <w:proofErr w:type="spellEnd"/>
      <w:r w:rsid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>
        <w:rPr>
          <w:rFonts w:eastAsia="Calibri"/>
          <w:i/>
          <w:sz w:val="18"/>
          <w:szCs w:val="18"/>
        </w:rPr>
        <w:t>same</w:t>
      </w:r>
      <w:proofErr w:type="spellEnd"/>
      <w:r w:rsidR="00024B60">
        <w:rPr>
          <w:rFonts w:eastAsia="Calibri"/>
          <w:i/>
          <w:sz w:val="18"/>
          <w:szCs w:val="18"/>
        </w:rPr>
        <w:t xml:space="preserve"> time of </w:t>
      </w:r>
      <w:proofErr w:type="spellStart"/>
      <w:r w:rsidR="00024B60">
        <w:rPr>
          <w:rFonts w:eastAsia="Calibri"/>
          <w:i/>
          <w:sz w:val="18"/>
          <w:szCs w:val="18"/>
        </w:rPr>
        <w:t>analysis</w:t>
      </w:r>
      <w:proofErr w:type="spellEnd"/>
      <w:r w:rsidR="00024B60">
        <w:rPr>
          <w:rFonts w:eastAsia="Calibri"/>
          <w:i/>
          <w:sz w:val="18"/>
          <w:szCs w:val="18"/>
        </w:rPr>
        <w:t xml:space="preserve">; </w:t>
      </w:r>
      <w:proofErr w:type="spellStart"/>
      <w:r w:rsidR="00024B60">
        <w:rPr>
          <w:rFonts w:eastAsia="Calibri"/>
          <w:i/>
          <w:sz w:val="18"/>
          <w:szCs w:val="18"/>
        </w:rPr>
        <w:t>results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followed</w:t>
      </w:r>
      <w:proofErr w:type="spellEnd"/>
      <w:r w:rsidR="00024B60">
        <w:rPr>
          <w:rFonts w:eastAsia="Calibri"/>
          <w:i/>
          <w:sz w:val="18"/>
          <w:szCs w:val="18"/>
        </w:rPr>
        <w:t xml:space="preserve"> by </w:t>
      </w:r>
      <w:proofErr w:type="spellStart"/>
      <w:r w:rsidR="00024B60">
        <w:rPr>
          <w:rFonts w:eastAsia="Calibri"/>
          <w:i/>
          <w:sz w:val="18"/>
          <w:szCs w:val="18"/>
        </w:rPr>
        <w:t>letters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6576DA">
        <w:rPr>
          <w:rFonts w:eastAsia="Calibri"/>
          <w:i/>
          <w:sz w:val="18"/>
          <w:szCs w:val="18"/>
        </w:rPr>
        <w:t>differ</w:t>
      </w:r>
      <w:proofErr w:type="spellEnd"/>
      <w:r w:rsidR="006576DA">
        <w:rPr>
          <w:rFonts w:eastAsia="Calibri"/>
          <w:i/>
          <w:sz w:val="18"/>
          <w:szCs w:val="18"/>
        </w:rPr>
        <w:t xml:space="preserve"> </w:t>
      </w:r>
      <w:proofErr w:type="spellStart"/>
      <w:r w:rsidR="006576DA">
        <w:rPr>
          <w:rFonts w:eastAsia="Calibri"/>
          <w:i/>
          <w:sz w:val="18"/>
          <w:szCs w:val="18"/>
        </w:rPr>
        <w:t>significantly</w:t>
      </w:r>
      <w:proofErr w:type="spellEnd"/>
      <w:r w:rsidR="006576DA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during</w:t>
      </w:r>
      <w:proofErr w:type="spellEnd"/>
      <w:r w:rsid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>
        <w:rPr>
          <w:rFonts w:eastAsia="Calibri"/>
          <w:i/>
          <w:sz w:val="18"/>
          <w:szCs w:val="18"/>
        </w:rPr>
        <w:t>storage</w:t>
      </w:r>
      <w:proofErr w:type="spellEnd"/>
      <w:r w:rsidR="00205679">
        <w:rPr>
          <w:rFonts w:eastAsia="Calibri"/>
          <w:i/>
          <w:sz w:val="18"/>
          <w:szCs w:val="18"/>
        </w:rPr>
        <w:t>.</w:t>
      </w:r>
    </w:p>
    <w:p w14:paraId="3BE2C2EC" w14:textId="77777777" w:rsidR="009766D6" w:rsidRDefault="001803E9" w:rsidP="009766D6">
      <w:pPr>
        <w:spacing w:before="300" w:after="300"/>
        <w:jc w:val="both"/>
        <w:rPr>
          <w:b/>
          <w:sz w:val="18"/>
          <w:szCs w:val="18"/>
          <w:lang w:val="en-GB"/>
        </w:rPr>
      </w:pPr>
      <w:r w:rsidRPr="00A51747">
        <w:rPr>
          <w:noProof/>
          <w:color w:val="000000" w:themeColor="text1"/>
          <w:lang w:eastAsia="it-IT"/>
        </w:rPr>
        <w:drawing>
          <wp:inline distT="0" distB="0" distL="0" distR="0" wp14:anchorId="537D4B38" wp14:editId="42F7271A">
            <wp:extent cx="2856230" cy="1441307"/>
            <wp:effectExtent l="0" t="0" r="13970" b="32385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51747">
        <w:rPr>
          <w:noProof/>
          <w:color w:val="000000" w:themeColor="text1"/>
          <w:lang w:eastAsia="it-IT"/>
        </w:rPr>
        <w:drawing>
          <wp:inline distT="0" distB="0" distL="0" distR="0" wp14:anchorId="135BF1DB" wp14:editId="1EA3D874">
            <wp:extent cx="2814320" cy="1415378"/>
            <wp:effectExtent l="0" t="0" r="30480" b="3302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61D0B5" w14:textId="5F410EE9" w:rsidR="001803E9" w:rsidRPr="009766D6" w:rsidRDefault="001803E9" w:rsidP="009766D6">
      <w:pPr>
        <w:spacing w:before="300" w:after="300"/>
        <w:ind w:left="851" w:hanging="851"/>
        <w:jc w:val="both"/>
        <w:rPr>
          <w:b/>
          <w:sz w:val="18"/>
          <w:szCs w:val="18"/>
          <w:lang w:val="en-GB"/>
        </w:rPr>
      </w:pPr>
      <w:r w:rsidRPr="00024B60">
        <w:rPr>
          <w:b/>
          <w:sz w:val="18"/>
          <w:szCs w:val="18"/>
          <w:lang w:val="en-GB"/>
        </w:rPr>
        <w:t xml:space="preserve">Figure </w:t>
      </w:r>
      <w:proofErr w:type="gramStart"/>
      <w:r w:rsidRPr="00024B60">
        <w:rPr>
          <w:b/>
          <w:sz w:val="18"/>
          <w:szCs w:val="18"/>
          <w:lang w:val="en-GB"/>
        </w:rPr>
        <w:t xml:space="preserve">3 </w:t>
      </w:r>
      <w:r w:rsidR="00A56507">
        <w:rPr>
          <w:b/>
          <w:sz w:val="18"/>
          <w:szCs w:val="18"/>
          <w:lang w:val="en-GB"/>
        </w:rPr>
        <w:t xml:space="preserve">   </w:t>
      </w:r>
      <w:r w:rsidRPr="00024B60">
        <w:rPr>
          <w:i/>
          <w:sz w:val="18"/>
          <w:szCs w:val="18"/>
          <w:lang w:val="en-GB"/>
        </w:rPr>
        <w:t>α-</w:t>
      </w:r>
      <w:proofErr w:type="spellStart"/>
      <w:r w:rsidRPr="00024B60">
        <w:rPr>
          <w:i/>
          <w:color w:val="000000"/>
          <w:sz w:val="18"/>
          <w:szCs w:val="18"/>
          <w:lang w:val="en-GB"/>
        </w:rPr>
        <w:t>tocopherol</w:t>
      </w:r>
      <w:proofErr w:type="spellEnd"/>
      <w:r w:rsidRPr="00024B60">
        <w:rPr>
          <w:i/>
          <w:color w:val="000000"/>
          <w:sz w:val="18"/>
          <w:szCs w:val="18"/>
          <w:lang w:val="en-GB"/>
        </w:rPr>
        <w:t xml:space="preserve"> content</w:t>
      </w:r>
      <w:r w:rsidRPr="00024B60">
        <w:rPr>
          <w:color w:val="000000"/>
          <w:sz w:val="18"/>
          <w:szCs w:val="18"/>
          <w:lang w:val="en-GB"/>
        </w:rPr>
        <w:t xml:space="preserve"> </w:t>
      </w:r>
      <w:r w:rsidRPr="00024B60">
        <w:rPr>
          <w:i/>
          <w:sz w:val="18"/>
          <w:szCs w:val="18"/>
          <w:lang w:val="en-GB"/>
        </w:rPr>
        <w:t>of EVOO, FVOOs-MAL (</w:t>
      </w:r>
      <w:r w:rsidRPr="00A56507">
        <w:rPr>
          <w:b/>
          <w:i/>
          <w:sz w:val="18"/>
          <w:szCs w:val="18"/>
          <w:lang w:val="en-GB"/>
        </w:rPr>
        <w:t>a</w:t>
      </w:r>
      <w:r w:rsidRPr="00024B60">
        <w:rPr>
          <w:i/>
          <w:sz w:val="18"/>
          <w:szCs w:val="18"/>
          <w:lang w:val="en-GB"/>
        </w:rPr>
        <w:t>) and FVOOs-INF</w:t>
      </w:r>
      <w:proofErr w:type="gramEnd"/>
      <w:r w:rsidRPr="00024B60">
        <w:rPr>
          <w:i/>
          <w:sz w:val="18"/>
          <w:szCs w:val="18"/>
          <w:lang w:val="en-GB"/>
        </w:rPr>
        <w:t xml:space="preserve"> (</w:t>
      </w:r>
      <w:r w:rsidRPr="00A56507">
        <w:rPr>
          <w:b/>
          <w:i/>
          <w:sz w:val="18"/>
          <w:szCs w:val="18"/>
          <w:lang w:val="en-GB"/>
        </w:rPr>
        <w:t>b</w:t>
      </w:r>
      <w:r w:rsidRPr="00024B60">
        <w:rPr>
          <w:i/>
          <w:sz w:val="18"/>
          <w:szCs w:val="18"/>
          <w:lang w:val="en-GB"/>
        </w:rPr>
        <w:t>). Data are expressed as means ± S.D. (</w:t>
      </w:r>
      <w:r w:rsidRPr="00024B60">
        <w:rPr>
          <w:i/>
          <w:iCs/>
          <w:sz w:val="18"/>
          <w:szCs w:val="18"/>
          <w:lang w:val="en-GB"/>
        </w:rPr>
        <w:t>n</w:t>
      </w:r>
      <w:r w:rsidRPr="00024B60">
        <w:rPr>
          <w:i/>
          <w:sz w:val="18"/>
          <w:szCs w:val="18"/>
          <w:lang w:val="en-GB"/>
        </w:rPr>
        <w:t xml:space="preserve">= 3). </w:t>
      </w:r>
      <w:proofErr w:type="spellStart"/>
      <w:r w:rsidRPr="00024B60">
        <w:rPr>
          <w:rFonts w:eastAsia="Calibri"/>
          <w:i/>
          <w:sz w:val="18"/>
          <w:szCs w:val="18"/>
        </w:rPr>
        <w:t>Differences</w:t>
      </w:r>
      <w:proofErr w:type="spellEnd"/>
      <w:r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Pr="00024B60">
        <w:rPr>
          <w:rFonts w:eastAsia="Calibri"/>
          <w:i/>
          <w:sz w:val="18"/>
          <w:szCs w:val="18"/>
        </w:rPr>
        <w:t>within</w:t>
      </w:r>
      <w:proofErr w:type="spellEnd"/>
      <w:r w:rsidRPr="00024B60">
        <w:rPr>
          <w:rFonts w:eastAsia="Calibri"/>
          <w:i/>
          <w:sz w:val="18"/>
          <w:szCs w:val="18"/>
        </w:rPr>
        <w:t xml:space="preserve"> and </w:t>
      </w:r>
      <w:proofErr w:type="spellStart"/>
      <w:r w:rsidRPr="00024B60">
        <w:rPr>
          <w:rFonts w:eastAsia="Calibri"/>
          <w:i/>
          <w:sz w:val="18"/>
          <w:szCs w:val="18"/>
        </w:rPr>
        <w:t>between</w:t>
      </w:r>
      <w:proofErr w:type="spellEnd"/>
      <w:r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Pr="00024B60">
        <w:rPr>
          <w:rFonts w:eastAsia="Calibri"/>
          <w:i/>
          <w:sz w:val="18"/>
          <w:szCs w:val="18"/>
        </w:rPr>
        <w:t>groups</w:t>
      </w:r>
      <w:proofErr w:type="spellEnd"/>
      <w:r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Pr="00024B60">
        <w:rPr>
          <w:rFonts w:eastAsia="Calibri"/>
          <w:i/>
          <w:sz w:val="18"/>
          <w:szCs w:val="18"/>
        </w:rPr>
        <w:t>were</w:t>
      </w:r>
      <w:proofErr w:type="spellEnd"/>
      <w:r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Pr="00024B60">
        <w:rPr>
          <w:rFonts w:eastAsia="Calibri"/>
          <w:i/>
          <w:sz w:val="18"/>
          <w:szCs w:val="18"/>
        </w:rPr>
        <w:t>evaluated</w:t>
      </w:r>
      <w:proofErr w:type="spellEnd"/>
      <w:r w:rsidRPr="00024B60">
        <w:rPr>
          <w:rFonts w:eastAsia="Calibri"/>
          <w:i/>
          <w:sz w:val="18"/>
          <w:szCs w:val="18"/>
        </w:rPr>
        <w:t xml:space="preserve"> by </w:t>
      </w:r>
      <w:proofErr w:type="spellStart"/>
      <w:r w:rsidRPr="00024B60">
        <w:rPr>
          <w:rFonts w:eastAsia="Calibri"/>
          <w:i/>
          <w:sz w:val="18"/>
          <w:szCs w:val="18"/>
        </w:rPr>
        <w:t>one</w:t>
      </w:r>
      <w:proofErr w:type="spellEnd"/>
      <w:r w:rsidRPr="00024B60">
        <w:rPr>
          <w:rFonts w:eastAsia="Calibri"/>
          <w:i/>
          <w:sz w:val="18"/>
          <w:szCs w:val="18"/>
        </w:rPr>
        <w:t xml:space="preserve">-way ANOVA </w:t>
      </w:r>
      <w:proofErr w:type="spellStart"/>
      <w:r w:rsidRPr="00024B60">
        <w:rPr>
          <w:rFonts w:eastAsia="Calibri"/>
          <w:i/>
          <w:sz w:val="18"/>
          <w:szCs w:val="18"/>
        </w:rPr>
        <w:t>followed</w:t>
      </w:r>
      <w:proofErr w:type="spellEnd"/>
      <w:r w:rsidRPr="00024B60">
        <w:rPr>
          <w:rFonts w:eastAsia="Calibri"/>
          <w:i/>
          <w:sz w:val="18"/>
          <w:szCs w:val="18"/>
        </w:rPr>
        <w:t xml:space="preserve"> by </w:t>
      </w:r>
      <w:proofErr w:type="spellStart"/>
      <w:r w:rsidRPr="00024B60">
        <w:rPr>
          <w:rFonts w:eastAsia="Calibri"/>
          <w:i/>
          <w:sz w:val="18"/>
          <w:szCs w:val="18"/>
        </w:rPr>
        <w:t>Tukey’s</w:t>
      </w:r>
      <w:proofErr w:type="spellEnd"/>
      <w:r w:rsidRPr="00024B60">
        <w:rPr>
          <w:rFonts w:eastAsia="Calibri"/>
          <w:i/>
          <w:sz w:val="18"/>
          <w:szCs w:val="18"/>
        </w:rPr>
        <w:t xml:space="preserve"> test: **p &lt; 0.01.</w:t>
      </w:r>
      <w:r w:rsidR="00024B60"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 w:rsidRPr="00024B60">
        <w:rPr>
          <w:rFonts w:eastAsia="Calibri"/>
          <w:i/>
          <w:sz w:val="18"/>
          <w:szCs w:val="18"/>
        </w:rPr>
        <w:t>Results</w:t>
      </w:r>
      <w:proofErr w:type="spellEnd"/>
      <w:r w:rsidR="00024B60"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 w:rsidRPr="00024B60">
        <w:rPr>
          <w:rFonts w:eastAsia="Calibri"/>
          <w:i/>
          <w:sz w:val="18"/>
          <w:szCs w:val="18"/>
        </w:rPr>
        <w:t>followed</w:t>
      </w:r>
      <w:proofErr w:type="spellEnd"/>
      <w:r w:rsidR="00024B60" w:rsidRPr="00024B60">
        <w:rPr>
          <w:rFonts w:eastAsia="Calibri"/>
          <w:i/>
          <w:sz w:val="18"/>
          <w:szCs w:val="18"/>
        </w:rPr>
        <w:t xml:space="preserve"> by ** </w:t>
      </w:r>
      <w:proofErr w:type="spellStart"/>
      <w:r w:rsidR="006576DA">
        <w:rPr>
          <w:rFonts w:eastAsia="Calibri"/>
          <w:i/>
          <w:sz w:val="18"/>
          <w:szCs w:val="18"/>
        </w:rPr>
        <w:t>differ</w:t>
      </w:r>
      <w:proofErr w:type="spellEnd"/>
      <w:r w:rsidR="006576DA">
        <w:rPr>
          <w:rFonts w:eastAsia="Calibri"/>
          <w:i/>
          <w:sz w:val="18"/>
          <w:szCs w:val="18"/>
        </w:rPr>
        <w:t xml:space="preserve"> </w:t>
      </w:r>
      <w:proofErr w:type="spellStart"/>
      <w:r w:rsidR="006576DA">
        <w:rPr>
          <w:rFonts w:eastAsia="Calibri"/>
          <w:i/>
          <w:sz w:val="18"/>
          <w:szCs w:val="18"/>
        </w:rPr>
        <w:t>significantly</w:t>
      </w:r>
      <w:proofErr w:type="spellEnd"/>
      <w:r w:rsidR="006576DA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 w:rsidRPr="00024B60">
        <w:rPr>
          <w:rFonts w:eastAsia="Calibri"/>
          <w:i/>
          <w:sz w:val="18"/>
          <w:szCs w:val="18"/>
        </w:rPr>
        <w:t>at</w:t>
      </w:r>
      <w:proofErr w:type="spellEnd"/>
      <w:r w:rsidR="00024B60" w:rsidRP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 w:rsidRPr="00024B60">
        <w:rPr>
          <w:rFonts w:eastAsia="Calibri"/>
          <w:i/>
          <w:sz w:val="18"/>
          <w:szCs w:val="18"/>
        </w:rPr>
        <w:t>same</w:t>
      </w:r>
      <w:proofErr w:type="spellEnd"/>
      <w:r w:rsidR="00024B60" w:rsidRPr="00024B60">
        <w:rPr>
          <w:rFonts w:eastAsia="Calibri"/>
          <w:i/>
          <w:sz w:val="18"/>
          <w:szCs w:val="18"/>
        </w:rPr>
        <w:t xml:space="preserve"> time of </w:t>
      </w:r>
      <w:proofErr w:type="spellStart"/>
      <w:r w:rsidR="00024B60" w:rsidRPr="00024B60">
        <w:rPr>
          <w:rFonts w:eastAsia="Calibri"/>
          <w:i/>
          <w:sz w:val="18"/>
          <w:szCs w:val="18"/>
        </w:rPr>
        <w:t>analysis</w:t>
      </w:r>
      <w:proofErr w:type="spellEnd"/>
      <w:r w:rsidR="00024B60" w:rsidRPr="00024B60">
        <w:rPr>
          <w:rFonts w:eastAsia="Calibri"/>
          <w:i/>
          <w:sz w:val="18"/>
          <w:szCs w:val="18"/>
        </w:rPr>
        <w:t xml:space="preserve">; </w:t>
      </w:r>
      <w:proofErr w:type="spellStart"/>
      <w:r w:rsidR="00024B60" w:rsidRPr="00024B60">
        <w:rPr>
          <w:rFonts w:eastAsia="Calibri"/>
          <w:i/>
          <w:sz w:val="18"/>
          <w:szCs w:val="18"/>
        </w:rPr>
        <w:t>results</w:t>
      </w:r>
      <w:proofErr w:type="spellEnd"/>
      <w:r w:rsidR="00024B60"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 w:rsidRPr="00024B60">
        <w:rPr>
          <w:rFonts w:eastAsia="Calibri"/>
          <w:i/>
          <w:sz w:val="18"/>
          <w:szCs w:val="18"/>
        </w:rPr>
        <w:t>followed</w:t>
      </w:r>
      <w:proofErr w:type="spellEnd"/>
      <w:r w:rsidR="00024B60" w:rsidRPr="00024B60">
        <w:rPr>
          <w:rFonts w:eastAsia="Calibri"/>
          <w:i/>
          <w:sz w:val="18"/>
          <w:szCs w:val="18"/>
        </w:rPr>
        <w:t xml:space="preserve"> by </w:t>
      </w:r>
      <w:proofErr w:type="spellStart"/>
      <w:r w:rsidR="00024B60" w:rsidRPr="00024B60">
        <w:rPr>
          <w:rFonts w:eastAsia="Calibri"/>
          <w:i/>
          <w:sz w:val="18"/>
          <w:szCs w:val="18"/>
        </w:rPr>
        <w:t>letters</w:t>
      </w:r>
      <w:proofErr w:type="spellEnd"/>
      <w:r w:rsidR="00024B60" w:rsidRP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6576DA">
        <w:rPr>
          <w:rFonts w:eastAsia="Calibri"/>
          <w:i/>
          <w:sz w:val="18"/>
          <w:szCs w:val="18"/>
        </w:rPr>
        <w:t>differ</w:t>
      </w:r>
      <w:proofErr w:type="spellEnd"/>
      <w:r w:rsidR="006576DA">
        <w:rPr>
          <w:rFonts w:eastAsia="Calibri"/>
          <w:i/>
          <w:sz w:val="18"/>
          <w:szCs w:val="18"/>
        </w:rPr>
        <w:t xml:space="preserve"> </w:t>
      </w:r>
      <w:proofErr w:type="spellStart"/>
      <w:r w:rsidR="006576DA">
        <w:rPr>
          <w:rFonts w:eastAsia="Calibri"/>
          <w:i/>
          <w:sz w:val="18"/>
          <w:szCs w:val="18"/>
        </w:rPr>
        <w:t>significantly</w:t>
      </w:r>
      <w:proofErr w:type="spellEnd"/>
      <w:r w:rsidR="006576DA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 w:rsidRPr="00024B60">
        <w:rPr>
          <w:rFonts w:eastAsia="Calibri"/>
          <w:i/>
          <w:sz w:val="18"/>
          <w:szCs w:val="18"/>
        </w:rPr>
        <w:t>during</w:t>
      </w:r>
      <w:proofErr w:type="spellEnd"/>
      <w:r w:rsidR="00024B60" w:rsidRP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 w:rsidRPr="00024B60">
        <w:rPr>
          <w:rFonts w:eastAsia="Calibri"/>
          <w:i/>
          <w:sz w:val="18"/>
          <w:szCs w:val="18"/>
        </w:rPr>
        <w:t>storage</w:t>
      </w:r>
      <w:proofErr w:type="spellEnd"/>
      <w:r w:rsidR="00205679">
        <w:rPr>
          <w:rFonts w:eastAsia="Calibri"/>
          <w:i/>
          <w:sz w:val="18"/>
          <w:szCs w:val="18"/>
        </w:rPr>
        <w:t>.</w:t>
      </w:r>
    </w:p>
    <w:p w14:paraId="3D532F31" w14:textId="39619E6A" w:rsidR="00B97D6E" w:rsidRDefault="00B97D6E" w:rsidP="00B97D6E">
      <w:pPr>
        <w:jc w:val="both"/>
        <w:rPr>
          <w:color w:val="000000" w:themeColor="text1"/>
          <w:lang w:val="en-GB"/>
        </w:rPr>
      </w:pPr>
      <w:proofErr w:type="spellStart"/>
      <w:r w:rsidRPr="00D658AC">
        <w:rPr>
          <w:color w:val="000000" w:themeColor="text1"/>
          <w:lang w:val="en-GB"/>
        </w:rPr>
        <w:t>Ottobratica</w:t>
      </w:r>
      <w:proofErr w:type="spellEnd"/>
      <w:r w:rsidRPr="00D658AC">
        <w:rPr>
          <w:color w:val="000000" w:themeColor="text1"/>
          <w:lang w:val="en-GB"/>
        </w:rPr>
        <w:t xml:space="preserve"> EVOO </w:t>
      </w:r>
      <w:r w:rsidR="001E4E18">
        <w:rPr>
          <w:color w:val="000000" w:themeColor="text1"/>
          <w:lang w:val="en-GB"/>
        </w:rPr>
        <w:t>showed</w:t>
      </w:r>
      <w:r w:rsidR="001E4E18" w:rsidRPr="00D658AC">
        <w:rPr>
          <w:color w:val="000000" w:themeColor="text1"/>
          <w:lang w:val="en-GB"/>
        </w:rPr>
        <w:t xml:space="preserve"> </w:t>
      </w:r>
      <w:r w:rsidRPr="00D658AC">
        <w:rPr>
          <w:color w:val="000000" w:themeColor="text1"/>
          <w:lang w:val="en-GB"/>
        </w:rPr>
        <w:t xml:space="preserve">a promising </w:t>
      </w:r>
      <w:r w:rsidR="000E261D" w:rsidRPr="00D658AC">
        <w:rPr>
          <w:color w:val="000000" w:themeColor="text1"/>
          <w:lang w:val="en-GB"/>
        </w:rPr>
        <w:t>1,1-diphenyl-2-picrylhydrazyl (</w:t>
      </w:r>
      <w:r w:rsidRPr="00D658AC">
        <w:rPr>
          <w:color w:val="000000" w:themeColor="text1"/>
          <w:lang w:val="en-GB"/>
        </w:rPr>
        <w:t>DPPH</w:t>
      </w:r>
      <w:r w:rsidR="000E261D" w:rsidRPr="00D658AC">
        <w:rPr>
          <w:color w:val="000000" w:themeColor="text1"/>
          <w:lang w:val="en-GB"/>
        </w:rPr>
        <w:t>)</w:t>
      </w:r>
      <w:r w:rsidRPr="00D658AC">
        <w:rPr>
          <w:color w:val="000000" w:themeColor="text1"/>
          <w:lang w:val="en-GB"/>
        </w:rPr>
        <w:t xml:space="preserve"> radical scavenging activity with IC</w:t>
      </w:r>
      <w:r w:rsidRPr="00D658AC">
        <w:rPr>
          <w:color w:val="000000" w:themeColor="text1"/>
          <w:vertAlign w:val="subscript"/>
          <w:lang w:val="en-GB"/>
        </w:rPr>
        <w:t xml:space="preserve">50 </w:t>
      </w:r>
      <w:r w:rsidRPr="00D658AC">
        <w:rPr>
          <w:color w:val="000000" w:themeColor="text1"/>
          <w:lang w:val="en-GB"/>
        </w:rPr>
        <w:t>values from 12.33</w:t>
      </w:r>
      <w:r w:rsidR="000E261D" w:rsidRPr="00D658AC">
        <w:rPr>
          <w:color w:val="000000" w:themeColor="text1"/>
          <w:lang w:val="en-GB"/>
        </w:rPr>
        <w:t xml:space="preserve"> </w:t>
      </w:r>
      <w:r w:rsidRPr="00D658AC">
        <w:rPr>
          <w:color w:val="000000" w:themeColor="text1"/>
          <w:lang w:val="en-GB"/>
        </w:rPr>
        <w:t>to 29</w:t>
      </w:r>
      <w:proofErr w:type="gramStart"/>
      <w:r w:rsidRPr="00D658AC">
        <w:rPr>
          <w:color w:val="000000" w:themeColor="text1"/>
          <w:lang w:val="en-GB"/>
        </w:rPr>
        <w:t>.54 μg</w:t>
      </w:r>
      <w:proofErr w:type="gramEnd"/>
      <w:r w:rsidRPr="00D658AC">
        <w:rPr>
          <w:color w:val="000000" w:themeColor="text1"/>
          <w:lang w:val="en-GB"/>
        </w:rPr>
        <w:t xml:space="preserve"> mL</w:t>
      </w:r>
      <w:r w:rsidRPr="00D658AC">
        <w:rPr>
          <w:color w:val="000000" w:themeColor="text1"/>
          <w:vertAlign w:val="superscript"/>
          <w:lang w:val="en-GB"/>
        </w:rPr>
        <w:t>-1</w:t>
      </w:r>
      <w:r w:rsidRPr="00D658AC">
        <w:rPr>
          <w:color w:val="000000" w:themeColor="text1"/>
          <w:lang w:val="en-GB"/>
        </w:rPr>
        <w:t xml:space="preserve"> for T0 and T360 samples, respectively. A </w:t>
      </w:r>
      <w:r w:rsidR="00411CC7" w:rsidRPr="00D658AC">
        <w:rPr>
          <w:color w:val="000000" w:themeColor="text1"/>
          <w:lang w:val="en-GB"/>
        </w:rPr>
        <w:t xml:space="preserve">similar </w:t>
      </w:r>
      <w:r w:rsidRPr="00D658AC">
        <w:rPr>
          <w:color w:val="000000" w:themeColor="text1"/>
          <w:lang w:val="en-GB"/>
        </w:rPr>
        <w:t xml:space="preserve">situation was observed also with </w:t>
      </w:r>
      <w:r w:rsidR="00210EBF" w:rsidRPr="00D658AC">
        <w:rPr>
          <w:color w:val="000000" w:themeColor="text1"/>
          <w:lang w:val="en-GB"/>
        </w:rPr>
        <w:t>2,20-azino-bis (3-ethylbenzothiazoline-6-sulfonic acid) (</w:t>
      </w:r>
      <w:r w:rsidRPr="00D658AC">
        <w:rPr>
          <w:color w:val="000000" w:themeColor="text1"/>
          <w:lang w:val="en-GB"/>
        </w:rPr>
        <w:t>ABTS</w:t>
      </w:r>
      <w:r w:rsidR="00210EBF" w:rsidRPr="00D658AC">
        <w:rPr>
          <w:color w:val="000000" w:themeColor="text1"/>
          <w:lang w:val="en-GB"/>
        </w:rPr>
        <w:t>)</w:t>
      </w:r>
      <w:r w:rsidRPr="00D658AC">
        <w:rPr>
          <w:color w:val="000000" w:themeColor="text1"/>
          <w:lang w:val="en-GB"/>
        </w:rPr>
        <w:t xml:space="preserve"> test. A loss of antioxidant activity, in term</w:t>
      </w:r>
      <w:r w:rsidR="003247CD">
        <w:rPr>
          <w:color w:val="000000" w:themeColor="text1"/>
          <w:lang w:val="en-GB"/>
        </w:rPr>
        <w:t>s</w:t>
      </w:r>
      <w:r w:rsidRPr="00D658AC">
        <w:rPr>
          <w:color w:val="000000" w:themeColor="text1"/>
          <w:lang w:val="en-GB"/>
        </w:rPr>
        <w:t xml:space="preserve"> of protection from lipid peroxidation was observed using </w:t>
      </w:r>
      <w:r w:rsidR="001E4E18">
        <w:rPr>
          <w:color w:val="000000" w:themeColor="text1"/>
          <w:lang w:val="en-GB"/>
        </w:rPr>
        <w:t xml:space="preserve">the </w:t>
      </w:r>
      <w:r w:rsidRPr="00D658AC">
        <w:rPr>
          <w:color w:val="000000" w:themeColor="text1"/>
          <w:lang w:val="en-GB"/>
        </w:rPr>
        <w:t>β-carotene bleaching test (IC</w:t>
      </w:r>
      <w:r w:rsidRPr="00D658AC">
        <w:rPr>
          <w:color w:val="000000" w:themeColor="text1"/>
          <w:vertAlign w:val="subscript"/>
          <w:lang w:val="en-GB"/>
        </w:rPr>
        <w:t>50</w:t>
      </w:r>
      <w:r w:rsidRPr="00D658AC">
        <w:rPr>
          <w:color w:val="000000" w:themeColor="text1"/>
          <w:lang w:val="en-GB"/>
        </w:rPr>
        <w:t xml:space="preserve"> values from 48.72 to &gt;100 μg mL</w:t>
      </w:r>
      <w:r w:rsidRPr="00D658AC">
        <w:rPr>
          <w:color w:val="000000" w:themeColor="text1"/>
          <w:vertAlign w:val="superscript"/>
          <w:lang w:val="en-GB"/>
        </w:rPr>
        <w:t xml:space="preserve">-1 </w:t>
      </w:r>
      <w:r w:rsidRPr="00D658AC">
        <w:rPr>
          <w:color w:val="000000" w:themeColor="text1"/>
          <w:lang w:val="en-GB"/>
        </w:rPr>
        <w:t>for T0 and T360 samples, re</w:t>
      </w:r>
      <w:r w:rsidR="00411CC7" w:rsidRPr="00D658AC">
        <w:rPr>
          <w:color w:val="000000" w:themeColor="text1"/>
          <w:lang w:val="en-GB"/>
        </w:rPr>
        <w:t>s</w:t>
      </w:r>
      <w:r w:rsidRPr="00D658AC">
        <w:rPr>
          <w:color w:val="000000" w:themeColor="text1"/>
          <w:lang w:val="en-GB"/>
        </w:rPr>
        <w:t>pectively</w:t>
      </w:r>
      <w:r w:rsidR="000E261D" w:rsidRPr="00D658AC">
        <w:rPr>
          <w:color w:val="000000" w:themeColor="text1"/>
          <w:lang w:val="en-GB"/>
        </w:rPr>
        <w:t>)</w:t>
      </w:r>
      <w:r w:rsidR="0044651F">
        <w:rPr>
          <w:color w:val="000000" w:themeColor="text1"/>
          <w:lang w:val="en-GB"/>
        </w:rPr>
        <w:t xml:space="preserve"> (Figure 4</w:t>
      </w:r>
      <w:r w:rsidR="00D658AC" w:rsidRPr="00D658AC">
        <w:rPr>
          <w:color w:val="000000" w:themeColor="text1"/>
          <w:lang w:val="en-GB"/>
        </w:rPr>
        <w:t>)</w:t>
      </w:r>
      <w:r w:rsidRPr="00D658AC">
        <w:rPr>
          <w:color w:val="000000" w:themeColor="text1"/>
          <w:lang w:val="en-GB"/>
        </w:rPr>
        <w:t xml:space="preserve">. Data from </w:t>
      </w:r>
      <w:r w:rsidR="00210EBF" w:rsidRPr="00D658AC">
        <w:rPr>
          <w:color w:val="000000" w:themeColor="text1"/>
          <w:lang w:val="en-GB"/>
        </w:rPr>
        <w:t>ferric reducing antioxidant p</w:t>
      </w:r>
      <w:r w:rsidR="000E261D" w:rsidRPr="00D658AC">
        <w:rPr>
          <w:color w:val="000000" w:themeColor="text1"/>
          <w:lang w:val="en-GB"/>
        </w:rPr>
        <w:t>ower (</w:t>
      </w:r>
      <w:r w:rsidRPr="00D658AC">
        <w:rPr>
          <w:color w:val="000000" w:themeColor="text1"/>
          <w:lang w:val="en-GB"/>
        </w:rPr>
        <w:t>FRAP</w:t>
      </w:r>
      <w:r w:rsidR="000E261D" w:rsidRPr="00D658AC">
        <w:rPr>
          <w:color w:val="000000" w:themeColor="text1"/>
          <w:lang w:val="en-GB"/>
        </w:rPr>
        <w:t>)</w:t>
      </w:r>
      <w:r w:rsidRPr="00D658AC">
        <w:rPr>
          <w:color w:val="000000" w:themeColor="text1"/>
          <w:lang w:val="en-GB"/>
        </w:rPr>
        <w:t xml:space="preserve"> assay revealed that regardless of the storage time, the EVOO results were lower than the </w:t>
      </w:r>
      <w:proofErr w:type="spellStart"/>
      <w:r w:rsidR="00210EBF" w:rsidRPr="00D658AC">
        <w:rPr>
          <w:color w:val="000000" w:themeColor="text1"/>
          <w:lang w:val="en-GB"/>
        </w:rPr>
        <w:t>butylated</w:t>
      </w:r>
      <w:proofErr w:type="spellEnd"/>
      <w:r w:rsidR="00210EBF" w:rsidRPr="00D658AC">
        <w:rPr>
          <w:color w:val="000000" w:themeColor="text1"/>
          <w:lang w:val="en-GB"/>
        </w:rPr>
        <w:t xml:space="preserve"> </w:t>
      </w:r>
      <w:proofErr w:type="spellStart"/>
      <w:r w:rsidR="00210EBF" w:rsidRPr="00D658AC">
        <w:rPr>
          <w:color w:val="000000" w:themeColor="text1"/>
          <w:lang w:val="en-GB"/>
        </w:rPr>
        <w:t>hydroxytoluene</w:t>
      </w:r>
      <w:proofErr w:type="spellEnd"/>
      <w:r w:rsidR="00210EBF" w:rsidRPr="00D658AC">
        <w:rPr>
          <w:color w:val="000000" w:themeColor="text1"/>
          <w:lang w:val="en-GB"/>
        </w:rPr>
        <w:t xml:space="preserve"> (</w:t>
      </w:r>
      <w:r w:rsidRPr="00D658AC">
        <w:rPr>
          <w:color w:val="000000" w:themeColor="text1"/>
          <w:lang w:val="en-GB"/>
        </w:rPr>
        <w:t>BHT</w:t>
      </w:r>
      <w:r w:rsidR="00210EBF" w:rsidRPr="00D658AC">
        <w:rPr>
          <w:color w:val="000000" w:themeColor="text1"/>
          <w:lang w:val="en-GB"/>
        </w:rPr>
        <w:t>)</w:t>
      </w:r>
      <w:r w:rsidRPr="00D658AC">
        <w:rPr>
          <w:color w:val="000000" w:themeColor="text1"/>
          <w:lang w:val="en-GB"/>
        </w:rPr>
        <w:t xml:space="preserve">, used </w:t>
      </w:r>
      <w:r w:rsidR="002601E3">
        <w:rPr>
          <w:color w:val="000000" w:themeColor="text1"/>
          <w:lang w:val="en-GB"/>
        </w:rPr>
        <w:t xml:space="preserve">as </w:t>
      </w:r>
      <w:r w:rsidRPr="00D658AC">
        <w:rPr>
          <w:color w:val="000000" w:themeColor="text1"/>
          <w:lang w:val="en-GB"/>
        </w:rPr>
        <w:t xml:space="preserve">positive control (from 25.01 to 4.31 </w:t>
      </w:r>
      <w:proofErr w:type="spellStart"/>
      <w:r w:rsidRPr="00D658AC">
        <w:rPr>
          <w:color w:val="000000" w:themeColor="text1"/>
          <w:lang w:val="en-GB"/>
        </w:rPr>
        <w:t>μM</w:t>
      </w:r>
      <w:proofErr w:type="spellEnd"/>
      <w:r w:rsidRPr="00D658AC">
        <w:rPr>
          <w:color w:val="000000" w:themeColor="text1"/>
          <w:lang w:val="en-GB"/>
        </w:rPr>
        <w:t xml:space="preserve"> </w:t>
      </w:r>
      <w:proofErr w:type="gramStart"/>
      <w:r w:rsidRPr="00D658AC">
        <w:rPr>
          <w:color w:val="000000" w:themeColor="text1"/>
          <w:lang w:val="en-GB"/>
        </w:rPr>
        <w:t>Fe(</w:t>
      </w:r>
      <w:proofErr w:type="gramEnd"/>
      <w:r w:rsidRPr="00D658AC">
        <w:rPr>
          <w:color w:val="000000" w:themeColor="text1"/>
          <w:lang w:val="en-GB"/>
        </w:rPr>
        <w:t>II) g</w:t>
      </w:r>
      <w:r w:rsidRPr="00D658AC">
        <w:rPr>
          <w:color w:val="000000" w:themeColor="text1"/>
          <w:vertAlign w:val="superscript"/>
          <w:lang w:val="en-GB"/>
        </w:rPr>
        <w:t>-1</w:t>
      </w:r>
      <w:r w:rsidRPr="00D658AC">
        <w:rPr>
          <w:color w:val="000000" w:themeColor="text1"/>
          <w:lang w:val="en-GB"/>
        </w:rPr>
        <w:t xml:space="preserve"> for T0 and T360, respectively</w:t>
      </w:r>
      <w:r w:rsidR="0077565B">
        <w:rPr>
          <w:color w:val="000000" w:themeColor="text1"/>
          <w:lang w:val="en-GB"/>
        </w:rPr>
        <w:t xml:space="preserve">) </w:t>
      </w:r>
      <w:r w:rsidR="0044651F">
        <w:rPr>
          <w:color w:val="000000" w:themeColor="text1"/>
          <w:lang w:val="en-GB"/>
        </w:rPr>
        <w:t>(Figure 5</w:t>
      </w:r>
      <w:r w:rsidR="00D658AC" w:rsidRPr="00D658AC">
        <w:rPr>
          <w:color w:val="000000" w:themeColor="text1"/>
          <w:lang w:val="en-GB"/>
        </w:rPr>
        <w:t>)</w:t>
      </w:r>
      <w:r w:rsidRPr="00D658AC">
        <w:rPr>
          <w:color w:val="000000" w:themeColor="text1"/>
          <w:lang w:val="en-GB"/>
        </w:rPr>
        <w:t xml:space="preserve">. The antioxidant potential of dry spice extracts </w:t>
      </w:r>
      <w:r w:rsidR="001E4E18">
        <w:rPr>
          <w:color w:val="000000" w:themeColor="text1"/>
          <w:lang w:val="en-GB"/>
        </w:rPr>
        <w:t>show</w:t>
      </w:r>
      <w:r w:rsidRPr="00D658AC">
        <w:rPr>
          <w:color w:val="000000" w:themeColor="text1"/>
          <w:lang w:val="en-GB"/>
        </w:rPr>
        <w:t>ed that mace exhibited the highest DPPH radical scavenging potential (IC</w:t>
      </w:r>
      <w:r w:rsidRPr="00D658AC">
        <w:rPr>
          <w:color w:val="000000" w:themeColor="text1"/>
          <w:vertAlign w:val="subscript"/>
          <w:lang w:val="en-GB"/>
        </w:rPr>
        <w:t xml:space="preserve">50 </w:t>
      </w:r>
      <w:r w:rsidRPr="00D658AC">
        <w:rPr>
          <w:color w:val="000000" w:themeColor="text1"/>
          <w:lang w:val="en-GB"/>
        </w:rPr>
        <w:t>16.56 μg mL</w:t>
      </w:r>
      <w:r w:rsidRPr="00D658AC">
        <w:rPr>
          <w:color w:val="000000" w:themeColor="text1"/>
          <w:vertAlign w:val="superscript"/>
          <w:lang w:val="en-GB"/>
        </w:rPr>
        <w:t>-1</w:t>
      </w:r>
      <w:r w:rsidRPr="00D658AC">
        <w:rPr>
          <w:color w:val="000000" w:themeColor="text1"/>
          <w:lang w:val="en-GB"/>
        </w:rPr>
        <w:t xml:space="preserve">) whereas turmeric </w:t>
      </w:r>
      <w:r w:rsidR="001E4E18">
        <w:rPr>
          <w:color w:val="000000" w:themeColor="text1"/>
          <w:lang w:val="en-GB"/>
        </w:rPr>
        <w:t>was</w:t>
      </w:r>
      <w:r w:rsidR="001E4E18" w:rsidRPr="00D658AC">
        <w:rPr>
          <w:color w:val="000000" w:themeColor="text1"/>
          <w:lang w:val="en-GB"/>
        </w:rPr>
        <w:t xml:space="preserve"> </w:t>
      </w:r>
      <w:r w:rsidRPr="00D658AC">
        <w:rPr>
          <w:color w:val="000000" w:themeColor="text1"/>
          <w:lang w:val="en-GB"/>
        </w:rPr>
        <w:t xml:space="preserve">the most active in </w:t>
      </w:r>
      <w:r w:rsidR="001E4E18">
        <w:rPr>
          <w:color w:val="000000" w:themeColor="text1"/>
          <w:lang w:val="en-GB"/>
        </w:rPr>
        <w:t xml:space="preserve">the </w:t>
      </w:r>
      <w:r w:rsidRPr="00D658AC">
        <w:rPr>
          <w:color w:val="000000" w:themeColor="text1"/>
          <w:lang w:val="en-GB"/>
        </w:rPr>
        <w:t>ABTS test (IC</w:t>
      </w:r>
      <w:r w:rsidRPr="00D658AC">
        <w:rPr>
          <w:color w:val="000000" w:themeColor="text1"/>
          <w:vertAlign w:val="subscript"/>
          <w:lang w:val="en-GB"/>
        </w:rPr>
        <w:t>50</w:t>
      </w:r>
      <w:r w:rsidRPr="00D658AC">
        <w:rPr>
          <w:color w:val="000000" w:themeColor="text1"/>
          <w:lang w:val="en-GB"/>
        </w:rPr>
        <w:t xml:space="preserve"> 3.14 μg mL</w:t>
      </w:r>
      <w:r w:rsidRPr="00D658AC">
        <w:rPr>
          <w:color w:val="000000" w:themeColor="text1"/>
          <w:vertAlign w:val="superscript"/>
          <w:lang w:val="en-GB"/>
        </w:rPr>
        <w:t>-1</w:t>
      </w:r>
      <w:r w:rsidRPr="00D658AC">
        <w:rPr>
          <w:color w:val="000000" w:themeColor="text1"/>
          <w:lang w:val="en-GB"/>
        </w:rPr>
        <w:t xml:space="preserve">). </w:t>
      </w:r>
      <w:r w:rsidR="00411CC7" w:rsidRPr="00D658AC">
        <w:rPr>
          <w:color w:val="000000" w:themeColor="text1"/>
          <w:lang w:val="en-GB"/>
        </w:rPr>
        <w:t>T-</w:t>
      </w:r>
      <w:r w:rsidR="00210EBF" w:rsidRPr="00D658AC">
        <w:rPr>
          <w:color w:val="000000" w:themeColor="text1"/>
          <w:lang w:val="en-GB"/>
        </w:rPr>
        <w:t xml:space="preserve">MAL </w:t>
      </w:r>
      <w:r w:rsidRPr="00D658AC">
        <w:rPr>
          <w:color w:val="000000" w:themeColor="text1"/>
          <w:lang w:val="en-GB"/>
        </w:rPr>
        <w:t>sample (at T0) showed a promising radical scavenging effect with IC</w:t>
      </w:r>
      <w:r w:rsidRPr="00D658AC">
        <w:rPr>
          <w:color w:val="000000" w:themeColor="text1"/>
          <w:vertAlign w:val="subscript"/>
          <w:lang w:val="en-GB"/>
        </w:rPr>
        <w:t>50</w:t>
      </w:r>
      <w:r w:rsidRPr="00D658AC">
        <w:rPr>
          <w:color w:val="000000" w:themeColor="text1"/>
          <w:lang w:val="en-GB"/>
        </w:rPr>
        <w:t xml:space="preserve"> values of 9.49 and 3</w:t>
      </w:r>
      <w:proofErr w:type="gramStart"/>
      <w:r w:rsidRPr="00D658AC">
        <w:rPr>
          <w:color w:val="000000" w:themeColor="text1"/>
          <w:lang w:val="en-GB"/>
        </w:rPr>
        <w:t xml:space="preserve">.47 </w:t>
      </w:r>
      <w:r w:rsidRPr="00D658AC">
        <w:rPr>
          <w:color w:val="000000" w:themeColor="text1"/>
          <w:lang w:val="en-GB"/>
        </w:rPr>
        <w:t>g</w:t>
      </w:r>
      <w:proofErr w:type="gramEnd"/>
      <w:r w:rsidRPr="00D658AC">
        <w:rPr>
          <w:color w:val="000000" w:themeColor="text1"/>
          <w:lang w:val="en-GB"/>
        </w:rPr>
        <w:t xml:space="preserve"> mL</w:t>
      </w:r>
      <w:r w:rsidRPr="00D658AC">
        <w:rPr>
          <w:color w:val="000000" w:themeColor="text1"/>
          <w:vertAlign w:val="superscript"/>
          <w:lang w:val="en-GB"/>
        </w:rPr>
        <w:t>-1</w:t>
      </w:r>
      <w:r w:rsidRPr="00D658AC">
        <w:rPr>
          <w:color w:val="000000" w:themeColor="text1"/>
          <w:lang w:val="en-GB"/>
        </w:rPr>
        <w:t xml:space="preserve"> for </w:t>
      </w:r>
      <w:r w:rsidR="00042C91">
        <w:rPr>
          <w:color w:val="000000" w:themeColor="text1"/>
          <w:lang w:val="en-GB"/>
        </w:rPr>
        <w:t xml:space="preserve">the </w:t>
      </w:r>
      <w:r w:rsidRPr="00D658AC">
        <w:rPr>
          <w:color w:val="000000" w:themeColor="text1"/>
          <w:lang w:val="en-GB"/>
        </w:rPr>
        <w:t>DPPH and ABTS test</w:t>
      </w:r>
      <w:r w:rsidR="00042C91">
        <w:rPr>
          <w:color w:val="000000" w:themeColor="text1"/>
          <w:lang w:val="en-GB"/>
        </w:rPr>
        <w:t>s</w:t>
      </w:r>
      <w:r w:rsidRPr="00D658AC">
        <w:rPr>
          <w:color w:val="000000" w:themeColor="text1"/>
          <w:lang w:val="en-GB"/>
        </w:rPr>
        <w:t>, respectively. A ferric reducing ability power better than those reported for the positive control BHT was observed only for G-</w:t>
      </w:r>
      <w:r w:rsidR="00210EBF" w:rsidRPr="00D658AC">
        <w:rPr>
          <w:color w:val="000000" w:themeColor="text1"/>
          <w:lang w:val="en-GB"/>
        </w:rPr>
        <w:t xml:space="preserve">MAL </w:t>
      </w:r>
      <w:r w:rsidRPr="00D658AC">
        <w:rPr>
          <w:color w:val="000000" w:themeColor="text1"/>
          <w:lang w:val="en-GB"/>
        </w:rPr>
        <w:t xml:space="preserve">sample (86.42 </w:t>
      </w:r>
      <w:proofErr w:type="spellStart"/>
      <w:r w:rsidRPr="00D658AC">
        <w:rPr>
          <w:color w:val="000000" w:themeColor="text1"/>
          <w:lang w:val="en-GB"/>
        </w:rPr>
        <w:t>vs</w:t>
      </w:r>
      <w:proofErr w:type="spellEnd"/>
      <w:r w:rsidRPr="00D658AC">
        <w:rPr>
          <w:color w:val="000000" w:themeColor="text1"/>
          <w:lang w:val="en-GB"/>
        </w:rPr>
        <w:t xml:space="preserve"> 63.42 </w:t>
      </w:r>
      <w:proofErr w:type="spellStart"/>
      <w:r w:rsidRPr="00D658AC">
        <w:rPr>
          <w:color w:val="000000" w:themeColor="text1"/>
          <w:lang w:val="en-GB"/>
        </w:rPr>
        <w:t>μM</w:t>
      </w:r>
      <w:proofErr w:type="spellEnd"/>
      <w:r w:rsidRPr="00D658AC">
        <w:rPr>
          <w:color w:val="000000" w:themeColor="text1"/>
          <w:lang w:val="en-GB"/>
        </w:rPr>
        <w:t xml:space="preserve"> Fe (II) g</w:t>
      </w:r>
      <w:r w:rsidRPr="00D658AC">
        <w:rPr>
          <w:color w:val="000000" w:themeColor="text1"/>
          <w:vertAlign w:val="superscript"/>
          <w:lang w:val="en-GB"/>
        </w:rPr>
        <w:t>-1</w:t>
      </w:r>
      <w:r w:rsidRPr="00D658AC">
        <w:rPr>
          <w:color w:val="000000" w:themeColor="text1"/>
          <w:lang w:val="en-GB"/>
        </w:rPr>
        <w:t>)</w:t>
      </w:r>
      <w:r w:rsidR="00BF423E">
        <w:rPr>
          <w:color w:val="000000" w:themeColor="text1"/>
          <w:lang w:val="en-GB"/>
        </w:rPr>
        <w:t xml:space="preserve"> (Figure 5</w:t>
      </w:r>
      <w:r w:rsidR="00D658AC" w:rsidRPr="00D658AC">
        <w:rPr>
          <w:color w:val="000000" w:themeColor="text1"/>
          <w:lang w:val="en-GB"/>
        </w:rPr>
        <w:t>)</w:t>
      </w:r>
      <w:r w:rsidRPr="00D658AC">
        <w:rPr>
          <w:color w:val="000000" w:themeColor="text1"/>
          <w:lang w:val="en-GB"/>
        </w:rPr>
        <w:t>. This biological property is positively correlated with the α-</w:t>
      </w:r>
      <w:proofErr w:type="spellStart"/>
      <w:r w:rsidRPr="00D658AC">
        <w:rPr>
          <w:color w:val="000000" w:themeColor="text1"/>
          <w:lang w:val="en-GB"/>
        </w:rPr>
        <w:t>tocopherol</w:t>
      </w:r>
      <w:proofErr w:type="spellEnd"/>
      <w:r w:rsidRPr="00D658AC">
        <w:rPr>
          <w:color w:val="000000" w:themeColor="text1"/>
          <w:lang w:val="en-GB"/>
        </w:rPr>
        <w:t xml:space="preserve"> content (</w:t>
      </w:r>
      <w:r w:rsidRPr="00D658AC">
        <w:rPr>
          <w:i/>
          <w:color w:val="000000" w:themeColor="text1"/>
          <w:lang w:val="en-GB"/>
        </w:rPr>
        <w:t>r</w:t>
      </w:r>
      <w:r w:rsidRPr="00D658AC">
        <w:rPr>
          <w:color w:val="000000" w:themeColor="text1"/>
          <w:lang w:val="en-GB"/>
        </w:rPr>
        <w:t xml:space="preserve">=0.97). Storage time reduces the protection from lipid peroxidation measured by the β-carotene bleaching test. Notable results were obtained with T and G in both </w:t>
      </w:r>
      <w:r w:rsidR="00C324DE" w:rsidRPr="00D658AC">
        <w:rPr>
          <w:color w:val="000000" w:themeColor="text1"/>
          <w:lang w:val="en-GB"/>
        </w:rPr>
        <w:t>enrichment procedures</w:t>
      </w:r>
      <w:r w:rsidR="00D658AC" w:rsidRPr="00D658AC">
        <w:rPr>
          <w:color w:val="000000" w:themeColor="text1"/>
          <w:lang w:val="en-GB"/>
        </w:rPr>
        <w:t xml:space="preserve"> (Figure </w:t>
      </w:r>
      <w:r w:rsidR="00BF423E">
        <w:rPr>
          <w:color w:val="000000" w:themeColor="text1"/>
          <w:lang w:val="en-GB"/>
        </w:rPr>
        <w:t>4</w:t>
      </w:r>
      <w:r w:rsidR="00D658AC" w:rsidRPr="00D658AC">
        <w:rPr>
          <w:color w:val="000000" w:themeColor="text1"/>
          <w:lang w:val="en-GB"/>
        </w:rPr>
        <w:t>)</w:t>
      </w:r>
      <w:r w:rsidR="00C324DE" w:rsidRPr="00D658AC">
        <w:rPr>
          <w:color w:val="000000" w:themeColor="text1"/>
          <w:lang w:val="en-GB"/>
        </w:rPr>
        <w:t xml:space="preserve">. In particular, </w:t>
      </w:r>
      <w:r w:rsidR="00FF05CB" w:rsidRPr="00D658AC">
        <w:rPr>
          <w:color w:val="000000" w:themeColor="text1"/>
          <w:lang w:val="en-GB"/>
        </w:rPr>
        <w:t xml:space="preserve">in </w:t>
      </w:r>
      <w:r w:rsidR="00042C91">
        <w:rPr>
          <w:color w:val="000000" w:themeColor="text1"/>
          <w:lang w:val="en-GB"/>
        </w:rPr>
        <w:t xml:space="preserve">the </w:t>
      </w:r>
      <w:r w:rsidR="00210EBF" w:rsidRPr="00D658AC">
        <w:rPr>
          <w:color w:val="000000" w:themeColor="text1"/>
          <w:lang w:val="en-GB"/>
        </w:rPr>
        <w:t>β</w:t>
      </w:r>
      <w:r w:rsidR="00FF05CB" w:rsidRPr="00D658AC">
        <w:rPr>
          <w:color w:val="000000" w:themeColor="text1"/>
          <w:lang w:val="en-GB"/>
        </w:rPr>
        <w:t>-carotene bleaching test</w:t>
      </w:r>
      <w:r w:rsidR="00042C91">
        <w:rPr>
          <w:color w:val="000000" w:themeColor="text1"/>
          <w:lang w:val="en-GB"/>
        </w:rPr>
        <w:t>,</w:t>
      </w:r>
      <w:r w:rsidR="00FF05CB" w:rsidRPr="00D658AC">
        <w:rPr>
          <w:color w:val="000000" w:themeColor="text1"/>
          <w:lang w:val="en-GB"/>
        </w:rPr>
        <w:t xml:space="preserve"> G-</w:t>
      </w:r>
      <w:r w:rsidR="00210EBF" w:rsidRPr="00D658AC">
        <w:rPr>
          <w:color w:val="000000" w:themeColor="text1"/>
          <w:lang w:val="en-GB"/>
        </w:rPr>
        <w:t xml:space="preserve">MAL was </w:t>
      </w:r>
      <w:r w:rsidR="00C324DE" w:rsidRPr="00D658AC">
        <w:rPr>
          <w:color w:val="000000" w:themeColor="text1"/>
          <w:lang w:val="en-GB"/>
        </w:rPr>
        <w:t>positively correlated with</w:t>
      </w:r>
      <w:r w:rsidRPr="00D658AC">
        <w:rPr>
          <w:color w:val="000000" w:themeColor="text1"/>
          <w:lang w:val="en-GB"/>
        </w:rPr>
        <w:t xml:space="preserve"> TCC (</w:t>
      </w:r>
      <w:r w:rsidRPr="00D658AC">
        <w:rPr>
          <w:i/>
          <w:color w:val="000000" w:themeColor="text1"/>
          <w:lang w:val="en-GB"/>
        </w:rPr>
        <w:t>r</w:t>
      </w:r>
      <w:r w:rsidRPr="00D658AC">
        <w:rPr>
          <w:color w:val="000000" w:themeColor="text1"/>
          <w:lang w:val="en-GB"/>
        </w:rPr>
        <w:t xml:space="preserve">=0.99). </w:t>
      </w:r>
      <w:r w:rsidR="00F0669B" w:rsidRPr="00D658AC">
        <w:rPr>
          <w:color w:val="000000" w:themeColor="text1"/>
          <w:lang w:val="en-GB"/>
        </w:rPr>
        <w:t xml:space="preserve">Moreover, in both </w:t>
      </w:r>
      <w:r w:rsidR="00042C91">
        <w:rPr>
          <w:color w:val="000000" w:themeColor="text1"/>
          <w:lang w:val="en-GB"/>
        </w:rPr>
        <w:t xml:space="preserve">the </w:t>
      </w:r>
      <w:r w:rsidR="00F0669B" w:rsidRPr="00D658AC">
        <w:rPr>
          <w:color w:val="000000" w:themeColor="text1"/>
          <w:lang w:val="en-GB"/>
        </w:rPr>
        <w:t xml:space="preserve">FRAP and </w:t>
      </w:r>
      <w:r w:rsidR="001803E9" w:rsidRPr="00D658AC">
        <w:rPr>
          <w:color w:val="000000" w:themeColor="text1"/>
          <w:lang w:val="en-GB"/>
        </w:rPr>
        <w:t>β</w:t>
      </w:r>
      <w:r w:rsidR="00F0669B" w:rsidRPr="00D658AC">
        <w:rPr>
          <w:color w:val="000000" w:themeColor="text1"/>
          <w:lang w:val="en-GB"/>
        </w:rPr>
        <w:t>-carotene bleaching test</w:t>
      </w:r>
      <w:r w:rsidR="003247CD">
        <w:rPr>
          <w:color w:val="000000" w:themeColor="text1"/>
          <w:lang w:val="en-GB"/>
        </w:rPr>
        <w:t>s</w:t>
      </w:r>
      <w:r w:rsidR="00F0669B" w:rsidRPr="00D658AC">
        <w:rPr>
          <w:color w:val="000000" w:themeColor="text1"/>
          <w:lang w:val="en-GB"/>
        </w:rPr>
        <w:t>, a</w:t>
      </w:r>
      <w:r w:rsidRPr="00D658AC">
        <w:rPr>
          <w:color w:val="000000" w:themeColor="text1"/>
          <w:lang w:val="en-GB"/>
        </w:rPr>
        <w:t>fter 12 months of storage</w:t>
      </w:r>
      <w:r w:rsidR="00F0669B" w:rsidRPr="00D658AC">
        <w:rPr>
          <w:color w:val="000000" w:themeColor="text1"/>
          <w:lang w:val="en-GB"/>
        </w:rPr>
        <w:t xml:space="preserve"> G-</w:t>
      </w:r>
      <w:r w:rsidR="002601E3" w:rsidRPr="00D658AC">
        <w:rPr>
          <w:color w:val="000000" w:themeColor="text1"/>
          <w:lang w:val="en-GB"/>
        </w:rPr>
        <w:t>M</w:t>
      </w:r>
      <w:r w:rsidR="002601E3">
        <w:rPr>
          <w:color w:val="000000" w:themeColor="text1"/>
          <w:lang w:val="en-GB"/>
        </w:rPr>
        <w:t>AL</w:t>
      </w:r>
      <w:r w:rsidR="002601E3" w:rsidRPr="00D658AC">
        <w:rPr>
          <w:color w:val="000000" w:themeColor="text1"/>
          <w:lang w:val="en-GB"/>
        </w:rPr>
        <w:t xml:space="preserve"> </w:t>
      </w:r>
      <w:r w:rsidR="00F0669B" w:rsidRPr="00D658AC">
        <w:rPr>
          <w:color w:val="000000" w:themeColor="text1"/>
          <w:lang w:val="en-GB"/>
        </w:rPr>
        <w:t>and T-</w:t>
      </w:r>
      <w:r w:rsidR="005C3219" w:rsidRPr="00D658AC">
        <w:rPr>
          <w:color w:val="000000" w:themeColor="text1"/>
          <w:lang w:val="en-GB"/>
        </w:rPr>
        <w:t>MAL</w:t>
      </w:r>
      <w:r w:rsidR="00F0669B" w:rsidRPr="00D658AC">
        <w:rPr>
          <w:color w:val="000000" w:themeColor="text1"/>
          <w:lang w:val="en-GB"/>
        </w:rPr>
        <w:t xml:space="preserve"> samples</w:t>
      </w:r>
      <w:r w:rsidRPr="00D658AC">
        <w:rPr>
          <w:color w:val="000000" w:themeColor="text1"/>
          <w:lang w:val="en-GB"/>
        </w:rPr>
        <w:t xml:space="preserve">, </w:t>
      </w:r>
      <w:r w:rsidR="00F0669B" w:rsidRPr="00D658AC">
        <w:rPr>
          <w:color w:val="000000" w:themeColor="text1"/>
          <w:lang w:val="en-GB"/>
        </w:rPr>
        <w:t>are characterize</w:t>
      </w:r>
      <w:r w:rsidR="00042C91">
        <w:rPr>
          <w:color w:val="000000" w:themeColor="text1"/>
          <w:lang w:val="en-GB"/>
        </w:rPr>
        <w:t>d</w:t>
      </w:r>
      <w:r w:rsidR="00F0669B" w:rsidRPr="00D658AC">
        <w:rPr>
          <w:color w:val="000000" w:themeColor="text1"/>
          <w:lang w:val="en-GB"/>
        </w:rPr>
        <w:t xml:space="preserve"> by</w:t>
      </w:r>
      <w:r w:rsidRPr="00D658AC">
        <w:rPr>
          <w:color w:val="000000" w:themeColor="text1"/>
          <w:lang w:val="en-GB"/>
        </w:rPr>
        <w:t xml:space="preserve"> a </w:t>
      </w:r>
      <w:r w:rsidR="00F0669B" w:rsidRPr="00D658AC">
        <w:rPr>
          <w:color w:val="000000" w:themeColor="text1"/>
          <w:lang w:val="en-GB"/>
        </w:rPr>
        <w:t>good antioxidant potential</w:t>
      </w:r>
      <w:r w:rsidR="00042C91">
        <w:rPr>
          <w:color w:val="000000" w:themeColor="text1"/>
          <w:lang w:val="en-GB"/>
        </w:rPr>
        <w:t xml:space="preserve">, </w:t>
      </w:r>
      <w:r w:rsidR="005B306E" w:rsidRPr="00D658AC">
        <w:rPr>
          <w:color w:val="000000" w:themeColor="text1"/>
          <w:lang w:val="en-GB"/>
        </w:rPr>
        <w:t>better than those found for G-</w:t>
      </w:r>
      <w:r w:rsidR="005C3219" w:rsidRPr="00D658AC">
        <w:rPr>
          <w:color w:val="000000" w:themeColor="text1"/>
          <w:lang w:val="en-GB"/>
        </w:rPr>
        <w:t>INF</w:t>
      </w:r>
      <w:r w:rsidR="00CC09E1" w:rsidRPr="00D658AC">
        <w:rPr>
          <w:color w:val="000000" w:themeColor="text1"/>
          <w:lang w:val="en-GB"/>
        </w:rPr>
        <w:t xml:space="preserve"> and </w:t>
      </w:r>
      <w:r w:rsidR="005B306E" w:rsidRPr="00D658AC">
        <w:rPr>
          <w:color w:val="000000" w:themeColor="text1"/>
          <w:lang w:val="en-GB"/>
        </w:rPr>
        <w:t>T-</w:t>
      </w:r>
      <w:r w:rsidR="005C3219" w:rsidRPr="00D658AC">
        <w:rPr>
          <w:color w:val="000000" w:themeColor="text1"/>
          <w:lang w:val="en-GB"/>
        </w:rPr>
        <w:t>INF.</w:t>
      </w:r>
    </w:p>
    <w:p w14:paraId="77D53F9D" w14:textId="77777777" w:rsidR="00BF2ECB" w:rsidRPr="00D658AC" w:rsidRDefault="00BF2ECB" w:rsidP="00BF2ECB">
      <w:pPr>
        <w:jc w:val="both"/>
        <w:rPr>
          <w:color w:val="000000" w:themeColor="text1"/>
          <w:lang w:val="en-GB"/>
        </w:rPr>
      </w:pPr>
      <w:r w:rsidRPr="00D658AC">
        <w:rPr>
          <w:color w:val="000000" w:themeColor="text1"/>
          <w:lang w:val="en-GB"/>
        </w:rPr>
        <w:t xml:space="preserve">The evaluation of bioactivity includes, also the inhibition of carbohydrate hydrolysing enzymes and lipase. </w:t>
      </w:r>
    </w:p>
    <w:p w14:paraId="4AF66DAF" w14:textId="77777777" w:rsidR="00BF2ECB" w:rsidRDefault="00BF2ECB" w:rsidP="00BF2ECB">
      <w:pPr>
        <w:jc w:val="both"/>
        <w:rPr>
          <w:lang w:val="en-GB"/>
        </w:rPr>
      </w:pPr>
      <w:proofErr w:type="spellStart"/>
      <w:r w:rsidRPr="00D658AC">
        <w:rPr>
          <w:color w:val="000000" w:themeColor="text1"/>
          <w:lang w:val="en-GB"/>
        </w:rPr>
        <w:t>Ottobratica</w:t>
      </w:r>
      <w:proofErr w:type="spellEnd"/>
      <w:r w:rsidRPr="00D658AC">
        <w:rPr>
          <w:color w:val="000000" w:themeColor="text1"/>
          <w:lang w:val="en-GB"/>
        </w:rPr>
        <w:t xml:space="preserve"> EVOO exhibited IC</w:t>
      </w:r>
      <w:r w:rsidRPr="00D658AC">
        <w:rPr>
          <w:color w:val="000000" w:themeColor="text1"/>
          <w:vertAlign w:val="subscript"/>
          <w:lang w:val="en-GB"/>
        </w:rPr>
        <w:t>50</w:t>
      </w:r>
      <w:r w:rsidRPr="00D658AC">
        <w:rPr>
          <w:color w:val="000000" w:themeColor="text1"/>
          <w:lang w:val="en-GB"/>
        </w:rPr>
        <w:t xml:space="preserve"> values from 269</w:t>
      </w:r>
      <w:proofErr w:type="gramStart"/>
      <w:r w:rsidRPr="00D658AC">
        <w:rPr>
          <w:color w:val="000000" w:themeColor="text1"/>
          <w:lang w:val="en-GB"/>
        </w:rPr>
        <w:t>.02 to</w:t>
      </w:r>
      <w:proofErr w:type="gramEnd"/>
      <w:r w:rsidRPr="00D658AC">
        <w:rPr>
          <w:color w:val="000000" w:themeColor="text1"/>
          <w:lang w:val="en-GB"/>
        </w:rPr>
        <w:t xml:space="preserve"> 289.32 μg mL</w:t>
      </w:r>
      <w:r w:rsidRPr="00D658AC">
        <w:rPr>
          <w:color w:val="000000" w:themeColor="text1"/>
          <w:vertAlign w:val="superscript"/>
          <w:lang w:val="en-GB"/>
        </w:rPr>
        <w:t>-1</w:t>
      </w:r>
      <w:r w:rsidRPr="00D658AC">
        <w:rPr>
          <w:color w:val="000000" w:themeColor="text1"/>
          <w:lang w:val="en-GB"/>
        </w:rPr>
        <w:t>, and from 137.34 to 778.23 μg mL</w:t>
      </w:r>
      <w:r w:rsidRPr="00D658AC">
        <w:rPr>
          <w:color w:val="000000" w:themeColor="text1"/>
          <w:vertAlign w:val="superscript"/>
          <w:lang w:val="en-GB"/>
        </w:rPr>
        <w:t>-1</w:t>
      </w:r>
      <w:r w:rsidRPr="00D658AC">
        <w:rPr>
          <w:color w:val="000000" w:themeColor="text1"/>
          <w:lang w:val="en-GB"/>
        </w:rPr>
        <w:t xml:space="preserve"> at T0 and T360, for α-amylase and α-</w:t>
      </w:r>
      <w:proofErr w:type="spellStart"/>
      <w:r w:rsidRPr="00D658AC">
        <w:rPr>
          <w:color w:val="000000" w:themeColor="text1"/>
          <w:lang w:val="en-GB"/>
        </w:rPr>
        <w:t>glucosidase</w:t>
      </w:r>
      <w:proofErr w:type="spellEnd"/>
      <w:r w:rsidRPr="00D658AC">
        <w:rPr>
          <w:color w:val="000000" w:themeColor="text1"/>
          <w:lang w:val="en-GB"/>
        </w:rPr>
        <w:t>, respectively. IC</w:t>
      </w:r>
      <w:r w:rsidRPr="00D658AC">
        <w:rPr>
          <w:color w:val="000000" w:themeColor="text1"/>
          <w:vertAlign w:val="subscript"/>
          <w:lang w:val="en-GB"/>
        </w:rPr>
        <w:t>50</w:t>
      </w:r>
      <w:r w:rsidRPr="00D658AC">
        <w:rPr>
          <w:color w:val="000000" w:themeColor="text1"/>
          <w:lang w:val="en-GB"/>
        </w:rPr>
        <w:t xml:space="preserve"> values from 143.46 and 312</w:t>
      </w:r>
      <w:proofErr w:type="gramStart"/>
      <w:r w:rsidRPr="00D658AC">
        <w:rPr>
          <w:color w:val="000000" w:themeColor="text1"/>
          <w:lang w:val="en-GB"/>
        </w:rPr>
        <w:t>.97 μg</w:t>
      </w:r>
      <w:proofErr w:type="gramEnd"/>
      <w:r w:rsidRPr="00D658AC">
        <w:rPr>
          <w:color w:val="000000" w:themeColor="text1"/>
          <w:lang w:val="en-GB"/>
        </w:rPr>
        <w:t xml:space="preserve"> mL</w:t>
      </w:r>
      <w:r w:rsidRPr="00D658AC">
        <w:rPr>
          <w:color w:val="000000" w:themeColor="text1"/>
          <w:vertAlign w:val="superscript"/>
          <w:lang w:val="en-GB"/>
        </w:rPr>
        <w:t>-1</w:t>
      </w:r>
      <w:r w:rsidRPr="00D658AC">
        <w:rPr>
          <w:color w:val="000000" w:themeColor="text1"/>
          <w:lang w:val="en-GB"/>
        </w:rPr>
        <w:t xml:space="preserve"> at T</w:t>
      </w:r>
      <w:r>
        <w:rPr>
          <w:color w:val="000000" w:themeColor="text1"/>
          <w:lang w:val="en-GB"/>
        </w:rPr>
        <w:t>0</w:t>
      </w:r>
      <w:r w:rsidRPr="00D658AC">
        <w:rPr>
          <w:color w:val="000000" w:themeColor="text1"/>
          <w:lang w:val="en-GB"/>
        </w:rPr>
        <w:t xml:space="preserve"> and T360 were recorded against </w:t>
      </w:r>
      <w:r w:rsidRPr="00717C71">
        <w:rPr>
          <w:color w:val="000000" w:themeColor="text1"/>
          <w:lang w:val="en-GB"/>
        </w:rPr>
        <w:t>lipase. From</w:t>
      </w:r>
      <w:r>
        <w:rPr>
          <w:lang w:val="en-GB"/>
        </w:rPr>
        <w:t xml:space="preserve"> the analysis of data, </w:t>
      </w:r>
      <w:r w:rsidRPr="004D451A">
        <w:rPr>
          <w:lang w:val="en-GB"/>
        </w:rPr>
        <w:t>it emerges that</w:t>
      </w:r>
      <w:r>
        <w:rPr>
          <w:lang w:val="en-GB"/>
        </w:rPr>
        <w:t xml:space="preserve"> sample M is characterized by a good </w:t>
      </w:r>
      <w:r w:rsidRPr="00061C2E">
        <w:rPr>
          <w:lang w:val="en-GB"/>
        </w:rPr>
        <w:t>pancreatic lipase</w:t>
      </w:r>
      <w:r>
        <w:rPr>
          <w:lang w:val="en-GB"/>
        </w:rPr>
        <w:t xml:space="preserve"> </w:t>
      </w:r>
      <w:r w:rsidRPr="0077565B">
        <w:rPr>
          <w:color w:val="000000" w:themeColor="text1"/>
          <w:lang w:val="en-GB"/>
        </w:rPr>
        <w:t>inhibitory activity (with IC</w:t>
      </w:r>
      <w:r w:rsidRPr="0077565B">
        <w:rPr>
          <w:color w:val="000000" w:themeColor="text1"/>
          <w:vertAlign w:val="subscript"/>
          <w:lang w:val="en-GB"/>
        </w:rPr>
        <w:t>50</w:t>
      </w:r>
      <w:r w:rsidRPr="0077565B">
        <w:rPr>
          <w:color w:val="000000" w:themeColor="text1"/>
          <w:lang w:val="en-GB"/>
        </w:rPr>
        <w:t xml:space="preserve"> value of 83.6 μg mL</w:t>
      </w:r>
      <w:r w:rsidRPr="0077565B">
        <w:rPr>
          <w:color w:val="000000" w:themeColor="text1"/>
          <w:vertAlign w:val="superscript"/>
          <w:lang w:val="en-GB"/>
        </w:rPr>
        <w:t>-1</w:t>
      </w:r>
      <w:r w:rsidRPr="0077565B">
        <w:rPr>
          <w:color w:val="000000" w:themeColor="text1"/>
          <w:lang w:val="en-GB"/>
        </w:rPr>
        <w:t>). Promising results were obtained also with M-INF that showed IC</w:t>
      </w:r>
      <w:r w:rsidRPr="0077565B">
        <w:rPr>
          <w:color w:val="000000" w:themeColor="text1"/>
          <w:vertAlign w:val="subscript"/>
          <w:lang w:val="en-GB"/>
        </w:rPr>
        <w:t>50</w:t>
      </w:r>
      <w:r w:rsidRPr="0077565B">
        <w:rPr>
          <w:color w:val="000000" w:themeColor="text1"/>
          <w:lang w:val="en-GB"/>
        </w:rPr>
        <w:t xml:space="preserve"> values ranging from 62.25 to 138</w:t>
      </w:r>
      <w:proofErr w:type="gramStart"/>
      <w:r w:rsidRPr="0077565B">
        <w:rPr>
          <w:color w:val="000000" w:themeColor="text1"/>
          <w:lang w:val="en-GB"/>
        </w:rPr>
        <w:t>.66 μg</w:t>
      </w:r>
      <w:proofErr w:type="gramEnd"/>
      <w:r w:rsidRPr="0077565B">
        <w:rPr>
          <w:color w:val="000000" w:themeColor="text1"/>
          <w:lang w:val="en-GB"/>
        </w:rPr>
        <w:t xml:space="preserve"> mL</w:t>
      </w:r>
      <w:r w:rsidRPr="0077565B">
        <w:rPr>
          <w:color w:val="000000" w:themeColor="text1"/>
          <w:vertAlign w:val="superscript"/>
          <w:lang w:val="en-GB"/>
        </w:rPr>
        <w:t>-1</w:t>
      </w:r>
      <w:r w:rsidRPr="0077565B">
        <w:rPr>
          <w:color w:val="000000" w:themeColor="text1"/>
          <w:lang w:val="en-GB"/>
        </w:rPr>
        <w:t xml:space="preserve"> at T0 and T360, respectively whereas values from 63.45 to 195.96 μg mL</w:t>
      </w:r>
      <w:r w:rsidRPr="0077565B">
        <w:rPr>
          <w:color w:val="000000" w:themeColor="text1"/>
          <w:vertAlign w:val="superscript"/>
          <w:lang w:val="en-GB"/>
        </w:rPr>
        <w:t>-1</w:t>
      </w:r>
      <w:r w:rsidRPr="0077565B">
        <w:rPr>
          <w:color w:val="000000" w:themeColor="text1"/>
          <w:lang w:val="en-GB"/>
        </w:rPr>
        <w:t xml:space="preserve"> at T0 and T360 were recorded for G-INF.</w:t>
      </w:r>
      <w:r>
        <w:rPr>
          <w:color w:val="FF0000"/>
          <w:lang w:val="en-GB"/>
        </w:rPr>
        <w:t xml:space="preserve"> </w:t>
      </w:r>
    </w:p>
    <w:p w14:paraId="35D44739" w14:textId="77777777" w:rsidR="00690F7A" w:rsidRDefault="00BF2ECB" w:rsidP="00B97D6E">
      <w:pPr>
        <w:jc w:val="both"/>
        <w:rPr>
          <w:lang w:val="en-GB"/>
        </w:rPr>
      </w:pPr>
      <w:r w:rsidRPr="00803717">
        <w:rPr>
          <w:lang w:val="en-GB"/>
        </w:rPr>
        <w:t>By UHPLC analysis, the trend is highly variable among the F</w:t>
      </w:r>
      <w:r>
        <w:rPr>
          <w:lang w:val="en-GB"/>
        </w:rPr>
        <w:t>V</w:t>
      </w:r>
      <w:r w:rsidRPr="00803717">
        <w:rPr>
          <w:lang w:val="en-GB"/>
        </w:rPr>
        <w:t xml:space="preserve">OOs. </w:t>
      </w:r>
    </w:p>
    <w:p w14:paraId="40BE9831" w14:textId="2BBD1553" w:rsidR="00D013A2" w:rsidRPr="00BF2ECB" w:rsidRDefault="00BF2ECB" w:rsidP="00B97D6E">
      <w:pPr>
        <w:jc w:val="both"/>
        <w:rPr>
          <w:lang w:val="en-GB"/>
        </w:rPr>
      </w:pPr>
      <w:r w:rsidRPr="00061C2E">
        <w:rPr>
          <w:lang w:val="en-GB"/>
        </w:rPr>
        <w:lastRenderedPageBreak/>
        <w:t xml:space="preserve">With regard to sensorial analysis, </w:t>
      </w:r>
      <w:r>
        <w:rPr>
          <w:lang w:val="en-GB"/>
        </w:rPr>
        <w:t xml:space="preserve">the FVOOs were tested by a group of expert panellists. They scored different overall acceptability and </w:t>
      </w:r>
      <w:r w:rsidRPr="00061C2E">
        <w:rPr>
          <w:lang w:val="en-GB"/>
        </w:rPr>
        <w:t xml:space="preserve">are listed below in descending order for both </w:t>
      </w:r>
      <w:r>
        <w:rPr>
          <w:lang w:val="en-GB"/>
        </w:rPr>
        <w:t>approaches</w:t>
      </w:r>
      <w:r w:rsidRPr="00061C2E">
        <w:rPr>
          <w:lang w:val="en-GB"/>
        </w:rPr>
        <w:t xml:space="preserve">: </w:t>
      </w:r>
      <w:r>
        <w:rPr>
          <w:lang w:val="en-GB"/>
        </w:rPr>
        <w:t>m</w:t>
      </w:r>
      <w:r w:rsidRPr="00061C2E">
        <w:rPr>
          <w:lang w:val="en-GB"/>
        </w:rPr>
        <w:t>ace,</w:t>
      </w:r>
      <w:r>
        <w:rPr>
          <w:lang w:val="en-GB"/>
        </w:rPr>
        <w:t xml:space="preserve"> g</w:t>
      </w:r>
      <w:r w:rsidRPr="00061C2E">
        <w:rPr>
          <w:lang w:val="en-GB"/>
        </w:rPr>
        <w:t>inger</w:t>
      </w:r>
      <w:r>
        <w:rPr>
          <w:lang w:val="en-GB"/>
        </w:rPr>
        <w:t xml:space="preserve"> and turmeric (Figure 6 and 7).</w:t>
      </w:r>
    </w:p>
    <w:p w14:paraId="631089A6" w14:textId="77777777" w:rsidR="009766D6" w:rsidRDefault="00D013A2" w:rsidP="009766D6">
      <w:pPr>
        <w:spacing w:before="300" w:after="300"/>
        <w:jc w:val="both"/>
        <w:rPr>
          <w:b/>
          <w:sz w:val="18"/>
          <w:szCs w:val="18"/>
          <w:lang w:val="en-GB"/>
        </w:rPr>
      </w:pPr>
      <w:r>
        <w:rPr>
          <w:noProof/>
          <w:lang w:eastAsia="it-IT"/>
        </w:rPr>
        <w:drawing>
          <wp:inline distT="0" distB="0" distL="0" distR="0" wp14:anchorId="05588790" wp14:editId="53258014">
            <wp:extent cx="2856230" cy="1380496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84216">
        <w:rPr>
          <w:noProof/>
          <w:lang w:eastAsia="it-IT"/>
        </w:rPr>
        <w:drawing>
          <wp:inline distT="0" distB="0" distL="0" distR="0" wp14:anchorId="403AF4ED" wp14:editId="60AF5FB2">
            <wp:extent cx="2846705" cy="1371285"/>
            <wp:effectExtent l="0" t="0" r="0" b="63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6C3918C" w14:textId="5DE5DC21" w:rsidR="00D013A2" w:rsidRPr="00024B60" w:rsidRDefault="00984216" w:rsidP="009766D6">
      <w:pPr>
        <w:spacing w:before="300" w:after="300"/>
        <w:ind w:left="851" w:hanging="851"/>
        <w:jc w:val="both"/>
        <w:rPr>
          <w:color w:val="000000" w:themeColor="text1"/>
          <w:lang w:val="en-GB"/>
        </w:rPr>
      </w:pPr>
      <w:proofErr w:type="gramStart"/>
      <w:r w:rsidRPr="001E64AC">
        <w:rPr>
          <w:b/>
          <w:sz w:val="18"/>
          <w:szCs w:val="18"/>
          <w:lang w:val="en-GB"/>
        </w:rPr>
        <w:t xml:space="preserve">Figure </w:t>
      </w:r>
      <w:r w:rsidR="0044651F">
        <w:rPr>
          <w:b/>
          <w:sz w:val="18"/>
          <w:szCs w:val="18"/>
          <w:lang w:val="en-GB"/>
        </w:rPr>
        <w:t>4</w:t>
      </w:r>
      <w:r w:rsidRPr="0063083B">
        <w:rPr>
          <w:b/>
          <w:sz w:val="18"/>
          <w:szCs w:val="18"/>
          <w:lang w:val="en-GB"/>
        </w:rPr>
        <w:t xml:space="preserve"> </w:t>
      </w:r>
      <w:r w:rsidR="00A56507">
        <w:rPr>
          <w:b/>
          <w:sz w:val="18"/>
          <w:szCs w:val="18"/>
          <w:lang w:val="en-GB"/>
        </w:rPr>
        <w:t xml:space="preserve">   </w:t>
      </w:r>
      <w:r w:rsidRPr="00984216">
        <w:rPr>
          <w:i/>
          <w:sz w:val="18"/>
          <w:szCs w:val="18"/>
          <w:lang w:val="en-GB"/>
        </w:rPr>
        <w:t>β-carotene bleaching test</w:t>
      </w:r>
      <w:r>
        <w:rPr>
          <w:i/>
          <w:sz w:val="18"/>
          <w:szCs w:val="18"/>
          <w:lang w:val="en-GB"/>
        </w:rPr>
        <w:t xml:space="preserve"> of </w:t>
      </w:r>
      <w:r w:rsidRPr="00792D66">
        <w:rPr>
          <w:i/>
          <w:sz w:val="18"/>
          <w:szCs w:val="18"/>
          <w:lang w:val="en-GB"/>
        </w:rPr>
        <w:t>EVOO</w:t>
      </w:r>
      <w:r>
        <w:rPr>
          <w:i/>
          <w:sz w:val="18"/>
          <w:szCs w:val="18"/>
          <w:lang w:val="en-GB"/>
        </w:rPr>
        <w:t>, FVOOs-MAL (</w:t>
      </w:r>
      <w:r w:rsidRPr="00A56507">
        <w:rPr>
          <w:b/>
          <w:i/>
          <w:sz w:val="18"/>
          <w:szCs w:val="18"/>
          <w:lang w:val="en-GB"/>
        </w:rPr>
        <w:t>a</w:t>
      </w:r>
      <w:r>
        <w:rPr>
          <w:i/>
          <w:sz w:val="18"/>
          <w:szCs w:val="18"/>
          <w:lang w:val="en-GB"/>
        </w:rPr>
        <w:t>) and FVOOs-INF (</w:t>
      </w:r>
      <w:r w:rsidRPr="00A56507">
        <w:rPr>
          <w:b/>
          <w:i/>
          <w:sz w:val="18"/>
          <w:szCs w:val="18"/>
          <w:lang w:val="en-GB"/>
        </w:rPr>
        <w:t>b</w:t>
      </w:r>
      <w:r>
        <w:rPr>
          <w:i/>
          <w:sz w:val="18"/>
          <w:szCs w:val="18"/>
          <w:lang w:val="en-GB"/>
        </w:rPr>
        <w:t>).</w:t>
      </w:r>
      <w:proofErr w:type="gramEnd"/>
      <w:r>
        <w:rPr>
          <w:i/>
          <w:sz w:val="18"/>
          <w:szCs w:val="18"/>
          <w:lang w:val="en-GB"/>
        </w:rPr>
        <w:t xml:space="preserve"> </w:t>
      </w:r>
      <w:r w:rsidRPr="00CB4BAB">
        <w:rPr>
          <w:i/>
          <w:sz w:val="18"/>
          <w:szCs w:val="18"/>
          <w:lang w:val="en-GB"/>
        </w:rPr>
        <w:t>Data are expressed as means ± S.D. (</w:t>
      </w:r>
      <w:r w:rsidRPr="00CB4BAB">
        <w:rPr>
          <w:i/>
          <w:iCs/>
          <w:sz w:val="18"/>
          <w:szCs w:val="18"/>
          <w:lang w:val="en-GB"/>
        </w:rPr>
        <w:t>n</w:t>
      </w:r>
      <w:r w:rsidRPr="00CB4BAB">
        <w:rPr>
          <w:i/>
          <w:sz w:val="18"/>
          <w:szCs w:val="18"/>
          <w:lang w:val="en-GB"/>
        </w:rPr>
        <w:t xml:space="preserve">= 3). </w:t>
      </w:r>
      <w:proofErr w:type="spellStart"/>
      <w:r w:rsidRPr="00792D66">
        <w:rPr>
          <w:rFonts w:eastAsia="Calibri"/>
          <w:i/>
          <w:sz w:val="18"/>
          <w:szCs w:val="18"/>
        </w:rPr>
        <w:t>Differences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within</w:t>
      </w:r>
      <w:proofErr w:type="spellEnd"/>
      <w:r w:rsidRPr="00792D66">
        <w:rPr>
          <w:rFonts w:eastAsia="Calibri"/>
          <w:i/>
          <w:sz w:val="18"/>
          <w:szCs w:val="18"/>
        </w:rPr>
        <w:t xml:space="preserve"> and </w:t>
      </w:r>
      <w:proofErr w:type="spellStart"/>
      <w:r w:rsidRPr="00792D66">
        <w:rPr>
          <w:rFonts w:eastAsia="Calibri"/>
          <w:i/>
          <w:sz w:val="18"/>
          <w:szCs w:val="18"/>
        </w:rPr>
        <w:t>between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groups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were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evaluated</w:t>
      </w:r>
      <w:proofErr w:type="spellEnd"/>
      <w:r w:rsidRPr="00792D66">
        <w:rPr>
          <w:rFonts w:eastAsia="Calibri"/>
          <w:i/>
          <w:sz w:val="18"/>
          <w:szCs w:val="18"/>
        </w:rPr>
        <w:t xml:space="preserve"> by </w:t>
      </w:r>
      <w:proofErr w:type="spellStart"/>
      <w:r w:rsidRPr="00792D66">
        <w:rPr>
          <w:rFonts w:eastAsia="Calibri"/>
          <w:i/>
          <w:sz w:val="18"/>
          <w:szCs w:val="18"/>
        </w:rPr>
        <w:t>one</w:t>
      </w:r>
      <w:proofErr w:type="spellEnd"/>
      <w:r w:rsidRPr="00792D66">
        <w:rPr>
          <w:rFonts w:eastAsia="Calibri"/>
          <w:i/>
          <w:sz w:val="18"/>
          <w:szCs w:val="18"/>
        </w:rPr>
        <w:t xml:space="preserve">-way ANOVA </w:t>
      </w:r>
      <w:proofErr w:type="spellStart"/>
      <w:r w:rsidRPr="00792D66">
        <w:rPr>
          <w:rFonts w:eastAsia="Calibri"/>
          <w:i/>
          <w:sz w:val="18"/>
          <w:szCs w:val="18"/>
        </w:rPr>
        <w:t>followed</w:t>
      </w:r>
      <w:proofErr w:type="spellEnd"/>
      <w:r w:rsidRPr="00792D66">
        <w:rPr>
          <w:rFonts w:eastAsia="Calibri"/>
          <w:i/>
          <w:sz w:val="18"/>
          <w:szCs w:val="18"/>
        </w:rPr>
        <w:t xml:space="preserve"> by </w:t>
      </w:r>
      <w:proofErr w:type="spellStart"/>
      <w:r w:rsidRPr="00792D66">
        <w:rPr>
          <w:rFonts w:eastAsia="Calibri"/>
          <w:i/>
          <w:sz w:val="18"/>
          <w:szCs w:val="18"/>
        </w:rPr>
        <w:t>Tukey’s</w:t>
      </w:r>
      <w:proofErr w:type="spellEnd"/>
      <w:r w:rsidRPr="00792D66">
        <w:rPr>
          <w:rFonts w:eastAsia="Calibri"/>
          <w:i/>
          <w:sz w:val="18"/>
          <w:szCs w:val="18"/>
        </w:rPr>
        <w:t xml:space="preserve"> test: **</w:t>
      </w:r>
      <w:r w:rsidRPr="00CB4BAB">
        <w:rPr>
          <w:rFonts w:eastAsia="Calibri"/>
          <w:i/>
          <w:sz w:val="18"/>
          <w:szCs w:val="18"/>
        </w:rPr>
        <w:t>p</w:t>
      </w:r>
      <w:r>
        <w:rPr>
          <w:rFonts w:eastAsia="Calibri"/>
          <w:i/>
          <w:sz w:val="18"/>
          <w:szCs w:val="18"/>
        </w:rPr>
        <w:t xml:space="preserve"> </w:t>
      </w:r>
      <w:r w:rsidRPr="00792D66">
        <w:rPr>
          <w:rFonts w:eastAsia="Calibri"/>
          <w:i/>
          <w:sz w:val="18"/>
          <w:szCs w:val="18"/>
        </w:rPr>
        <w:t>&lt; 0.0</w:t>
      </w:r>
      <w:r>
        <w:rPr>
          <w:rFonts w:eastAsia="Calibri"/>
          <w:i/>
          <w:sz w:val="18"/>
          <w:szCs w:val="18"/>
        </w:rPr>
        <w:t>1.</w:t>
      </w:r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Results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followed</w:t>
      </w:r>
      <w:proofErr w:type="spellEnd"/>
      <w:r w:rsidR="00024B60">
        <w:rPr>
          <w:rFonts w:eastAsia="Calibri"/>
          <w:i/>
          <w:sz w:val="18"/>
          <w:szCs w:val="18"/>
        </w:rPr>
        <w:t xml:space="preserve"> by ** </w:t>
      </w:r>
      <w:proofErr w:type="spellStart"/>
      <w:r w:rsidR="006576DA">
        <w:rPr>
          <w:rFonts w:eastAsia="Calibri"/>
          <w:i/>
          <w:sz w:val="18"/>
          <w:szCs w:val="18"/>
        </w:rPr>
        <w:t>differ</w:t>
      </w:r>
      <w:proofErr w:type="spellEnd"/>
      <w:r w:rsidR="006576DA">
        <w:rPr>
          <w:rFonts w:eastAsia="Calibri"/>
          <w:i/>
          <w:sz w:val="18"/>
          <w:szCs w:val="18"/>
        </w:rPr>
        <w:t xml:space="preserve"> </w:t>
      </w:r>
      <w:proofErr w:type="spellStart"/>
      <w:r w:rsidR="006576DA">
        <w:rPr>
          <w:rFonts w:eastAsia="Calibri"/>
          <w:i/>
          <w:sz w:val="18"/>
          <w:szCs w:val="18"/>
        </w:rPr>
        <w:t>significantly</w:t>
      </w:r>
      <w:proofErr w:type="spellEnd"/>
      <w:r w:rsidR="006576DA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at</w:t>
      </w:r>
      <w:proofErr w:type="spellEnd"/>
      <w:r w:rsid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>
        <w:rPr>
          <w:rFonts w:eastAsia="Calibri"/>
          <w:i/>
          <w:sz w:val="18"/>
          <w:szCs w:val="18"/>
        </w:rPr>
        <w:t>same</w:t>
      </w:r>
      <w:proofErr w:type="spellEnd"/>
      <w:r w:rsidR="00024B60">
        <w:rPr>
          <w:rFonts w:eastAsia="Calibri"/>
          <w:i/>
          <w:sz w:val="18"/>
          <w:szCs w:val="18"/>
        </w:rPr>
        <w:t xml:space="preserve"> time of </w:t>
      </w:r>
      <w:proofErr w:type="spellStart"/>
      <w:r w:rsidR="00024B60">
        <w:rPr>
          <w:rFonts w:eastAsia="Calibri"/>
          <w:i/>
          <w:sz w:val="18"/>
          <w:szCs w:val="18"/>
        </w:rPr>
        <w:t>analysis</w:t>
      </w:r>
      <w:proofErr w:type="spellEnd"/>
      <w:r w:rsidR="00024B60">
        <w:rPr>
          <w:rFonts w:eastAsia="Calibri"/>
          <w:i/>
          <w:sz w:val="18"/>
          <w:szCs w:val="18"/>
        </w:rPr>
        <w:t xml:space="preserve">; </w:t>
      </w:r>
      <w:proofErr w:type="spellStart"/>
      <w:r w:rsidR="00024B60">
        <w:rPr>
          <w:rFonts w:eastAsia="Calibri"/>
          <w:i/>
          <w:sz w:val="18"/>
          <w:szCs w:val="18"/>
        </w:rPr>
        <w:t>results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followed</w:t>
      </w:r>
      <w:proofErr w:type="spellEnd"/>
      <w:r w:rsidR="00024B60">
        <w:rPr>
          <w:rFonts w:eastAsia="Calibri"/>
          <w:i/>
          <w:sz w:val="18"/>
          <w:szCs w:val="18"/>
        </w:rPr>
        <w:t xml:space="preserve"> by </w:t>
      </w:r>
      <w:proofErr w:type="spellStart"/>
      <w:r w:rsidR="00024B60">
        <w:rPr>
          <w:rFonts w:eastAsia="Calibri"/>
          <w:i/>
          <w:sz w:val="18"/>
          <w:szCs w:val="18"/>
        </w:rPr>
        <w:t>letters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4D69A1">
        <w:rPr>
          <w:rFonts w:eastAsia="Calibri"/>
          <w:i/>
          <w:sz w:val="18"/>
          <w:szCs w:val="18"/>
        </w:rPr>
        <w:t>differ</w:t>
      </w:r>
      <w:proofErr w:type="spellEnd"/>
      <w:r w:rsidR="004D69A1">
        <w:rPr>
          <w:rFonts w:eastAsia="Calibri"/>
          <w:i/>
          <w:sz w:val="18"/>
          <w:szCs w:val="18"/>
        </w:rPr>
        <w:t xml:space="preserve"> </w:t>
      </w:r>
      <w:proofErr w:type="spellStart"/>
      <w:r w:rsidR="004D69A1">
        <w:rPr>
          <w:rFonts w:eastAsia="Calibri"/>
          <w:i/>
          <w:sz w:val="18"/>
          <w:szCs w:val="18"/>
        </w:rPr>
        <w:t>significantly</w:t>
      </w:r>
      <w:proofErr w:type="spellEnd"/>
      <w:r w:rsidR="004D69A1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during</w:t>
      </w:r>
      <w:proofErr w:type="spellEnd"/>
      <w:r w:rsid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>
        <w:rPr>
          <w:rFonts w:eastAsia="Calibri"/>
          <w:i/>
          <w:sz w:val="18"/>
          <w:szCs w:val="18"/>
        </w:rPr>
        <w:t>storage</w:t>
      </w:r>
      <w:proofErr w:type="spellEnd"/>
      <w:r w:rsidR="00D435C0">
        <w:rPr>
          <w:rFonts w:eastAsia="Calibri"/>
          <w:i/>
          <w:sz w:val="18"/>
          <w:szCs w:val="18"/>
        </w:rPr>
        <w:t>.</w:t>
      </w:r>
    </w:p>
    <w:p w14:paraId="5300C9F7" w14:textId="77777777" w:rsidR="009766D6" w:rsidRDefault="00B51897" w:rsidP="00B83FAF">
      <w:pPr>
        <w:spacing w:before="300" w:after="300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847A5C7" wp14:editId="028023AC">
            <wp:extent cx="2854325" cy="1386840"/>
            <wp:effectExtent l="0" t="0" r="15875" b="3556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B51897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1C9BC10E" wp14:editId="1D8A4228">
            <wp:extent cx="2801620" cy="1388110"/>
            <wp:effectExtent l="0" t="0" r="17780" b="3429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0766608" w14:textId="26F1B1C9" w:rsidR="00D013A2" w:rsidRPr="00B83FAF" w:rsidRDefault="00B51897" w:rsidP="009766D6">
      <w:pPr>
        <w:spacing w:before="300" w:after="300"/>
        <w:ind w:left="851" w:hanging="851"/>
        <w:jc w:val="both"/>
        <w:rPr>
          <w:rFonts w:eastAsia="Calibri"/>
          <w:i/>
          <w:sz w:val="18"/>
          <w:szCs w:val="18"/>
        </w:rPr>
      </w:pPr>
      <w:r w:rsidRPr="001E64AC">
        <w:rPr>
          <w:b/>
          <w:sz w:val="18"/>
          <w:szCs w:val="18"/>
          <w:lang w:val="en-GB"/>
        </w:rPr>
        <w:t xml:space="preserve">Figure </w:t>
      </w:r>
      <w:r w:rsidR="0044651F">
        <w:rPr>
          <w:b/>
          <w:sz w:val="18"/>
          <w:szCs w:val="18"/>
          <w:lang w:val="en-GB"/>
        </w:rPr>
        <w:t>5</w:t>
      </w:r>
      <w:r w:rsidRPr="0063083B">
        <w:rPr>
          <w:b/>
          <w:sz w:val="18"/>
          <w:szCs w:val="18"/>
          <w:lang w:val="en-GB"/>
        </w:rPr>
        <w:t xml:space="preserve"> </w:t>
      </w:r>
      <w:r w:rsidR="00A56507">
        <w:rPr>
          <w:b/>
          <w:sz w:val="18"/>
          <w:szCs w:val="18"/>
          <w:lang w:val="en-GB"/>
        </w:rPr>
        <w:t xml:space="preserve">  </w:t>
      </w:r>
      <w:r>
        <w:rPr>
          <w:i/>
          <w:sz w:val="18"/>
          <w:szCs w:val="18"/>
          <w:lang w:val="en-GB"/>
        </w:rPr>
        <w:t xml:space="preserve">FRAP assay of </w:t>
      </w:r>
      <w:r w:rsidRPr="00792D66">
        <w:rPr>
          <w:i/>
          <w:sz w:val="18"/>
          <w:szCs w:val="18"/>
          <w:lang w:val="en-GB"/>
        </w:rPr>
        <w:t>EVOO</w:t>
      </w:r>
      <w:r>
        <w:rPr>
          <w:i/>
          <w:sz w:val="18"/>
          <w:szCs w:val="18"/>
          <w:lang w:val="en-GB"/>
        </w:rPr>
        <w:t>, FVOOs-MAL (</w:t>
      </w:r>
      <w:r w:rsidRPr="00A56507">
        <w:rPr>
          <w:b/>
          <w:i/>
          <w:sz w:val="18"/>
          <w:szCs w:val="18"/>
          <w:lang w:val="en-GB"/>
        </w:rPr>
        <w:t>a</w:t>
      </w:r>
      <w:r>
        <w:rPr>
          <w:i/>
          <w:sz w:val="18"/>
          <w:szCs w:val="18"/>
          <w:lang w:val="en-GB"/>
        </w:rPr>
        <w:t xml:space="preserve">) and FVOOs-INF (b). </w:t>
      </w:r>
      <w:r w:rsidRPr="00CB4BAB">
        <w:rPr>
          <w:i/>
          <w:sz w:val="18"/>
          <w:szCs w:val="18"/>
          <w:lang w:val="en-GB"/>
        </w:rPr>
        <w:t>Data are expressed as means ± S.D. (</w:t>
      </w:r>
      <w:r w:rsidRPr="00CB4BAB">
        <w:rPr>
          <w:i/>
          <w:iCs/>
          <w:sz w:val="18"/>
          <w:szCs w:val="18"/>
          <w:lang w:val="en-GB"/>
        </w:rPr>
        <w:t>n</w:t>
      </w:r>
      <w:r w:rsidRPr="00CB4BAB">
        <w:rPr>
          <w:i/>
          <w:sz w:val="18"/>
          <w:szCs w:val="18"/>
          <w:lang w:val="en-GB"/>
        </w:rPr>
        <w:t xml:space="preserve">= 3). </w:t>
      </w:r>
      <w:proofErr w:type="spellStart"/>
      <w:r w:rsidRPr="00792D66">
        <w:rPr>
          <w:rFonts w:eastAsia="Calibri"/>
          <w:i/>
          <w:sz w:val="18"/>
          <w:szCs w:val="18"/>
        </w:rPr>
        <w:t>Differences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within</w:t>
      </w:r>
      <w:proofErr w:type="spellEnd"/>
      <w:r w:rsidRPr="00792D66">
        <w:rPr>
          <w:rFonts w:eastAsia="Calibri"/>
          <w:i/>
          <w:sz w:val="18"/>
          <w:szCs w:val="18"/>
        </w:rPr>
        <w:t xml:space="preserve"> and </w:t>
      </w:r>
      <w:proofErr w:type="spellStart"/>
      <w:r w:rsidRPr="00792D66">
        <w:rPr>
          <w:rFonts w:eastAsia="Calibri"/>
          <w:i/>
          <w:sz w:val="18"/>
          <w:szCs w:val="18"/>
        </w:rPr>
        <w:t>between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groups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were</w:t>
      </w:r>
      <w:proofErr w:type="spellEnd"/>
      <w:r w:rsidRPr="00792D66">
        <w:rPr>
          <w:rFonts w:eastAsia="Calibri"/>
          <w:i/>
          <w:sz w:val="18"/>
          <w:szCs w:val="18"/>
        </w:rPr>
        <w:t xml:space="preserve"> </w:t>
      </w:r>
      <w:proofErr w:type="spellStart"/>
      <w:r w:rsidRPr="00792D66">
        <w:rPr>
          <w:rFonts w:eastAsia="Calibri"/>
          <w:i/>
          <w:sz w:val="18"/>
          <w:szCs w:val="18"/>
        </w:rPr>
        <w:t>evaluated</w:t>
      </w:r>
      <w:proofErr w:type="spellEnd"/>
      <w:r w:rsidRPr="00792D66">
        <w:rPr>
          <w:rFonts w:eastAsia="Calibri"/>
          <w:i/>
          <w:sz w:val="18"/>
          <w:szCs w:val="18"/>
        </w:rPr>
        <w:t xml:space="preserve"> by </w:t>
      </w:r>
      <w:proofErr w:type="spellStart"/>
      <w:r w:rsidRPr="00792D66">
        <w:rPr>
          <w:rFonts w:eastAsia="Calibri"/>
          <w:i/>
          <w:sz w:val="18"/>
          <w:szCs w:val="18"/>
        </w:rPr>
        <w:t>one</w:t>
      </w:r>
      <w:proofErr w:type="spellEnd"/>
      <w:r w:rsidRPr="00792D66">
        <w:rPr>
          <w:rFonts w:eastAsia="Calibri"/>
          <w:i/>
          <w:sz w:val="18"/>
          <w:szCs w:val="18"/>
        </w:rPr>
        <w:t xml:space="preserve">-way ANOVA </w:t>
      </w:r>
      <w:proofErr w:type="spellStart"/>
      <w:r w:rsidRPr="00792D66">
        <w:rPr>
          <w:rFonts w:eastAsia="Calibri"/>
          <w:i/>
          <w:sz w:val="18"/>
          <w:szCs w:val="18"/>
        </w:rPr>
        <w:t>followed</w:t>
      </w:r>
      <w:proofErr w:type="spellEnd"/>
      <w:r w:rsidRPr="00792D66">
        <w:rPr>
          <w:rFonts w:eastAsia="Calibri"/>
          <w:i/>
          <w:sz w:val="18"/>
          <w:szCs w:val="18"/>
        </w:rPr>
        <w:t xml:space="preserve"> by </w:t>
      </w:r>
      <w:proofErr w:type="spellStart"/>
      <w:r w:rsidRPr="00792D66">
        <w:rPr>
          <w:rFonts w:eastAsia="Calibri"/>
          <w:i/>
          <w:sz w:val="18"/>
          <w:szCs w:val="18"/>
        </w:rPr>
        <w:t>Tukey’s</w:t>
      </w:r>
      <w:proofErr w:type="spellEnd"/>
      <w:r w:rsidRPr="00792D66">
        <w:rPr>
          <w:rFonts w:eastAsia="Calibri"/>
          <w:i/>
          <w:sz w:val="18"/>
          <w:szCs w:val="18"/>
        </w:rPr>
        <w:t xml:space="preserve"> test: **</w:t>
      </w:r>
      <w:r w:rsidRPr="00CB4BAB">
        <w:rPr>
          <w:rFonts w:eastAsia="Calibri"/>
          <w:i/>
          <w:sz w:val="18"/>
          <w:szCs w:val="18"/>
        </w:rPr>
        <w:t>p</w:t>
      </w:r>
      <w:r>
        <w:rPr>
          <w:rFonts w:eastAsia="Calibri"/>
          <w:i/>
          <w:sz w:val="18"/>
          <w:szCs w:val="18"/>
        </w:rPr>
        <w:t xml:space="preserve"> </w:t>
      </w:r>
      <w:r w:rsidRPr="00792D66">
        <w:rPr>
          <w:rFonts w:eastAsia="Calibri"/>
          <w:i/>
          <w:sz w:val="18"/>
          <w:szCs w:val="18"/>
        </w:rPr>
        <w:t>&lt; 0.0</w:t>
      </w:r>
      <w:r>
        <w:rPr>
          <w:rFonts w:eastAsia="Calibri"/>
          <w:i/>
          <w:sz w:val="18"/>
          <w:szCs w:val="18"/>
        </w:rPr>
        <w:t>1.</w:t>
      </w:r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Results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followed</w:t>
      </w:r>
      <w:proofErr w:type="spellEnd"/>
      <w:r w:rsidR="00024B60">
        <w:rPr>
          <w:rFonts w:eastAsia="Calibri"/>
          <w:i/>
          <w:sz w:val="18"/>
          <w:szCs w:val="18"/>
        </w:rPr>
        <w:t xml:space="preserve"> by ** </w:t>
      </w:r>
      <w:proofErr w:type="spellStart"/>
      <w:r w:rsidR="004D69A1">
        <w:rPr>
          <w:rFonts w:eastAsia="Calibri"/>
          <w:i/>
          <w:sz w:val="18"/>
          <w:szCs w:val="18"/>
        </w:rPr>
        <w:t>differ</w:t>
      </w:r>
      <w:proofErr w:type="spellEnd"/>
      <w:r w:rsidR="004D69A1">
        <w:rPr>
          <w:rFonts w:eastAsia="Calibri"/>
          <w:i/>
          <w:sz w:val="18"/>
          <w:szCs w:val="18"/>
        </w:rPr>
        <w:t xml:space="preserve"> </w:t>
      </w:r>
      <w:proofErr w:type="spellStart"/>
      <w:r w:rsidR="004D69A1">
        <w:rPr>
          <w:rFonts w:eastAsia="Calibri"/>
          <w:i/>
          <w:sz w:val="18"/>
          <w:szCs w:val="18"/>
        </w:rPr>
        <w:t>significantly</w:t>
      </w:r>
      <w:proofErr w:type="spellEnd"/>
      <w:r w:rsidR="004D69A1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at</w:t>
      </w:r>
      <w:proofErr w:type="spellEnd"/>
      <w:r w:rsid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>
        <w:rPr>
          <w:rFonts w:eastAsia="Calibri"/>
          <w:i/>
          <w:sz w:val="18"/>
          <w:szCs w:val="18"/>
        </w:rPr>
        <w:t>same</w:t>
      </w:r>
      <w:proofErr w:type="spellEnd"/>
      <w:r w:rsidR="00024B60">
        <w:rPr>
          <w:rFonts w:eastAsia="Calibri"/>
          <w:i/>
          <w:sz w:val="18"/>
          <w:szCs w:val="18"/>
        </w:rPr>
        <w:t xml:space="preserve"> time of </w:t>
      </w:r>
      <w:proofErr w:type="spellStart"/>
      <w:r w:rsidR="00024B60">
        <w:rPr>
          <w:rFonts w:eastAsia="Calibri"/>
          <w:i/>
          <w:sz w:val="18"/>
          <w:szCs w:val="18"/>
        </w:rPr>
        <w:t>analysis</w:t>
      </w:r>
      <w:proofErr w:type="spellEnd"/>
      <w:r w:rsidR="00024B60">
        <w:rPr>
          <w:rFonts w:eastAsia="Calibri"/>
          <w:i/>
          <w:sz w:val="18"/>
          <w:szCs w:val="18"/>
        </w:rPr>
        <w:t xml:space="preserve">; </w:t>
      </w:r>
      <w:proofErr w:type="spellStart"/>
      <w:r w:rsidR="00024B60">
        <w:rPr>
          <w:rFonts w:eastAsia="Calibri"/>
          <w:i/>
          <w:sz w:val="18"/>
          <w:szCs w:val="18"/>
        </w:rPr>
        <w:t>results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followed</w:t>
      </w:r>
      <w:proofErr w:type="spellEnd"/>
      <w:r w:rsidR="00024B60">
        <w:rPr>
          <w:rFonts w:eastAsia="Calibri"/>
          <w:i/>
          <w:sz w:val="18"/>
          <w:szCs w:val="18"/>
        </w:rPr>
        <w:t xml:space="preserve"> by </w:t>
      </w:r>
      <w:proofErr w:type="spellStart"/>
      <w:r w:rsidR="00024B60">
        <w:rPr>
          <w:rFonts w:eastAsia="Calibri"/>
          <w:i/>
          <w:sz w:val="18"/>
          <w:szCs w:val="18"/>
        </w:rPr>
        <w:t>letters</w:t>
      </w:r>
      <w:proofErr w:type="spellEnd"/>
      <w:r w:rsidR="00024B60">
        <w:rPr>
          <w:rFonts w:eastAsia="Calibri"/>
          <w:i/>
          <w:sz w:val="18"/>
          <w:szCs w:val="18"/>
        </w:rPr>
        <w:t xml:space="preserve"> </w:t>
      </w:r>
      <w:proofErr w:type="spellStart"/>
      <w:r w:rsidR="004D69A1">
        <w:rPr>
          <w:rFonts w:eastAsia="Calibri"/>
          <w:i/>
          <w:sz w:val="18"/>
          <w:szCs w:val="18"/>
        </w:rPr>
        <w:t>differ</w:t>
      </w:r>
      <w:proofErr w:type="spellEnd"/>
      <w:r w:rsidR="004D69A1">
        <w:rPr>
          <w:rFonts w:eastAsia="Calibri"/>
          <w:i/>
          <w:sz w:val="18"/>
          <w:szCs w:val="18"/>
        </w:rPr>
        <w:t xml:space="preserve"> </w:t>
      </w:r>
      <w:proofErr w:type="spellStart"/>
      <w:r w:rsidR="004D69A1">
        <w:rPr>
          <w:rFonts w:eastAsia="Calibri"/>
          <w:i/>
          <w:sz w:val="18"/>
          <w:szCs w:val="18"/>
        </w:rPr>
        <w:t>significantly</w:t>
      </w:r>
      <w:proofErr w:type="spellEnd"/>
      <w:r w:rsidR="004D69A1">
        <w:rPr>
          <w:rFonts w:eastAsia="Calibri"/>
          <w:i/>
          <w:sz w:val="18"/>
          <w:szCs w:val="18"/>
        </w:rPr>
        <w:t xml:space="preserve"> </w:t>
      </w:r>
      <w:proofErr w:type="spellStart"/>
      <w:r w:rsidR="00024B60">
        <w:rPr>
          <w:rFonts w:eastAsia="Calibri"/>
          <w:i/>
          <w:sz w:val="18"/>
          <w:szCs w:val="18"/>
        </w:rPr>
        <w:t>during</w:t>
      </w:r>
      <w:proofErr w:type="spellEnd"/>
      <w:r w:rsidR="00024B60">
        <w:rPr>
          <w:rFonts w:eastAsia="Calibri"/>
          <w:i/>
          <w:sz w:val="18"/>
          <w:szCs w:val="18"/>
        </w:rPr>
        <w:t xml:space="preserve"> the </w:t>
      </w:r>
      <w:proofErr w:type="spellStart"/>
      <w:r w:rsidR="00024B60">
        <w:rPr>
          <w:rFonts w:eastAsia="Calibri"/>
          <w:i/>
          <w:sz w:val="18"/>
          <w:szCs w:val="18"/>
        </w:rPr>
        <w:t>storage</w:t>
      </w:r>
      <w:proofErr w:type="spellEnd"/>
      <w:r w:rsidR="00CC7AFE">
        <w:rPr>
          <w:rFonts w:eastAsia="Calibri"/>
          <w:i/>
          <w:sz w:val="18"/>
          <w:szCs w:val="18"/>
        </w:rPr>
        <w:t>.</w:t>
      </w:r>
    </w:p>
    <w:p w14:paraId="30A17A47" w14:textId="4240CA02" w:rsidR="00DC3B91" w:rsidRDefault="001803E9" w:rsidP="00AA39F9">
      <w:pPr>
        <w:jc w:val="both"/>
        <w:rPr>
          <w:noProof/>
          <w:lang w:eastAsia="it-IT"/>
        </w:rPr>
      </w:pPr>
      <w:r>
        <w:rPr>
          <w:lang w:val="en-GB"/>
        </w:rPr>
        <w:t xml:space="preserve">The assessors were not able to identify the enrichment matrices for all the FVOOs. </w:t>
      </w:r>
      <w:r w:rsidR="00DC5C89">
        <w:rPr>
          <w:lang w:val="en-GB"/>
        </w:rPr>
        <w:t>The EVOO was</w:t>
      </w:r>
      <w:r w:rsidR="00286FFB">
        <w:rPr>
          <w:lang w:val="en-GB"/>
        </w:rPr>
        <w:t xml:space="preserve"> characterized by </w:t>
      </w:r>
      <w:r w:rsidR="006A290F">
        <w:rPr>
          <w:lang w:val="en-GB"/>
        </w:rPr>
        <w:t>the</w:t>
      </w:r>
      <w:r w:rsidR="00286FFB">
        <w:rPr>
          <w:lang w:val="en-GB"/>
        </w:rPr>
        <w:t xml:space="preserve"> presence of a slight </w:t>
      </w:r>
      <w:r w:rsidR="00264C46">
        <w:rPr>
          <w:lang w:val="en-GB"/>
        </w:rPr>
        <w:t>“</w:t>
      </w:r>
      <w:r w:rsidR="00286FFB">
        <w:rPr>
          <w:lang w:val="en-GB"/>
        </w:rPr>
        <w:t>muddy</w:t>
      </w:r>
      <w:r w:rsidR="00264C46">
        <w:rPr>
          <w:lang w:val="en-GB"/>
        </w:rPr>
        <w:t>”</w:t>
      </w:r>
      <w:r w:rsidR="00286FFB">
        <w:rPr>
          <w:lang w:val="en-GB"/>
        </w:rPr>
        <w:t xml:space="preserve"> and </w:t>
      </w:r>
      <w:r w:rsidR="00264C46">
        <w:rPr>
          <w:lang w:val="en-GB"/>
        </w:rPr>
        <w:t>“</w:t>
      </w:r>
      <w:r w:rsidR="00286FFB">
        <w:rPr>
          <w:lang w:val="en-GB"/>
        </w:rPr>
        <w:t>sludge</w:t>
      </w:r>
      <w:r w:rsidR="00264C46">
        <w:rPr>
          <w:lang w:val="en-GB"/>
        </w:rPr>
        <w:t>”</w:t>
      </w:r>
      <w:r w:rsidR="00286FFB">
        <w:rPr>
          <w:lang w:val="en-GB"/>
        </w:rPr>
        <w:t xml:space="preserve"> defects. </w:t>
      </w:r>
      <w:r>
        <w:rPr>
          <w:lang w:val="en-GB"/>
        </w:rPr>
        <w:t xml:space="preserve">Starting from the </w:t>
      </w:r>
      <w:r w:rsidR="002749B2">
        <w:rPr>
          <w:lang w:val="en-GB"/>
        </w:rPr>
        <w:t xml:space="preserve">most appreciated, M-MAL and M-INF, </w:t>
      </w:r>
      <w:r w:rsidR="00DC5C89">
        <w:rPr>
          <w:lang w:val="en-GB"/>
        </w:rPr>
        <w:t xml:space="preserve">a </w:t>
      </w:r>
      <w:r w:rsidR="00264C46">
        <w:rPr>
          <w:lang w:val="en-GB"/>
        </w:rPr>
        <w:t>“</w:t>
      </w:r>
      <w:r w:rsidR="00DC5C89">
        <w:rPr>
          <w:lang w:val="en-GB"/>
        </w:rPr>
        <w:t>citrusy</w:t>
      </w:r>
      <w:r w:rsidR="00264C46">
        <w:rPr>
          <w:lang w:val="en-GB"/>
        </w:rPr>
        <w:t>”</w:t>
      </w:r>
      <w:r w:rsidR="00DC5C89">
        <w:rPr>
          <w:lang w:val="en-GB"/>
        </w:rPr>
        <w:t xml:space="preserve"> note appeared and there was an increment in the </w:t>
      </w:r>
      <w:r w:rsidR="00264C46">
        <w:rPr>
          <w:lang w:val="en-GB"/>
        </w:rPr>
        <w:t>“</w:t>
      </w:r>
      <w:r w:rsidR="00DC5C89">
        <w:rPr>
          <w:lang w:val="en-GB"/>
        </w:rPr>
        <w:t>vegetable</w:t>
      </w:r>
      <w:r w:rsidR="00264C46">
        <w:rPr>
          <w:lang w:val="en-GB"/>
        </w:rPr>
        <w:t>”</w:t>
      </w:r>
      <w:r w:rsidR="00DC5C89">
        <w:rPr>
          <w:lang w:val="en-GB"/>
        </w:rPr>
        <w:t xml:space="preserve"> </w:t>
      </w:r>
      <w:r w:rsidR="004E3A58">
        <w:rPr>
          <w:lang w:val="en-GB"/>
        </w:rPr>
        <w:t xml:space="preserve">and “green fruity” </w:t>
      </w:r>
      <w:r w:rsidR="00DC5C89">
        <w:rPr>
          <w:lang w:val="en-GB"/>
        </w:rPr>
        <w:t>note</w:t>
      </w:r>
      <w:r w:rsidR="004E3A58">
        <w:rPr>
          <w:lang w:val="en-GB"/>
        </w:rPr>
        <w:t>s</w:t>
      </w:r>
      <w:r w:rsidR="00DC5C89">
        <w:rPr>
          <w:lang w:val="en-GB"/>
        </w:rPr>
        <w:t xml:space="preserve"> whereas in M-MAL sample the attribute “sweet” significantly increased</w:t>
      </w:r>
      <w:r w:rsidR="004E3A58">
        <w:rPr>
          <w:lang w:val="en-GB"/>
        </w:rPr>
        <w:t>.</w:t>
      </w:r>
      <w:r w:rsidR="00DC5C89">
        <w:rPr>
          <w:lang w:val="en-GB"/>
        </w:rPr>
        <w:t xml:space="preserve"> </w:t>
      </w:r>
      <w:r w:rsidR="004E3A58">
        <w:rPr>
          <w:lang w:val="en-GB"/>
        </w:rPr>
        <w:t>In</w:t>
      </w:r>
      <w:r w:rsidR="00286FFB">
        <w:rPr>
          <w:lang w:val="en-GB"/>
        </w:rPr>
        <w:t xml:space="preserve"> G</w:t>
      </w:r>
      <w:r w:rsidR="004E3A58">
        <w:rPr>
          <w:lang w:val="en-GB"/>
        </w:rPr>
        <w:t>-INF</w:t>
      </w:r>
      <w:r w:rsidR="00286FFB">
        <w:rPr>
          <w:lang w:val="en-GB"/>
        </w:rPr>
        <w:t xml:space="preserve"> emerged a strong rise in the </w:t>
      </w:r>
      <w:r w:rsidR="00264C46">
        <w:rPr>
          <w:lang w:val="en-GB"/>
        </w:rPr>
        <w:t>“</w:t>
      </w:r>
      <w:r w:rsidR="00286FFB">
        <w:rPr>
          <w:lang w:val="en-GB"/>
        </w:rPr>
        <w:t>pungent</w:t>
      </w:r>
      <w:r w:rsidR="00264C46">
        <w:rPr>
          <w:lang w:val="en-GB"/>
        </w:rPr>
        <w:t>”</w:t>
      </w:r>
      <w:r w:rsidR="00286FFB">
        <w:rPr>
          <w:lang w:val="en-GB"/>
        </w:rPr>
        <w:t xml:space="preserve"> </w:t>
      </w:r>
      <w:r w:rsidR="00286FFB" w:rsidRPr="000E3B60">
        <w:rPr>
          <w:color w:val="000000" w:themeColor="text1"/>
          <w:lang w:val="en-GB"/>
        </w:rPr>
        <w:t>note</w:t>
      </w:r>
      <w:r w:rsidR="004E3A58">
        <w:rPr>
          <w:color w:val="000000" w:themeColor="text1"/>
          <w:lang w:val="en-GB"/>
        </w:rPr>
        <w:t xml:space="preserve"> and</w:t>
      </w:r>
      <w:r w:rsidR="00286FFB" w:rsidRPr="000E3B60">
        <w:rPr>
          <w:color w:val="000000" w:themeColor="text1"/>
          <w:lang w:val="en-GB"/>
        </w:rPr>
        <w:t xml:space="preserve"> resulted the most </w:t>
      </w:r>
      <w:r w:rsidR="004E3A58">
        <w:rPr>
          <w:color w:val="000000" w:themeColor="text1"/>
          <w:lang w:val="en-GB"/>
        </w:rPr>
        <w:t>“spicy”</w:t>
      </w:r>
      <w:r w:rsidR="00286FFB" w:rsidRPr="000E3B60">
        <w:rPr>
          <w:color w:val="000000" w:themeColor="text1"/>
          <w:lang w:val="en-GB"/>
        </w:rPr>
        <w:t xml:space="preserve"> FVOOs</w:t>
      </w:r>
      <w:r w:rsidR="006A290F" w:rsidRPr="000E3B60">
        <w:rPr>
          <w:color w:val="000000" w:themeColor="text1"/>
          <w:lang w:val="en-GB"/>
        </w:rPr>
        <w:t xml:space="preserve"> moreover the </w:t>
      </w:r>
      <w:r w:rsidR="00264C46" w:rsidRPr="000E3B60">
        <w:rPr>
          <w:color w:val="000000" w:themeColor="text1"/>
          <w:lang w:val="en-GB"/>
        </w:rPr>
        <w:t>pane</w:t>
      </w:r>
      <w:r w:rsidR="006A290F" w:rsidRPr="000E3B60">
        <w:rPr>
          <w:color w:val="000000" w:themeColor="text1"/>
          <w:lang w:val="en-GB"/>
        </w:rPr>
        <w:t>l</w:t>
      </w:r>
      <w:r w:rsidR="00264C46" w:rsidRPr="000E3B60">
        <w:rPr>
          <w:color w:val="000000" w:themeColor="text1"/>
          <w:lang w:val="en-GB"/>
        </w:rPr>
        <w:t>l</w:t>
      </w:r>
      <w:r w:rsidR="006A290F" w:rsidRPr="000E3B60">
        <w:rPr>
          <w:color w:val="000000" w:themeColor="text1"/>
          <w:lang w:val="en-GB"/>
        </w:rPr>
        <w:t xml:space="preserve">ists asserted that in G-INF the </w:t>
      </w:r>
      <w:r w:rsidR="00264C46" w:rsidRPr="000E3B60">
        <w:rPr>
          <w:color w:val="000000" w:themeColor="text1"/>
          <w:lang w:val="en-GB"/>
        </w:rPr>
        <w:t>“</w:t>
      </w:r>
      <w:r w:rsidR="006A290F" w:rsidRPr="000E3B60">
        <w:rPr>
          <w:color w:val="000000" w:themeColor="text1"/>
          <w:lang w:val="en-GB"/>
        </w:rPr>
        <w:t>muddy</w:t>
      </w:r>
      <w:r w:rsidR="00264C46" w:rsidRPr="000E3B60">
        <w:rPr>
          <w:color w:val="000000" w:themeColor="text1"/>
          <w:lang w:val="en-GB"/>
        </w:rPr>
        <w:t>”</w:t>
      </w:r>
      <w:r w:rsidR="006A290F" w:rsidRPr="000E3B60">
        <w:rPr>
          <w:color w:val="000000" w:themeColor="text1"/>
          <w:lang w:val="en-GB"/>
        </w:rPr>
        <w:t xml:space="preserve"> defect was not covered </w:t>
      </w:r>
      <w:r w:rsidR="002601E3" w:rsidRPr="000E3B60">
        <w:rPr>
          <w:color w:val="000000" w:themeColor="text1"/>
          <w:lang w:val="en-GB"/>
        </w:rPr>
        <w:t xml:space="preserve">differently </w:t>
      </w:r>
      <w:r w:rsidR="006A290F" w:rsidRPr="000E3B60">
        <w:rPr>
          <w:color w:val="000000" w:themeColor="text1"/>
          <w:lang w:val="en-GB"/>
        </w:rPr>
        <w:t>to G-MAL. The most characteristic note of T-MAL and T-INF was obviously the colo</w:t>
      </w:r>
      <w:r w:rsidR="00895D75">
        <w:rPr>
          <w:color w:val="000000" w:themeColor="text1"/>
          <w:lang w:val="en-GB"/>
        </w:rPr>
        <w:t>u</w:t>
      </w:r>
      <w:r w:rsidR="00895D75" w:rsidRPr="00895D75">
        <w:rPr>
          <w:color w:val="000000" w:themeColor="text1"/>
          <w:lang w:val="en-GB"/>
        </w:rPr>
        <w:t>r,</w:t>
      </w:r>
      <w:r w:rsidR="006A290F" w:rsidRPr="000E3B60">
        <w:rPr>
          <w:color w:val="000000" w:themeColor="text1"/>
          <w:lang w:val="en-GB"/>
        </w:rPr>
        <w:t xml:space="preserve"> which became</w:t>
      </w:r>
      <w:r w:rsidR="00895D75">
        <w:rPr>
          <w:color w:val="000000" w:themeColor="text1"/>
          <w:lang w:val="en-GB"/>
        </w:rPr>
        <w:t xml:space="preserve"> a</w:t>
      </w:r>
      <w:r w:rsidR="006A290F" w:rsidRPr="000E3B60">
        <w:rPr>
          <w:color w:val="000000" w:themeColor="text1"/>
          <w:lang w:val="en-GB"/>
        </w:rPr>
        <w:t xml:space="preserve"> bright yellow. They are also characterized by a</w:t>
      </w:r>
      <w:r w:rsidR="00E35B9F" w:rsidRPr="000E3B60">
        <w:rPr>
          <w:color w:val="000000" w:themeColor="text1"/>
          <w:lang w:val="en-GB"/>
        </w:rPr>
        <w:t xml:space="preserve"> high</w:t>
      </w:r>
      <w:r w:rsidR="00264C46" w:rsidRPr="000E3B60">
        <w:rPr>
          <w:color w:val="000000" w:themeColor="text1"/>
          <w:lang w:val="en-GB"/>
        </w:rPr>
        <w:t xml:space="preserve"> “ripe fruity” and “spicy” attribute</w:t>
      </w:r>
      <w:r w:rsidR="004D5F7A" w:rsidRPr="000E3B60">
        <w:rPr>
          <w:color w:val="000000" w:themeColor="text1"/>
          <w:lang w:val="en-GB"/>
        </w:rPr>
        <w:t>s</w:t>
      </w:r>
      <w:r w:rsidR="00264C46" w:rsidRPr="000E3B60">
        <w:rPr>
          <w:color w:val="000000" w:themeColor="text1"/>
          <w:lang w:val="en-GB"/>
        </w:rPr>
        <w:t>. They differed from each other because in T-MAL the defects of the starting</w:t>
      </w:r>
      <w:r w:rsidR="00264C46">
        <w:rPr>
          <w:lang w:val="en-GB"/>
        </w:rPr>
        <w:t xml:space="preserve"> oil were covered and its</w:t>
      </w:r>
      <w:r w:rsidR="004D5F7A">
        <w:rPr>
          <w:lang w:val="en-GB"/>
        </w:rPr>
        <w:t xml:space="preserve"> flavour was</w:t>
      </w:r>
      <w:r w:rsidR="00264C46">
        <w:rPr>
          <w:lang w:val="en-GB"/>
        </w:rPr>
        <w:t xml:space="preserve"> more balanced </w:t>
      </w:r>
      <w:r w:rsidR="001F5952">
        <w:rPr>
          <w:lang w:val="en-GB"/>
        </w:rPr>
        <w:t xml:space="preserve">than T-INF, in fact </w:t>
      </w:r>
      <w:r w:rsidR="008C2849">
        <w:rPr>
          <w:lang w:val="en-GB"/>
        </w:rPr>
        <w:t xml:space="preserve">T-MAL sample </w:t>
      </w:r>
      <w:r w:rsidR="008C2849" w:rsidRPr="008C2849">
        <w:rPr>
          <w:lang w:val="en-GB"/>
        </w:rPr>
        <w:t>resulted the most</w:t>
      </w:r>
      <w:r w:rsidR="006F03D3">
        <w:rPr>
          <w:lang w:val="en-GB"/>
        </w:rPr>
        <w:t xml:space="preserve"> sweet and</w:t>
      </w:r>
      <w:r w:rsidR="008C2849" w:rsidRPr="008C2849">
        <w:rPr>
          <w:lang w:val="en-GB"/>
        </w:rPr>
        <w:t xml:space="preserve"> equilibrated FVOOs in the gustatory sensations</w:t>
      </w:r>
      <w:r w:rsidR="008C2849">
        <w:rPr>
          <w:lang w:val="en-GB"/>
        </w:rPr>
        <w:t>.</w:t>
      </w:r>
      <w:r w:rsidR="00AA39F9">
        <w:rPr>
          <w:lang w:val="en-GB"/>
        </w:rPr>
        <w:t xml:space="preserve"> </w:t>
      </w:r>
      <w:r w:rsidR="00AA39F9">
        <w:rPr>
          <w:rFonts w:cstheme="minorHAnsi"/>
          <w:color w:val="231F20"/>
          <w:lang w:val="en-GB"/>
        </w:rPr>
        <w:t>T</w:t>
      </w:r>
      <w:r w:rsidR="00B76364" w:rsidRPr="00803717">
        <w:rPr>
          <w:rFonts w:cstheme="minorHAnsi"/>
          <w:color w:val="231F20"/>
          <w:lang w:val="en-GB"/>
        </w:rPr>
        <w:t>o evaluate the volatile profile, F</w:t>
      </w:r>
      <w:r w:rsidR="004D5F7A">
        <w:rPr>
          <w:rFonts w:cstheme="minorHAnsi"/>
          <w:color w:val="231F20"/>
          <w:lang w:val="en-GB"/>
        </w:rPr>
        <w:t>V</w:t>
      </w:r>
      <w:r w:rsidR="00B76364" w:rsidRPr="00803717">
        <w:rPr>
          <w:rFonts w:cstheme="minorHAnsi"/>
          <w:color w:val="231F20"/>
          <w:lang w:val="en-GB"/>
        </w:rPr>
        <w:t xml:space="preserve">OOs </w:t>
      </w:r>
      <w:r w:rsidR="00895D75">
        <w:rPr>
          <w:rFonts w:cstheme="minorHAnsi"/>
          <w:color w:val="231F20"/>
          <w:lang w:val="en-GB"/>
        </w:rPr>
        <w:t>were</w:t>
      </w:r>
      <w:r w:rsidR="00B76364" w:rsidRPr="00803717">
        <w:rPr>
          <w:rFonts w:cstheme="minorHAnsi"/>
          <w:color w:val="231F20"/>
          <w:lang w:val="en-GB"/>
        </w:rPr>
        <w:t xml:space="preserve"> subjected to different storages to simulate either producer’s bottling conditions (with no headspace) or domestic consumption (with 50% headspace). Solid-phase </w:t>
      </w:r>
      <w:proofErr w:type="spellStart"/>
      <w:r w:rsidR="00B76364" w:rsidRPr="00803717">
        <w:rPr>
          <w:rFonts w:cstheme="minorHAnsi"/>
          <w:color w:val="231F20"/>
          <w:lang w:val="en-GB"/>
        </w:rPr>
        <w:t>microextraction</w:t>
      </w:r>
      <w:proofErr w:type="spellEnd"/>
      <w:r w:rsidR="00B76364" w:rsidRPr="00803717">
        <w:rPr>
          <w:rFonts w:cstheme="minorHAnsi"/>
          <w:color w:val="231F20"/>
          <w:lang w:val="en-GB"/>
        </w:rPr>
        <w:t xml:space="preserve"> followed by gas chromatography coupled </w:t>
      </w:r>
      <w:r w:rsidR="00895D75">
        <w:rPr>
          <w:rFonts w:cstheme="minorHAnsi"/>
          <w:color w:val="231F20"/>
          <w:lang w:val="en-GB"/>
        </w:rPr>
        <w:t>with</w:t>
      </w:r>
      <w:r w:rsidR="00895D75" w:rsidRPr="00803717">
        <w:rPr>
          <w:rFonts w:cstheme="minorHAnsi"/>
          <w:color w:val="231F20"/>
          <w:lang w:val="en-GB"/>
        </w:rPr>
        <w:t xml:space="preserve"> </w:t>
      </w:r>
      <w:r w:rsidR="00B76364" w:rsidRPr="00803717">
        <w:rPr>
          <w:rFonts w:cstheme="minorHAnsi"/>
          <w:color w:val="231F20"/>
          <w:lang w:val="en-GB"/>
        </w:rPr>
        <w:t xml:space="preserve">mass spectrometry (SPME GC-MS) analysis, under previously optimized conditions </w:t>
      </w:r>
      <w:r w:rsidR="00B76364" w:rsidRPr="00803717">
        <w:rPr>
          <w:rFonts w:cstheme="minorHAnsi"/>
          <w:color w:val="000000" w:themeColor="text1"/>
          <w:lang w:val="en-GB"/>
        </w:rPr>
        <w:t>(</w:t>
      </w:r>
      <w:r w:rsidR="00B76364" w:rsidRPr="00803717">
        <w:rPr>
          <w:rFonts w:cstheme="minorHAnsi"/>
          <w:i/>
          <w:color w:val="000000" w:themeColor="text1"/>
          <w:lang w:val="en-GB"/>
        </w:rPr>
        <w:t>T</w:t>
      </w:r>
      <w:r w:rsidR="00B76364" w:rsidRPr="00803717">
        <w:rPr>
          <w:rFonts w:cstheme="minorHAnsi"/>
          <w:color w:val="000000" w:themeColor="text1"/>
          <w:lang w:val="en-GB"/>
        </w:rPr>
        <w:t xml:space="preserve">=44°C, </w:t>
      </w:r>
      <w:proofErr w:type="spellStart"/>
      <w:r w:rsidR="00B76364" w:rsidRPr="00803717">
        <w:rPr>
          <w:rFonts w:cstheme="minorHAnsi"/>
          <w:i/>
          <w:color w:val="000000" w:themeColor="text1"/>
          <w:lang w:val="en-GB"/>
        </w:rPr>
        <w:t>t</w:t>
      </w:r>
      <w:r w:rsidR="00B76364" w:rsidRPr="00803717">
        <w:rPr>
          <w:rFonts w:cstheme="minorHAnsi"/>
          <w:i/>
          <w:color w:val="000000" w:themeColor="text1"/>
          <w:vertAlign w:val="subscript"/>
          <w:lang w:val="en-GB"/>
        </w:rPr>
        <w:t>eq</w:t>
      </w:r>
      <w:proofErr w:type="spellEnd"/>
      <w:r w:rsidR="00B76364" w:rsidRPr="00803717">
        <w:rPr>
          <w:rFonts w:cstheme="minorHAnsi"/>
          <w:color w:val="000000" w:themeColor="text1"/>
          <w:lang w:val="en-GB"/>
        </w:rPr>
        <w:t xml:space="preserve">=10 min, </w:t>
      </w:r>
      <w:r w:rsidR="00B76364" w:rsidRPr="00803717">
        <w:rPr>
          <w:rFonts w:cstheme="minorHAnsi"/>
          <w:i/>
          <w:color w:val="000000" w:themeColor="text1"/>
          <w:lang w:val="en-GB"/>
        </w:rPr>
        <w:t>t</w:t>
      </w:r>
      <w:r w:rsidR="00B76364" w:rsidRPr="00803717">
        <w:rPr>
          <w:rFonts w:cstheme="minorHAnsi"/>
          <w:i/>
          <w:color w:val="000000" w:themeColor="text1"/>
          <w:vertAlign w:val="subscript"/>
          <w:lang w:val="en-GB"/>
        </w:rPr>
        <w:t>ext</w:t>
      </w:r>
      <w:r w:rsidR="00B76364" w:rsidRPr="00803717">
        <w:rPr>
          <w:rFonts w:cstheme="minorHAnsi"/>
          <w:color w:val="000000" w:themeColor="text1"/>
          <w:lang w:val="en-GB"/>
        </w:rPr>
        <w:t>=60 min), showed no significant changes for most volatiles</w:t>
      </w:r>
      <w:r w:rsidR="00B76364" w:rsidRPr="00803717">
        <w:rPr>
          <w:rFonts w:cstheme="minorHAnsi"/>
          <w:color w:val="231F20"/>
          <w:lang w:val="en-GB"/>
        </w:rPr>
        <w:t xml:space="preserve"> stored with no HS</w:t>
      </w:r>
      <w:r w:rsidR="003247E0" w:rsidRPr="00803717">
        <w:rPr>
          <w:rFonts w:cstheme="minorHAnsi"/>
          <w:color w:val="231F20"/>
          <w:lang w:val="en-GB"/>
        </w:rPr>
        <w:t xml:space="preserve">. </w:t>
      </w:r>
      <w:r w:rsidR="00B76364" w:rsidRPr="00803717">
        <w:rPr>
          <w:rFonts w:cstheme="minorHAnsi"/>
          <w:color w:val="231F20"/>
          <w:lang w:val="en-GB"/>
        </w:rPr>
        <w:t>However, storage under domestic conditions favo</w:t>
      </w:r>
      <w:r w:rsidR="00895D75">
        <w:rPr>
          <w:rFonts w:cstheme="minorHAnsi"/>
          <w:color w:val="231F20"/>
          <w:lang w:val="en-GB"/>
        </w:rPr>
        <w:t>u</w:t>
      </w:r>
      <w:r w:rsidR="00B76364" w:rsidRPr="00803717">
        <w:rPr>
          <w:rFonts w:cstheme="minorHAnsi"/>
          <w:color w:val="231F20"/>
          <w:lang w:val="en-GB"/>
        </w:rPr>
        <w:t xml:space="preserve">red the loss of a </w:t>
      </w:r>
      <w:r w:rsidR="002601E3">
        <w:rPr>
          <w:rFonts w:cstheme="minorHAnsi"/>
          <w:color w:val="231F20"/>
          <w:lang w:val="en-GB"/>
        </w:rPr>
        <w:t>few</w:t>
      </w:r>
      <w:r w:rsidR="00B76364" w:rsidRPr="00803717">
        <w:rPr>
          <w:rFonts w:cstheme="minorHAnsi"/>
          <w:color w:val="231F20"/>
          <w:lang w:val="en-GB"/>
        </w:rPr>
        <w:t xml:space="preserve"> </w:t>
      </w:r>
      <w:r w:rsidR="003247E0" w:rsidRPr="00803717">
        <w:rPr>
          <w:rFonts w:cstheme="minorHAnsi"/>
          <w:color w:val="231F20"/>
          <w:lang w:val="en-GB"/>
        </w:rPr>
        <w:t>volatiles</w:t>
      </w:r>
      <w:r w:rsidR="00895D75">
        <w:rPr>
          <w:rFonts w:cstheme="minorHAnsi"/>
          <w:color w:val="231F20"/>
          <w:lang w:val="en-GB"/>
        </w:rPr>
        <w:t xml:space="preserve">, </w:t>
      </w:r>
      <w:r w:rsidR="00B76364" w:rsidRPr="00803717">
        <w:rPr>
          <w:rFonts w:cstheme="minorHAnsi"/>
          <w:color w:val="231F20"/>
          <w:lang w:val="en-GB"/>
        </w:rPr>
        <w:t xml:space="preserve">this effect </w:t>
      </w:r>
      <w:r w:rsidR="00275D07" w:rsidRPr="00803717">
        <w:rPr>
          <w:rFonts w:cstheme="minorHAnsi"/>
          <w:color w:val="231F20"/>
          <w:lang w:val="en-GB"/>
        </w:rPr>
        <w:t xml:space="preserve">being more evident for extended </w:t>
      </w:r>
      <w:r w:rsidR="00B76364" w:rsidRPr="00803717">
        <w:rPr>
          <w:rFonts w:cstheme="minorHAnsi"/>
          <w:color w:val="231F20"/>
          <w:lang w:val="en-GB"/>
        </w:rPr>
        <w:t>storage</w:t>
      </w:r>
      <w:r w:rsidR="00275D07" w:rsidRPr="00803717">
        <w:rPr>
          <w:rFonts w:cstheme="minorHAnsi"/>
          <w:color w:val="231F20"/>
          <w:lang w:val="en-GB"/>
        </w:rPr>
        <w:t>.</w:t>
      </w:r>
      <w:r w:rsidR="001D0353" w:rsidRPr="00803717">
        <w:rPr>
          <w:rFonts w:cstheme="minorHAnsi"/>
          <w:color w:val="231F20"/>
          <w:lang w:val="en-GB"/>
        </w:rPr>
        <w:t xml:space="preserve"> </w:t>
      </w:r>
      <w:r w:rsidR="00AA39F9">
        <w:rPr>
          <w:rFonts w:cstheme="minorHAnsi"/>
          <w:color w:val="231F20"/>
          <w:lang w:val="en-GB"/>
        </w:rPr>
        <w:t xml:space="preserve">Among the FVOOs, </w:t>
      </w:r>
      <w:r w:rsidR="004D5F7A">
        <w:rPr>
          <w:rFonts w:cstheme="minorHAnsi"/>
          <w:color w:val="231F20"/>
          <w:lang w:val="en-GB"/>
        </w:rPr>
        <w:t>m</w:t>
      </w:r>
      <w:r w:rsidR="001D0353" w:rsidRPr="00803717">
        <w:rPr>
          <w:rFonts w:cstheme="minorHAnsi"/>
          <w:color w:val="231F20"/>
          <w:lang w:val="en-GB"/>
        </w:rPr>
        <w:t>ac</w:t>
      </w:r>
      <w:r w:rsidR="003603A8" w:rsidRPr="00803717">
        <w:rPr>
          <w:rFonts w:cstheme="minorHAnsi"/>
          <w:color w:val="231F20"/>
          <w:lang w:val="en-GB"/>
        </w:rPr>
        <w:t xml:space="preserve">e samples </w:t>
      </w:r>
      <w:r w:rsidR="004D5F7A">
        <w:rPr>
          <w:rFonts w:cstheme="minorHAnsi"/>
          <w:color w:val="231F20"/>
          <w:lang w:val="en-GB"/>
        </w:rPr>
        <w:t>possessed the richest volatile profile</w:t>
      </w:r>
      <w:r w:rsidR="00AA39F9">
        <w:rPr>
          <w:rFonts w:cstheme="minorHAnsi"/>
          <w:color w:val="231F20"/>
          <w:lang w:val="en-GB"/>
        </w:rPr>
        <w:t>s</w:t>
      </w:r>
      <w:r w:rsidR="004D5F7A">
        <w:rPr>
          <w:rFonts w:cstheme="minorHAnsi"/>
          <w:color w:val="231F20"/>
          <w:lang w:val="en-GB"/>
        </w:rPr>
        <w:t>.</w:t>
      </w:r>
      <w:r w:rsidR="00AA39F9" w:rsidRPr="00AA39F9">
        <w:rPr>
          <w:b/>
          <w:sz w:val="18"/>
          <w:szCs w:val="18"/>
          <w:lang w:val="en-GB"/>
        </w:rPr>
        <w:t xml:space="preserve"> </w:t>
      </w:r>
      <w:r w:rsidR="004A36EE" w:rsidRPr="004A36EE">
        <w:rPr>
          <w:noProof/>
          <w:lang w:eastAsia="it-IT"/>
        </w:rPr>
        <w:t xml:space="preserve"> </w:t>
      </w:r>
    </w:p>
    <w:p w14:paraId="7F74EA44" w14:textId="77777777" w:rsidR="00BF2ECB" w:rsidRDefault="00BF2ECB" w:rsidP="00BF2ECB">
      <w:pPr>
        <w:pStyle w:val="Titolo1"/>
        <w:tabs>
          <w:tab w:val="left" w:pos="567"/>
        </w:tabs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4. Conclusions and Future Perspectives</w:t>
      </w:r>
    </w:p>
    <w:p w14:paraId="434C389A" w14:textId="77777777" w:rsidR="00BF2ECB" w:rsidRPr="000E3B60" w:rsidRDefault="00BF2ECB" w:rsidP="00BF2ECB">
      <w:pPr>
        <w:jc w:val="both"/>
        <w:rPr>
          <w:color w:val="000000" w:themeColor="text1"/>
          <w:lang w:val="en-GB"/>
        </w:rPr>
      </w:pPr>
      <w:r w:rsidRPr="000E3B60">
        <w:rPr>
          <w:color w:val="000000" w:themeColor="text1"/>
          <w:lang w:val="en-GB"/>
        </w:rPr>
        <w:t xml:space="preserve">The obtained results confirmed the complexity and the variability of the EVOO aromatization process. In fact, the addition of spices does not always improve </w:t>
      </w:r>
      <w:r>
        <w:rPr>
          <w:color w:val="000000" w:themeColor="text1"/>
          <w:lang w:val="en-GB"/>
        </w:rPr>
        <w:t xml:space="preserve">either </w:t>
      </w:r>
      <w:r w:rsidRPr="000E3B60">
        <w:rPr>
          <w:color w:val="000000" w:themeColor="text1"/>
          <w:lang w:val="en-GB"/>
        </w:rPr>
        <w:t xml:space="preserve">the shelf life of </w:t>
      </w:r>
      <w:proofErr w:type="gramStart"/>
      <w:r w:rsidRPr="000E3B60">
        <w:rPr>
          <w:color w:val="000000" w:themeColor="text1"/>
          <w:lang w:val="en-GB"/>
        </w:rPr>
        <w:t xml:space="preserve">the olive oil </w:t>
      </w:r>
      <w:r>
        <w:rPr>
          <w:color w:val="000000" w:themeColor="text1"/>
          <w:lang w:val="en-GB"/>
        </w:rPr>
        <w:t>nor</w:t>
      </w:r>
      <w:proofErr w:type="gramEnd"/>
      <w:r w:rsidRPr="000E3B60">
        <w:rPr>
          <w:color w:val="000000" w:themeColor="text1"/>
          <w:lang w:val="en-GB"/>
        </w:rPr>
        <w:t xml:space="preserve"> its quality. Frequently the low lipophilic character of the bioactive </w:t>
      </w:r>
      <w:r>
        <w:rPr>
          <w:color w:val="000000" w:themeColor="text1"/>
          <w:lang w:val="en-GB"/>
        </w:rPr>
        <w:t xml:space="preserve">compounds </w:t>
      </w:r>
      <w:r w:rsidRPr="000E3B60">
        <w:rPr>
          <w:color w:val="000000" w:themeColor="text1"/>
          <w:lang w:val="en-GB"/>
        </w:rPr>
        <w:t>deriving from the flavouring matrices limits their transfer to the FVOO.</w:t>
      </w:r>
    </w:p>
    <w:p w14:paraId="5E243633" w14:textId="77777777" w:rsidR="00BF2ECB" w:rsidRPr="000E3B60" w:rsidRDefault="00BF2ECB" w:rsidP="00BF2ECB">
      <w:pPr>
        <w:jc w:val="both"/>
        <w:rPr>
          <w:b/>
          <w:bCs/>
          <w:color w:val="000000" w:themeColor="text1"/>
          <w:sz w:val="24"/>
          <w:lang w:val="en-GB"/>
        </w:rPr>
      </w:pPr>
      <w:r w:rsidRPr="000E3B60">
        <w:rPr>
          <w:color w:val="000000" w:themeColor="text1"/>
          <w:lang w:val="en-GB"/>
        </w:rPr>
        <w:t xml:space="preserve">The blend with turmeric, in infusion or in </w:t>
      </w:r>
      <w:proofErr w:type="spellStart"/>
      <w:r w:rsidRPr="000E3B60">
        <w:rPr>
          <w:color w:val="000000" w:themeColor="text1"/>
          <w:lang w:val="en-GB"/>
        </w:rPr>
        <w:t>malaxation</w:t>
      </w:r>
      <w:proofErr w:type="spellEnd"/>
      <w:r w:rsidRPr="000E3B60">
        <w:rPr>
          <w:color w:val="000000" w:themeColor="text1"/>
          <w:lang w:val="en-GB"/>
        </w:rPr>
        <w:t xml:space="preserve">, produces FVOOs with the lowest level in free acidity. FVOOs obtained by </w:t>
      </w:r>
      <w:proofErr w:type="spellStart"/>
      <w:r w:rsidRPr="000E3B60">
        <w:rPr>
          <w:color w:val="000000" w:themeColor="text1"/>
          <w:lang w:val="en-GB"/>
        </w:rPr>
        <w:t>malaxation</w:t>
      </w:r>
      <w:proofErr w:type="spellEnd"/>
      <w:r w:rsidRPr="000E3B60">
        <w:rPr>
          <w:color w:val="000000" w:themeColor="text1"/>
          <w:lang w:val="en-GB"/>
        </w:rPr>
        <w:t xml:space="preserve"> lead </w:t>
      </w:r>
      <w:r>
        <w:rPr>
          <w:color w:val="000000" w:themeColor="text1"/>
          <w:lang w:val="en-GB"/>
        </w:rPr>
        <w:t xml:space="preserve">to </w:t>
      </w:r>
      <w:r w:rsidRPr="000E3B60">
        <w:rPr>
          <w:color w:val="000000" w:themeColor="text1"/>
          <w:lang w:val="en-GB"/>
        </w:rPr>
        <w:t>products characterized by a high and stable α-</w:t>
      </w:r>
      <w:proofErr w:type="spellStart"/>
      <w:r w:rsidRPr="000E3B60">
        <w:rPr>
          <w:color w:val="000000" w:themeColor="text1"/>
          <w:lang w:val="en-GB"/>
        </w:rPr>
        <w:t>tocopherol</w:t>
      </w:r>
      <w:proofErr w:type="spellEnd"/>
      <w:r w:rsidRPr="000E3B60">
        <w:rPr>
          <w:color w:val="000000" w:themeColor="text1"/>
          <w:lang w:val="en-GB"/>
        </w:rPr>
        <w:t xml:space="preserve"> content and a better antioxidant activity, but the infusion approach generates results higher in term of total phenolic content. FVOOs obtained by the addition of ginger and </w:t>
      </w:r>
      <w:proofErr w:type="gramStart"/>
      <w:r w:rsidRPr="000E3B60">
        <w:rPr>
          <w:color w:val="000000" w:themeColor="text1"/>
          <w:lang w:val="en-GB"/>
        </w:rPr>
        <w:t>mace are</w:t>
      </w:r>
      <w:proofErr w:type="gramEnd"/>
      <w:r w:rsidRPr="000E3B60">
        <w:rPr>
          <w:color w:val="000000" w:themeColor="text1"/>
          <w:lang w:val="en-GB"/>
        </w:rPr>
        <w:t xml:space="preserve"> characterized by a promising pancreatic lipase </w:t>
      </w:r>
      <w:r w:rsidRPr="000E3B60">
        <w:rPr>
          <w:color w:val="000000" w:themeColor="text1"/>
          <w:lang w:val="en-GB"/>
        </w:rPr>
        <w:lastRenderedPageBreak/>
        <w:t>inhibitory activity. Concerning biological activity, infusion gives the most advantageous results. However, a significant reduction of bio</w:t>
      </w:r>
      <w:r w:rsidRPr="00010C2C">
        <w:rPr>
          <w:color w:val="000000" w:themeColor="text1"/>
          <w:lang w:val="en-GB"/>
        </w:rPr>
        <w:t>activity was observed during</w:t>
      </w:r>
      <w:r w:rsidRPr="000E3B60">
        <w:rPr>
          <w:color w:val="000000" w:themeColor="text1"/>
          <w:lang w:val="en-GB"/>
        </w:rPr>
        <w:t xml:space="preserve"> shelf life. The </w:t>
      </w:r>
      <w:proofErr w:type="spellStart"/>
      <w:r w:rsidRPr="000E3B60">
        <w:rPr>
          <w:color w:val="000000" w:themeColor="text1"/>
          <w:lang w:val="en-GB"/>
        </w:rPr>
        <w:t>malaxation</w:t>
      </w:r>
      <w:proofErr w:type="spellEnd"/>
      <w:r w:rsidRPr="000E3B60">
        <w:rPr>
          <w:color w:val="000000" w:themeColor="text1"/>
          <w:lang w:val="en-GB"/>
        </w:rPr>
        <w:t xml:space="preserve"> enrichment process promotes the covering of </w:t>
      </w:r>
      <w:r>
        <w:rPr>
          <w:color w:val="000000" w:themeColor="text1"/>
          <w:lang w:val="en-GB"/>
        </w:rPr>
        <w:t>any</w:t>
      </w:r>
      <w:r w:rsidRPr="000E3B60">
        <w:rPr>
          <w:color w:val="000000" w:themeColor="text1"/>
          <w:lang w:val="en-GB"/>
        </w:rPr>
        <w:t xml:space="preserve"> defects </w:t>
      </w:r>
      <w:r>
        <w:rPr>
          <w:color w:val="000000" w:themeColor="text1"/>
          <w:lang w:val="en-GB"/>
        </w:rPr>
        <w:t xml:space="preserve">in </w:t>
      </w:r>
      <w:r w:rsidRPr="000E3B60">
        <w:rPr>
          <w:color w:val="000000" w:themeColor="text1"/>
          <w:lang w:val="en-GB"/>
        </w:rPr>
        <w:t>the starting olive oil; moreover</w:t>
      </w:r>
      <w:r>
        <w:rPr>
          <w:color w:val="000000" w:themeColor="text1"/>
          <w:lang w:val="en-GB"/>
        </w:rPr>
        <w:t>,</w:t>
      </w:r>
      <w:r w:rsidRPr="000E3B60">
        <w:rPr>
          <w:color w:val="000000" w:themeColor="text1"/>
          <w:lang w:val="en-GB"/>
        </w:rPr>
        <w:t xml:space="preserve"> enriching an olive oil with slight defects by </w:t>
      </w:r>
      <w:proofErr w:type="spellStart"/>
      <w:r w:rsidRPr="000E3B60">
        <w:rPr>
          <w:color w:val="000000" w:themeColor="text1"/>
          <w:lang w:val="en-GB"/>
        </w:rPr>
        <w:t>malaxation</w:t>
      </w:r>
      <w:proofErr w:type="spellEnd"/>
      <w:r w:rsidRPr="000E3B60">
        <w:rPr>
          <w:color w:val="000000" w:themeColor="text1"/>
          <w:lang w:val="en-GB"/>
        </w:rPr>
        <w:t xml:space="preserve"> could be favourable thanks to </w:t>
      </w:r>
      <w:r>
        <w:rPr>
          <w:color w:val="000000" w:themeColor="text1"/>
          <w:lang w:val="en-GB"/>
        </w:rPr>
        <w:t xml:space="preserve">a </w:t>
      </w:r>
      <w:r w:rsidRPr="000E3B60">
        <w:rPr>
          <w:color w:val="000000" w:themeColor="text1"/>
          <w:lang w:val="en-GB"/>
        </w:rPr>
        <w:t xml:space="preserve">masking effect on the negative attributes, enhancing those of the spice. The FVOOs-MAL </w:t>
      </w:r>
      <w:proofErr w:type="gramStart"/>
      <w:r w:rsidRPr="000E3B60">
        <w:rPr>
          <w:color w:val="000000" w:themeColor="text1"/>
          <w:lang w:val="en-GB"/>
        </w:rPr>
        <w:t>possess</w:t>
      </w:r>
      <w:proofErr w:type="gramEnd"/>
      <w:r w:rsidRPr="000E3B60">
        <w:rPr>
          <w:color w:val="000000" w:themeColor="text1"/>
          <w:lang w:val="en-GB"/>
        </w:rPr>
        <w:t xml:space="preserve"> the richest volatile profiles. Finally</w:t>
      </w:r>
      <w:r>
        <w:rPr>
          <w:color w:val="000000" w:themeColor="text1"/>
          <w:lang w:val="en-GB"/>
        </w:rPr>
        <w:t>,</w:t>
      </w:r>
      <w:r w:rsidRPr="000E3B60">
        <w:rPr>
          <w:color w:val="000000" w:themeColor="text1"/>
          <w:lang w:val="en-GB"/>
        </w:rPr>
        <w:t xml:space="preserve"> it could be stated that there is no best enrichment procedure valid for all matrices.</w:t>
      </w:r>
    </w:p>
    <w:p w14:paraId="71C3CBF8" w14:textId="77777777" w:rsidR="00BF2ECB" w:rsidRPr="004D5F7A" w:rsidRDefault="00BF2ECB" w:rsidP="00AA39F9">
      <w:pPr>
        <w:jc w:val="both"/>
        <w:rPr>
          <w:rFonts w:cstheme="minorHAnsi"/>
          <w:color w:val="231F20"/>
          <w:lang w:val="en-GB"/>
        </w:rPr>
      </w:pPr>
    </w:p>
    <w:p w14:paraId="30D12EF4" w14:textId="7E01A370" w:rsidR="004A36EE" w:rsidRDefault="006B008E" w:rsidP="00AA39F9">
      <w:pPr>
        <w:spacing w:before="300" w:after="300"/>
        <w:jc w:val="both"/>
        <w:rPr>
          <w:b/>
          <w:sz w:val="18"/>
          <w:szCs w:val="18"/>
          <w:lang w:val="en-GB"/>
        </w:rPr>
      </w:pPr>
      <w:r w:rsidRPr="00024B60">
        <w:rPr>
          <w:rFonts w:cstheme="minorHAnsi"/>
          <w:noProof/>
          <w:color w:val="231F20"/>
          <w:lang w:eastAsia="it-IT"/>
        </w:rPr>
        <w:drawing>
          <wp:inline distT="0" distB="0" distL="0" distR="0" wp14:anchorId="1FE7ED76" wp14:editId="5F2D0DC9">
            <wp:extent cx="2745105" cy="1759851"/>
            <wp:effectExtent l="0" t="0" r="23495" b="18415"/>
            <wp:docPr id="17" name="Gra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D17285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0ED952B" wp14:editId="11C40269">
            <wp:simplePos x="0" y="0"/>
            <wp:positionH relativeFrom="column">
              <wp:posOffset>-114300</wp:posOffset>
            </wp:positionH>
            <wp:positionV relativeFrom="paragraph">
              <wp:posOffset>122555</wp:posOffset>
            </wp:positionV>
            <wp:extent cx="2857500" cy="1858645"/>
            <wp:effectExtent l="0" t="0" r="0" b="0"/>
            <wp:wrapSquare wrapText="bothSides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0C089" w14:textId="2F87182B" w:rsidR="00315028" w:rsidRPr="00315028" w:rsidRDefault="00BF2ECB" w:rsidP="00AA39F9">
      <w:pPr>
        <w:spacing w:before="300" w:after="300"/>
        <w:jc w:val="both"/>
        <w:rPr>
          <w:i/>
          <w:sz w:val="18"/>
          <w:szCs w:val="18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D95DE9B" wp14:editId="6975F71E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2854960" cy="2097405"/>
            <wp:effectExtent l="0" t="0" r="15240" b="36195"/>
            <wp:wrapSquare wrapText="bothSides"/>
            <wp:docPr id="18" name="Gra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9EFA233" wp14:editId="5D88E490">
            <wp:simplePos x="0" y="0"/>
            <wp:positionH relativeFrom="column">
              <wp:posOffset>2628900</wp:posOffset>
            </wp:positionH>
            <wp:positionV relativeFrom="paragraph">
              <wp:posOffset>321945</wp:posOffset>
            </wp:positionV>
            <wp:extent cx="2971800" cy="2097405"/>
            <wp:effectExtent l="0" t="0" r="25400" b="36195"/>
            <wp:wrapSquare wrapText="bothSides"/>
            <wp:docPr id="19" name="Gra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F9" w:rsidRPr="001E64AC">
        <w:rPr>
          <w:b/>
          <w:sz w:val="18"/>
          <w:szCs w:val="18"/>
          <w:lang w:val="en-GB"/>
        </w:rPr>
        <w:t xml:space="preserve">Figure </w:t>
      </w:r>
      <w:r w:rsidR="00AA39F9">
        <w:rPr>
          <w:b/>
          <w:sz w:val="18"/>
          <w:szCs w:val="18"/>
          <w:lang w:val="en-GB"/>
        </w:rPr>
        <w:t xml:space="preserve">6 </w:t>
      </w:r>
      <w:r w:rsidR="00AA39F9">
        <w:rPr>
          <w:i/>
          <w:sz w:val="18"/>
          <w:szCs w:val="18"/>
          <w:lang w:val="en-GB"/>
        </w:rPr>
        <w:t xml:space="preserve">Olfactory sensations of </w:t>
      </w:r>
      <w:r w:rsidR="00AA39F9" w:rsidRPr="00792D66">
        <w:rPr>
          <w:i/>
          <w:sz w:val="18"/>
          <w:szCs w:val="18"/>
          <w:lang w:val="en-GB"/>
        </w:rPr>
        <w:t>EVOO</w:t>
      </w:r>
      <w:r w:rsidR="00A92D11">
        <w:rPr>
          <w:i/>
          <w:sz w:val="18"/>
          <w:szCs w:val="18"/>
          <w:lang w:val="en-GB"/>
        </w:rPr>
        <w:t>, FVOOs-MAL and FVOOs-INF</w:t>
      </w:r>
      <w:r w:rsidR="00AA39F9">
        <w:rPr>
          <w:i/>
          <w:sz w:val="18"/>
          <w:szCs w:val="18"/>
          <w:lang w:val="en-GB"/>
        </w:rPr>
        <w:t xml:space="preserve">. </w:t>
      </w:r>
    </w:p>
    <w:p w14:paraId="57C9C4BD" w14:textId="386D5B34" w:rsidR="00BF2ECB" w:rsidRPr="00BF2ECB" w:rsidRDefault="00C23B32" w:rsidP="00BF2ECB">
      <w:pPr>
        <w:spacing w:before="300" w:after="300"/>
        <w:jc w:val="both"/>
        <w:rPr>
          <w:b/>
          <w:sz w:val="18"/>
          <w:szCs w:val="18"/>
          <w:lang w:val="en-GB"/>
        </w:rPr>
      </w:pPr>
      <w:r w:rsidRPr="001E64AC">
        <w:rPr>
          <w:b/>
          <w:sz w:val="18"/>
          <w:szCs w:val="18"/>
          <w:lang w:val="en-GB"/>
        </w:rPr>
        <w:t xml:space="preserve">Figure </w:t>
      </w:r>
      <w:r w:rsidR="00AA39F9">
        <w:rPr>
          <w:b/>
          <w:sz w:val="18"/>
          <w:szCs w:val="18"/>
          <w:lang w:val="en-GB"/>
        </w:rPr>
        <w:t>7</w:t>
      </w:r>
      <w:r>
        <w:rPr>
          <w:b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Gustatory sensations of </w:t>
      </w:r>
      <w:r w:rsidRPr="00792D66">
        <w:rPr>
          <w:i/>
          <w:sz w:val="18"/>
          <w:szCs w:val="18"/>
          <w:lang w:val="en-GB"/>
        </w:rPr>
        <w:t>EVOO</w:t>
      </w:r>
      <w:r w:rsidR="00A92D11">
        <w:rPr>
          <w:i/>
          <w:sz w:val="18"/>
          <w:szCs w:val="18"/>
          <w:lang w:val="en-GB"/>
        </w:rPr>
        <w:t>, FVOOs-MAL and FVOOs-INF</w:t>
      </w:r>
      <w:r>
        <w:rPr>
          <w:i/>
          <w:sz w:val="18"/>
          <w:szCs w:val="18"/>
          <w:lang w:val="en-GB"/>
        </w:rPr>
        <w:t>.</w:t>
      </w:r>
    </w:p>
    <w:p w14:paraId="7445255C" w14:textId="2267125A" w:rsidR="007D40F9" w:rsidRDefault="00112E66" w:rsidP="007D40F9">
      <w:pPr>
        <w:pStyle w:val="Titolo1"/>
        <w:tabs>
          <w:tab w:val="left" w:pos="567"/>
        </w:tabs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5</w:t>
      </w:r>
      <w:r w:rsidR="007D40F9">
        <w:rPr>
          <w:b/>
          <w:bCs/>
          <w:color w:val="000000"/>
          <w:sz w:val="24"/>
          <w:lang w:val="en-GB"/>
        </w:rPr>
        <w:t>. References</w:t>
      </w:r>
    </w:p>
    <w:p w14:paraId="63B5CEC7" w14:textId="2A4771DE" w:rsidR="00C243C0" w:rsidRPr="005403D8" w:rsidRDefault="002A3BDA" w:rsidP="00A56507">
      <w:pPr>
        <w:ind w:left="425" w:hanging="425"/>
        <w:jc w:val="both"/>
        <w:rPr>
          <w:color w:val="000000" w:themeColor="text1"/>
          <w:sz w:val="18"/>
          <w:szCs w:val="18"/>
          <w:lang w:val="en-GB"/>
        </w:rPr>
      </w:pPr>
      <w:r w:rsidRPr="005403D8">
        <w:rPr>
          <w:color w:val="000000" w:themeColor="text1"/>
          <w:sz w:val="18"/>
          <w:szCs w:val="18"/>
          <w:lang w:val="en-GB"/>
        </w:rPr>
        <w:t>Buckland G, Gonzales C</w:t>
      </w:r>
      <w:r w:rsidR="00C243C0" w:rsidRPr="005403D8">
        <w:rPr>
          <w:color w:val="000000" w:themeColor="text1"/>
          <w:sz w:val="18"/>
          <w:szCs w:val="18"/>
          <w:lang w:val="en-GB"/>
        </w:rPr>
        <w:t xml:space="preserve">A (2015) The role of olive oil in </w:t>
      </w:r>
      <w:r w:rsidR="00625DD3" w:rsidRPr="005403D8">
        <w:rPr>
          <w:color w:val="000000" w:themeColor="text1"/>
          <w:sz w:val="18"/>
          <w:szCs w:val="18"/>
          <w:lang w:val="en-GB"/>
        </w:rPr>
        <w:t>disease</w:t>
      </w:r>
      <w:r w:rsidR="00C243C0" w:rsidRPr="005403D8">
        <w:rPr>
          <w:color w:val="000000" w:themeColor="text1"/>
          <w:sz w:val="18"/>
          <w:szCs w:val="18"/>
          <w:lang w:val="en-GB"/>
        </w:rPr>
        <w:t xml:space="preserve"> prevention: a focus on the recent epidemiological evidence from cohort studies and dietary intervention trial. </w:t>
      </w:r>
      <w:r w:rsidR="00C243C0" w:rsidRPr="005403D8">
        <w:rPr>
          <w:i/>
          <w:color w:val="000000" w:themeColor="text1"/>
          <w:sz w:val="18"/>
          <w:szCs w:val="18"/>
          <w:lang w:val="en-GB"/>
        </w:rPr>
        <w:t xml:space="preserve">Br J </w:t>
      </w:r>
      <w:proofErr w:type="spellStart"/>
      <w:r w:rsidR="00C243C0" w:rsidRPr="005403D8">
        <w:rPr>
          <w:i/>
          <w:color w:val="000000" w:themeColor="text1"/>
          <w:sz w:val="18"/>
          <w:szCs w:val="18"/>
          <w:lang w:val="en-GB"/>
        </w:rPr>
        <w:t>Nutr</w:t>
      </w:r>
      <w:proofErr w:type="spellEnd"/>
      <w:r w:rsidR="00C243C0" w:rsidRPr="005403D8">
        <w:rPr>
          <w:color w:val="000000" w:themeColor="text1"/>
          <w:sz w:val="18"/>
          <w:szCs w:val="18"/>
          <w:lang w:val="en-GB"/>
        </w:rPr>
        <w:t xml:space="preserve"> </w:t>
      </w:r>
      <w:r w:rsidR="00C243C0" w:rsidRPr="005403D8">
        <w:rPr>
          <w:b/>
          <w:color w:val="000000" w:themeColor="text1"/>
          <w:sz w:val="18"/>
          <w:szCs w:val="18"/>
          <w:lang w:val="en-GB"/>
        </w:rPr>
        <w:t>113</w:t>
      </w:r>
      <w:r w:rsidR="00625DD3" w:rsidRPr="005403D8">
        <w:rPr>
          <w:color w:val="000000" w:themeColor="text1"/>
          <w:sz w:val="18"/>
          <w:szCs w:val="18"/>
          <w:lang w:val="en-GB"/>
        </w:rPr>
        <w:t>:</w:t>
      </w:r>
      <w:r w:rsidR="00C243C0" w:rsidRPr="005403D8">
        <w:rPr>
          <w:color w:val="000000" w:themeColor="text1"/>
          <w:sz w:val="18"/>
          <w:szCs w:val="18"/>
          <w:lang w:val="en-GB"/>
        </w:rPr>
        <w:t xml:space="preserve"> S94-S101.</w:t>
      </w:r>
    </w:p>
    <w:p w14:paraId="3504F660" w14:textId="4CB1EE4D" w:rsidR="00125CD5" w:rsidRPr="005403D8" w:rsidRDefault="00125CD5" w:rsidP="00A56507">
      <w:pPr>
        <w:ind w:left="425" w:hanging="425"/>
        <w:jc w:val="both"/>
        <w:rPr>
          <w:color w:val="000000" w:themeColor="text1"/>
          <w:sz w:val="18"/>
          <w:szCs w:val="18"/>
          <w:lang w:val="en-GB"/>
        </w:rPr>
      </w:pPr>
      <w:r w:rsidRPr="005403D8">
        <w:rPr>
          <w:color w:val="000000" w:themeColor="text1"/>
          <w:sz w:val="18"/>
          <w:szCs w:val="18"/>
          <w:lang w:val="en-GB"/>
        </w:rPr>
        <w:t xml:space="preserve">Jimenez-Lopez C,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Carpena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M,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Lourenço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-Lopes C, Gallardo-Gomez M, Lorenzo JM,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Barba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FJ,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Prieto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MA,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Simal-Gandara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J (2020) Bioactive compounds and quality of extra virgin olive oil. </w:t>
      </w:r>
      <w:proofErr w:type="gramStart"/>
      <w:r w:rsidRPr="005403D8">
        <w:rPr>
          <w:i/>
          <w:color w:val="000000" w:themeColor="text1"/>
          <w:sz w:val="18"/>
          <w:szCs w:val="18"/>
          <w:lang w:val="en-GB"/>
        </w:rPr>
        <w:t>Foods</w:t>
      </w:r>
      <w:r w:rsidRPr="005403D8">
        <w:rPr>
          <w:color w:val="000000" w:themeColor="text1"/>
          <w:sz w:val="18"/>
          <w:szCs w:val="18"/>
          <w:lang w:val="en-GB"/>
        </w:rPr>
        <w:t xml:space="preserve"> </w:t>
      </w:r>
      <w:r w:rsidRPr="005403D8">
        <w:rPr>
          <w:b/>
          <w:color w:val="000000" w:themeColor="text1"/>
          <w:sz w:val="18"/>
          <w:szCs w:val="18"/>
          <w:lang w:val="en-GB"/>
        </w:rPr>
        <w:t>9</w:t>
      </w:r>
      <w:r w:rsidR="00625DD3" w:rsidRPr="005403D8">
        <w:rPr>
          <w:color w:val="000000" w:themeColor="text1"/>
          <w:sz w:val="18"/>
          <w:szCs w:val="18"/>
          <w:lang w:val="en-GB"/>
        </w:rPr>
        <w:t>:</w:t>
      </w:r>
      <w:r w:rsidRPr="005403D8">
        <w:rPr>
          <w:color w:val="000000" w:themeColor="text1"/>
          <w:sz w:val="18"/>
          <w:szCs w:val="18"/>
          <w:lang w:val="en-GB"/>
        </w:rPr>
        <w:t xml:space="preserve"> 1014.</w:t>
      </w:r>
      <w:proofErr w:type="gramEnd"/>
      <w:r w:rsidRPr="005403D8">
        <w:rPr>
          <w:color w:val="000000" w:themeColor="text1"/>
          <w:sz w:val="18"/>
          <w:szCs w:val="18"/>
          <w:lang w:val="en-GB"/>
        </w:rPr>
        <w:t xml:space="preserve"> </w:t>
      </w:r>
    </w:p>
    <w:p w14:paraId="26AEE630" w14:textId="3F05FAE2" w:rsidR="00125CD5" w:rsidRPr="005403D8" w:rsidRDefault="00125CD5" w:rsidP="00A56507">
      <w:pPr>
        <w:ind w:left="425" w:hanging="425"/>
        <w:jc w:val="both"/>
        <w:rPr>
          <w:color w:val="000000" w:themeColor="text1"/>
          <w:sz w:val="18"/>
          <w:szCs w:val="18"/>
          <w:lang w:val="en-GB"/>
        </w:rPr>
      </w:pPr>
      <w:proofErr w:type="spellStart"/>
      <w:r w:rsidRPr="005403D8">
        <w:rPr>
          <w:color w:val="000000" w:themeColor="text1"/>
          <w:sz w:val="18"/>
          <w:szCs w:val="18"/>
          <w:lang w:val="en-GB"/>
        </w:rPr>
        <w:t>Giuffrè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AM (2017) Biometric evaluation of twelve olive cultivars under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rainfed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conditions in the region of Calabria, South Italy. </w:t>
      </w:r>
      <w:proofErr w:type="gramStart"/>
      <w:r w:rsidRPr="005403D8">
        <w:rPr>
          <w:i/>
          <w:color w:val="000000" w:themeColor="text1"/>
          <w:sz w:val="18"/>
          <w:szCs w:val="18"/>
          <w:lang w:val="en-GB"/>
        </w:rPr>
        <w:t xml:space="preserve">Emir J Food </w:t>
      </w:r>
      <w:proofErr w:type="spellStart"/>
      <w:r w:rsidRPr="005403D8">
        <w:rPr>
          <w:i/>
          <w:color w:val="000000" w:themeColor="text1"/>
          <w:sz w:val="18"/>
          <w:szCs w:val="18"/>
          <w:lang w:val="en-GB"/>
        </w:rPr>
        <w:t>Agr</w:t>
      </w:r>
      <w:proofErr w:type="spellEnd"/>
      <w:r w:rsidR="00625DD3" w:rsidRPr="005403D8">
        <w:rPr>
          <w:color w:val="000000" w:themeColor="text1"/>
          <w:sz w:val="18"/>
          <w:szCs w:val="18"/>
          <w:lang w:val="en-GB"/>
        </w:rPr>
        <w:t xml:space="preserve"> </w:t>
      </w:r>
      <w:r w:rsidRPr="005403D8">
        <w:rPr>
          <w:b/>
          <w:color w:val="000000" w:themeColor="text1"/>
          <w:sz w:val="18"/>
          <w:szCs w:val="18"/>
          <w:lang w:val="en-GB"/>
        </w:rPr>
        <w:t>29</w:t>
      </w:r>
      <w:r w:rsidR="00625DD3" w:rsidRPr="005403D8">
        <w:rPr>
          <w:color w:val="000000" w:themeColor="text1"/>
          <w:sz w:val="18"/>
          <w:szCs w:val="18"/>
          <w:lang w:val="en-GB"/>
        </w:rPr>
        <w:t>:</w:t>
      </w:r>
      <w:r w:rsidRPr="005403D8">
        <w:rPr>
          <w:color w:val="000000" w:themeColor="text1"/>
          <w:sz w:val="18"/>
          <w:szCs w:val="18"/>
          <w:lang w:val="en-GB"/>
        </w:rPr>
        <w:t xml:space="preserve"> 696–709.</w:t>
      </w:r>
      <w:proofErr w:type="gramEnd"/>
      <w:r w:rsidRPr="005403D8">
        <w:rPr>
          <w:color w:val="000000" w:themeColor="text1"/>
          <w:sz w:val="18"/>
          <w:szCs w:val="18"/>
          <w:lang w:val="en-GB"/>
        </w:rPr>
        <w:t xml:space="preserve"> </w:t>
      </w:r>
    </w:p>
    <w:p w14:paraId="251A2875" w14:textId="0BF73904" w:rsidR="00125CD5" w:rsidRPr="005403D8" w:rsidRDefault="00125CD5" w:rsidP="00A56507">
      <w:pPr>
        <w:ind w:left="425" w:hanging="425"/>
        <w:jc w:val="both"/>
        <w:rPr>
          <w:color w:val="000000" w:themeColor="text1"/>
          <w:sz w:val="18"/>
          <w:szCs w:val="18"/>
          <w:lang w:val="en-GB"/>
        </w:rPr>
      </w:pPr>
      <w:r w:rsidRPr="005403D8">
        <w:rPr>
          <w:color w:val="000000" w:themeColor="text1"/>
          <w:sz w:val="18"/>
          <w:szCs w:val="18"/>
        </w:rPr>
        <w:t xml:space="preserve">Marra FP, Caruso T, Costa F, Di Vaio C, </w:t>
      </w:r>
      <w:proofErr w:type="spellStart"/>
      <w:r w:rsidRPr="005403D8">
        <w:rPr>
          <w:color w:val="000000" w:themeColor="text1"/>
          <w:sz w:val="18"/>
          <w:szCs w:val="18"/>
        </w:rPr>
        <w:t>Mafrica</w:t>
      </w:r>
      <w:proofErr w:type="spellEnd"/>
      <w:r w:rsidRPr="005403D8">
        <w:rPr>
          <w:color w:val="000000" w:themeColor="text1"/>
          <w:sz w:val="18"/>
          <w:szCs w:val="18"/>
        </w:rPr>
        <w:t xml:space="preserve"> R, Marchese A (2013) </w:t>
      </w:r>
      <w:r w:rsidRPr="005403D8">
        <w:rPr>
          <w:color w:val="000000" w:themeColor="text1"/>
          <w:sz w:val="18"/>
          <w:szCs w:val="18"/>
          <w:lang w:val="en-GB"/>
        </w:rPr>
        <w:t>Genetic relationships, structure and parentage simulation among the olive tree (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Olea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europaea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L. </w:t>
      </w:r>
      <w:proofErr w:type="gramStart"/>
      <w:r w:rsidRPr="005403D8">
        <w:rPr>
          <w:color w:val="000000" w:themeColor="text1"/>
          <w:sz w:val="18"/>
          <w:szCs w:val="18"/>
          <w:lang w:val="en-GB"/>
        </w:rPr>
        <w:t>subsp</w:t>
      </w:r>
      <w:proofErr w:type="gramEnd"/>
      <w:r w:rsidRPr="005403D8">
        <w:rPr>
          <w:color w:val="000000" w:themeColor="text1"/>
          <w:sz w:val="18"/>
          <w:szCs w:val="18"/>
          <w:lang w:val="en-GB"/>
        </w:rPr>
        <w:t xml:space="preserve">.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europaea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>) cultivated in South</w:t>
      </w:r>
      <w:r w:rsidR="00B9695A" w:rsidRPr="005403D8">
        <w:rPr>
          <w:color w:val="000000" w:themeColor="text1"/>
          <w:sz w:val="18"/>
          <w:szCs w:val="18"/>
          <w:lang w:val="en-GB"/>
        </w:rPr>
        <w:t>e</w:t>
      </w:r>
      <w:r w:rsidRPr="005403D8">
        <w:rPr>
          <w:color w:val="000000" w:themeColor="text1"/>
          <w:sz w:val="18"/>
          <w:szCs w:val="18"/>
          <w:lang w:val="en-GB"/>
        </w:rPr>
        <w:t xml:space="preserve">rn Italy revealed by SSR markers. </w:t>
      </w:r>
      <w:r w:rsidRPr="005403D8">
        <w:rPr>
          <w:i/>
          <w:color w:val="000000" w:themeColor="text1"/>
          <w:sz w:val="18"/>
          <w:szCs w:val="18"/>
          <w:lang w:val="en-GB"/>
        </w:rPr>
        <w:t>Tree Genet Genomes</w:t>
      </w:r>
      <w:r w:rsidRPr="005403D8">
        <w:rPr>
          <w:color w:val="000000" w:themeColor="text1"/>
          <w:sz w:val="18"/>
          <w:szCs w:val="18"/>
          <w:lang w:val="en-GB"/>
        </w:rPr>
        <w:t xml:space="preserve"> </w:t>
      </w:r>
      <w:r w:rsidRPr="005403D8">
        <w:rPr>
          <w:b/>
          <w:color w:val="000000" w:themeColor="text1"/>
          <w:sz w:val="18"/>
          <w:szCs w:val="18"/>
          <w:lang w:val="en-GB"/>
        </w:rPr>
        <w:t>9</w:t>
      </w:r>
      <w:r w:rsidR="00625DD3" w:rsidRPr="005403D8">
        <w:rPr>
          <w:color w:val="000000" w:themeColor="text1"/>
          <w:sz w:val="18"/>
          <w:szCs w:val="18"/>
          <w:lang w:val="en-GB"/>
        </w:rPr>
        <w:t>:</w:t>
      </w:r>
      <w:r w:rsidRPr="005403D8">
        <w:rPr>
          <w:color w:val="000000" w:themeColor="text1"/>
          <w:sz w:val="18"/>
          <w:szCs w:val="18"/>
          <w:lang w:val="en-GB"/>
        </w:rPr>
        <w:t xml:space="preserve"> 961–973. </w:t>
      </w:r>
    </w:p>
    <w:p w14:paraId="7632E0A5" w14:textId="05196E4F" w:rsidR="00125CD5" w:rsidRPr="005403D8" w:rsidRDefault="00125CD5" w:rsidP="00A56507">
      <w:pPr>
        <w:ind w:left="425" w:hanging="425"/>
        <w:jc w:val="both"/>
        <w:rPr>
          <w:color w:val="000000" w:themeColor="text1"/>
          <w:sz w:val="18"/>
          <w:szCs w:val="18"/>
        </w:rPr>
      </w:pPr>
      <w:proofErr w:type="spellStart"/>
      <w:r w:rsidRPr="005403D8">
        <w:rPr>
          <w:color w:val="000000" w:themeColor="text1"/>
          <w:sz w:val="18"/>
          <w:szCs w:val="18"/>
          <w:lang w:val="en-GB"/>
        </w:rPr>
        <w:t>Sicari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V, 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Giuffrè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AM, 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Piscopo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A, 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Poiana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M (</w:t>
      </w:r>
      <w:r w:rsidRPr="005403D8">
        <w:rPr>
          <w:color w:val="000000" w:themeColor="text1"/>
          <w:sz w:val="18"/>
          <w:szCs w:val="18"/>
        </w:rPr>
        <w:t xml:space="preserve">2009) </w:t>
      </w:r>
      <w:r w:rsidRPr="005403D8">
        <w:rPr>
          <w:color w:val="000000" w:themeColor="text1"/>
          <w:sz w:val="18"/>
          <w:szCs w:val="18"/>
          <w:lang w:val="en-GB"/>
        </w:rPr>
        <w:t xml:space="preserve">Effect of the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ottobratica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variety ripening stage on the phenolic profile of the obtained olive oil. </w:t>
      </w:r>
      <w:proofErr w:type="spellStart"/>
      <w:r w:rsidRPr="005403D8">
        <w:rPr>
          <w:i/>
          <w:color w:val="000000" w:themeColor="text1"/>
          <w:sz w:val="18"/>
          <w:szCs w:val="18"/>
        </w:rPr>
        <w:t>Riv</w:t>
      </w:r>
      <w:proofErr w:type="spellEnd"/>
      <w:r w:rsidRPr="005403D8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5403D8">
        <w:rPr>
          <w:i/>
          <w:color w:val="000000" w:themeColor="text1"/>
          <w:sz w:val="18"/>
          <w:szCs w:val="18"/>
        </w:rPr>
        <w:t>Ital</w:t>
      </w:r>
      <w:proofErr w:type="spellEnd"/>
      <w:r w:rsidRPr="005403D8">
        <w:rPr>
          <w:i/>
          <w:color w:val="000000" w:themeColor="text1"/>
          <w:sz w:val="18"/>
          <w:szCs w:val="18"/>
        </w:rPr>
        <w:t xml:space="preserve"> Sostanze Grasse</w:t>
      </w:r>
      <w:r w:rsidRPr="005403D8">
        <w:rPr>
          <w:color w:val="000000" w:themeColor="text1"/>
          <w:sz w:val="18"/>
          <w:szCs w:val="18"/>
        </w:rPr>
        <w:t xml:space="preserve"> </w:t>
      </w:r>
      <w:r w:rsidRPr="005403D8">
        <w:rPr>
          <w:b/>
          <w:color w:val="000000" w:themeColor="text1"/>
          <w:sz w:val="18"/>
          <w:szCs w:val="18"/>
        </w:rPr>
        <w:t>86(4)</w:t>
      </w:r>
      <w:r w:rsidR="00625DD3" w:rsidRPr="005403D8">
        <w:rPr>
          <w:color w:val="000000" w:themeColor="text1"/>
          <w:sz w:val="18"/>
          <w:szCs w:val="18"/>
        </w:rPr>
        <w:t>:</w:t>
      </w:r>
      <w:r w:rsidRPr="005403D8">
        <w:rPr>
          <w:color w:val="000000" w:themeColor="text1"/>
          <w:sz w:val="18"/>
          <w:szCs w:val="18"/>
        </w:rPr>
        <w:t xml:space="preserve"> 215–219</w:t>
      </w:r>
    </w:p>
    <w:p w14:paraId="2FA4625F" w14:textId="499327EF" w:rsidR="00125CD5" w:rsidRPr="005403D8" w:rsidRDefault="00125CD5" w:rsidP="00A56507">
      <w:pPr>
        <w:ind w:left="425" w:hanging="425"/>
        <w:jc w:val="both"/>
        <w:rPr>
          <w:color w:val="000000" w:themeColor="text1"/>
          <w:sz w:val="18"/>
          <w:szCs w:val="18"/>
          <w:lang w:val="en-GB"/>
        </w:rPr>
      </w:pPr>
      <w:proofErr w:type="spellStart"/>
      <w:r w:rsidRPr="005403D8">
        <w:rPr>
          <w:color w:val="000000" w:themeColor="text1"/>
          <w:sz w:val="18"/>
          <w:szCs w:val="18"/>
        </w:rPr>
        <w:t>Issaoui</w:t>
      </w:r>
      <w:proofErr w:type="spellEnd"/>
      <w:r w:rsidRPr="005403D8">
        <w:rPr>
          <w:color w:val="000000" w:themeColor="text1"/>
          <w:sz w:val="18"/>
          <w:szCs w:val="18"/>
        </w:rPr>
        <w:t xml:space="preserve"> M, Flamini G, </w:t>
      </w:r>
      <w:proofErr w:type="spellStart"/>
      <w:r w:rsidRPr="005403D8">
        <w:rPr>
          <w:color w:val="000000" w:themeColor="text1"/>
          <w:sz w:val="18"/>
          <w:szCs w:val="18"/>
        </w:rPr>
        <w:t>Souid</w:t>
      </w:r>
      <w:proofErr w:type="spellEnd"/>
      <w:r w:rsidRPr="005403D8">
        <w:rPr>
          <w:color w:val="000000" w:themeColor="text1"/>
          <w:sz w:val="18"/>
          <w:szCs w:val="18"/>
        </w:rPr>
        <w:t xml:space="preserve"> S, </w:t>
      </w:r>
      <w:proofErr w:type="spellStart"/>
      <w:r w:rsidRPr="005403D8">
        <w:rPr>
          <w:color w:val="000000" w:themeColor="text1"/>
          <w:sz w:val="18"/>
          <w:szCs w:val="18"/>
        </w:rPr>
        <w:t>Bendini</w:t>
      </w:r>
      <w:proofErr w:type="spellEnd"/>
      <w:r w:rsidRPr="005403D8">
        <w:rPr>
          <w:color w:val="000000" w:themeColor="text1"/>
          <w:sz w:val="18"/>
          <w:szCs w:val="18"/>
        </w:rPr>
        <w:t xml:space="preserve"> A, Barbieri S, </w:t>
      </w:r>
      <w:proofErr w:type="spellStart"/>
      <w:r w:rsidRPr="005403D8">
        <w:rPr>
          <w:color w:val="000000" w:themeColor="text1"/>
          <w:sz w:val="18"/>
          <w:szCs w:val="18"/>
        </w:rPr>
        <w:t>Gharbi</w:t>
      </w:r>
      <w:proofErr w:type="spellEnd"/>
      <w:r w:rsidRPr="005403D8">
        <w:rPr>
          <w:color w:val="000000" w:themeColor="text1"/>
          <w:sz w:val="18"/>
          <w:szCs w:val="18"/>
        </w:rPr>
        <w:t xml:space="preserve"> I, Gallina Toschi T, </w:t>
      </w:r>
      <w:proofErr w:type="spellStart"/>
      <w:r w:rsidRPr="005403D8">
        <w:rPr>
          <w:color w:val="000000" w:themeColor="text1"/>
          <w:sz w:val="18"/>
          <w:szCs w:val="18"/>
        </w:rPr>
        <w:t>Cioni</w:t>
      </w:r>
      <w:proofErr w:type="spellEnd"/>
      <w:r w:rsidRPr="005403D8">
        <w:rPr>
          <w:color w:val="000000" w:themeColor="text1"/>
          <w:sz w:val="18"/>
          <w:szCs w:val="18"/>
        </w:rPr>
        <w:t xml:space="preserve"> P, </w:t>
      </w:r>
      <w:proofErr w:type="spellStart"/>
      <w:r w:rsidRPr="005403D8">
        <w:rPr>
          <w:color w:val="000000" w:themeColor="text1"/>
          <w:sz w:val="18"/>
          <w:szCs w:val="18"/>
        </w:rPr>
        <w:t>Hammami</w:t>
      </w:r>
      <w:proofErr w:type="spellEnd"/>
      <w:r w:rsidRPr="005403D8">
        <w:rPr>
          <w:color w:val="000000" w:themeColor="text1"/>
          <w:sz w:val="18"/>
          <w:szCs w:val="18"/>
        </w:rPr>
        <w:t xml:space="preserve"> M (2016) </w:t>
      </w:r>
      <w:r w:rsidRPr="005403D8">
        <w:rPr>
          <w:color w:val="000000" w:themeColor="text1"/>
          <w:sz w:val="18"/>
          <w:szCs w:val="18"/>
          <w:lang w:val="en-GB"/>
        </w:rPr>
        <w:t xml:space="preserve">How the addition of spices and herbs to virgin olive oil to produce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flavored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oils affects consumer acceptance. </w:t>
      </w:r>
      <w:r w:rsidR="00625DD3" w:rsidRPr="005403D8">
        <w:rPr>
          <w:i/>
          <w:color w:val="000000" w:themeColor="text1"/>
          <w:sz w:val="18"/>
          <w:szCs w:val="18"/>
          <w:lang w:val="en-GB"/>
        </w:rPr>
        <w:t xml:space="preserve">Nat Prod </w:t>
      </w:r>
      <w:proofErr w:type="spellStart"/>
      <w:r w:rsidRPr="005403D8">
        <w:rPr>
          <w:i/>
          <w:color w:val="000000" w:themeColor="text1"/>
          <w:sz w:val="18"/>
          <w:szCs w:val="18"/>
          <w:lang w:val="en-GB"/>
        </w:rPr>
        <w:t>Commun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</w:t>
      </w:r>
      <w:r w:rsidRPr="005403D8">
        <w:rPr>
          <w:b/>
          <w:color w:val="000000" w:themeColor="text1"/>
          <w:sz w:val="18"/>
          <w:szCs w:val="18"/>
          <w:lang w:val="en-GB"/>
        </w:rPr>
        <w:t>11</w:t>
      </w:r>
      <w:r w:rsidR="00625DD3" w:rsidRPr="005403D8">
        <w:rPr>
          <w:color w:val="000000" w:themeColor="text1"/>
          <w:sz w:val="18"/>
          <w:szCs w:val="18"/>
          <w:lang w:val="en-GB"/>
        </w:rPr>
        <w:t>:</w:t>
      </w:r>
      <w:r w:rsidRPr="005403D8">
        <w:rPr>
          <w:color w:val="000000" w:themeColor="text1"/>
          <w:sz w:val="18"/>
          <w:szCs w:val="18"/>
          <w:lang w:val="en-GB"/>
        </w:rPr>
        <w:t xml:space="preserve"> 775–780. </w:t>
      </w:r>
    </w:p>
    <w:p w14:paraId="6A871507" w14:textId="56D08AED" w:rsidR="00125CD5" w:rsidRPr="005403D8" w:rsidRDefault="00125CD5" w:rsidP="00A56507">
      <w:pPr>
        <w:ind w:left="425" w:hanging="425"/>
        <w:jc w:val="both"/>
        <w:rPr>
          <w:color w:val="000000" w:themeColor="text1"/>
          <w:sz w:val="18"/>
          <w:szCs w:val="18"/>
          <w:lang w:val="en-GB"/>
        </w:rPr>
      </w:pPr>
      <w:proofErr w:type="spellStart"/>
      <w:r w:rsidRPr="005403D8">
        <w:rPr>
          <w:color w:val="000000" w:themeColor="text1"/>
          <w:sz w:val="18"/>
          <w:szCs w:val="18"/>
        </w:rPr>
        <w:t>Opara</w:t>
      </w:r>
      <w:proofErr w:type="spellEnd"/>
      <w:r w:rsidRPr="005403D8">
        <w:rPr>
          <w:color w:val="000000" w:themeColor="text1"/>
          <w:sz w:val="18"/>
          <w:szCs w:val="18"/>
        </w:rPr>
        <w:t xml:space="preserve"> EI, </w:t>
      </w:r>
      <w:proofErr w:type="spellStart"/>
      <w:r w:rsidRPr="005403D8">
        <w:rPr>
          <w:color w:val="000000" w:themeColor="text1"/>
          <w:sz w:val="18"/>
          <w:szCs w:val="18"/>
        </w:rPr>
        <w:t>Chohan</w:t>
      </w:r>
      <w:proofErr w:type="spellEnd"/>
      <w:r w:rsidRPr="005403D8">
        <w:rPr>
          <w:color w:val="000000" w:themeColor="text1"/>
          <w:sz w:val="18"/>
          <w:szCs w:val="18"/>
        </w:rPr>
        <w:t xml:space="preserve"> M (2014) </w:t>
      </w:r>
      <w:r w:rsidRPr="005403D8">
        <w:rPr>
          <w:color w:val="000000" w:themeColor="text1"/>
          <w:sz w:val="18"/>
          <w:szCs w:val="18"/>
          <w:lang w:val="en-GB"/>
        </w:rPr>
        <w:t xml:space="preserve">Culinary herbs and spices: Their bioactive properties, the contribution of polyphenols and the challenges in deducing their true health benefits. </w:t>
      </w:r>
      <w:proofErr w:type="spellStart"/>
      <w:proofErr w:type="gramStart"/>
      <w:r w:rsidRPr="005403D8">
        <w:rPr>
          <w:i/>
          <w:color w:val="000000" w:themeColor="text1"/>
          <w:sz w:val="18"/>
          <w:szCs w:val="18"/>
          <w:lang w:val="en-GB"/>
        </w:rPr>
        <w:t>Int</w:t>
      </w:r>
      <w:proofErr w:type="spellEnd"/>
      <w:r w:rsidRPr="005403D8">
        <w:rPr>
          <w:i/>
          <w:color w:val="000000" w:themeColor="text1"/>
          <w:sz w:val="18"/>
          <w:szCs w:val="18"/>
          <w:lang w:val="en-GB"/>
        </w:rPr>
        <w:t xml:space="preserve"> J </w:t>
      </w:r>
      <w:proofErr w:type="spellStart"/>
      <w:r w:rsidRPr="005403D8">
        <w:rPr>
          <w:i/>
          <w:color w:val="000000" w:themeColor="text1"/>
          <w:sz w:val="18"/>
          <w:szCs w:val="18"/>
          <w:lang w:val="en-GB"/>
        </w:rPr>
        <w:t>Mol</w:t>
      </w:r>
      <w:proofErr w:type="spellEnd"/>
      <w:r w:rsidRPr="005403D8">
        <w:rPr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403D8">
        <w:rPr>
          <w:i/>
          <w:color w:val="000000" w:themeColor="text1"/>
          <w:sz w:val="18"/>
          <w:szCs w:val="18"/>
          <w:lang w:val="en-GB"/>
        </w:rPr>
        <w:t>Sci</w:t>
      </w:r>
      <w:proofErr w:type="spellEnd"/>
      <w:r w:rsidR="00625DD3" w:rsidRPr="005403D8">
        <w:rPr>
          <w:color w:val="000000" w:themeColor="text1"/>
          <w:sz w:val="18"/>
          <w:szCs w:val="18"/>
          <w:lang w:val="en-GB"/>
        </w:rPr>
        <w:t xml:space="preserve"> </w:t>
      </w:r>
      <w:r w:rsidRPr="005403D8">
        <w:rPr>
          <w:b/>
          <w:color w:val="000000" w:themeColor="text1"/>
          <w:sz w:val="18"/>
          <w:szCs w:val="18"/>
          <w:lang w:val="en-GB"/>
        </w:rPr>
        <w:t>15</w:t>
      </w:r>
      <w:r w:rsidR="00625DD3" w:rsidRPr="005403D8">
        <w:rPr>
          <w:color w:val="000000" w:themeColor="text1"/>
          <w:sz w:val="18"/>
          <w:szCs w:val="18"/>
          <w:lang w:val="en-GB"/>
        </w:rPr>
        <w:t>:</w:t>
      </w:r>
      <w:r w:rsidRPr="005403D8">
        <w:rPr>
          <w:color w:val="000000" w:themeColor="text1"/>
          <w:sz w:val="18"/>
          <w:szCs w:val="18"/>
          <w:lang w:val="en-GB"/>
        </w:rPr>
        <w:t xml:space="preserve"> 19183–19202.</w:t>
      </w:r>
      <w:proofErr w:type="gramEnd"/>
      <w:r w:rsidRPr="005403D8">
        <w:rPr>
          <w:color w:val="000000" w:themeColor="text1"/>
          <w:sz w:val="18"/>
          <w:szCs w:val="18"/>
          <w:lang w:val="en-GB"/>
        </w:rPr>
        <w:t xml:space="preserve"> </w:t>
      </w:r>
    </w:p>
    <w:p w14:paraId="269B75DA" w14:textId="7FABD57A" w:rsidR="00125CD5" w:rsidRPr="005403D8" w:rsidRDefault="00125CD5" w:rsidP="00A56507">
      <w:pPr>
        <w:ind w:left="425" w:hanging="425"/>
        <w:jc w:val="both"/>
        <w:rPr>
          <w:color w:val="000000" w:themeColor="text1"/>
          <w:sz w:val="18"/>
          <w:szCs w:val="18"/>
          <w:lang w:val="en-GB"/>
        </w:rPr>
      </w:pPr>
      <w:proofErr w:type="spellStart"/>
      <w:r w:rsidRPr="005403D8">
        <w:rPr>
          <w:color w:val="000000" w:themeColor="text1"/>
          <w:sz w:val="18"/>
          <w:szCs w:val="18"/>
        </w:rPr>
        <w:t>Wahyuni</w:t>
      </w:r>
      <w:proofErr w:type="spellEnd"/>
      <w:r w:rsidRPr="005403D8">
        <w:rPr>
          <w:color w:val="000000" w:themeColor="text1"/>
          <w:sz w:val="18"/>
          <w:szCs w:val="18"/>
        </w:rPr>
        <w:t xml:space="preserve"> Y, </w:t>
      </w:r>
      <w:proofErr w:type="spellStart"/>
      <w:r w:rsidRPr="005403D8">
        <w:rPr>
          <w:color w:val="000000" w:themeColor="text1"/>
          <w:sz w:val="18"/>
          <w:szCs w:val="18"/>
        </w:rPr>
        <w:t>Ballester</w:t>
      </w:r>
      <w:proofErr w:type="spellEnd"/>
      <w:r w:rsidRPr="005403D8">
        <w:rPr>
          <w:color w:val="000000" w:themeColor="text1"/>
          <w:sz w:val="18"/>
          <w:szCs w:val="18"/>
        </w:rPr>
        <w:t xml:space="preserve"> AR, </w:t>
      </w:r>
      <w:proofErr w:type="spellStart"/>
      <w:r w:rsidRPr="005403D8">
        <w:rPr>
          <w:color w:val="000000" w:themeColor="text1"/>
          <w:sz w:val="18"/>
          <w:szCs w:val="18"/>
        </w:rPr>
        <w:t>Sudarmonowati</w:t>
      </w:r>
      <w:proofErr w:type="spellEnd"/>
      <w:r w:rsidRPr="005403D8">
        <w:rPr>
          <w:color w:val="000000" w:themeColor="text1"/>
          <w:sz w:val="18"/>
          <w:szCs w:val="18"/>
        </w:rPr>
        <w:t xml:space="preserve"> BRJ, </w:t>
      </w:r>
      <w:proofErr w:type="spellStart"/>
      <w:r w:rsidRPr="005403D8">
        <w:rPr>
          <w:color w:val="000000" w:themeColor="text1"/>
          <w:sz w:val="18"/>
          <w:szCs w:val="18"/>
        </w:rPr>
        <w:t>Bovy</w:t>
      </w:r>
      <w:proofErr w:type="spellEnd"/>
      <w:r w:rsidRPr="005403D8">
        <w:rPr>
          <w:color w:val="000000" w:themeColor="text1"/>
          <w:sz w:val="18"/>
          <w:szCs w:val="18"/>
        </w:rPr>
        <w:t xml:space="preserve"> AG (2013) </w:t>
      </w:r>
      <w:r w:rsidRPr="005403D8">
        <w:rPr>
          <w:color w:val="000000" w:themeColor="text1"/>
          <w:sz w:val="18"/>
          <w:szCs w:val="18"/>
          <w:lang w:val="en-GB"/>
        </w:rPr>
        <w:t xml:space="preserve">Secondary metabolites of Capsicum species and their importance in the human diet. </w:t>
      </w:r>
      <w:r w:rsidRPr="005403D8">
        <w:rPr>
          <w:i/>
          <w:color w:val="000000" w:themeColor="text1"/>
          <w:sz w:val="18"/>
          <w:szCs w:val="18"/>
          <w:lang w:val="en-GB"/>
        </w:rPr>
        <w:t>J Nat Prod</w:t>
      </w:r>
      <w:r w:rsidRPr="005403D8">
        <w:rPr>
          <w:color w:val="000000" w:themeColor="text1"/>
          <w:sz w:val="18"/>
          <w:szCs w:val="18"/>
          <w:lang w:val="en-GB"/>
        </w:rPr>
        <w:t xml:space="preserve"> </w:t>
      </w:r>
      <w:r w:rsidRPr="005403D8">
        <w:rPr>
          <w:b/>
          <w:color w:val="000000" w:themeColor="text1"/>
          <w:sz w:val="18"/>
          <w:szCs w:val="18"/>
          <w:lang w:val="en-GB"/>
        </w:rPr>
        <w:t>76</w:t>
      </w:r>
      <w:r w:rsidR="00625DD3" w:rsidRPr="005403D8">
        <w:rPr>
          <w:color w:val="000000" w:themeColor="text1"/>
          <w:sz w:val="18"/>
          <w:szCs w:val="18"/>
          <w:lang w:val="en-GB"/>
        </w:rPr>
        <w:t xml:space="preserve">: </w:t>
      </w:r>
      <w:r w:rsidRPr="005403D8">
        <w:rPr>
          <w:color w:val="000000" w:themeColor="text1"/>
          <w:sz w:val="18"/>
          <w:szCs w:val="18"/>
          <w:lang w:val="en-GB"/>
        </w:rPr>
        <w:t>783–793.</w:t>
      </w:r>
    </w:p>
    <w:p w14:paraId="14ABF21A" w14:textId="18ABE5E5" w:rsidR="00A401B5" w:rsidRPr="005403D8" w:rsidRDefault="00A401B5" w:rsidP="00A56507">
      <w:pPr>
        <w:ind w:left="425" w:hanging="425"/>
        <w:jc w:val="both"/>
        <w:rPr>
          <w:color w:val="000000" w:themeColor="text1"/>
          <w:sz w:val="18"/>
          <w:szCs w:val="18"/>
          <w:lang w:val="en-GB"/>
        </w:rPr>
      </w:pPr>
      <w:proofErr w:type="spellStart"/>
      <w:r w:rsidRPr="005403D8">
        <w:rPr>
          <w:color w:val="000000" w:themeColor="text1"/>
          <w:sz w:val="18"/>
          <w:szCs w:val="18"/>
          <w:lang w:val="en-GB"/>
        </w:rPr>
        <w:t>Clodoveo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ML,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Dipalmo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T,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Crupi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P, Durante V,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Pesce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V,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Maiellaro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I,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Lovece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A,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Mercurio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A,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Laghezza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A,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Corbo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F,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Franchini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C (2016) Comparison between different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flavored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olive oil production techniques: healthy value and process efficiency. </w:t>
      </w:r>
      <w:r w:rsidR="00625DD3" w:rsidRPr="005403D8">
        <w:rPr>
          <w:i/>
          <w:iCs/>
          <w:color w:val="000000" w:themeColor="text1"/>
          <w:sz w:val="18"/>
          <w:szCs w:val="18"/>
          <w:lang w:val="en-GB"/>
        </w:rPr>
        <w:t xml:space="preserve">Plant Food Hum </w:t>
      </w:r>
      <w:proofErr w:type="spellStart"/>
      <w:r w:rsidR="00625DD3" w:rsidRPr="005403D8">
        <w:rPr>
          <w:i/>
          <w:iCs/>
          <w:color w:val="000000" w:themeColor="text1"/>
          <w:sz w:val="18"/>
          <w:szCs w:val="18"/>
          <w:lang w:val="en-GB"/>
        </w:rPr>
        <w:t>Nutr</w:t>
      </w:r>
      <w:proofErr w:type="spellEnd"/>
      <w:r w:rsidRPr="005403D8">
        <w:rPr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5403D8">
        <w:rPr>
          <w:b/>
          <w:iCs/>
          <w:color w:val="000000" w:themeColor="text1"/>
          <w:sz w:val="18"/>
          <w:szCs w:val="18"/>
          <w:lang w:val="en-GB"/>
        </w:rPr>
        <w:t>71</w:t>
      </w:r>
      <w:r w:rsidR="00625DD3" w:rsidRPr="005403D8">
        <w:rPr>
          <w:i/>
          <w:iCs/>
          <w:color w:val="000000" w:themeColor="text1"/>
          <w:sz w:val="18"/>
          <w:szCs w:val="18"/>
          <w:lang w:val="en-GB"/>
        </w:rPr>
        <w:t>:</w:t>
      </w:r>
      <w:r w:rsidRPr="005403D8">
        <w:rPr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5403D8">
        <w:rPr>
          <w:color w:val="000000" w:themeColor="text1"/>
          <w:sz w:val="18"/>
          <w:szCs w:val="18"/>
          <w:lang w:val="en-GB"/>
        </w:rPr>
        <w:t xml:space="preserve">81-87. </w:t>
      </w:r>
    </w:p>
    <w:p w14:paraId="64C64460" w14:textId="2FE5E81D" w:rsidR="00DC583E" w:rsidRPr="005403D8" w:rsidRDefault="001C2726" w:rsidP="00A56507">
      <w:pPr>
        <w:ind w:left="425" w:hanging="425"/>
        <w:jc w:val="both"/>
        <w:rPr>
          <w:color w:val="000000" w:themeColor="text1"/>
          <w:sz w:val="18"/>
          <w:szCs w:val="18"/>
          <w:lang w:val="en-GB"/>
        </w:rPr>
      </w:pPr>
      <w:proofErr w:type="spellStart"/>
      <w:r w:rsidRPr="005403D8">
        <w:rPr>
          <w:color w:val="000000" w:themeColor="text1"/>
          <w:sz w:val="18"/>
          <w:szCs w:val="18"/>
          <w:lang w:val="en-GB"/>
        </w:rPr>
        <w:t>Sacchi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R, Della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Medaglia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D,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Paduano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A, </w:t>
      </w:r>
      <w:proofErr w:type="spellStart"/>
      <w:r w:rsidRPr="005403D8">
        <w:rPr>
          <w:color w:val="000000" w:themeColor="text1"/>
          <w:sz w:val="18"/>
          <w:szCs w:val="18"/>
          <w:lang w:val="en-GB"/>
        </w:rPr>
        <w:t>Caporaso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N, Genovese A (2017) Characterisation of lemon-flavoured olive oils. </w:t>
      </w:r>
      <w:r w:rsidRPr="005403D8">
        <w:rPr>
          <w:i/>
          <w:color w:val="000000" w:themeColor="text1"/>
          <w:sz w:val="18"/>
          <w:szCs w:val="18"/>
          <w:lang w:val="en-GB"/>
        </w:rPr>
        <w:t xml:space="preserve">LWT-Food </w:t>
      </w:r>
      <w:proofErr w:type="spellStart"/>
      <w:r w:rsidRPr="005403D8">
        <w:rPr>
          <w:i/>
          <w:color w:val="000000" w:themeColor="text1"/>
          <w:sz w:val="18"/>
          <w:szCs w:val="18"/>
          <w:lang w:val="en-GB"/>
        </w:rPr>
        <w:t>Sci</w:t>
      </w:r>
      <w:proofErr w:type="spellEnd"/>
      <w:r w:rsidRPr="005403D8">
        <w:rPr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5403D8">
        <w:rPr>
          <w:i/>
          <w:color w:val="000000" w:themeColor="text1"/>
          <w:sz w:val="18"/>
          <w:szCs w:val="18"/>
          <w:lang w:val="en-GB"/>
        </w:rPr>
        <w:t>Technol</w:t>
      </w:r>
      <w:proofErr w:type="spellEnd"/>
      <w:r w:rsidRPr="005403D8">
        <w:rPr>
          <w:color w:val="000000" w:themeColor="text1"/>
          <w:sz w:val="18"/>
          <w:szCs w:val="18"/>
          <w:lang w:val="en-GB"/>
        </w:rPr>
        <w:t xml:space="preserve"> </w:t>
      </w:r>
      <w:r w:rsidRPr="005403D8">
        <w:rPr>
          <w:b/>
          <w:color w:val="000000" w:themeColor="text1"/>
          <w:sz w:val="18"/>
          <w:szCs w:val="18"/>
          <w:lang w:val="en-GB"/>
        </w:rPr>
        <w:t>79</w:t>
      </w:r>
      <w:r w:rsidR="00625DD3" w:rsidRPr="005403D8">
        <w:rPr>
          <w:color w:val="000000" w:themeColor="text1"/>
          <w:sz w:val="18"/>
          <w:szCs w:val="18"/>
          <w:lang w:val="en-GB"/>
        </w:rPr>
        <w:t>:</w:t>
      </w:r>
      <w:r w:rsidRPr="005403D8">
        <w:rPr>
          <w:color w:val="000000" w:themeColor="text1"/>
          <w:sz w:val="18"/>
          <w:szCs w:val="18"/>
          <w:lang w:val="en-GB"/>
        </w:rPr>
        <w:t xml:space="preserve"> 326-332. </w:t>
      </w:r>
    </w:p>
    <w:sectPr w:rsidR="00DC583E" w:rsidRPr="005403D8" w:rsidSect="00325A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F6C68" w14:textId="77777777" w:rsidR="00B60714" w:rsidRDefault="00B60714">
      <w:r>
        <w:separator/>
      </w:r>
    </w:p>
  </w:endnote>
  <w:endnote w:type="continuationSeparator" w:id="0">
    <w:p w14:paraId="2D095573" w14:textId="77777777" w:rsidR="00B60714" w:rsidRDefault="00B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3B2E2" w14:textId="77777777" w:rsidR="00B60714" w:rsidRDefault="00B60714">
      <w:r>
        <w:separator/>
      </w:r>
    </w:p>
  </w:footnote>
  <w:footnote w:type="continuationSeparator" w:id="0">
    <w:p w14:paraId="1A193FD4" w14:textId="77777777" w:rsidR="00B60714" w:rsidRDefault="00B6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64FA1"/>
    <w:multiLevelType w:val="hybridMultilevel"/>
    <w:tmpl w:val="4D5C4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65554"/>
    <w:multiLevelType w:val="hybridMultilevel"/>
    <w:tmpl w:val="8A30E3B8"/>
    <w:lvl w:ilvl="0" w:tplc="AFECA7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5BED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202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900B1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2C9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6E1A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12FA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7CA8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E6D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Windows Live" w15:userId="33e24aa57d4ddf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9"/>
    <w:rsid w:val="00002AEB"/>
    <w:rsid w:val="00003580"/>
    <w:rsid w:val="00005F4F"/>
    <w:rsid w:val="00010C2C"/>
    <w:rsid w:val="00014DC5"/>
    <w:rsid w:val="00015EAC"/>
    <w:rsid w:val="000171FC"/>
    <w:rsid w:val="00024B60"/>
    <w:rsid w:val="00042C91"/>
    <w:rsid w:val="00061C2E"/>
    <w:rsid w:val="00063004"/>
    <w:rsid w:val="0006714F"/>
    <w:rsid w:val="00083365"/>
    <w:rsid w:val="000955C5"/>
    <w:rsid w:val="00096150"/>
    <w:rsid w:val="00097B75"/>
    <w:rsid w:val="00097F28"/>
    <w:rsid w:val="000A119A"/>
    <w:rsid w:val="000B0004"/>
    <w:rsid w:val="000B30EB"/>
    <w:rsid w:val="000C61C5"/>
    <w:rsid w:val="000D1E76"/>
    <w:rsid w:val="000D208B"/>
    <w:rsid w:val="000D348A"/>
    <w:rsid w:val="000D6004"/>
    <w:rsid w:val="000E22A0"/>
    <w:rsid w:val="000E261D"/>
    <w:rsid w:val="000E3B60"/>
    <w:rsid w:val="000E3EE0"/>
    <w:rsid w:val="000E6128"/>
    <w:rsid w:val="000E6FD8"/>
    <w:rsid w:val="000F0FB3"/>
    <w:rsid w:val="000F502D"/>
    <w:rsid w:val="000F68AE"/>
    <w:rsid w:val="00101E1D"/>
    <w:rsid w:val="001049FE"/>
    <w:rsid w:val="00104A95"/>
    <w:rsid w:val="0010779A"/>
    <w:rsid w:val="00112E66"/>
    <w:rsid w:val="00114B47"/>
    <w:rsid w:val="00116353"/>
    <w:rsid w:val="00123DB3"/>
    <w:rsid w:val="00125CD5"/>
    <w:rsid w:val="00130E0B"/>
    <w:rsid w:val="001364F2"/>
    <w:rsid w:val="001415AC"/>
    <w:rsid w:val="00144DBA"/>
    <w:rsid w:val="00163818"/>
    <w:rsid w:val="00165780"/>
    <w:rsid w:val="001714F3"/>
    <w:rsid w:val="001803E9"/>
    <w:rsid w:val="00180C14"/>
    <w:rsid w:val="001975BB"/>
    <w:rsid w:val="00197621"/>
    <w:rsid w:val="001A6098"/>
    <w:rsid w:val="001A67CC"/>
    <w:rsid w:val="001A6947"/>
    <w:rsid w:val="001B377C"/>
    <w:rsid w:val="001B5261"/>
    <w:rsid w:val="001C2202"/>
    <w:rsid w:val="001C2726"/>
    <w:rsid w:val="001C6373"/>
    <w:rsid w:val="001D0353"/>
    <w:rsid w:val="001D313C"/>
    <w:rsid w:val="001D51C0"/>
    <w:rsid w:val="001E4E18"/>
    <w:rsid w:val="001F5952"/>
    <w:rsid w:val="00203DE4"/>
    <w:rsid w:val="00205679"/>
    <w:rsid w:val="00205ADA"/>
    <w:rsid w:val="00210EBF"/>
    <w:rsid w:val="002113A1"/>
    <w:rsid w:val="002118D8"/>
    <w:rsid w:val="00216AAB"/>
    <w:rsid w:val="002236C9"/>
    <w:rsid w:val="002265BE"/>
    <w:rsid w:val="00230E0F"/>
    <w:rsid w:val="00233E49"/>
    <w:rsid w:val="002409EB"/>
    <w:rsid w:val="002520BD"/>
    <w:rsid w:val="002544DE"/>
    <w:rsid w:val="002601E3"/>
    <w:rsid w:val="0026068A"/>
    <w:rsid w:val="002615BE"/>
    <w:rsid w:val="0026445A"/>
    <w:rsid w:val="00264C46"/>
    <w:rsid w:val="00270844"/>
    <w:rsid w:val="002749B2"/>
    <w:rsid w:val="00275D07"/>
    <w:rsid w:val="002767AC"/>
    <w:rsid w:val="00277623"/>
    <w:rsid w:val="00277C04"/>
    <w:rsid w:val="002849C6"/>
    <w:rsid w:val="00286FFB"/>
    <w:rsid w:val="00287FE5"/>
    <w:rsid w:val="00291883"/>
    <w:rsid w:val="002A3BDA"/>
    <w:rsid w:val="002A74E3"/>
    <w:rsid w:val="002C1654"/>
    <w:rsid w:val="002C2FB2"/>
    <w:rsid w:val="002C3158"/>
    <w:rsid w:val="002D22B0"/>
    <w:rsid w:val="002E6ABB"/>
    <w:rsid w:val="002F07D4"/>
    <w:rsid w:val="003028C1"/>
    <w:rsid w:val="003044BC"/>
    <w:rsid w:val="00306B6D"/>
    <w:rsid w:val="00312663"/>
    <w:rsid w:val="00315028"/>
    <w:rsid w:val="003164F1"/>
    <w:rsid w:val="003177FF"/>
    <w:rsid w:val="003224CE"/>
    <w:rsid w:val="003247CD"/>
    <w:rsid w:val="003247E0"/>
    <w:rsid w:val="00325A32"/>
    <w:rsid w:val="00326A92"/>
    <w:rsid w:val="00346DCB"/>
    <w:rsid w:val="003514A5"/>
    <w:rsid w:val="0035318E"/>
    <w:rsid w:val="00357CF1"/>
    <w:rsid w:val="003603A8"/>
    <w:rsid w:val="00364BCF"/>
    <w:rsid w:val="003654D1"/>
    <w:rsid w:val="00374828"/>
    <w:rsid w:val="00381C45"/>
    <w:rsid w:val="00386B71"/>
    <w:rsid w:val="00393E2D"/>
    <w:rsid w:val="003A0629"/>
    <w:rsid w:val="003B02BC"/>
    <w:rsid w:val="003B0D76"/>
    <w:rsid w:val="003B21FB"/>
    <w:rsid w:val="003C0F10"/>
    <w:rsid w:val="003C61EF"/>
    <w:rsid w:val="003C62FD"/>
    <w:rsid w:val="003D1B96"/>
    <w:rsid w:val="003D58DF"/>
    <w:rsid w:val="003D5CB1"/>
    <w:rsid w:val="003D7C59"/>
    <w:rsid w:val="003E2E0D"/>
    <w:rsid w:val="003E466B"/>
    <w:rsid w:val="003E761D"/>
    <w:rsid w:val="003F2D10"/>
    <w:rsid w:val="003F4C22"/>
    <w:rsid w:val="003F7AFA"/>
    <w:rsid w:val="004010BD"/>
    <w:rsid w:val="004041D2"/>
    <w:rsid w:val="0040785C"/>
    <w:rsid w:val="00410652"/>
    <w:rsid w:val="00410837"/>
    <w:rsid w:val="00411CC7"/>
    <w:rsid w:val="004159B8"/>
    <w:rsid w:val="00417D72"/>
    <w:rsid w:val="00425748"/>
    <w:rsid w:val="00426BC6"/>
    <w:rsid w:val="00426E0D"/>
    <w:rsid w:val="004305CC"/>
    <w:rsid w:val="0044436E"/>
    <w:rsid w:val="0044535E"/>
    <w:rsid w:val="0044651F"/>
    <w:rsid w:val="0045692E"/>
    <w:rsid w:val="00461E86"/>
    <w:rsid w:val="004624D1"/>
    <w:rsid w:val="00486264"/>
    <w:rsid w:val="00493D5A"/>
    <w:rsid w:val="004A36EE"/>
    <w:rsid w:val="004B239A"/>
    <w:rsid w:val="004B33A5"/>
    <w:rsid w:val="004C42E3"/>
    <w:rsid w:val="004C5ADD"/>
    <w:rsid w:val="004C7034"/>
    <w:rsid w:val="004D24D6"/>
    <w:rsid w:val="004D494F"/>
    <w:rsid w:val="004D5F7A"/>
    <w:rsid w:val="004D69A1"/>
    <w:rsid w:val="004E2774"/>
    <w:rsid w:val="004E2B3F"/>
    <w:rsid w:val="004E3A58"/>
    <w:rsid w:val="00500061"/>
    <w:rsid w:val="005007A4"/>
    <w:rsid w:val="00503003"/>
    <w:rsid w:val="00503D63"/>
    <w:rsid w:val="00503FFF"/>
    <w:rsid w:val="0050711C"/>
    <w:rsid w:val="00513307"/>
    <w:rsid w:val="00524030"/>
    <w:rsid w:val="00524449"/>
    <w:rsid w:val="0053671E"/>
    <w:rsid w:val="00536F85"/>
    <w:rsid w:val="005403D8"/>
    <w:rsid w:val="00546216"/>
    <w:rsid w:val="005552E9"/>
    <w:rsid w:val="00557708"/>
    <w:rsid w:val="00566667"/>
    <w:rsid w:val="00573EB1"/>
    <w:rsid w:val="00580EEE"/>
    <w:rsid w:val="00584ADE"/>
    <w:rsid w:val="005923B1"/>
    <w:rsid w:val="00596CE3"/>
    <w:rsid w:val="0059717F"/>
    <w:rsid w:val="00597254"/>
    <w:rsid w:val="005A3511"/>
    <w:rsid w:val="005A5B9B"/>
    <w:rsid w:val="005A774E"/>
    <w:rsid w:val="005A7DBF"/>
    <w:rsid w:val="005B306E"/>
    <w:rsid w:val="005C3219"/>
    <w:rsid w:val="005C42A1"/>
    <w:rsid w:val="005C4515"/>
    <w:rsid w:val="005C6A0F"/>
    <w:rsid w:val="005D0CF5"/>
    <w:rsid w:val="005D31AA"/>
    <w:rsid w:val="005D6E1F"/>
    <w:rsid w:val="005E45EC"/>
    <w:rsid w:val="005E4980"/>
    <w:rsid w:val="005F054E"/>
    <w:rsid w:val="005F0D6C"/>
    <w:rsid w:val="005F3E1B"/>
    <w:rsid w:val="005F6E8F"/>
    <w:rsid w:val="00600540"/>
    <w:rsid w:val="00611BA1"/>
    <w:rsid w:val="00623A9B"/>
    <w:rsid w:val="006249DB"/>
    <w:rsid w:val="00625DD3"/>
    <w:rsid w:val="006277D4"/>
    <w:rsid w:val="00627F86"/>
    <w:rsid w:val="00633728"/>
    <w:rsid w:val="0063510D"/>
    <w:rsid w:val="00636F49"/>
    <w:rsid w:val="00644350"/>
    <w:rsid w:val="00645545"/>
    <w:rsid w:val="00646796"/>
    <w:rsid w:val="00655A97"/>
    <w:rsid w:val="006576DA"/>
    <w:rsid w:val="00663E82"/>
    <w:rsid w:val="0066568B"/>
    <w:rsid w:val="00672775"/>
    <w:rsid w:val="0067277B"/>
    <w:rsid w:val="006748CF"/>
    <w:rsid w:val="00690F7A"/>
    <w:rsid w:val="00695F92"/>
    <w:rsid w:val="006A290F"/>
    <w:rsid w:val="006B008E"/>
    <w:rsid w:val="006D118A"/>
    <w:rsid w:val="006D12E1"/>
    <w:rsid w:val="006D2194"/>
    <w:rsid w:val="006E66ED"/>
    <w:rsid w:val="006F03D3"/>
    <w:rsid w:val="006F5D74"/>
    <w:rsid w:val="00704F85"/>
    <w:rsid w:val="00717C71"/>
    <w:rsid w:val="0072361E"/>
    <w:rsid w:val="00727C63"/>
    <w:rsid w:val="00734D67"/>
    <w:rsid w:val="0073669B"/>
    <w:rsid w:val="00740754"/>
    <w:rsid w:val="007513E6"/>
    <w:rsid w:val="0075293D"/>
    <w:rsid w:val="00753956"/>
    <w:rsid w:val="00761F38"/>
    <w:rsid w:val="00765F90"/>
    <w:rsid w:val="0077565B"/>
    <w:rsid w:val="00776263"/>
    <w:rsid w:val="00783CB0"/>
    <w:rsid w:val="007840CA"/>
    <w:rsid w:val="0078497C"/>
    <w:rsid w:val="007904C7"/>
    <w:rsid w:val="00790E00"/>
    <w:rsid w:val="007B45EC"/>
    <w:rsid w:val="007C2B3D"/>
    <w:rsid w:val="007C5D62"/>
    <w:rsid w:val="007D40F9"/>
    <w:rsid w:val="007D4E97"/>
    <w:rsid w:val="007D53F0"/>
    <w:rsid w:val="007F312C"/>
    <w:rsid w:val="00800305"/>
    <w:rsid w:val="00803717"/>
    <w:rsid w:val="008114C3"/>
    <w:rsid w:val="008132A9"/>
    <w:rsid w:val="008155B5"/>
    <w:rsid w:val="008157DA"/>
    <w:rsid w:val="008221F5"/>
    <w:rsid w:val="00824BC8"/>
    <w:rsid w:val="008376B2"/>
    <w:rsid w:val="00840A1D"/>
    <w:rsid w:val="00841518"/>
    <w:rsid w:val="00861782"/>
    <w:rsid w:val="00865071"/>
    <w:rsid w:val="00872339"/>
    <w:rsid w:val="00876304"/>
    <w:rsid w:val="00881B16"/>
    <w:rsid w:val="0089529A"/>
    <w:rsid w:val="00895D75"/>
    <w:rsid w:val="008962EC"/>
    <w:rsid w:val="008A244E"/>
    <w:rsid w:val="008B375B"/>
    <w:rsid w:val="008B7027"/>
    <w:rsid w:val="008C2849"/>
    <w:rsid w:val="008C4235"/>
    <w:rsid w:val="008D0538"/>
    <w:rsid w:val="008D1621"/>
    <w:rsid w:val="008E3708"/>
    <w:rsid w:val="008E7FAC"/>
    <w:rsid w:val="008F30DB"/>
    <w:rsid w:val="008F7F30"/>
    <w:rsid w:val="00901419"/>
    <w:rsid w:val="0090200B"/>
    <w:rsid w:val="00904D29"/>
    <w:rsid w:val="00910E04"/>
    <w:rsid w:val="0092146D"/>
    <w:rsid w:val="009304D0"/>
    <w:rsid w:val="00933FF3"/>
    <w:rsid w:val="00937A9D"/>
    <w:rsid w:val="009400A8"/>
    <w:rsid w:val="009404DC"/>
    <w:rsid w:val="00951934"/>
    <w:rsid w:val="0095342A"/>
    <w:rsid w:val="00955A29"/>
    <w:rsid w:val="00967FEA"/>
    <w:rsid w:val="00973914"/>
    <w:rsid w:val="009766D6"/>
    <w:rsid w:val="00984216"/>
    <w:rsid w:val="00985225"/>
    <w:rsid w:val="00987A18"/>
    <w:rsid w:val="009904B5"/>
    <w:rsid w:val="00994F4E"/>
    <w:rsid w:val="00995338"/>
    <w:rsid w:val="009A5B5B"/>
    <w:rsid w:val="009A78E7"/>
    <w:rsid w:val="009B1BC6"/>
    <w:rsid w:val="009B25CD"/>
    <w:rsid w:val="009C1037"/>
    <w:rsid w:val="009C559D"/>
    <w:rsid w:val="009D20B6"/>
    <w:rsid w:val="009D3B86"/>
    <w:rsid w:val="009D7800"/>
    <w:rsid w:val="009E35BF"/>
    <w:rsid w:val="009F01CE"/>
    <w:rsid w:val="009F3FB3"/>
    <w:rsid w:val="009F712B"/>
    <w:rsid w:val="00A019CC"/>
    <w:rsid w:val="00A10A0C"/>
    <w:rsid w:val="00A11FD2"/>
    <w:rsid w:val="00A13292"/>
    <w:rsid w:val="00A16790"/>
    <w:rsid w:val="00A17EAB"/>
    <w:rsid w:val="00A2205F"/>
    <w:rsid w:val="00A25B0E"/>
    <w:rsid w:val="00A401B5"/>
    <w:rsid w:val="00A4341E"/>
    <w:rsid w:val="00A45CDC"/>
    <w:rsid w:val="00A51747"/>
    <w:rsid w:val="00A517EF"/>
    <w:rsid w:val="00A53C57"/>
    <w:rsid w:val="00A53E60"/>
    <w:rsid w:val="00A56507"/>
    <w:rsid w:val="00A654B6"/>
    <w:rsid w:val="00A72C7B"/>
    <w:rsid w:val="00A74F8E"/>
    <w:rsid w:val="00A75DD7"/>
    <w:rsid w:val="00A76C6C"/>
    <w:rsid w:val="00A853FE"/>
    <w:rsid w:val="00A92D11"/>
    <w:rsid w:val="00A93A4E"/>
    <w:rsid w:val="00AA39F9"/>
    <w:rsid w:val="00AA3C98"/>
    <w:rsid w:val="00AA5E04"/>
    <w:rsid w:val="00AB043E"/>
    <w:rsid w:val="00AB7D90"/>
    <w:rsid w:val="00AC103F"/>
    <w:rsid w:val="00AC167E"/>
    <w:rsid w:val="00AC248D"/>
    <w:rsid w:val="00AC3A41"/>
    <w:rsid w:val="00AD167F"/>
    <w:rsid w:val="00AF0D43"/>
    <w:rsid w:val="00AF7874"/>
    <w:rsid w:val="00B07B95"/>
    <w:rsid w:val="00B10F79"/>
    <w:rsid w:val="00B11F8C"/>
    <w:rsid w:val="00B25127"/>
    <w:rsid w:val="00B30BA5"/>
    <w:rsid w:val="00B32B4E"/>
    <w:rsid w:val="00B4504B"/>
    <w:rsid w:val="00B51897"/>
    <w:rsid w:val="00B522AE"/>
    <w:rsid w:val="00B60714"/>
    <w:rsid w:val="00B65C1B"/>
    <w:rsid w:val="00B72E5A"/>
    <w:rsid w:val="00B76364"/>
    <w:rsid w:val="00B778CC"/>
    <w:rsid w:val="00B83FAF"/>
    <w:rsid w:val="00B93BA1"/>
    <w:rsid w:val="00B9695A"/>
    <w:rsid w:val="00B97D6E"/>
    <w:rsid w:val="00BA5248"/>
    <w:rsid w:val="00BA5D46"/>
    <w:rsid w:val="00BB4273"/>
    <w:rsid w:val="00BB6A63"/>
    <w:rsid w:val="00BB715E"/>
    <w:rsid w:val="00BC1563"/>
    <w:rsid w:val="00BC74FC"/>
    <w:rsid w:val="00BC7E0D"/>
    <w:rsid w:val="00BD02F7"/>
    <w:rsid w:val="00BD03A5"/>
    <w:rsid w:val="00BE2A8E"/>
    <w:rsid w:val="00BF2ECB"/>
    <w:rsid w:val="00BF423E"/>
    <w:rsid w:val="00C217A9"/>
    <w:rsid w:val="00C23B32"/>
    <w:rsid w:val="00C243C0"/>
    <w:rsid w:val="00C324DE"/>
    <w:rsid w:val="00C35423"/>
    <w:rsid w:val="00C36299"/>
    <w:rsid w:val="00C3632B"/>
    <w:rsid w:val="00C36D22"/>
    <w:rsid w:val="00C36E52"/>
    <w:rsid w:val="00C3779C"/>
    <w:rsid w:val="00C52536"/>
    <w:rsid w:val="00C6109B"/>
    <w:rsid w:val="00C63EFE"/>
    <w:rsid w:val="00C67126"/>
    <w:rsid w:val="00C71E52"/>
    <w:rsid w:val="00C7295C"/>
    <w:rsid w:val="00C86C5A"/>
    <w:rsid w:val="00C92CFA"/>
    <w:rsid w:val="00C96DD9"/>
    <w:rsid w:val="00CA1B08"/>
    <w:rsid w:val="00CA3A44"/>
    <w:rsid w:val="00CA3B18"/>
    <w:rsid w:val="00CB199A"/>
    <w:rsid w:val="00CB54F8"/>
    <w:rsid w:val="00CB6B90"/>
    <w:rsid w:val="00CC09E1"/>
    <w:rsid w:val="00CC7AFE"/>
    <w:rsid w:val="00CD2B1B"/>
    <w:rsid w:val="00CD44BC"/>
    <w:rsid w:val="00CD6C45"/>
    <w:rsid w:val="00CE354E"/>
    <w:rsid w:val="00D013A2"/>
    <w:rsid w:val="00D12DFA"/>
    <w:rsid w:val="00D14432"/>
    <w:rsid w:val="00D17285"/>
    <w:rsid w:val="00D21374"/>
    <w:rsid w:val="00D21E94"/>
    <w:rsid w:val="00D35ED7"/>
    <w:rsid w:val="00D3769A"/>
    <w:rsid w:val="00D435C0"/>
    <w:rsid w:val="00D47A9E"/>
    <w:rsid w:val="00D57E5F"/>
    <w:rsid w:val="00D6343C"/>
    <w:rsid w:val="00D63743"/>
    <w:rsid w:val="00D64F67"/>
    <w:rsid w:val="00D658AC"/>
    <w:rsid w:val="00D70CAE"/>
    <w:rsid w:val="00D91555"/>
    <w:rsid w:val="00D927A5"/>
    <w:rsid w:val="00D97176"/>
    <w:rsid w:val="00DA06E7"/>
    <w:rsid w:val="00DA69A4"/>
    <w:rsid w:val="00DB3902"/>
    <w:rsid w:val="00DB4CBB"/>
    <w:rsid w:val="00DC3B91"/>
    <w:rsid w:val="00DC583E"/>
    <w:rsid w:val="00DC5C89"/>
    <w:rsid w:val="00DD3EED"/>
    <w:rsid w:val="00DD5B9F"/>
    <w:rsid w:val="00DF050D"/>
    <w:rsid w:val="00DF5F11"/>
    <w:rsid w:val="00E017E5"/>
    <w:rsid w:val="00E04D02"/>
    <w:rsid w:val="00E11D14"/>
    <w:rsid w:val="00E142CB"/>
    <w:rsid w:val="00E348DD"/>
    <w:rsid w:val="00E35B9F"/>
    <w:rsid w:val="00E40487"/>
    <w:rsid w:val="00E471EA"/>
    <w:rsid w:val="00E4764B"/>
    <w:rsid w:val="00E57550"/>
    <w:rsid w:val="00E61E0F"/>
    <w:rsid w:val="00E676A3"/>
    <w:rsid w:val="00E706FE"/>
    <w:rsid w:val="00E74000"/>
    <w:rsid w:val="00E77FA5"/>
    <w:rsid w:val="00E958DD"/>
    <w:rsid w:val="00EA1E0B"/>
    <w:rsid w:val="00EC597C"/>
    <w:rsid w:val="00ED71D7"/>
    <w:rsid w:val="00EE0B15"/>
    <w:rsid w:val="00EE3638"/>
    <w:rsid w:val="00EF63CC"/>
    <w:rsid w:val="00F0669B"/>
    <w:rsid w:val="00F06DBD"/>
    <w:rsid w:val="00F10132"/>
    <w:rsid w:val="00F14C80"/>
    <w:rsid w:val="00F22140"/>
    <w:rsid w:val="00F32281"/>
    <w:rsid w:val="00F36487"/>
    <w:rsid w:val="00F377E4"/>
    <w:rsid w:val="00F41F71"/>
    <w:rsid w:val="00F44D3B"/>
    <w:rsid w:val="00F474D4"/>
    <w:rsid w:val="00F50438"/>
    <w:rsid w:val="00F51B66"/>
    <w:rsid w:val="00F54307"/>
    <w:rsid w:val="00F5691F"/>
    <w:rsid w:val="00F729AF"/>
    <w:rsid w:val="00F75E15"/>
    <w:rsid w:val="00F82C39"/>
    <w:rsid w:val="00F8617A"/>
    <w:rsid w:val="00FA072E"/>
    <w:rsid w:val="00FB07CC"/>
    <w:rsid w:val="00FB2DC5"/>
    <w:rsid w:val="00FB49C0"/>
    <w:rsid w:val="00FB6193"/>
    <w:rsid w:val="00FC1C97"/>
    <w:rsid w:val="00FD0278"/>
    <w:rsid w:val="00FD08EF"/>
    <w:rsid w:val="00FD3252"/>
    <w:rsid w:val="00FD6A6F"/>
    <w:rsid w:val="00FE054C"/>
    <w:rsid w:val="00FE2A1C"/>
    <w:rsid w:val="00FE48DB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28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0F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40F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40F9"/>
    <w:pPr>
      <w:keepNext/>
      <w:outlineLvl w:val="1"/>
    </w:pPr>
    <w:rPr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D40F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D40F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40F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7D40F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deltesto2">
    <w:name w:val="Body Text 2"/>
    <w:basedOn w:val="Normale"/>
    <w:link w:val="Corpodeltesto2Carattere"/>
    <w:qFormat/>
    <w:rsid w:val="007D40F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atterepredefinitoparagrafo"/>
    <w:link w:val="Corpodeltesto2"/>
    <w:rsid w:val="007D40F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7D40F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atterepredefinitoparagrafo"/>
    <w:link w:val="Intestazione"/>
    <w:rsid w:val="007D40F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Rientrocorpodeltesto2">
    <w:name w:val="Body Text Indent 2"/>
    <w:basedOn w:val="Normale"/>
    <w:link w:val="Rientrocorpodeltesto2Carattere"/>
    <w:qFormat/>
    <w:rsid w:val="007D40F9"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7D40F9"/>
    <w:rPr>
      <w:rFonts w:ascii="Times New Roman" w:eastAsia="Times New Roman" w:hAnsi="Times New Roman" w:cs="Times New Roman"/>
      <w:bCs/>
      <w:szCs w:val="20"/>
      <w:lang w:val="en-GB" w:eastAsia="zh-CN"/>
    </w:rPr>
  </w:style>
  <w:style w:type="paragraph" w:styleId="Pidipagina">
    <w:name w:val="footer"/>
    <w:basedOn w:val="Normale"/>
    <w:link w:val="PidipaginaCarattere"/>
    <w:rsid w:val="007D40F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7D40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A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0A1D"/>
    <w:rPr>
      <w:rFonts w:ascii="Lucida Grande" w:eastAsia="Times New Roman" w:hAnsi="Lucida Grande" w:cs="Lucida Grande"/>
      <w:sz w:val="18"/>
      <w:szCs w:val="18"/>
      <w:lang w:eastAsia="zh-CN"/>
    </w:rPr>
  </w:style>
  <w:style w:type="paragraph" w:customStyle="1" w:styleId="MDPI31text">
    <w:name w:val="MDPI_3.1_text"/>
    <w:qFormat/>
    <w:rsid w:val="00CA3B1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styleId="Paragrafoelenco">
    <w:name w:val="List Paragraph"/>
    <w:basedOn w:val="Normale"/>
    <w:uiPriority w:val="34"/>
    <w:qFormat/>
    <w:rsid w:val="00EE0B15"/>
    <w:pPr>
      <w:widowControl/>
      <w:suppressAutoHyphens w:val="0"/>
      <w:ind w:left="720"/>
      <w:contextualSpacing/>
    </w:pPr>
    <w:rPr>
      <w:rFonts w:ascii="Times" w:eastAsiaTheme="minorHAnsi" w:hAnsi="Times" w:cstheme="minorBidi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6796"/>
    <w:rPr>
      <w:rFonts w:ascii="Courier" w:hAnsi="Courier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646796"/>
    <w:rPr>
      <w:rFonts w:ascii="Courier" w:eastAsia="Times New Roman" w:hAnsi="Courier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A01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B97D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D6E"/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B97D6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1B37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0F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40F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40F9"/>
    <w:pPr>
      <w:keepNext/>
      <w:outlineLvl w:val="1"/>
    </w:pPr>
    <w:rPr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D40F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D40F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40F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7D40F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deltesto2">
    <w:name w:val="Body Text 2"/>
    <w:basedOn w:val="Normale"/>
    <w:link w:val="Corpodeltesto2Carattere"/>
    <w:qFormat/>
    <w:rsid w:val="007D40F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atterepredefinitoparagrafo"/>
    <w:link w:val="Corpodeltesto2"/>
    <w:rsid w:val="007D40F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7D40F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atterepredefinitoparagrafo"/>
    <w:link w:val="Intestazione"/>
    <w:rsid w:val="007D40F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Rientrocorpodeltesto2">
    <w:name w:val="Body Text Indent 2"/>
    <w:basedOn w:val="Normale"/>
    <w:link w:val="Rientrocorpodeltesto2Carattere"/>
    <w:qFormat/>
    <w:rsid w:val="007D40F9"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7D40F9"/>
    <w:rPr>
      <w:rFonts w:ascii="Times New Roman" w:eastAsia="Times New Roman" w:hAnsi="Times New Roman" w:cs="Times New Roman"/>
      <w:bCs/>
      <w:szCs w:val="20"/>
      <w:lang w:val="en-GB" w:eastAsia="zh-CN"/>
    </w:rPr>
  </w:style>
  <w:style w:type="paragraph" w:styleId="Pidipagina">
    <w:name w:val="footer"/>
    <w:basedOn w:val="Normale"/>
    <w:link w:val="PidipaginaCarattere"/>
    <w:rsid w:val="007D40F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7D40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A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0A1D"/>
    <w:rPr>
      <w:rFonts w:ascii="Lucida Grande" w:eastAsia="Times New Roman" w:hAnsi="Lucida Grande" w:cs="Lucida Grande"/>
      <w:sz w:val="18"/>
      <w:szCs w:val="18"/>
      <w:lang w:eastAsia="zh-CN"/>
    </w:rPr>
  </w:style>
  <w:style w:type="paragraph" w:customStyle="1" w:styleId="MDPI31text">
    <w:name w:val="MDPI_3.1_text"/>
    <w:qFormat/>
    <w:rsid w:val="00CA3B1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styleId="Paragrafoelenco">
    <w:name w:val="List Paragraph"/>
    <w:basedOn w:val="Normale"/>
    <w:uiPriority w:val="34"/>
    <w:qFormat/>
    <w:rsid w:val="00EE0B15"/>
    <w:pPr>
      <w:widowControl/>
      <w:suppressAutoHyphens w:val="0"/>
      <w:ind w:left="720"/>
      <w:contextualSpacing/>
    </w:pPr>
    <w:rPr>
      <w:rFonts w:ascii="Times" w:eastAsiaTheme="minorHAnsi" w:hAnsi="Times" w:cstheme="minorBidi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6796"/>
    <w:rPr>
      <w:rFonts w:ascii="Courier" w:hAnsi="Courier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646796"/>
    <w:rPr>
      <w:rFonts w:ascii="Courier" w:eastAsia="Times New Roman" w:hAnsi="Courier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A01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B97D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D6E"/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B97D6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1B3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20" Type="http://schemas.openxmlformats.org/officeDocument/2006/relationships/chart" Target="charts/chart13.xml"/><Relationship Id="rId21" Type="http://schemas.openxmlformats.org/officeDocument/2006/relationships/chart" Target="charts/chart14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5" Type="http://schemas.microsoft.com/office/2011/relationships/people" Target="people.xml"/><Relationship Id="rId10" Type="http://schemas.openxmlformats.org/officeDocument/2006/relationships/chart" Target="charts/chart3.xml"/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chart" Target="charts/chart7.xml"/><Relationship Id="rId15" Type="http://schemas.openxmlformats.org/officeDocument/2006/relationships/chart" Target="charts/chart8.xml"/><Relationship Id="rId16" Type="http://schemas.openxmlformats.org/officeDocument/2006/relationships/chart" Target="charts/chart9.xml"/><Relationship Id="rId17" Type="http://schemas.openxmlformats.org/officeDocument/2006/relationships/chart" Target="charts/chart10.xml"/><Relationship Id="rId18" Type="http://schemas.openxmlformats.org/officeDocument/2006/relationships/chart" Target="charts/chart11.xml"/><Relationship Id="rId19" Type="http://schemas.openxmlformats.org/officeDocument/2006/relationships/chart" Target="charts/chart1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reneMariaGraziaCustureri:Desktop:dottorato:TERZO%20ANNO%20:workshop%202023:grafici%20per%20workshop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Times New Roman"/>
                <a:cs typeface="Times New Roman"/>
              </a:defRPr>
            </a:pPr>
            <a:r>
              <a:rPr lang="it-IT" sz="1000">
                <a:latin typeface="Times New Roman"/>
                <a:cs typeface="Times New Roman"/>
              </a:rPr>
              <a:t>a</a:t>
            </a:r>
          </a:p>
        </c:rich>
      </c:tx>
      <c:layout>
        <c:manualLayout>
          <c:xMode val="edge"/>
          <c:yMode val="edge"/>
          <c:x val="0.12523394543192"/>
          <c:y val="0.0280972637041059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2329568400144"/>
          <c:y val="0.0601851851851852"/>
          <c:w val="0.861821530837306"/>
          <c:h val="0.661615355749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TCC!$D$3</c:f>
              <c:strCache>
                <c:ptCount val="1"/>
                <c:pt idx="0">
                  <c:v>EVOO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"/>
                  <c:y val="-0.0689661206142336"/>
                </c:manualLayout>
              </c:layout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TCC!$D$11:$D$16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0.02</c:v>
                  </c:pt>
                  <c:pt idx="2">
                    <c:v>1.27</c:v>
                  </c:pt>
                  <c:pt idx="3">
                    <c:v>0.75</c:v>
                  </c:pt>
                  <c:pt idx="4">
                    <c:v>0.07</c:v>
                  </c:pt>
                  <c:pt idx="5">
                    <c:v>0.01</c:v>
                  </c:pt>
                </c:numCache>
              </c:numRef>
            </c:plus>
            <c:minus>
              <c:numRef>
                <c:f>TCC!$D$11:$D$16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0.02</c:v>
                  </c:pt>
                  <c:pt idx="2">
                    <c:v>1.27</c:v>
                  </c:pt>
                  <c:pt idx="3">
                    <c:v>0.75</c:v>
                  </c:pt>
                  <c:pt idx="4">
                    <c:v>0.07</c:v>
                  </c:pt>
                  <c:pt idx="5">
                    <c:v>0.01</c:v>
                  </c:pt>
                </c:numCache>
              </c:numRef>
            </c:minus>
          </c:errBars>
          <c:cat>
            <c:strRef>
              <c:f>TCC!$C$4:$C$9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TCC!$D$4:$D$9</c:f>
              <c:numCache>
                <c:formatCode>General</c:formatCode>
                <c:ptCount val="6"/>
                <c:pt idx="0">
                  <c:v>6.149999999999999</c:v>
                </c:pt>
                <c:pt idx="1">
                  <c:v>6.149999999999999</c:v>
                </c:pt>
                <c:pt idx="2">
                  <c:v>8.41</c:v>
                </c:pt>
                <c:pt idx="3">
                  <c:v>6.92</c:v>
                </c:pt>
                <c:pt idx="4">
                  <c:v>6.51</c:v>
                </c:pt>
                <c:pt idx="5">
                  <c:v>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37-4EF4-B7AF-459A0B4E165A}"/>
            </c:ext>
          </c:extLst>
        </c:ser>
        <c:ser>
          <c:idx val="1"/>
          <c:order val="1"/>
          <c:tx>
            <c:v>T-MAL</c:v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TCC!$E$11:$E$16</c:f>
                <c:numCache>
                  <c:formatCode>General</c:formatCode>
                  <c:ptCount val="6"/>
                  <c:pt idx="0">
                    <c:v>0.4</c:v>
                  </c:pt>
                  <c:pt idx="1">
                    <c:v>0.18</c:v>
                  </c:pt>
                  <c:pt idx="2">
                    <c:v>0.13</c:v>
                  </c:pt>
                  <c:pt idx="3">
                    <c:v>0.19</c:v>
                  </c:pt>
                  <c:pt idx="4">
                    <c:v>0.21</c:v>
                  </c:pt>
                  <c:pt idx="5">
                    <c:v>0.09</c:v>
                  </c:pt>
                </c:numCache>
              </c:numRef>
            </c:plus>
            <c:minus>
              <c:numRef>
                <c:f>TCC!$E$11:$E$16</c:f>
                <c:numCache>
                  <c:formatCode>General</c:formatCode>
                  <c:ptCount val="6"/>
                  <c:pt idx="0">
                    <c:v>0.4</c:v>
                  </c:pt>
                  <c:pt idx="1">
                    <c:v>0.18</c:v>
                  </c:pt>
                  <c:pt idx="2">
                    <c:v>0.13</c:v>
                  </c:pt>
                  <c:pt idx="3">
                    <c:v>0.19</c:v>
                  </c:pt>
                  <c:pt idx="4">
                    <c:v>0.21</c:v>
                  </c:pt>
                  <c:pt idx="5">
                    <c:v>0.09</c:v>
                  </c:pt>
                </c:numCache>
              </c:numRef>
            </c:minus>
          </c:errBars>
          <c:val>
            <c:numRef>
              <c:f>TCC!$E$4:$E$9</c:f>
              <c:numCache>
                <c:formatCode>General</c:formatCode>
                <c:ptCount val="6"/>
                <c:pt idx="0">
                  <c:v>9.370000000000002</c:v>
                </c:pt>
                <c:pt idx="1">
                  <c:v>11.42</c:v>
                </c:pt>
                <c:pt idx="2">
                  <c:v>8.43</c:v>
                </c:pt>
                <c:pt idx="3">
                  <c:v>7.31</c:v>
                </c:pt>
                <c:pt idx="4">
                  <c:v>6.84</c:v>
                </c:pt>
                <c:pt idx="5">
                  <c:v>6.31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37-4EF4-B7AF-459A0B4E165A}"/>
            </c:ext>
          </c:extLst>
        </c:ser>
        <c:ser>
          <c:idx val="2"/>
          <c:order val="2"/>
          <c:tx>
            <c:v>M-MAL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TCC!$F$11:$F$16</c:f>
                <c:numCache>
                  <c:formatCode>General</c:formatCode>
                  <c:ptCount val="6"/>
                  <c:pt idx="0">
                    <c:v>0.71</c:v>
                  </c:pt>
                  <c:pt idx="1">
                    <c:v>0.17</c:v>
                  </c:pt>
                  <c:pt idx="2">
                    <c:v>0.41</c:v>
                  </c:pt>
                  <c:pt idx="3">
                    <c:v>0.21</c:v>
                  </c:pt>
                  <c:pt idx="4">
                    <c:v>0.07</c:v>
                  </c:pt>
                  <c:pt idx="5">
                    <c:v>0.13</c:v>
                  </c:pt>
                </c:numCache>
              </c:numRef>
            </c:plus>
            <c:minus>
              <c:numRef>
                <c:f>TCC!$F$11:$F$16</c:f>
                <c:numCache>
                  <c:formatCode>General</c:formatCode>
                  <c:ptCount val="6"/>
                  <c:pt idx="0">
                    <c:v>0.71</c:v>
                  </c:pt>
                  <c:pt idx="1">
                    <c:v>0.17</c:v>
                  </c:pt>
                  <c:pt idx="2">
                    <c:v>0.41</c:v>
                  </c:pt>
                  <c:pt idx="3">
                    <c:v>0.21</c:v>
                  </c:pt>
                  <c:pt idx="4">
                    <c:v>0.07</c:v>
                  </c:pt>
                  <c:pt idx="5">
                    <c:v>0.13</c:v>
                  </c:pt>
                </c:numCache>
              </c:numRef>
            </c:minus>
          </c:errBars>
          <c:val>
            <c:numRef>
              <c:f>TCC!$F$4:$F$9</c:f>
              <c:numCache>
                <c:formatCode>General</c:formatCode>
                <c:ptCount val="6"/>
                <c:pt idx="0">
                  <c:v>5.88</c:v>
                </c:pt>
                <c:pt idx="1">
                  <c:v>9.09</c:v>
                </c:pt>
                <c:pt idx="2">
                  <c:v>5.769999999999999</c:v>
                </c:pt>
                <c:pt idx="3">
                  <c:v>5.74</c:v>
                </c:pt>
                <c:pt idx="4">
                  <c:v>4.68</c:v>
                </c:pt>
                <c:pt idx="5">
                  <c:v>4.64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37-4EF4-B7AF-459A0B4E165A}"/>
            </c:ext>
          </c:extLst>
        </c:ser>
        <c:ser>
          <c:idx val="3"/>
          <c:order val="3"/>
          <c:tx>
            <c:v>G-MAL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TCC!$G$11:$G$16</c:f>
                <c:numCache>
                  <c:formatCode>General</c:formatCode>
                  <c:ptCount val="6"/>
                  <c:pt idx="0">
                    <c:v>0.07</c:v>
                  </c:pt>
                  <c:pt idx="1">
                    <c:v>0.4</c:v>
                  </c:pt>
                  <c:pt idx="2">
                    <c:v>0.12</c:v>
                  </c:pt>
                  <c:pt idx="3">
                    <c:v>0.87</c:v>
                  </c:pt>
                  <c:pt idx="4">
                    <c:v>0.09</c:v>
                  </c:pt>
                  <c:pt idx="5">
                    <c:v>0.42</c:v>
                  </c:pt>
                </c:numCache>
              </c:numRef>
            </c:plus>
            <c:minus>
              <c:numRef>
                <c:f>TCC!$G$11:$G$16</c:f>
                <c:numCache>
                  <c:formatCode>General</c:formatCode>
                  <c:ptCount val="6"/>
                  <c:pt idx="0">
                    <c:v>0.07</c:v>
                  </c:pt>
                  <c:pt idx="1">
                    <c:v>0.4</c:v>
                  </c:pt>
                  <c:pt idx="2">
                    <c:v>0.12</c:v>
                  </c:pt>
                  <c:pt idx="3">
                    <c:v>0.87</c:v>
                  </c:pt>
                  <c:pt idx="4">
                    <c:v>0.09</c:v>
                  </c:pt>
                  <c:pt idx="5">
                    <c:v>0.42</c:v>
                  </c:pt>
                </c:numCache>
              </c:numRef>
            </c:minus>
          </c:errBars>
          <c:val>
            <c:numRef>
              <c:f>TCC!$G$4:$G$9</c:f>
              <c:numCache>
                <c:formatCode>General</c:formatCode>
                <c:ptCount val="6"/>
                <c:pt idx="0">
                  <c:v>12.88</c:v>
                </c:pt>
                <c:pt idx="1">
                  <c:v>10.55</c:v>
                </c:pt>
                <c:pt idx="2">
                  <c:v>6.2</c:v>
                </c:pt>
                <c:pt idx="3">
                  <c:v>6.76</c:v>
                </c:pt>
                <c:pt idx="4">
                  <c:v>5.28</c:v>
                </c:pt>
                <c:pt idx="5">
                  <c:v>4.96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37-4EF4-B7AF-459A0B4E1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4737480"/>
        <c:axId val="-2085376120"/>
      </c:barChart>
      <c:catAx>
        <c:axId val="-2084737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</a:t>
                </a:r>
                <a:r>
                  <a:rPr lang="it-IT" sz="700" baseline="0">
                    <a:latin typeface="Times New Roman"/>
                    <a:cs typeface="Times New Roman"/>
                  </a:rPr>
                  <a:t> (days)</a:t>
                </a:r>
                <a:endParaRPr lang="it-IT" sz="700">
                  <a:latin typeface="Times New Roman"/>
                  <a:cs typeface="Times New Roman"/>
                </a:endParaRPr>
              </a:p>
            </c:rich>
          </c:tx>
          <c:layout>
            <c:manualLayout>
              <c:xMode val="edge"/>
              <c:yMode val="edge"/>
              <c:x val="0.418299000626778"/>
              <c:y val="0.80396128897984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5376120"/>
        <c:crosses val="autoZero"/>
        <c:auto val="1"/>
        <c:lblAlgn val="ctr"/>
        <c:lblOffset val="100"/>
        <c:noMultiLvlLbl val="0"/>
      </c:catAx>
      <c:valAx>
        <c:axId val="-20853761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700"/>
                </a:pPr>
                <a:r>
                  <a:rPr lang="it-IT" sz="700">
                    <a:latin typeface="Times New Roman"/>
                    <a:cs typeface="Times New Roman"/>
                  </a:rPr>
                  <a:t>mg</a:t>
                </a:r>
                <a:r>
                  <a:rPr lang="it-IT" sz="700" baseline="0">
                    <a:latin typeface="Times New Roman"/>
                    <a:cs typeface="Times New Roman"/>
                  </a:rPr>
                  <a:t> kg</a:t>
                </a:r>
                <a:r>
                  <a:rPr lang="it-IT" sz="700" baseline="30000">
                    <a:latin typeface="Times New Roman"/>
                    <a:cs typeface="Times New Roman"/>
                  </a:rPr>
                  <a:t>-1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4737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383336104801706"/>
          <c:y val="0.914367792532141"/>
          <c:w val="0.918656167979002"/>
          <c:h val="0.0776224846894138"/>
        </c:manualLayout>
      </c:layout>
      <c:overlay val="0"/>
      <c:txPr>
        <a:bodyPr/>
        <a:lstStyle/>
        <a:p>
          <a:pPr>
            <a:defRPr sz="7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Times New Roman"/>
                <a:cs typeface="Times New Roman"/>
              </a:defRPr>
            </a:pPr>
            <a:r>
              <a:rPr lang="it-IT" sz="1000">
                <a:latin typeface="Times New Roman"/>
                <a:cs typeface="Times New Roman"/>
              </a:rPr>
              <a:t>b</a:t>
            </a:r>
          </a:p>
        </c:rich>
      </c:tx>
      <c:layout>
        <c:manualLayout>
          <c:xMode val="edge"/>
          <c:yMode val="edge"/>
          <c:x val="0.145615393950643"/>
          <c:y val="0.0387223857291811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8003298091818"/>
          <c:y val="0.0601851851851852"/>
          <c:w val="0.815885808924836"/>
          <c:h val="0.675896163664473"/>
        </c:manualLayout>
      </c:layout>
      <c:barChart>
        <c:barDir val="col"/>
        <c:grouping val="clustered"/>
        <c:varyColors val="0"/>
        <c:ser>
          <c:idx val="0"/>
          <c:order val="0"/>
          <c:tx>
            <c:v>EVOO</c:v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infusione otgm'!$I$3:$I$8</c:f>
                <c:numCache>
                  <c:formatCode>General</c:formatCode>
                  <c:ptCount val="6"/>
                  <c:pt idx="0">
                    <c:v>1.2</c:v>
                  </c:pt>
                  <c:pt idx="1">
                    <c:v>1.3</c:v>
                  </c:pt>
                  <c:pt idx="2">
                    <c:v>1.52</c:v>
                  </c:pt>
                  <c:pt idx="3">
                    <c:v>1.56</c:v>
                  </c:pt>
                  <c:pt idx="4">
                    <c:v>1.21</c:v>
                  </c:pt>
                  <c:pt idx="5">
                    <c:v>0.85</c:v>
                  </c:pt>
                </c:numCache>
              </c:numRef>
            </c:plus>
            <c:minus>
              <c:numRef>
                <c:f>'antiox enz infusione otgm'!$I$3:$I$8</c:f>
                <c:numCache>
                  <c:formatCode>General</c:formatCode>
                  <c:ptCount val="6"/>
                  <c:pt idx="0">
                    <c:v>1.2</c:v>
                  </c:pt>
                  <c:pt idx="1">
                    <c:v>1.3</c:v>
                  </c:pt>
                  <c:pt idx="2">
                    <c:v>1.52</c:v>
                  </c:pt>
                  <c:pt idx="3">
                    <c:v>1.56</c:v>
                  </c:pt>
                  <c:pt idx="4">
                    <c:v>1.21</c:v>
                  </c:pt>
                  <c:pt idx="5">
                    <c:v>0.85</c:v>
                  </c:pt>
                </c:numCache>
              </c:numRef>
            </c:minus>
          </c:errBars>
          <c:cat>
            <c:strRef>
              <c:f>'antiox enz infusione otgm'!$A$3:$A$8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'antiox enz infusione otgm'!$H$3:$H$8</c:f>
              <c:numCache>
                <c:formatCode>General</c:formatCode>
                <c:ptCount val="6"/>
                <c:pt idx="0">
                  <c:v>25.01</c:v>
                </c:pt>
                <c:pt idx="1">
                  <c:v>24.71</c:v>
                </c:pt>
                <c:pt idx="2">
                  <c:v>23.99</c:v>
                </c:pt>
                <c:pt idx="3">
                  <c:v>21.65</c:v>
                </c:pt>
                <c:pt idx="4">
                  <c:v>18.21</c:v>
                </c:pt>
                <c:pt idx="5">
                  <c:v>4.31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D3-45EB-B9BF-1A91B48AF181}"/>
            </c:ext>
          </c:extLst>
        </c:ser>
        <c:ser>
          <c:idx val="1"/>
          <c:order val="1"/>
          <c:tx>
            <c:v>T-INF</c:v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infusione otgm'!$I$11:$I$16</c:f>
                <c:numCache>
                  <c:formatCode>General</c:formatCode>
                  <c:ptCount val="6"/>
                  <c:pt idx="0">
                    <c:v>1.97</c:v>
                  </c:pt>
                  <c:pt idx="1">
                    <c:v>2.08</c:v>
                  </c:pt>
                  <c:pt idx="2">
                    <c:v>2.45</c:v>
                  </c:pt>
                  <c:pt idx="3">
                    <c:v>2.81</c:v>
                  </c:pt>
                  <c:pt idx="4">
                    <c:v>2.97</c:v>
                  </c:pt>
                  <c:pt idx="5">
                    <c:v>2.22</c:v>
                  </c:pt>
                </c:numCache>
              </c:numRef>
            </c:plus>
            <c:minus>
              <c:numRef>
                <c:f>'antiox enz infusione otgm'!$I$11:$I$16</c:f>
                <c:numCache>
                  <c:formatCode>General</c:formatCode>
                  <c:ptCount val="6"/>
                  <c:pt idx="0">
                    <c:v>1.97</c:v>
                  </c:pt>
                  <c:pt idx="1">
                    <c:v>2.08</c:v>
                  </c:pt>
                  <c:pt idx="2">
                    <c:v>2.45</c:v>
                  </c:pt>
                  <c:pt idx="3">
                    <c:v>2.81</c:v>
                  </c:pt>
                  <c:pt idx="4">
                    <c:v>2.97</c:v>
                  </c:pt>
                  <c:pt idx="5">
                    <c:v>2.22</c:v>
                  </c:pt>
                </c:numCache>
              </c:numRef>
            </c:minus>
          </c:errBars>
          <c:val>
            <c:numRef>
              <c:f>'antiox enz infusione otgm'!$H$11:$H$16</c:f>
              <c:numCache>
                <c:formatCode>General</c:formatCode>
                <c:ptCount val="6"/>
                <c:pt idx="0">
                  <c:v>57.98</c:v>
                </c:pt>
                <c:pt idx="1">
                  <c:v>59.63</c:v>
                </c:pt>
                <c:pt idx="2">
                  <c:v>42.63</c:v>
                </c:pt>
                <c:pt idx="3">
                  <c:v>35.2</c:v>
                </c:pt>
                <c:pt idx="4">
                  <c:v>29.21</c:v>
                </c:pt>
                <c:pt idx="5">
                  <c:v>20.18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3-45EB-B9BF-1A91B48AF181}"/>
            </c:ext>
          </c:extLst>
        </c:ser>
        <c:ser>
          <c:idx val="2"/>
          <c:order val="2"/>
          <c:tx>
            <c:v>M-INF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infusione otgm'!$I$19:$I$24</c:f>
                <c:numCache>
                  <c:formatCode>General</c:formatCode>
                  <c:ptCount val="6"/>
                  <c:pt idx="0">
                    <c:v>2.81</c:v>
                  </c:pt>
                  <c:pt idx="1">
                    <c:v>2.9</c:v>
                  </c:pt>
                  <c:pt idx="2">
                    <c:v>2.45</c:v>
                  </c:pt>
                  <c:pt idx="3">
                    <c:v>1.97</c:v>
                  </c:pt>
                  <c:pt idx="4">
                    <c:v>2.09</c:v>
                  </c:pt>
                  <c:pt idx="5">
                    <c:v>1.99</c:v>
                  </c:pt>
                </c:numCache>
              </c:numRef>
            </c:plus>
            <c:minus>
              <c:numRef>
                <c:f>'antiox enz infusione otgm'!$I$19:$I$24</c:f>
                <c:numCache>
                  <c:formatCode>General</c:formatCode>
                  <c:ptCount val="6"/>
                  <c:pt idx="0">
                    <c:v>2.81</c:v>
                  </c:pt>
                  <c:pt idx="1">
                    <c:v>2.9</c:v>
                  </c:pt>
                  <c:pt idx="2">
                    <c:v>2.45</c:v>
                  </c:pt>
                  <c:pt idx="3">
                    <c:v>1.97</c:v>
                  </c:pt>
                  <c:pt idx="4">
                    <c:v>2.09</c:v>
                  </c:pt>
                  <c:pt idx="5">
                    <c:v>1.99</c:v>
                  </c:pt>
                </c:numCache>
              </c:numRef>
            </c:minus>
          </c:errBars>
          <c:val>
            <c:numRef>
              <c:f>'antiox enz infusione otgm'!$H$19:$H$24</c:f>
              <c:numCache>
                <c:formatCode>General</c:formatCode>
                <c:ptCount val="6"/>
                <c:pt idx="0">
                  <c:v>11.03</c:v>
                </c:pt>
                <c:pt idx="1">
                  <c:v>14.24</c:v>
                </c:pt>
                <c:pt idx="2">
                  <c:v>12.12</c:v>
                </c:pt>
                <c:pt idx="3">
                  <c:v>13.27</c:v>
                </c:pt>
                <c:pt idx="4">
                  <c:v>15.58</c:v>
                </c:pt>
                <c:pt idx="5">
                  <c:v>8.81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D3-45EB-B9BF-1A91B48AF181}"/>
            </c:ext>
          </c:extLst>
        </c:ser>
        <c:ser>
          <c:idx val="3"/>
          <c:order val="3"/>
          <c:tx>
            <c:v>G-INF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infusione otgm'!$I$26:$I$31</c:f>
                <c:numCache>
                  <c:formatCode>General</c:formatCode>
                  <c:ptCount val="6"/>
                  <c:pt idx="0">
                    <c:v>1.97</c:v>
                  </c:pt>
                  <c:pt idx="1">
                    <c:v>1.99</c:v>
                  </c:pt>
                  <c:pt idx="2">
                    <c:v>2.45</c:v>
                  </c:pt>
                  <c:pt idx="3">
                    <c:v>2.81</c:v>
                  </c:pt>
                  <c:pt idx="4">
                    <c:v>2.95</c:v>
                  </c:pt>
                  <c:pt idx="5">
                    <c:v>2.15</c:v>
                  </c:pt>
                </c:numCache>
              </c:numRef>
            </c:plus>
            <c:minus>
              <c:numRef>
                <c:f>'antiox enz infusione otgm'!$I$26:$I$31</c:f>
                <c:numCache>
                  <c:formatCode>General</c:formatCode>
                  <c:ptCount val="6"/>
                  <c:pt idx="0">
                    <c:v>1.97</c:v>
                  </c:pt>
                  <c:pt idx="1">
                    <c:v>1.99</c:v>
                  </c:pt>
                  <c:pt idx="2">
                    <c:v>2.45</c:v>
                  </c:pt>
                  <c:pt idx="3">
                    <c:v>2.81</c:v>
                  </c:pt>
                  <c:pt idx="4">
                    <c:v>2.95</c:v>
                  </c:pt>
                  <c:pt idx="5">
                    <c:v>2.15</c:v>
                  </c:pt>
                </c:numCache>
              </c:numRef>
            </c:minus>
          </c:errBars>
          <c:val>
            <c:numRef>
              <c:f>'antiox enz infusione otgm'!$H$26:$H$31</c:f>
              <c:numCache>
                <c:formatCode>General</c:formatCode>
                <c:ptCount val="6"/>
                <c:pt idx="0">
                  <c:v>12.95</c:v>
                </c:pt>
                <c:pt idx="1">
                  <c:v>15.05</c:v>
                </c:pt>
                <c:pt idx="2">
                  <c:v>27.13</c:v>
                </c:pt>
                <c:pt idx="3">
                  <c:v>41.53</c:v>
                </c:pt>
                <c:pt idx="4">
                  <c:v>46.89</c:v>
                </c:pt>
                <c:pt idx="5">
                  <c:v>37.32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D3-45EB-B9BF-1A91B48AF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4785496"/>
        <c:axId val="-2085388568"/>
      </c:barChart>
      <c:catAx>
        <c:axId val="-2084785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</a:t>
                </a:r>
                <a:r>
                  <a:rPr lang="it-IT" sz="700" baseline="0">
                    <a:latin typeface="Times New Roman"/>
                    <a:cs typeface="Times New Roman"/>
                  </a:rPr>
                  <a:t> (days)</a:t>
                </a:r>
                <a:endParaRPr lang="it-IT" sz="70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5388568"/>
        <c:crosses val="autoZero"/>
        <c:auto val="1"/>
        <c:lblAlgn val="ctr"/>
        <c:lblOffset val="100"/>
        <c:noMultiLvlLbl val="0"/>
      </c:catAx>
      <c:valAx>
        <c:axId val="-2085388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en-GB" sz="700" b="1" i="0" u="none" strike="noStrike" baseline="0">
                    <a:effectLst/>
                  </a:rPr>
                  <a:t>FRAP VALUE μM Fe(II) g</a:t>
                </a:r>
                <a:r>
                  <a:rPr lang="en-GB" sz="700" b="1" i="0" u="none" strike="noStrike" baseline="30000">
                    <a:effectLst/>
                  </a:rPr>
                  <a:t>-1</a:t>
                </a:r>
                <a:r>
                  <a:rPr lang="it-IT" sz="700" b="1" i="0" u="none" strike="noStrike" baseline="0">
                    <a:effectLst/>
                  </a:rPr>
                  <a:t> </a:t>
                </a:r>
                <a:endParaRPr lang="it-IT" sz="7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4785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740786521796507"/>
          <c:y val="0.92237734919862"/>
          <c:w val="0.879589020122485"/>
          <c:h val="0.0776224846894138"/>
        </c:manualLayout>
      </c:layout>
      <c:overlay val="0"/>
      <c:txPr>
        <a:bodyPr/>
        <a:lstStyle/>
        <a:p>
          <a:pPr>
            <a:defRPr sz="8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3312022673085"/>
          <c:y val="0.182369553805774"/>
          <c:w val="0.525767138233328"/>
          <c:h val="0.779141207349081"/>
        </c:manualLayout>
      </c:layout>
      <c:radarChart>
        <c:radarStyle val="marker"/>
        <c:varyColors val="0"/>
        <c:ser>
          <c:idx val="0"/>
          <c:order val="0"/>
          <c:tx>
            <c:strRef>
              <c:f>sensoriale!$U$30</c:f>
              <c:strCache>
                <c:ptCount val="1"/>
                <c:pt idx="0">
                  <c:v>EVOO</c:v>
                </c:pt>
              </c:strCache>
            </c:strRef>
          </c:tx>
          <c:spPr>
            <a:ln w="12700" cmpd="sng">
              <a:solidFill>
                <a:srgbClr val="000000"/>
              </a:solidFill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</a:ln>
            </c:spPr>
          </c:marker>
          <c:cat>
            <c:strRef>
              <c:f>sensoriale!$T$31:$T$37</c:f>
              <c:strCache>
                <c:ptCount val="7"/>
                <c:pt idx="0">
                  <c:v>Green fruity</c:v>
                </c:pt>
                <c:pt idx="1">
                  <c:v>Ripe fruity</c:v>
                </c:pt>
                <c:pt idx="2">
                  <c:v>Vegetable note</c:v>
                </c:pt>
                <c:pt idx="3">
                  <c:v>Citrusy</c:v>
                </c:pt>
                <c:pt idx="4">
                  <c:v>Smoked</c:v>
                </c:pt>
                <c:pt idx="5">
                  <c:v>Pungent </c:v>
                </c:pt>
                <c:pt idx="6">
                  <c:v>Woody</c:v>
                </c:pt>
              </c:strCache>
            </c:strRef>
          </c:cat>
          <c:val>
            <c:numRef>
              <c:f>sensoriale!$U$31:$U$37</c:f>
              <c:numCache>
                <c:formatCode>General</c:formatCode>
                <c:ptCount val="7"/>
                <c:pt idx="0">
                  <c:v>3.571428571428572</c:v>
                </c:pt>
                <c:pt idx="1">
                  <c:v>1.285714285714286</c:v>
                </c:pt>
                <c:pt idx="2">
                  <c:v>3.285714285714286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3.142857142857143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63-463E-B9CA-3C2AF0CACA84}"/>
            </c:ext>
          </c:extLst>
        </c:ser>
        <c:ser>
          <c:idx val="1"/>
          <c:order val="1"/>
          <c:tx>
            <c:strRef>
              <c:f>sensoriale!$V$30</c:f>
              <c:strCache>
                <c:ptCount val="1"/>
                <c:pt idx="0">
                  <c:v>T-INF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sysDash"/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  <a:prstDash val="sysDash"/>
              </a:ln>
            </c:spPr>
          </c:marker>
          <c:cat>
            <c:strRef>
              <c:f>sensoriale!$T$31:$T$37</c:f>
              <c:strCache>
                <c:ptCount val="7"/>
                <c:pt idx="0">
                  <c:v>Green fruity</c:v>
                </c:pt>
                <c:pt idx="1">
                  <c:v>Ripe fruity</c:v>
                </c:pt>
                <c:pt idx="2">
                  <c:v>Vegetable note</c:v>
                </c:pt>
                <c:pt idx="3">
                  <c:v>Citrusy</c:v>
                </c:pt>
                <c:pt idx="4">
                  <c:v>Smoked</c:v>
                </c:pt>
                <c:pt idx="5">
                  <c:v>Pungent </c:v>
                </c:pt>
                <c:pt idx="6">
                  <c:v>Woody</c:v>
                </c:pt>
              </c:strCache>
            </c:strRef>
          </c:cat>
          <c:val>
            <c:numRef>
              <c:f>sensoriale!$V$31:$V$37</c:f>
              <c:numCache>
                <c:formatCode>General</c:formatCode>
                <c:ptCount val="7"/>
                <c:pt idx="0">
                  <c:v>3.125</c:v>
                </c:pt>
                <c:pt idx="1">
                  <c:v>3.125</c:v>
                </c:pt>
                <c:pt idx="2">
                  <c:v>4.25</c:v>
                </c:pt>
                <c:pt idx="3">
                  <c:v>2.625</c:v>
                </c:pt>
                <c:pt idx="4">
                  <c:v>2.25</c:v>
                </c:pt>
                <c:pt idx="5">
                  <c:v>2.625</c:v>
                </c:pt>
                <c:pt idx="6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63-463E-B9CA-3C2AF0CACA84}"/>
            </c:ext>
          </c:extLst>
        </c:ser>
        <c:ser>
          <c:idx val="2"/>
          <c:order val="2"/>
          <c:tx>
            <c:strRef>
              <c:f>sensoriale!$W$30</c:f>
              <c:strCache>
                <c:ptCount val="1"/>
                <c:pt idx="0">
                  <c:v>M-INF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lgDash"/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sensoriale!$T$31:$T$37</c:f>
              <c:strCache>
                <c:ptCount val="7"/>
                <c:pt idx="0">
                  <c:v>Green fruity</c:v>
                </c:pt>
                <c:pt idx="1">
                  <c:v>Ripe fruity</c:v>
                </c:pt>
                <c:pt idx="2">
                  <c:v>Vegetable note</c:v>
                </c:pt>
                <c:pt idx="3">
                  <c:v>Citrusy</c:v>
                </c:pt>
                <c:pt idx="4">
                  <c:v>Smoked</c:v>
                </c:pt>
                <c:pt idx="5">
                  <c:v>Pungent </c:v>
                </c:pt>
                <c:pt idx="6">
                  <c:v>Woody</c:v>
                </c:pt>
              </c:strCache>
            </c:strRef>
          </c:cat>
          <c:val>
            <c:numRef>
              <c:f>sensoriale!$W$31:$W$37</c:f>
              <c:numCache>
                <c:formatCode>General</c:formatCode>
                <c:ptCount val="7"/>
                <c:pt idx="0">
                  <c:v>4.75</c:v>
                </c:pt>
                <c:pt idx="1">
                  <c:v>3.125</c:v>
                </c:pt>
                <c:pt idx="2">
                  <c:v>5.375</c:v>
                </c:pt>
                <c:pt idx="3">
                  <c:v>4.624999999999979</c:v>
                </c:pt>
                <c:pt idx="4">
                  <c:v>2.625</c:v>
                </c:pt>
                <c:pt idx="5">
                  <c:v>2.375</c:v>
                </c:pt>
                <c:pt idx="6">
                  <c:v>2.75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63-463E-B9CA-3C2AF0CACA84}"/>
            </c:ext>
          </c:extLst>
        </c:ser>
        <c:ser>
          <c:idx val="3"/>
          <c:order val="3"/>
          <c:tx>
            <c:strRef>
              <c:f>sensoriale!$X$30</c:f>
              <c:strCache>
                <c:ptCount val="1"/>
                <c:pt idx="0">
                  <c:v>G-INF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lgDashDotDot"/>
            </a:ln>
          </c:spPr>
          <c:marker>
            <c:spPr>
              <a:noFill/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sensoriale!$T$31:$T$37</c:f>
              <c:strCache>
                <c:ptCount val="7"/>
                <c:pt idx="0">
                  <c:v>Green fruity</c:v>
                </c:pt>
                <c:pt idx="1">
                  <c:v>Ripe fruity</c:v>
                </c:pt>
                <c:pt idx="2">
                  <c:v>Vegetable note</c:v>
                </c:pt>
                <c:pt idx="3">
                  <c:v>Citrusy</c:v>
                </c:pt>
                <c:pt idx="4">
                  <c:v>Smoked</c:v>
                </c:pt>
                <c:pt idx="5">
                  <c:v>Pungent </c:v>
                </c:pt>
                <c:pt idx="6">
                  <c:v>Woody</c:v>
                </c:pt>
              </c:strCache>
            </c:strRef>
          </c:cat>
          <c:val>
            <c:numRef>
              <c:f>sensoriale!$X$31:$X$37</c:f>
              <c:numCache>
                <c:formatCode>General</c:formatCode>
                <c:ptCount val="7"/>
                <c:pt idx="0">
                  <c:v>3.285714285714286</c:v>
                </c:pt>
                <c:pt idx="1">
                  <c:v>1.714285714285714</c:v>
                </c:pt>
                <c:pt idx="2">
                  <c:v>1.714285714285714</c:v>
                </c:pt>
                <c:pt idx="3">
                  <c:v>2.142857142857143</c:v>
                </c:pt>
                <c:pt idx="4">
                  <c:v>2.142857142857143</c:v>
                </c:pt>
                <c:pt idx="5">
                  <c:v>3.571428571428572</c:v>
                </c:pt>
                <c:pt idx="6">
                  <c:v>2.857142857142857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63-463E-B9CA-3C2AF0CACA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6632024"/>
        <c:axId val="-2093745816"/>
      </c:radarChart>
      <c:catAx>
        <c:axId val="21266320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lIns="0" numCol="1">
            <a:noAutofit/>
          </a:bodyPr>
          <a:lstStyle/>
          <a:p>
            <a:pPr algn="l">
              <a:lnSpc>
                <a:spcPct val="100000"/>
              </a:lnSpc>
              <a:defRPr sz="750" spc="-100">
                <a:latin typeface="Times New Roman"/>
                <a:cs typeface="Times New Roman"/>
              </a:defRPr>
            </a:pPr>
            <a:endParaRPr lang="it-IT"/>
          </a:p>
        </c:txPr>
        <c:crossAx val="-2093745816"/>
        <c:crosses val="autoZero"/>
        <c:auto val="1"/>
        <c:lblAlgn val="ctr"/>
        <c:lblOffset val="100"/>
        <c:noMultiLvlLbl val="0"/>
      </c:catAx>
      <c:valAx>
        <c:axId val="-2093745816"/>
        <c:scaling>
          <c:orientation val="minMax"/>
          <c:max val="6.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2126632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0"/>
          <c:y val="0.013909167685349"/>
          <c:w val="0.958362248438584"/>
          <c:h val="0.145872464245831"/>
        </c:manualLayout>
      </c:layout>
      <c:overlay val="0"/>
      <c:txPr>
        <a:bodyPr/>
        <a:lstStyle/>
        <a:p>
          <a:pPr>
            <a:defRPr sz="8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0165179352581"/>
          <c:y val="0.182248582700975"/>
          <c:w val="0.508982327209099"/>
          <c:h val="0.692597663272133"/>
        </c:manualLayout>
      </c:layout>
      <c:radarChart>
        <c:radarStyle val="marker"/>
        <c:varyColors val="0"/>
        <c:ser>
          <c:idx val="0"/>
          <c:order val="0"/>
          <c:tx>
            <c:strRef>
              <c:f>sensoriale!$O$30</c:f>
              <c:strCache>
                <c:ptCount val="1"/>
                <c:pt idx="0">
                  <c:v>EVOO</c:v>
                </c:pt>
              </c:strCache>
            </c:strRef>
          </c:tx>
          <c:spPr>
            <a:ln w="12700" cmpd="sng">
              <a:solidFill>
                <a:schemeClr val="tx1"/>
              </a:solidFill>
            </a:ln>
          </c:spPr>
          <c:marker>
            <c:spPr>
              <a:noFill/>
              <a:ln w="12700" cmpd="sng">
                <a:solidFill>
                  <a:schemeClr val="tx1"/>
                </a:solidFill>
              </a:ln>
            </c:spPr>
          </c:marker>
          <c:cat>
            <c:strRef>
              <c:f>sensoriale!$N$31:$N$37</c:f>
              <c:strCache>
                <c:ptCount val="7"/>
                <c:pt idx="0">
                  <c:v>Green fruity</c:v>
                </c:pt>
                <c:pt idx="1">
                  <c:v>Ripe fruity</c:v>
                </c:pt>
                <c:pt idx="2">
                  <c:v>Vegetable note</c:v>
                </c:pt>
                <c:pt idx="3">
                  <c:v>Citrusy</c:v>
                </c:pt>
                <c:pt idx="4">
                  <c:v>Smoked</c:v>
                </c:pt>
                <c:pt idx="5">
                  <c:v>Pungent </c:v>
                </c:pt>
                <c:pt idx="6">
                  <c:v>Woody</c:v>
                </c:pt>
              </c:strCache>
            </c:strRef>
          </c:cat>
          <c:val>
            <c:numRef>
              <c:f>sensoriale!$O$31:$O$37</c:f>
              <c:numCache>
                <c:formatCode>General</c:formatCode>
                <c:ptCount val="7"/>
                <c:pt idx="0">
                  <c:v>3.571428571428572</c:v>
                </c:pt>
                <c:pt idx="1">
                  <c:v>1.285714285714286</c:v>
                </c:pt>
                <c:pt idx="2">
                  <c:v>3.285714285714286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3.142857142857143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7-4B89-9ABC-BB9F491C03A2}"/>
            </c:ext>
          </c:extLst>
        </c:ser>
        <c:ser>
          <c:idx val="1"/>
          <c:order val="1"/>
          <c:tx>
            <c:strRef>
              <c:f>sensoriale!$P$30</c:f>
              <c:strCache>
                <c:ptCount val="1"/>
                <c:pt idx="0">
                  <c:v>T-MAL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sysDash"/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sensoriale!$N$31:$N$37</c:f>
              <c:strCache>
                <c:ptCount val="7"/>
                <c:pt idx="0">
                  <c:v>Green fruity</c:v>
                </c:pt>
                <c:pt idx="1">
                  <c:v>Ripe fruity</c:v>
                </c:pt>
                <c:pt idx="2">
                  <c:v>Vegetable note</c:v>
                </c:pt>
                <c:pt idx="3">
                  <c:v>Citrusy</c:v>
                </c:pt>
                <c:pt idx="4">
                  <c:v>Smoked</c:v>
                </c:pt>
                <c:pt idx="5">
                  <c:v>Pungent </c:v>
                </c:pt>
                <c:pt idx="6">
                  <c:v>Woody</c:v>
                </c:pt>
              </c:strCache>
            </c:strRef>
          </c:cat>
          <c:val>
            <c:numRef>
              <c:f>sensoriale!$P$31:$P$37</c:f>
              <c:numCache>
                <c:formatCode>General</c:formatCode>
                <c:ptCount val="7"/>
                <c:pt idx="0">
                  <c:v>2.75</c:v>
                </c:pt>
                <c:pt idx="1">
                  <c:v>4.0</c:v>
                </c:pt>
                <c:pt idx="2">
                  <c:v>4.25</c:v>
                </c:pt>
                <c:pt idx="3">
                  <c:v>2.5</c:v>
                </c:pt>
                <c:pt idx="4">
                  <c:v>1.625</c:v>
                </c:pt>
                <c:pt idx="5">
                  <c:v>2.0</c:v>
                </c:pt>
                <c:pt idx="6">
                  <c:v>1.625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17-4B89-9ABC-BB9F491C03A2}"/>
            </c:ext>
          </c:extLst>
        </c:ser>
        <c:ser>
          <c:idx val="2"/>
          <c:order val="2"/>
          <c:tx>
            <c:strRef>
              <c:f>sensoriale!$Q$30</c:f>
              <c:strCache>
                <c:ptCount val="1"/>
                <c:pt idx="0">
                  <c:v>M-MAL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lgDash"/>
            </a:ln>
          </c:spPr>
          <c:marker>
            <c:spPr>
              <a:solidFill>
                <a:schemeClr val="bg1"/>
              </a:solidFill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sensoriale!$N$31:$N$37</c:f>
              <c:strCache>
                <c:ptCount val="7"/>
                <c:pt idx="0">
                  <c:v>Green fruity</c:v>
                </c:pt>
                <c:pt idx="1">
                  <c:v>Ripe fruity</c:v>
                </c:pt>
                <c:pt idx="2">
                  <c:v>Vegetable note</c:v>
                </c:pt>
                <c:pt idx="3">
                  <c:v>Citrusy</c:v>
                </c:pt>
                <c:pt idx="4">
                  <c:v>Smoked</c:v>
                </c:pt>
                <c:pt idx="5">
                  <c:v>Pungent </c:v>
                </c:pt>
                <c:pt idx="6">
                  <c:v>Woody</c:v>
                </c:pt>
              </c:strCache>
            </c:strRef>
          </c:cat>
          <c:val>
            <c:numRef>
              <c:f>sensoriale!$Q$31:$Q$37</c:f>
              <c:numCache>
                <c:formatCode>General</c:formatCode>
                <c:ptCount val="7"/>
                <c:pt idx="0">
                  <c:v>4.0</c:v>
                </c:pt>
                <c:pt idx="1">
                  <c:v>3.625</c:v>
                </c:pt>
                <c:pt idx="2">
                  <c:v>4.5</c:v>
                </c:pt>
                <c:pt idx="3">
                  <c:v>4.75</c:v>
                </c:pt>
                <c:pt idx="4">
                  <c:v>1.625</c:v>
                </c:pt>
                <c:pt idx="5">
                  <c:v>2.875</c:v>
                </c:pt>
                <c:pt idx="6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17-4B89-9ABC-BB9F491C03A2}"/>
            </c:ext>
          </c:extLst>
        </c:ser>
        <c:ser>
          <c:idx val="3"/>
          <c:order val="3"/>
          <c:tx>
            <c:strRef>
              <c:f>sensoriale!$R$30</c:f>
              <c:strCache>
                <c:ptCount val="1"/>
                <c:pt idx="0">
                  <c:v>G-MAL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lgDashDot"/>
            </a:ln>
          </c:spPr>
          <c:marker>
            <c:spPr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sensoriale!$N$31:$N$37</c:f>
              <c:strCache>
                <c:ptCount val="7"/>
                <c:pt idx="0">
                  <c:v>Green fruity</c:v>
                </c:pt>
                <c:pt idx="1">
                  <c:v>Ripe fruity</c:v>
                </c:pt>
                <c:pt idx="2">
                  <c:v>Vegetable note</c:v>
                </c:pt>
                <c:pt idx="3">
                  <c:v>Citrusy</c:v>
                </c:pt>
                <c:pt idx="4">
                  <c:v>Smoked</c:v>
                </c:pt>
                <c:pt idx="5">
                  <c:v>Pungent </c:v>
                </c:pt>
                <c:pt idx="6">
                  <c:v>Woody</c:v>
                </c:pt>
              </c:strCache>
            </c:strRef>
          </c:cat>
          <c:val>
            <c:numRef>
              <c:f>sensoriale!$R$31:$R$37</c:f>
              <c:numCache>
                <c:formatCode>General</c:formatCode>
                <c:ptCount val="7"/>
                <c:pt idx="0">
                  <c:v>1.714285714285714</c:v>
                </c:pt>
                <c:pt idx="1">
                  <c:v>2.428571428571428</c:v>
                </c:pt>
                <c:pt idx="2">
                  <c:v>3.571428571428572</c:v>
                </c:pt>
                <c:pt idx="3">
                  <c:v>3.0</c:v>
                </c:pt>
                <c:pt idx="4">
                  <c:v>1.571428571428571</c:v>
                </c:pt>
                <c:pt idx="5">
                  <c:v>2.0</c:v>
                </c:pt>
                <c:pt idx="6">
                  <c:v>1.714285714285714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17-4B89-9ABC-BB9F491C0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9217176"/>
        <c:axId val="2129362040"/>
      </c:radarChart>
      <c:catAx>
        <c:axId val="21292171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50" kern="900">
                <a:latin typeface="Times New Roman"/>
                <a:cs typeface="Times New Roman"/>
              </a:defRPr>
            </a:pPr>
            <a:endParaRPr lang="it-IT"/>
          </a:p>
        </c:txPr>
        <c:crossAx val="2129362040"/>
        <c:crosses val="autoZero"/>
        <c:auto val="1"/>
        <c:lblAlgn val="ctr"/>
        <c:lblOffset val="100"/>
        <c:noMultiLvlLbl val="0"/>
      </c:catAx>
      <c:valAx>
        <c:axId val="212936204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21292171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0347359580052493"/>
          <c:y val="0.0249416056134804"/>
          <c:w val="0.931748466257669"/>
          <c:h val="0.107880264966879"/>
        </c:manualLayout>
      </c:layout>
      <c:overlay val="0"/>
      <c:txPr>
        <a:bodyPr/>
        <a:lstStyle/>
        <a:p>
          <a:pPr>
            <a:defRPr sz="8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5790694090285"/>
          <c:y val="0.200970333253798"/>
          <c:w val="0.558632345111665"/>
          <c:h val="0.640073570349161"/>
        </c:manualLayout>
      </c:layout>
      <c:radarChart>
        <c:radarStyle val="marker"/>
        <c:varyColors val="0"/>
        <c:ser>
          <c:idx val="0"/>
          <c:order val="0"/>
          <c:tx>
            <c:strRef>
              <c:f>sensoriale!$O$39</c:f>
              <c:strCache>
                <c:ptCount val="1"/>
                <c:pt idx="0">
                  <c:v>EVOO</c:v>
                </c:pt>
              </c:strCache>
            </c:strRef>
          </c:tx>
          <c:spPr>
            <a:ln w="12700" cmpd="sng">
              <a:solidFill>
                <a:srgbClr val="000000"/>
              </a:solidFill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</a:ln>
            </c:spPr>
          </c:marker>
          <c:cat>
            <c:strRef>
              <c:f>sensoriale!$N$40:$N$48</c:f>
              <c:strCache>
                <c:ptCount val="9"/>
                <c:pt idx="0">
                  <c:v>Fruity</c:v>
                </c:pt>
                <c:pt idx="1">
                  <c:v>Bitter</c:v>
                </c:pt>
                <c:pt idx="2">
                  <c:v>Salty</c:v>
                </c:pt>
                <c:pt idx="3">
                  <c:v>Sweet</c:v>
                </c:pt>
                <c:pt idx="4">
                  <c:v>Floral</c:v>
                </c:pt>
                <c:pt idx="5">
                  <c:v>Equilibrium</c:v>
                </c:pt>
                <c:pt idx="6">
                  <c:v>Spicy</c:v>
                </c:pt>
                <c:pt idx="7">
                  <c:v>Citrusy</c:v>
                </c:pt>
                <c:pt idx="8">
                  <c:v>Astringent</c:v>
                </c:pt>
              </c:strCache>
            </c:strRef>
          </c:cat>
          <c:val>
            <c:numRef>
              <c:f>sensoriale!$O$40:$O$48</c:f>
              <c:numCache>
                <c:formatCode>General</c:formatCode>
                <c:ptCount val="9"/>
                <c:pt idx="0">
                  <c:v>3.142857142857143</c:v>
                </c:pt>
                <c:pt idx="1">
                  <c:v>4.285714285714285</c:v>
                </c:pt>
                <c:pt idx="2">
                  <c:v>4.571428571428571</c:v>
                </c:pt>
                <c:pt idx="3">
                  <c:v>3.714285714285714</c:v>
                </c:pt>
                <c:pt idx="4">
                  <c:v>2.142857142857143</c:v>
                </c:pt>
                <c:pt idx="5">
                  <c:v>5.571428571428571</c:v>
                </c:pt>
                <c:pt idx="6">
                  <c:v>1.857142857142857</c:v>
                </c:pt>
                <c:pt idx="7">
                  <c:v>1.285714285714286</c:v>
                </c:pt>
                <c:pt idx="8">
                  <c:v>3.142857142857143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9E-413A-A0CC-ACD4CD4FA2B2}"/>
            </c:ext>
          </c:extLst>
        </c:ser>
        <c:ser>
          <c:idx val="1"/>
          <c:order val="1"/>
          <c:tx>
            <c:strRef>
              <c:f>sensoriale!$P$39</c:f>
              <c:strCache>
                <c:ptCount val="1"/>
                <c:pt idx="0">
                  <c:v>T-MAL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sysDash"/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sensoriale!$N$40:$N$48</c:f>
              <c:strCache>
                <c:ptCount val="9"/>
                <c:pt idx="0">
                  <c:v>Fruity</c:v>
                </c:pt>
                <c:pt idx="1">
                  <c:v>Bitter</c:v>
                </c:pt>
                <c:pt idx="2">
                  <c:v>Salty</c:v>
                </c:pt>
                <c:pt idx="3">
                  <c:v>Sweet</c:v>
                </c:pt>
                <c:pt idx="4">
                  <c:v>Floral</c:v>
                </c:pt>
                <c:pt idx="5">
                  <c:v>Equilibrium</c:v>
                </c:pt>
                <c:pt idx="6">
                  <c:v>Spicy</c:v>
                </c:pt>
                <c:pt idx="7">
                  <c:v>Citrusy</c:v>
                </c:pt>
                <c:pt idx="8">
                  <c:v>Astringent</c:v>
                </c:pt>
              </c:strCache>
            </c:strRef>
          </c:cat>
          <c:val>
            <c:numRef>
              <c:f>sensoriale!$P$40:$P$48</c:f>
              <c:numCache>
                <c:formatCode>General</c:formatCode>
                <c:ptCount val="9"/>
                <c:pt idx="0">
                  <c:v>3.0</c:v>
                </c:pt>
                <c:pt idx="1">
                  <c:v>3.25</c:v>
                </c:pt>
                <c:pt idx="2">
                  <c:v>3.0</c:v>
                </c:pt>
                <c:pt idx="3">
                  <c:v>5.624999999999979</c:v>
                </c:pt>
                <c:pt idx="4">
                  <c:v>4.5</c:v>
                </c:pt>
                <c:pt idx="5">
                  <c:v>6.124999999999983</c:v>
                </c:pt>
                <c:pt idx="6">
                  <c:v>5.124999999999983</c:v>
                </c:pt>
                <c:pt idx="7">
                  <c:v>4.0</c:v>
                </c:pt>
                <c:pt idx="8">
                  <c:v>4.0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9E-413A-A0CC-ACD4CD4FA2B2}"/>
            </c:ext>
          </c:extLst>
        </c:ser>
        <c:ser>
          <c:idx val="2"/>
          <c:order val="2"/>
          <c:tx>
            <c:strRef>
              <c:f>sensoriale!$Q$39</c:f>
              <c:strCache>
                <c:ptCount val="1"/>
                <c:pt idx="0">
                  <c:v>M-MAL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lgDash"/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sensoriale!$N$40:$N$48</c:f>
              <c:strCache>
                <c:ptCount val="9"/>
                <c:pt idx="0">
                  <c:v>Fruity</c:v>
                </c:pt>
                <c:pt idx="1">
                  <c:v>Bitter</c:v>
                </c:pt>
                <c:pt idx="2">
                  <c:v>Salty</c:v>
                </c:pt>
                <c:pt idx="3">
                  <c:v>Sweet</c:v>
                </c:pt>
                <c:pt idx="4">
                  <c:v>Floral</c:v>
                </c:pt>
                <c:pt idx="5">
                  <c:v>Equilibrium</c:v>
                </c:pt>
                <c:pt idx="6">
                  <c:v>Spicy</c:v>
                </c:pt>
                <c:pt idx="7">
                  <c:v>Citrusy</c:v>
                </c:pt>
                <c:pt idx="8">
                  <c:v>Astringent</c:v>
                </c:pt>
              </c:strCache>
            </c:strRef>
          </c:cat>
          <c:val>
            <c:numRef>
              <c:f>sensoriale!$Q$40:$Q$48</c:f>
              <c:numCache>
                <c:formatCode>General</c:formatCode>
                <c:ptCount val="9"/>
                <c:pt idx="0">
                  <c:v>3.875</c:v>
                </c:pt>
                <c:pt idx="1">
                  <c:v>3.625</c:v>
                </c:pt>
                <c:pt idx="2">
                  <c:v>3.625</c:v>
                </c:pt>
                <c:pt idx="3">
                  <c:v>5.0</c:v>
                </c:pt>
                <c:pt idx="4">
                  <c:v>3.625</c:v>
                </c:pt>
                <c:pt idx="5">
                  <c:v>5.0</c:v>
                </c:pt>
                <c:pt idx="6">
                  <c:v>3.125</c:v>
                </c:pt>
                <c:pt idx="7">
                  <c:v>4.5</c:v>
                </c:pt>
                <c:pt idx="8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9E-413A-A0CC-ACD4CD4FA2B2}"/>
            </c:ext>
          </c:extLst>
        </c:ser>
        <c:ser>
          <c:idx val="3"/>
          <c:order val="3"/>
          <c:tx>
            <c:strRef>
              <c:f>sensoriale!$R$39</c:f>
              <c:strCache>
                <c:ptCount val="1"/>
                <c:pt idx="0">
                  <c:v>G-MAL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lgDashDotDot"/>
            </a:ln>
          </c:spPr>
          <c:marker>
            <c:spPr>
              <a:noFill/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sensoriale!$N$40:$N$48</c:f>
              <c:strCache>
                <c:ptCount val="9"/>
                <c:pt idx="0">
                  <c:v>Fruity</c:v>
                </c:pt>
                <c:pt idx="1">
                  <c:v>Bitter</c:v>
                </c:pt>
                <c:pt idx="2">
                  <c:v>Salty</c:v>
                </c:pt>
                <c:pt idx="3">
                  <c:v>Sweet</c:v>
                </c:pt>
                <c:pt idx="4">
                  <c:v>Floral</c:v>
                </c:pt>
                <c:pt idx="5">
                  <c:v>Equilibrium</c:v>
                </c:pt>
                <c:pt idx="6">
                  <c:v>Spicy</c:v>
                </c:pt>
                <c:pt idx="7">
                  <c:v>Citrusy</c:v>
                </c:pt>
                <c:pt idx="8">
                  <c:v>Astringent</c:v>
                </c:pt>
              </c:strCache>
            </c:strRef>
          </c:cat>
          <c:val>
            <c:numRef>
              <c:f>sensoriale!$R$40:$R$48</c:f>
              <c:numCache>
                <c:formatCode>General</c:formatCode>
                <c:ptCount val="9"/>
                <c:pt idx="0">
                  <c:v>2.857142857142857</c:v>
                </c:pt>
                <c:pt idx="1">
                  <c:v>3.571428571428572</c:v>
                </c:pt>
                <c:pt idx="2">
                  <c:v>3.428571428571428</c:v>
                </c:pt>
                <c:pt idx="3">
                  <c:v>4.571428571428571</c:v>
                </c:pt>
                <c:pt idx="4">
                  <c:v>4.285714285714285</c:v>
                </c:pt>
                <c:pt idx="5">
                  <c:v>4.714285714285705</c:v>
                </c:pt>
                <c:pt idx="6">
                  <c:v>4.857142857142842</c:v>
                </c:pt>
                <c:pt idx="7">
                  <c:v>2.285714285714286</c:v>
                </c:pt>
                <c:pt idx="8">
                  <c:v>2.857142857142857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9E-413A-A0CC-ACD4CD4FA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9400760"/>
        <c:axId val="2129405864"/>
      </c:radarChart>
      <c:catAx>
        <c:axId val="212940076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  <a:cs typeface="Times New Roman"/>
              </a:defRPr>
            </a:pPr>
            <a:endParaRPr lang="it-IT"/>
          </a:p>
        </c:txPr>
        <c:crossAx val="2129405864"/>
        <c:crosses val="autoZero"/>
        <c:auto val="1"/>
        <c:lblAlgn val="ctr"/>
        <c:lblOffset val="100"/>
        <c:noMultiLvlLbl val="0"/>
      </c:catAx>
      <c:valAx>
        <c:axId val="2129405864"/>
        <c:scaling>
          <c:orientation val="minMax"/>
          <c:max val="8.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21294007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0"/>
          <c:y val="0.037037037037037"/>
          <c:w val="0.998325370583125"/>
          <c:h val="0.0978449852859301"/>
        </c:manualLayout>
      </c:layout>
      <c:overlay val="0"/>
      <c:txPr>
        <a:bodyPr/>
        <a:lstStyle/>
        <a:p>
          <a:pPr>
            <a:defRPr sz="8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3937680866815"/>
          <c:y val="0.229837747554283"/>
          <c:w val="0.523577629719362"/>
          <c:h val="0.61877356239561"/>
        </c:manualLayout>
      </c:layout>
      <c:radarChart>
        <c:radarStyle val="marker"/>
        <c:varyColors val="0"/>
        <c:ser>
          <c:idx val="0"/>
          <c:order val="0"/>
          <c:tx>
            <c:strRef>
              <c:f>sensoriale!$U$39</c:f>
              <c:strCache>
                <c:ptCount val="1"/>
                <c:pt idx="0">
                  <c:v>EVOO</c:v>
                </c:pt>
              </c:strCache>
            </c:strRef>
          </c:tx>
          <c:spPr>
            <a:ln w="12700" cmpd="sng">
              <a:solidFill>
                <a:srgbClr val="000000"/>
              </a:solidFill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</a:ln>
            </c:spPr>
          </c:marker>
          <c:cat>
            <c:strRef>
              <c:f>sensoriale!$T$40:$T$48</c:f>
              <c:strCache>
                <c:ptCount val="9"/>
                <c:pt idx="0">
                  <c:v>Fruity</c:v>
                </c:pt>
                <c:pt idx="1">
                  <c:v>Bitter</c:v>
                </c:pt>
                <c:pt idx="2">
                  <c:v>Salty</c:v>
                </c:pt>
                <c:pt idx="3">
                  <c:v>Sweet</c:v>
                </c:pt>
                <c:pt idx="4">
                  <c:v>Floral</c:v>
                </c:pt>
                <c:pt idx="5">
                  <c:v>Equilibrium</c:v>
                </c:pt>
                <c:pt idx="6">
                  <c:v>Spicy</c:v>
                </c:pt>
                <c:pt idx="7">
                  <c:v>Citrusy</c:v>
                </c:pt>
                <c:pt idx="8">
                  <c:v>Astringent</c:v>
                </c:pt>
              </c:strCache>
            </c:strRef>
          </c:cat>
          <c:val>
            <c:numRef>
              <c:f>sensoriale!$U$40:$U$48</c:f>
              <c:numCache>
                <c:formatCode>General</c:formatCode>
                <c:ptCount val="9"/>
                <c:pt idx="0">
                  <c:v>3.142857142857143</c:v>
                </c:pt>
                <c:pt idx="1">
                  <c:v>4.285714285714285</c:v>
                </c:pt>
                <c:pt idx="2">
                  <c:v>4.571428571428571</c:v>
                </c:pt>
                <c:pt idx="3">
                  <c:v>3.714285714285714</c:v>
                </c:pt>
                <c:pt idx="4">
                  <c:v>2.142857142857143</c:v>
                </c:pt>
                <c:pt idx="5">
                  <c:v>5.571428571428571</c:v>
                </c:pt>
                <c:pt idx="6">
                  <c:v>1.857142857142857</c:v>
                </c:pt>
                <c:pt idx="7">
                  <c:v>1.285714285714286</c:v>
                </c:pt>
                <c:pt idx="8">
                  <c:v>3.142857142857143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41-4A1F-99C2-6B0CA19B46BE}"/>
            </c:ext>
          </c:extLst>
        </c:ser>
        <c:ser>
          <c:idx val="1"/>
          <c:order val="1"/>
          <c:tx>
            <c:strRef>
              <c:f>sensoriale!$V$39</c:f>
              <c:strCache>
                <c:ptCount val="1"/>
                <c:pt idx="0">
                  <c:v>T-INF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sysDash"/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sensoriale!$T$40:$T$48</c:f>
              <c:strCache>
                <c:ptCount val="9"/>
                <c:pt idx="0">
                  <c:v>Fruity</c:v>
                </c:pt>
                <c:pt idx="1">
                  <c:v>Bitter</c:v>
                </c:pt>
                <c:pt idx="2">
                  <c:v>Salty</c:v>
                </c:pt>
                <c:pt idx="3">
                  <c:v>Sweet</c:v>
                </c:pt>
                <c:pt idx="4">
                  <c:v>Floral</c:v>
                </c:pt>
                <c:pt idx="5">
                  <c:v>Equilibrium</c:v>
                </c:pt>
                <c:pt idx="6">
                  <c:v>Spicy</c:v>
                </c:pt>
                <c:pt idx="7">
                  <c:v>Citrusy</c:v>
                </c:pt>
                <c:pt idx="8">
                  <c:v>Astringent</c:v>
                </c:pt>
              </c:strCache>
            </c:strRef>
          </c:cat>
          <c:val>
            <c:numRef>
              <c:f>sensoriale!$V$40:$V$48</c:f>
              <c:numCache>
                <c:formatCode>General</c:formatCode>
                <c:ptCount val="9"/>
                <c:pt idx="0">
                  <c:v>3.375</c:v>
                </c:pt>
                <c:pt idx="1">
                  <c:v>4.624999999999979</c:v>
                </c:pt>
                <c:pt idx="2">
                  <c:v>4.375</c:v>
                </c:pt>
                <c:pt idx="3">
                  <c:v>4.124999999999983</c:v>
                </c:pt>
                <c:pt idx="4">
                  <c:v>3.375</c:v>
                </c:pt>
                <c:pt idx="5">
                  <c:v>4.25</c:v>
                </c:pt>
                <c:pt idx="6">
                  <c:v>4.5</c:v>
                </c:pt>
                <c:pt idx="7">
                  <c:v>2.25</c:v>
                </c:pt>
                <c:pt idx="8">
                  <c:v>3.125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41-4A1F-99C2-6B0CA19B46BE}"/>
            </c:ext>
          </c:extLst>
        </c:ser>
        <c:ser>
          <c:idx val="2"/>
          <c:order val="2"/>
          <c:tx>
            <c:strRef>
              <c:f>sensoriale!$W$39</c:f>
              <c:strCache>
                <c:ptCount val="1"/>
                <c:pt idx="0">
                  <c:v>M-INF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lgDash"/>
            </a:ln>
          </c:spPr>
          <c:marker>
            <c:spPr>
              <a:solidFill>
                <a:srgbClr val="FFFFFF"/>
              </a:solidFill>
              <a:ln w="12700" cmpd="sng">
                <a:solidFill>
                  <a:srgbClr val="000000"/>
                </a:solidFill>
                <a:prstDash val="solid"/>
              </a:ln>
            </c:spPr>
          </c:marker>
          <c:cat>
            <c:strRef>
              <c:f>sensoriale!$T$40:$T$48</c:f>
              <c:strCache>
                <c:ptCount val="9"/>
                <c:pt idx="0">
                  <c:v>Fruity</c:v>
                </c:pt>
                <c:pt idx="1">
                  <c:v>Bitter</c:v>
                </c:pt>
                <c:pt idx="2">
                  <c:v>Salty</c:v>
                </c:pt>
                <c:pt idx="3">
                  <c:v>Sweet</c:v>
                </c:pt>
                <c:pt idx="4">
                  <c:v>Floral</c:v>
                </c:pt>
                <c:pt idx="5">
                  <c:v>Equilibrium</c:v>
                </c:pt>
                <c:pt idx="6">
                  <c:v>Spicy</c:v>
                </c:pt>
                <c:pt idx="7">
                  <c:v>Citrusy</c:v>
                </c:pt>
                <c:pt idx="8">
                  <c:v>Astringent</c:v>
                </c:pt>
              </c:strCache>
            </c:strRef>
          </c:cat>
          <c:val>
            <c:numRef>
              <c:f>sensoriale!$W$40:$W$48</c:f>
              <c:numCache>
                <c:formatCode>General</c:formatCode>
                <c:ptCount val="9"/>
                <c:pt idx="0">
                  <c:v>4.0</c:v>
                </c:pt>
                <c:pt idx="1">
                  <c:v>4.624999999999979</c:v>
                </c:pt>
                <c:pt idx="2">
                  <c:v>4.0</c:v>
                </c:pt>
                <c:pt idx="3">
                  <c:v>3.625</c:v>
                </c:pt>
                <c:pt idx="4">
                  <c:v>3.75</c:v>
                </c:pt>
                <c:pt idx="5">
                  <c:v>4.375</c:v>
                </c:pt>
                <c:pt idx="6">
                  <c:v>3.875</c:v>
                </c:pt>
                <c:pt idx="7">
                  <c:v>4.25</c:v>
                </c:pt>
                <c:pt idx="8">
                  <c:v>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41-4A1F-99C2-6B0CA19B46BE}"/>
            </c:ext>
          </c:extLst>
        </c:ser>
        <c:ser>
          <c:idx val="3"/>
          <c:order val="3"/>
          <c:tx>
            <c:strRef>
              <c:f>sensoriale!$X$39</c:f>
              <c:strCache>
                <c:ptCount val="1"/>
                <c:pt idx="0">
                  <c:v>G-INF</c:v>
                </c:pt>
              </c:strCache>
            </c:strRef>
          </c:tx>
          <c:spPr>
            <a:ln w="12700" cmpd="sng">
              <a:solidFill>
                <a:srgbClr val="000000"/>
              </a:solidFill>
              <a:prstDash val="lgDashDotDot"/>
            </a:ln>
          </c:spPr>
          <c:marker>
            <c:spPr>
              <a:noFill/>
              <a:ln w="12700" cmpd="sng">
                <a:solidFill>
                  <a:srgbClr val="000000"/>
                </a:solidFill>
                <a:prstDash val="lgDashDotDot"/>
              </a:ln>
            </c:spPr>
          </c:marker>
          <c:cat>
            <c:strRef>
              <c:f>sensoriale!$T$40:$T$48</c:f>
              <c:strCache>
                <c:ptCount val="9"/>
                <c:pt idx="0">
                  <c:v>Fruity</c:v>
                </c:pt>
                <c:pt idx="1">
                  <c:v>Bitter</c:v>
                </c:pt>
                <c:pt idx="2">
                  <c:v>Salty</c:v>
                </c:pt>
                <c:pt idx="3">
                  <c:v>Sweet</c:v>
                </c:pt>
                <c:pt idx="4">
                  <c:v>Floral</c:v>
                </c:pt>
                <c:pt idx="5">
                  <c:v>Equilibrium</c:v>
                </c:pt>
                <c:pt idx="6">
                  <c:v>Spicy</c:v>
                </c:pt>
                <c:pt idx="7">
                  <c:v>Citrusy</c:v>
                </c:pt>
                <c:pt idx="8">
                  <c:v>Astringent</c:v>
                </c:pt>
              </c:strCache>
            </c:strRef>
          </c:cat>
          <c:val>
            <c:numRef>
              <c:f>sensoriale!$X$40:$X$48</c:f>
              <c:numCache>
                <c:formatCode>General</c:formatCode>
                <c:ptCount val="9"/>
                <c:pt idx="0">
                  <c:v>3.714285714285714</c:v>
                </c:pt>
                <c:pt idx="1">
                  <c:v>3.571428571428572</c:v>
                </c:pt>
                <c:pt idx="2">
                  <c:v>4.285714285714285</c:v>
                </c:pt>
                <c:pt idx="3">
                  <c:v>4.0</c:v>
                </c:pt>
                <c:pt idx="4">
                  <c:v>2.428571428571428</c:v>
                </c:pt>
                <c:pt idx="5">
                  <c:v>4.428571428571429</c:v>
                </c:pt>
                <c:pt idx="6">
                  <c:v>5.857142857142842</c:v>
                </c:pt>
                <c:pt idx="7">
                  <c:v>1.571428571428571</c:v>
                </c:pt>
                <c:pt idx="8">
                  <c:v>3.428571428571428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41-4A1F-99C2-6B0CA19B4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3005464"/>
        <c:axId val="2129343144"/>
      </c:radarChart>
      <c:catAx>
        <c:axId val="-20930054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  <a:cs typeface="Times New Roman"/>
              </a:defRPr>
            </a:pPr>
            <a:endParaRPr lang="it-IT"/>
          </a:p>
        </c:txPr>
        <c:crossAx val="2129343144"/>
        <c:crosses val="autoZero"/>
        <c:auto val="1"/>
        <c:lblAlgn val="ctr"/>
        <c:lblOffset val="100"/>
        <c:noMultiLvlLbl val="0"/>
      </c:catAx>
      <c:valAx>
        <c:axId val="212934314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93005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0388178939973175"/>
          <c:y val="0.0423280423280423"/>
          <c:w val="0.880281647486372"/>
          <c:h val="0.0980577427821522"/>
        </c:manualLayout>
      </c:layout>
      <c:overlay val="0"/>
      <c:txPr>
        <a:bodyPr/>
        <a:lstStyle/>
        <a:p>
          <a:pPr>
            <a:defRPr sz="8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Times New Roman"/>
                <a:cs typeface="Times New Roman"/>
              </a:defRPr>
            </a:pPr>
            <a:r>
              <a:rPr lang="it-IT" sz="1000">
                <a:latin typeface="Times New Roman"/>
                <a:cs typeface="Times New Roman"/>
              </a:rPr>
              <a:t>b</a:t>
            </a:r>
          </a:p>
        </c:rich>
      </c:tx>
      <c:layout>
        <c:manualLayout>
          <c:xMode val="edge"/>
          <c:yMode val="edge"/>
          <c:x val="0.146917083369811"/>
          <c:y val="0.051225479907167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6296174227404"/>
          <c:y val="0.0601851851851852"/>
          <c:w val="0.835895006256984"/>
          <c:h val="0.6793889867385"/>
        </c:manualLayout>
      </c:layout>
      <c:barChart>
        <c:barDir val="col"/>
        <c:grouping val="clustered"/>
        <c:varyColors val="0"/>
        <c:ser>
          <c:idx val="0"/>
          <c:order val="0"/>
          <c:tx>
            <c:v>EVOO</c:v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TCC!$D$26:$D$31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0.02</c:v>
                  </c:pt>
                  <c:pt idx="2">
                    <c:v>1.27</c:v>
                  </c:pt>
                  <c:pt idx="3">
                    <c:v>0.75</c:v>
                  </c:pt>
                  <c:pt idx="4">
                    <c:v>0.07</c:v>
                  </c:pt>
                  <c:pt idx="5">
                    <c:v>0.01</c:v>
                  </c:pt>
                </c:numCache>
              </c:numRef>
            </c:plus>
            <c:minus>
              <c:numRef>
                <c:f>TCC!$D$26:$D$31</c:f>
                <c:numCache>
                  <c:formatCode>General</c:formatCode>
                  <c:ptCount val="6"/>
                  <c:pt idx="0">
                    <c:v>0.1</c:v>
                  </c:pt>
                  <c:pt idx="1">
                    <c:v>0.02</c:v>
                  </c:pt>
                  <c:pt idx="2">
                    <c:v>1.27</c:v>
                  </c:pt>
                  <c:pt idx="3">
                    <c:v>0.75</c:v>
                  </c:pt>
                  <c:pt idx="4">
                    <c:v>0.07</c:v>
                  </c:pt>
                  <c:pt idx="5">
                    <c:v>0.01</c:v>
                  </c:pt>
                </c:numCache>
              </c:numRef>
            </c:minus>
          </c:errBars>
          <c:cat>
            <c:strRef>
              <c:f>TCC!$C$19:$C$24</c:f>
              <c:strCache>
                <c:ptCount val="6"/>
                <c:pt idx="0">
                  <c:v>T0ns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TCC!$D$19:$D$24</c:f>
              <c:numCache>
                <c:formatCode>General</c:formatCode>
                <c:ptCount val="6"/>
                <c:pt idx="0">
                  <c:v>6.149999999999999</c:v>
                </c:pt>
                <c:pt idx="1">
                  <c:v>6.149999999999999</c:v>
                </c:pt>
                <c:pt idx="2">
                  <c:v>8.41</c:v>
                </c:pt>
                <c:pt idx="3">
                  <c:v>6.92</c:v>
                </c:pt>
                <c:pt idx="4">
                  <c:v>6.51</c:v>
                </c:pt>
                <c:pt idx="5">
                  <c:v>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8F-4989-BBB6-8A337A2C0F3E}"/>
            </c:ext>
          </c:extLst>
        </c:ser>
        <c:ser>
          <c:idx val="1"/>
          <c:order val="1"/>
          <c:tx>
            <c:v>T-INF</c:v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TCC!$E$26:$E$31</c:f>
                <c:numCache>
                  <c:formatCode>General</c:formatCode>
                  <c:ptCount val="6"/>
                  <c:pt idx="0">
                    <c:v>0.2</c:v>
                  </c:pt>
                  <c:pt idx="1">
                    <c:v>0.16</c:v>
                  </c:pt>
                  <c:pt idx="2">
                    <c:v>2.37</c:v>
                  </c:pt>
                  <c:pt idx="3">
                    <c:v>0.61</c:v>
                  </c:pt>
                  <c:pt idx="4">
                    <c:v>0.13</c:v>
                  </c:pt>
                  <c:pt idx="5">
                    <c:v>0.16</c:v>
                  </c:pt>
                </c:numCache>
              </c:numRef>
            </c:plus>
            <c:minus>
              <c:numRef>
                <c:f>TCC!$E$26:$E$31</c:f>
                <c:numCache>
                  <c:formatCode>General</c:formatCode>
                  <c:ptCount val="6"/>
                  <c:pt idx="0">
                    <c:v>0.2</c:v>
                  </c:pt>
                  <c:pt idx="1">
                    <c:v>0.16</c:v>
                  </c:pt>
                  <c:pt idx="2">
                    <c:v>2.37</c:v>
                  </c:pt>
                  <c:pt idx="3">
                    <c:v>0.61</c:v>
                  </c:pt>
                  <c:pt idx="4">
                    <c:v>0.13</c:v>
                  </c:pt>
                  <c:pt idx="5">
                    <c:v>0.16</c:v>
                  </c:pt>
                </c:numCache>
              </c:numRef>
            </c:minus>
          </c:errBars>
          <c:val>
            <c:numRef>
              <c:f>TCC!$E$19:$E$24</c:f>
              <c:numCache>
                <c:formatCode>General</c:formatCode>
                <c:ptCount val="6"/>
                <c:pt idx="0">
                  <c:v>6.14</c:v>
                </c:pt>
                <c:pt idx="1">
                  <c:v>18.42</c:v>
                </c:pt>
                <c:pt idx="2">
                  <c:v>16.29</c:v>
                </c:pt>
                <c:pt idx="3">
                  <c:v>12.79</c:v>
                </c:pt>
                <c:pt idx="4">
                  <c:v>12.28</c:v>
                </c:pt>
                <c:pt idx="5">
                  <c:v>10.87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8F-4989-BBB6-8A337A2C0F3E}"/>
            </c:ext>
          </c:extLst>
        </c:ser>
        <c:ser>
          <c:idx val="2"/>
          <c:order val="2"/>
          <c:tx>
            <c:v>M-INF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TCC!$F$26:$F$31</c:f>
                <c:numCache>
                  <c:formatCode>General</c:formatCode>
                  <c:ptCount val="6"/>
                  <c:pt idx="0">
                    <c:v>0.6</c:v>
                  </c:pt>
                  <c:pt idx="1">
                    <c:v>1.5</c:v>
                  </c:pt>
                  <c:pt idx="2">
                    <c:v>0.85</c:v>
                  </c:pt>
                  <c:pt idx="3">
                    <c:v>0.17</c:v>
                  </c:pt>
                  <c:pt idx="4">
                    <c:v>1.61</c:v>
                  </c:pt>
                  <c:pt idx="5">
                    <c:v>0.01</c:v>
                  </c:pt>
                </c:numCache>
              </c:numRef>
            </c:plus>
            <c:minus>
              <c:numRef>
                <c:f>TCC!$F$26:$F$31</c:f>
                <c:numCache>
                  <c:formatCode>General</c:formatCode>
                  <c:ptCount val="6"/>
                  <c:pt idx="0">
                    <c:v>0.6</c:v>
                  </c:pt>
                  <c:pt idx="1">
                    <c:v>1.5</c:v>
                  </c:pt>
                  <c:pt idx="2">
                    <c:v>0.85</c:v>
                  </c:pt>
                  <c:pt idx="3">
                    <c:v>0.17</c:v>
                  </c:pt>
                  <c:pt idx="4">
                    <c:v>1.61</c:v>
                  </c:pt>
                  <c:pt idx="5">
                    <c:v>0.01</c:v>
                  </c:pt>
                </c:numCache>
              </c:numRef>
            </c:minus>
          </c:errBars>
          <c:val>
            <c:numRef>
              <c:f>TCC!$F$19:$F$24</c:f>
              <c:numCache>
                <c:formatCode>General</c:formatCode>
                <c:ptCount val="6"/>
                <c:pt idx="0">
                  <c:v>6.189999999999999</c:v>
                </c:pt>
                <c:pt idx="1">
                  <c:v>11.8</c:v>
                </c:pt>
                <c:pt idx="2">
                  <c:v>9.960000000000002</c:v>
                </c:pt>
                <c:pt idx="3">
                  <c:v>13.93</c:v>
                </c:pt>
                <c:pt idx="4">
                  <c:v>7.73</c:v>
                </c:pt>
                <c:pt idx="5">
                  <c:v>6.47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8F-4989-BBB6-8A337A2C0F3E}"/>
            </c:ext>
          </c:extLst>
        </c:ser>
        <c:ser>
          <c:idx val="3"/>
          <c:order val="3"/>
          <c:tx>
            <c:v>G-INF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TCC!$G$26:$G$31</c:f>
                <c:numCache>
                  <c:formatCode>General</c:formatCode>
                  <c:ptCount val="6"/>
                  <c:pt idx="0">
                    <c:v>0.16</c:v>
                  </c:pt>
                  <c:pt idx="1">
                    <c:v>2.01</c:v>
                  </c:pt>
                  <c:pt idx="2">
                    <c:v>0.86</c:v>
                  </c:pt>
                  <c:pt idx="3">
                    <c:v>0.65</c:v>
                  </c:pt>
                  <c:pt idx="4">
                    <c:v>0.28</c:v>
                  </c:pt>
                  <c:pt idx="5">
                    <c:v>0.05</c:v>
                  </c:pt>
                </c:numCache>
              </c:numRef>
            </c:plus>
            <c:minus>
              <c:numRef>
                <c:f>TCC!$G$26:$G$31</c:f>
                <c:numCache>
                  <c:formatCode>General</c:formatCode>
                  <c:ptCount val="6"/>
                  <c:pt idx="0">
                    <c:v>0.16</c:v>
                  </c:pt>
                  <c:pt idx="1">
                    <c:v>2.01</c:v>
                  </c:pt>
                  <c:pt idx="2">
                    <c:v>0.86</c:v>
                  </c:pt>
                  <c:pt idx="3">
                    <c:v>0.65</c:v>
                  </c:pt>
                  <c:pt idx="4">
                    <c:v>0.28</c:v>
                  </c:pt>
                  <c:pt idx="5">
                    <c:v>0.05</c:v>
                  </c:pt>
                </c:numCache>
              </c:numRef>
            </c:minus>
          </c:errBars>
          <c:val>
            <c:numRef>
              <c:f>TCC!$G$19:$G$24</c:f>
              <c:numCache>
                <c:formatCode>General</c:formatCode>
                <c:ptCount val="6"/>
                <c:pt idx="0">
                  <c:v>6.22</c:v>
                </c:pt>
                <c:pt idx="1">
                  <c:v>21.73</c:v>
                </c:pt>
                <c:pt idx="2">
                  <c:v>16.94</c:v>
                </c:pt>
                <c:pt idx="3">
                  <c:v>20.96</c:v>
                </c:pt>
                <c:pt idx="4">
                  <c:v>9.48</c:v>
                </c:pt>
                <c:pt idx="5">
                  <c:v>6.33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8F-4989-BBB6-8A337A2C0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5483016"/>
        <c:axId val="-2085329368"/>
      </c:barChart>
      <c:catAx>
        <c:axId val="-2085483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 (days)</a:t>
                </a:r>
              </a:p>
            </c:rich>
          </c:tx>
          <c:layout>
            <c:manualLayout>
              <c:xMode val="edge"/>
              <c:yMode val="edge"/>
              <c:x val="0.438499125109361"/>
              <c:y val="0.83055555555555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5329368"/>
        <c:crosses val="autoZero"/>
        <c:auto val="1"/>
        <c:lblAlgn val="ctr"/>
        <c:lblOffset val="100"/>
        <c:noMultiLvlLbl val="0"/>
      </c:catAx>
      <c:valAx>
        <c:axId val="-2085329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700"/>
                </a:pPr>
                <a:r>
                  <a:rPr lang="it-IT" sz="700">
                    <a:latin typeface="Times New Roman"/>
                    <a:cs typeface="Times New Roman"/>
                  </a:rPr>
                  <a:t>mg kg</a:t>
                </a:r>
                <a:r>
                  <a:rPr lang="it-IT" sz="700" baseline="30000">
                    <a:latin typeface="Times New Roman"/>
                    <a:cs typeface="Times New Roman"/>
                  </a:rPr>
                  <a:t>-1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5483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627322664580534"/>
          <c:y val="0.907023771376662"/>
          <c:w val="0.902313429571304"/>
          <c:h val="0.0929764508603091"/>
        </c:manualLayout>
      </c:layout>
      <c:overlay val="0"/>
      <c:txPr>
        <a:bodyPr/>
        <a:lstStyle/>
        <a:p>
          <a:pPr>
            <a:defRPr sz="7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Times New Roman"/>
                <a:cs typeface="Times New Roman"/>
              </a:defRPr>
            </a:pPr>
            <a:r>
              <a:rPr lang="it-IT" sz="1000">
                <a:latin typeface="Times New Roman"/>
                <a:cs typeface="Times New Roman"/>
              </a:rPr>
              <a:t>a</a:t>
            </a:r>
          </a:p>
        </c:rich>
      </c:tx>
      <c:layout>
        <c:manualLayout>
          <c:xMode val="edge"/>
          <c:yMode val="edge"/>
          <c:x val="0.149021756485349"/>
          <c:y val="0.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7055167136796"/>
          <c:y val="0.0215827338129496"/>
          <c:w val="0.838660944566719"/>
          <c:h val="0.704292678686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'TPC OTMG'!$B$1</c:f>
              <c:strCache>
                <c:ptCount val="1"/>
                <c:pt idx="0">
                  <c:v>EVOO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'TPC OTMG'!$B$9:$B$14</c:f>
                <c:numCache>
                  <c:formatCode>General</c:formatCode>
                  <c:ptCount val="6"/>
                  <c:pt idx="0">
                    <c:v>4.83</c:v>
                  </c:pt>
                  <c:pt idx="1">
                    <c:v>24.47</c:v>
                  </c:pt>
                  <c:pt idx="2">
                    <c:v>18.44</c:v>
                  </c:pt>
                  <c:pt idx="3">
                    <c:v>22.37</c:v>
                  </c:pt>
                  <c:pt idx="4">
                    <c:v>19.17000000000001</c:v>
                  </c:pt>
                  <c:pt idx="5">
                    <c:v>8.95</c:v>
                  </c:pt>
                </c:numCache>
              </c:numRef>
            </c:plus>
            <c:minus>
              <c:numRef>
                <c:f>'TPC OTMG'!$B$9:$B$14</c:f>
                <c:numCache>
                  <c:formatCode>General</c:formatCode>
                  <c:ptCount val="6"/>
                  <c:pt idx="0">
                    <c:v>4.83</c:v>
                  </c:pt>
                  <c:pt idx="1">
                    <c:v>24.47</c:v>
                  </c:pt>
                  <c:pt idx="2">
                    <c:v>18.44</c:v>
                  </c:pt>
                  <c:pt idx="3">
                    <c:v>22.37</c:v>
                  </c:pt>
                  <c:pt idx="4">
                    <c:v>19.17000000000001</c:v>
                  </c:pt>
                  <c:pt idx="5">
                    <c:v>8.95</c:v>
                  </c:pt>
                </c:numCache>
              </c:numRef>
            </c:minus>
          </c:errBars>
          <c:cat>
            <c:strRef>
              <c:f>'TPC OTMG'!$A$2:$A$7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'TPC OTMG'!$B$2:$B$7</c:f>
              <c:numCache>
                <c:formatCode>General</c:formatCode>
                <c:ptCount val="6"/>
                <c:pt idx="0">
                  <c:v>418.51</c:v>
                </c:pt>
                <c:pt idx="1">
                  <c:v>693.04</c:v>
                </c:pt>
                <c:pt idx="2">
                  <c:v>796.339999999998</c:v>
                </c:pt>
                <c:pt idx="3">
                  <c:v>785.2</c:v>
                </c:pt>
                <c:pt idx="4">
                  <c:v>736.76</c:v>
                </c:pt>
                <c:pt idx="5">
                  <c:v>546.25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0B-4E73-9423-194D979A11EF}"/>
            </c:ext>
          </c:extLst>
        </c:ser>
        <c:ser>
          <c:idx val="1"/>
          <c:order val="1"/>
          <c:tx>
            <c:v>T-MAL</c:v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'TPC OTMG'!$C$9:$C$14</c:f>
                <c:numCache>
                  <c:formatCode>General</c:formatCode>
                  <c:ptCount val="6"/>
                  <c:pt idx="0">
                    <c:v>5.5</c:v>
                  </c:pt>
                  <c:pt idx="1">
                    <c:v>9.229999999999998</c:v>
                  </c:pt>
                  <c:pt idx="2">
                    <c:v>20.11</c:v>
                  </c:pt>
                  <c:pt idx="3">
                    <c:v>9.220000000000001</c:v>
                  </c:pt>
                  <c:pt idx="4">
                    <c:v>24.51</c:v>
                  </c:pt>
                  <c:pt idx="5">
                    <c:v>12.82</c:v>
                  </c:pt>
                </c:numCache>
              </c:numRef>
            </c:plus>
            <c:minus>
              <c:numRef>
                <c:f>'TPC OTMG'!$C$9:$C$14</c:f>
                <c:numCache>
                  <c:formatCode>General</c:formatCode>
                  <c:ptCount val="6"/>
                  <c:pt idx="0">
                    <c:v>5.5</c:v>
                  </c:pt>
                  <c:pt idx="1">
                    <c:v>9.229999999999998</c:v>
                  </c:pt>
                  <c:pt idx="2">
                    <c:v>20.11</c:v>
                  </c:pt>
                  <c:pt idx="3">
                    <c:v>9.220000000000001</c:v>
                  </c:pt>
                  <c:pt idx="4">
                    <c:v>24.51</c:v>
                  </c:pt>
                  <c:pt idx="5">
                    <c:v>12.82</c:v>
                  </c:pt>
                </c:numCache>
              </c:numRef>
            </c:minus>
          </c:errBars>
          <c:val>
            <c:numRef>
              <c:f>'TPC OTMG'!$C$2:$C$7</c:f>
              <c:numCache>
                <c:formatCode>General</c:formatCode>
                <c:ptCount val="6"/>
                <c:pt idx="0">
                  <c:v>304.9299999999996</c:v>
                </c:pt>
                <c:pt idx="1">
                  <c:v>622.3599999999979</c:v>
                </c:pt>
                <c:pt idx="2">
                  <c:v>809.21</c:v>
                </c:pt>
                <c:pt idx="3">
                  <c:v>546.339999999998</c:v>
                </c:pt>
                <c:pt idx="4">
                  <c:v>537.48</c:v>
                </c:pt>
                <c:pt idx="5">
                  <c:v>480.64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0B-4E73-9423-194D979A11EF}"/>
            </c:ext>
          </c:extLst>
        </c:ser>
        <c:ser>
          <c:idx val="2"/>
          <c:order val="2"/>
          <c:tx>
            <c:v>M-MAL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'TPC OTMG'!$D$9:$D$14</c:f>
                <c:numCache>
                  <c:formatCode>General</c:formatCode>
                  <c:ptCount val="6"/>
                  <c:pt idx="0">
                    <c:v>18.72</c:v>
                  </c:pt>
                  <c:pt idx="1">
                    <c:v>6.29</c:v>
                  </c:pt>
                  <c:pt idx="2">
                    <c:v>10.16</c:v>
                  </c:pt>
                  <c:pt idx="3">
                    <c:v>7.49</c:v>
                  </c:pt>
                  <c:pt idx="4">
                    <c:v>5.91</c:v>
                  </c:pt>
                  <c:pt idx="5">
                    <c:v>4.92</c:v>
                  </c:pt>
                </c:numCache>
              </c:numRef>
            </c:plus>
            <c:minus>
              <c:numRef>
                <c:f>'TPC OTMG'!$D$9:$D$14</c:f>
                <c:numCache>
                  <c:formatCode>General</c:formatCode>
                  <c:ptCount val="6"/>
                  <c:pt idx="0">
                    <c:v>18.72</c:v>
                  </c:pt>
                  <c:pt idx="1">
                    <c:v>6.29</c:v>
                  </c:pt>
                  <c:pt idx="2">
                    <c:v>10.16</c:v>
                  </c:pt>
                  <c:pt idx="3">
                    <c:v>7.49</c:v>
                  </c:pt>
                  <c:pt idx="4">
                    <c:v>5.91</c:v>
                  </c:pt>
                  <c:pt idx="5">
                    <c:v>4.92</c:v>
                  </c:pt>
                </c:numCache>
              </c:numRef>
            </c:minus>
          </c:errBars>
          <c:val>
            <c:numRef>
              <c:f>'TPC OTMG'!$D$2:$D$7</c:f>
              <c:numCache>
                <c:formatCode>General</c:formatCode>
                <c:ptCount val="6"/>
                <c:pt idx="0">
                  <c:v>445.81</c:v>
                </c:pt>
                <c:pt idx="1">
                  <c:v>737.76</c:v>
                </c:pt>
                <c:pt idx="2">
                  <c:v>699.77</c:v>
                </c:pt>
                <c:pt idx="3">
                  <c:v>702.12</c:v>
                </c:pt>
                <c:pt idx="4">
                  <c:v>569.87</c:v>
                </c:pt>
                <c:pt idx="5">
                  <c:v>557.8199999999994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0B-4E73-9423-194D979A11EF}"/>
            </c:ext>
          </c:extLst>
        </c:ser>
        <c:ser>
          <c:idx val="3"/>
          <c:order val="3"/>
          <c:tx>
            <c:v>G-MAL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'TPC OTMG'!$E$9:$E$14</c:f>
                <c:numCache>
                  <c:formatCode>General</c:formatCode>
                  <c:ptCount val="6"/>
                  <c:pt idx="0">
                    <c:v>16.88</c:v>
                  </c:pt>
                  <c:pt idx="1">
                    <c:v>11.06</c:v>
                  </c:pt>
                  <c:pt idx="2">
                    <c:v>9.0</c:v>
                  </c:pt>
                  <c:pt idx="3">
                    <c:v>3.28</c:v>
                  </c:pt>
                  <c:pt idx="4">
                    <c:v>12.07</c:v>
                  </c:pt>
                  <c:pt idx="5">
                    <c:v>6.49</c:v>
                  </c:pt>
                </c:numCache>
              </c:numRef>
            </c:plus>
            <c:minus>
              <c:numRef>
                <c:f>'TPC OTMG'!$E$9:$E$14</c:f>
                <c:numCache>
                  <c:formatCode>General</c:formatCode>
                  <c:ptCount val="6"/>
                  <c:pt idx="0">
                    <c:v>16.88</c:v>
                  </c:pt>
                  <c:pt idx="1">
                    <c:v>11.06</c:v>
                  </c:pt>
                  <c:pt idx="2">
                    <c:v>9.0</c:v>
                  </c:pt>
                  <c:pt idx="3">
                    <c:v>3.28</c:v>
                  </c:pt>
                  <c:pt idx="4">
                    <c:v>12.07</c:v>
                  </c:pt>
                  <c:pt idx="5">
                    <c:v>6.49</c:v>
                  </c:pt>
                </c:numCache>
              </c:numRef>
            </c:minus>
          </c:errBars>
          <c:val>
            <c:numRef>
              <c:f>'TPC OTMG'!$E$2:$E$7</c:f>
              <c:numCache>
                <c:formatCode>General</c:formatCode>
                <c:ptCount val="6"/>
                <c:pt idx="0">
                  <c:v>345.55</c:v>
                </c:pt>
                <c:pt idx="1">
                  <c:v>637.9499999999994</c:v>
                </c:pt>
                <c:pt idx="2">
                  <c:v>674.3099999999994</c:v>
                </c:pt>
                <c:pt idx="3">
                  <c:v>529.72</c:v>
                </c:pt>
                <c:pt idx="4">
                  <c:v>509.56</c:v>
                </c:pt>
                <c:pt idx="5">
                  <c:v>469.42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B0B-4E73-9423-194D979A1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1633128"/>
        <c:axId val="-2093960504"/>
      </c:barChart>
      <c:catAx>
        <c:axId val="-2111633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 (days)</a:t>
                </a:r>
              </a:p>
            </c:rich>
          </c:tx>
          <c:layout>
            <c:manualLayout>
              <c:xMode val="edge"/>
              <c:yMode val="edge"/>
              <c:x val="0.401856705870405"/>
              <c:y val="0.82503241602619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93960504"/>
        <c:crosses val="autoZero"/>
        <c:auto val="1"/>
        <c:lblAlgn val="ctr"/>
        <c:lblOffset val="100"/>
        <c:noMultiLvlLbl val="0"/>
      </c:catAx>
      <c:valAx>
        <c:axId val="-20939605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mg</a:t>
                </a:r>
                <a:r>
                  <a:rPr lang="it-IT" sz="700" baseline="0">
                    <a:latin typeface="Times New Roman"/>
                    <a:cs typeface="Times New Roman"/>
                  </a:rPr>
                  <a:t> kg</a:t>
                </a:r>
                <a:r>
                  <a:rPr lang="it-IT" sz="700" baseline="30000">
                    <a:latin typeface="Times New Roman"/>
                    <a:cs typeface="Times New Roman"/>
                  </a:rPr>
                  <a:t>-1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111633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5999292616775"/>
          <c:y val="0.889704673455939"/>
          <c:w val="0.84946797872251"/>
          <c:h val="0.1102955319603"/>
        </c:manualLayout>
      </c:layout>
      <c:overlay val="0"/>
      <c:txPr>
        <a:bodyPr/>
        <a:lstStyle/>
        <a:p>
          <a:pPr>
            <a:defRPr sz="7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Times New Roman"/>
                <a:cs typeface="Times New Roman"/>
              </a:defRPr>
            </a:pPr>
            <a:r>
              <a:rPr lang="it-IT" sz="1000">
                <a:latin typeface="Times New Roman"/>
                <a:cs typeface="Times New Roman"/>
              </a:rPr>
              <a:t>b</a:t>
            </a:r>
          </a:p>
        </c:rich>
      </c:tx>
      <c:layout>
        <c:manualLayout>
          <c:xMode val="edge"/>
          <c:yMode val="edge"/>
          <c:x val="0.146466644276101"/>
          <c:y val="0.0553633217993079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7567539407291"/>
          <c:y val="0.0601851851851852"/>
          <c:w val="0.842878778857747"/>
          <c:h val="0.6875597808338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'TPC OTMG'!$O$2</c:f>
              <c:strCache>
                <c:ptCount val="1"/>
                <c:pt idx="0">
                  <c:v>EVOO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 sz="700"/>
                      <a:t>f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 sz="700"/>
                      <a:t>d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 sz="700"/>
                      <a:t>a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 sz="700"/>
                      <a:t>b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 sz="700"/>
                      <a:t>c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 sz="700"/>
                      <a:t>e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'TPC OTMG'!$O$10:$O$15</c:f>
                <c:numCache>
                  <c:formatCode>General</c:formatCode>
                  <c:ptCount val="6"/>
                  <c:pt idx="0">
                    <c:v>4.83</c:v>
                  </c:pt>
                  <c:pt idx="1">
                    <c:v>4.47</c:v>
                  </c:pt>
                  <c:pt idx="2">
                    <c:v>18.44</c:v>
                  </c:pt>
                  <c:pt idx="3">
                    <c:v>22.37</c:v>
                  </c:pt>
                  <c:pt idx="4">
                    <c:v>19.17000000000001</c:v>
                  </c:pt>
                  <c:pt idx="5">
                    <c:v>8.95</c:v>
                  </c:pt>
                </c:numCache>
              </c:numRef>
            </c:plus>
            <c:minus>
              <c:numRef>
                <c:f>'TPC OTMG'!$O$10:$O$15</c:f>
                <c:numCache>
                  <c:formatCode>General</c:formatCode>
                  <c:ptCount val="6"/>
                  <c:pt idx="0">
                    <c:v>4.83</c:v>
                  </c:pt>
                  <c:pt idx="1">
                    <c:v>4.47</c:v>
                  </c:pt>
                  <c:pt idx="2">
                    <c:v>18.44</c:v>
                  </c:pt>
                  <c:pt idx="3">
                    <c:v>22.37</c:v>
                  </c:pt>
                  <c:pt idx="4">
                    <c:v>19.17000000000001</c:v>
                  </c:pt>
                  <c:pt idx="5">
                    <c:v>8.95</c:v>
                  </c:pt>
                </c:numCache>
              </c:numRef>
            </c:minus>
          </c:errBars>
          <c:cat>
            <c:strRef>
              <c:f>'TPC OTMG'!$N$3:$N$8</c:f>
              <c:strCache>
                <c:ptCount val="6"/>
                <c:pt idx="0">
                  <c:v>T0ns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'TPC OTMG'!$O$3:$O$8</c:f>
              <c:numCache>
                <c:formatCode>General</c:formatCode>
                <c:ptCount val="6"/>
                <c:pt idx="0">
                  <c:v>418.51</c:v>
                </c:pt>
                <c:pt idx="1">
                  <c:v>693.04</c:v>
                </c:pt>
                <c:pt idx="2">
                  <c:v>796.339999999998</c:v>
                </c:pt>
                <c:pt idx="3">
                  <c:v>785.2</c:v>
                </c:pt>
                <c:pt idx="4">
                  <c:v>736.76</c:v>
                </c:pt>
                <c:pt idx="5">
                  <c:v>546.25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40-4754-9D8A-786CC9344002}"/>
            </c:ext>
          </c:extLst>
        </c:ser>
        <c:ser>
          <c:idx val="1"/>
          <c:order val="1"/>
          <c:tx>
            <c:v>T-INF</c:v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'TPC OTMG'!$P$10:$P$15</c:f>
                <c:numCache>
                  <c:formatCode>General</c:formatCode>
                  <c:ptCount val="6"/>
                  <c:pt idx="0">
                    <c:v>3.33</c:v>
                  </c:pt>
                  <c:pt idx="1">
                    <c:v>4.47</c:v>
                  </c:pt>
                  <c:pt idx="2">
                    <c:v>10.61</c:v>
                  </c:pt>
                  <c:pt idx="3">
                    <c:v>13.8</c:v>
                  </c:pt>
                  <c:pt idx="4">
                    <c:v>10.89</c:v>
                  </c:pt>
                  <c:pt idx="5">
                    <c:v>16.47</c:v>
                  </c:pt>
                </c:numCache>
              </c:numRef>
            </c:plus>
            <c:minus>
              <c:numRef>
                <c:f>'TPC OTMG'!$P$10:$P$15</c:f>
                <c:numCache>
                  <c:formatCode>General</c:formatCode>
                  <c:ptCount val="6"/>
                  <c:pt idx="0">
                    <c:v>3.33</c:v>
                  </c:pt>
                  <c:pt idx="1">
                    <c:v>4.47</c:v>
                  </c:pt>
                  <c:pt idx="2">
                    <c:v>10.61</c:v>
                  </c:pt>
                  <c:pt idx="3">
                    <c:v>13.8</c:v>
                  </c:pt>
                  <c:pt idx="4">
                    <c:v>10.89</c:v>
                  </c:pt>
                  <c:pt idx="5">
                    <c:v>16.47</c:v>
                  </c:pt>
                </c:numCache>
              </c:numRef>
            </c:minus>
          </c:errBars>
          <c:val>
            <c:numRef>
              <c:f>'TPC OTMG'!$P$3:$P$8</c:f>
              <c:numCache>
                <c:formatCode>General</c:formatCode>
                <c:ptCount val="6"/>
                <c:pt idx="0">
                  <c:v>415.03</c:v>
                </c:pt>
                <c:pt idx="1">
                  <c:v>926.09</c:v>
                </c:pt>
                <c:pt idx="2">
                  <c:v>953.39</c:v>
                </c:pt>
                <c:pt idx="3">
                  <c:v>922.4499999999994</c:v>
                </c:pt>
                <c:pt idx="4">
                  <c:v>876.9499999999994</c:v>
                </c:pt>
                <c:pt idx="5">
                  <c:v>757.88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40-4754-9D8A-786CC9344002}"/>
            </c:ext>
          </c:extLst>
        </c:ser>
        <c:ser>
          <c:idx val="2"/>
          <c:order val="2"/>
          <c:tx>
            <c:v>M-INF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'TPC OTMG'!$Q$10:$Q$15</c:f>
                <c:numCache>
                  <c:formatCode>General</c:formatCode>
                  <c:ptCount val="6"/>
                  <c:pt idx="0">
                    <c:v>4.95</c:v>
                  </c:pt>
                  <c:pt idx="1">
                    <c:v>15.61</c:v>
                  </c:pt>
                  <c:pt idx="2">
                    <c:v>21.71</c:v>
                  </c:pt>
                  <c:pt idx="3">
                    <c:v>7.28</c:v>
                  </c:pt>
                  <c:pt idx="4">
                    <c:v>0.28</c:v>
                  </c:pt>
                  <c:pt idx="5">
                    <c:v>4.5</c:v>
                  </c:pt>
                </c:numCache>
              </c:numRef>
            </c:plus>
            <c:minus>
              <c:numRef>
                <c:f>'TPC OTMG'!$Q$10:$Q$15</c:f>
                <c:numCache>
                  <c:formatCode>General</c:formatCode>
                  <c:ptCount val="6"/>
                  <c:pt idx="0">
                    <c:v>4.95</c:v>
                  </c:pt>
                  <c:pt idx="1">
                    <c:v>15.61</c:v>
                  </c:pt>
                  <c:pt idx="2">
                    <c:v>21.71</c:v>
                  </c:pt>
                  <c:pt idx="3">
                    <c:v>7.28</c:v>
                  </c:pt>
                  <c:pt idx="4">
                    <c:v>0.28</c:v>
                  </c:pt>
                  <c:pt idx="5">
                    <c:v>4.5</c:v>
                  </c:pt>
                </c:numCache>
              </c:numRef>
            </c:minus>
          </c:errBars>
          <c:val>
            <c:numRef>
              <c:f>'TPC OTMG'!$Q$3:$Q$8</c:f>
              <c:numCache>
                <c:formatCode>General</c:formatCode>
                <c:ptCount val="6"/>
                <c:pt idx="0">
                  <c:v>420.52</c:v>
                </c:pt>
                <c:pt idx="1">
                  <c:v>897.9399999999994</c:v>
                </c:pt>
                <c:pt idx="2">
                  <c:v>952.79</c:v>
                </c:pt>
                <c:pt idx="3">
                  <c:v>948.4499999999994</c:v>
                </c:pt>
                <c:pt idx="4">
                  <c:v>915.5</c:v>
                </c:pt>
                <c:pt idx="5">
                  <c:v>857.59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40-4754-9D8A-786CC9344002}"/>
            </c:ext>
          </c:extLst>
        </c:ser>
        <c:ser>
          <c:idx val="3"/>
          <c:order val="3"/>
          <c:tx>
            <c:v>G-INF</c:v>
          </c:tx>
          <c:spPr>
            <a:solidFill>
              <a:schemeClr val="tx1">
                <a:lumMod val="95000"/>
                <a:lumOff val="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'TPC OTMG'!$R$10:$R$15</c:f>
                <c:numCache>
                  <c:formatCode>General</c:formatCode>
                  <c:ptCount val="6"/>
                  <c:pt idx="0">
                    <c:v>2.71</c:v>
                  </c:pt>
                  <c:pt idx="1">
                    <c:v>13.37</c:v>
                  </c:pt>
                  <c:pt idx="2">
                    <c:v>10.47</c:v>
                  </c:pt>
                  <c:pt idx="3">
                    <c:v>10.25</c:v>
                  </c:pt>
                  <c:pt idx="4">
                    <c:v>10.65</c:v>
                  </c:pt>
                  <c:pt idx="5">
                    <c:v>3.72</c:v>
                  </c:pt>
                </c:numCache>
              </c:numRef>
            </c:plus>
            <c:minus>
              <c:numRef>
                <c:f>'TPC OTMG'!$R$10:$R$15</c:f>
                <c:numCache>
                  <c:formatCode>General</c:formatCode>
                  <c:ptCount val="6"/>
                  <c:pt idx="0">
                    <c:v>2.71</c:v>
                  </c:pt>
                  <c:pt idx="1">
                    <c:v>13.37</c:v>
                  </c:pt>
                  <c:pt idx="2">
                    <c:v>10.47</c:v>
                  </c:pt>
                  <c:pt idx="3">
                    <c:v>10.25</c:v>
                  </c:pt>
                  <c:pt idx="4">
                    <c:v>10.65</c:v>
                  </c:pt>
                  <c:pt idx="5">
                    <c:v>3.72</c:v>
                  </c:pt>
                </c:numCache>
              </c:numRef>
            </c:minus>
          </c:errBars>
          <c:val>
            <c:numRef>
              <c:f>'TPC OTMG'!$R$3:$R$8</c:f>
              <c:numCache>
                <c:formatCode>General</c:formatCode>
                <c:ptCount val="6"/>
                <c:pt idx="0">
                  <c:v>417.01</c:v>
                </c:pt>
                <c:pt idx="1">
                  <c:v>805.3499999999979</c:v>
                </c:pt>
                <c:pt idx="2">
                  <c:v>706.21</c:v>
                </c:pt>
                <c:pt idx="3">
                  <c:v>789.48</c:v>
                </c:pt>
                <c:pt idx="4">
                  <c:v>708.72</c:v>
                </c:pt>
                <c:pt idx="5">
                  <c:v>663.59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40-4754-9D8A-786CC9344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470376"/>
        <c:axId val="-2138962984"/>
      </c:barChart>
      <c:catAx>
        <c:axId val="-2112470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 (days)</a:t>
                </a:r>
              </a:p>
            </c:rich>
          </c:tx>
          <c:layout>
            <c:manualLayout>
              <c:xMode val="edge"/>
              <c:yMode val="edge"/>
              <c:x val="0.459211674370087"/>
              <c:y val="0.83041547225951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138962984"/>
        <c:crosses val="autoZero"/>
        <c:auto val="1"/>
        <c:lblAlgn val="ctr"/>
        <c:lblOffset val="100"/>
        <c:noMultiLvlLbl val="0"/>
      </c:catAx>
      <c:valAx>
        <c:axId val="-2138962984"/>
        <c:scaling>
          <c:orientation val="minMax"/>
          <c:max val="100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mg kg</a:t>
                </a:r>
                <a:r>
                  <a:rPr lang="it-IT" sz="700" baseline="30000">
                    <a:latin typeface="Times New Roman"/>
                    <a:cs typeface="Times New Roman"/>
                  </a:rPr>
                  <a:t>-1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112470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861805781386331"/>
          <c:y val="0.917289705552637"/>
          <c:w val="0.90680271216098"/>
          <c:h val="0.0827099737532808"/>
        </c:manualLayout>
      </c:layout>
      <c:overlay val="0"/>
      <c:txPr>
        <a:bodyPr/>
        <a:lstStyle/>
        <a:p>
          <a:pPr>
            <a:defRPr sz="7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Times New Roman"/>
                <a:cs typeface="Times New Roman"/>
              </a:defRPr>
            </a:pPr>
            <a:r>
              <a:rPr lang="it-IT" sz="1000">
                <a:latin typeface="Times New Roman"/>
                <a:cs typeface="Times New Roman"/>
              </a:rPr>
              <a:t>a</a:t>
            </a:r>
          </a:p>
        </c:rich>
      </c:tx>
      <c:layout>
        <c:manualLayout>
          <c:xMode val="edge"/>
          <c:yMode val="edge"/>
          <c:x val="0.158832096854945"/>
          <c:y val="0.0469483568075117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9785521474111"/>
          <c:y val="0.0504103360319397"/>
          <c:w val="0.86861562269145"/>
          <c:h val="0.6786311913743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'TOCOFEROLI OTMG'!$B$1</c:f>
              <c:strCache>
                <c:ptCount val="1"/>
                <c:pt idx="0">
                  <c:v>EVOO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'TOCOFEROLI OTMG'!$B$10:$B$15</c:f>
                <c:numCache>
                  <c:formatCode>General</c:formatCode>
                  <c:ptCount val="6"/>
                  <c:pt idx="0">
                    <c:v>15.36</c:v>
                  </c:pt>
                  <c:pt idx="1">
                    <c:v>15.96</c:v>
                  </c:pt>
                  <c:pt idx="2">
                    <c:v>14.72</c:v>
                  </c:pt>
                  <c:pt idx="3">
                    <c:v>15.15</c:v>
                  </c:pt>
                  <c:pt idx="4">
                    <c:v>15.72</c:v>
                  </c:pt>
                  <c:pt idx="5">
                    <c:v>1.41</c:v>
                  </c:pt>
                </c:numCache>
              </c:numRef>
            </c:plus>
            <c:minus>
              <c:numRef>
                <c:f>'TOCOFEROLI OTMG'!$B$10:$B$15</c:f>
                <c:numCache>
                  <c:formatCode>General</c:formatCode>
                  <c:ptCount val="6"/>
                  <c:pt idx="0">
                    <c:v>15.36</c:v>
                  </c:pt>
                  <c:pt idx="1">
                    <c:v>15.96</c:v>
                  </c:pt>
                  <c:pt idx="2">
                    <c:v>14.72</c:v>
                  </c:pt>
                  <c:pt idx="3">
                    <c:v>15.15</c:v>
                  </c:pt>
                  <c:pt idx="4">
                    <c:v>15.72</c:v>
                  </c:pt>
                  <c:pt idx="5">
                    <c:v>1.41</c:v>
                  </c:pt>
                </c:numCache>
              </c:numRef>
            </c:minus>
          </c:errBars>
          <c:cat>
            <c:strRef>
              <c:f>'TOCOFEROLI OTMG'!$A$2:$A$7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'TOCOFEROLI OTMG'!$B$2:$B$7</c:f>
              <c:numCache>
                <c:formatCode>General</c:formatCode>
                <c:ptCount val="6"/>
                <c:pt idx="0">
                  <c:v>354.63</c:v>
                </c:pt>
                <c:pt idx="1">
                  <c:v>261.63</c:v>
                </c:pt>
                <c:pt idx="2">
                  <c:v>234.22</c:v>
                </c:pt>
                <c:pt idx="3">
                  <c:v>223.72</c:v>
                </c:pt>
                <c:pt idx="4">
                  <c:v>246.61</c:v>
                </c:pt>
                <c:pt idx="5">
                  <c:v>79.53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79-4647-8CC4-4712B5447D50}"/>
            </c:ext>
          </c:extLst>
        </c:ser>
        <c:ser>
          <c:idx val="1"/>
          <c:order val="1"/>
          <c:tx>
            <c:v>T-MAL</c:v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'TOCOFEROLI OTMG'!$C$10:$C$15</c:f>
                <c:numCache>
                  <c:formatCode>General</c:formatCode>
                  <c:ptCount val="6"/>
                  <c:pt idx="0">
                    <c:v>13.18</c:v>
                  </c:pt>
                  <c:pt idx="1">
                    <c:v>4.54</c:v>
                  </c:pt>
                  <c:pt idx="2">
                    <c:v>14.18</c:v>
                  </c:pt>
                  <c:pt idx="3">
                    <c:v>9.91</c:v>
                  </c:pt>
                  <c:pt idx="4">
                    <c:v>12.62</c:v>
                  </c:pt>
                  <c:pt idx="5">
                    <c:v>2.23</c:v>
                  </c:pt>
                </c:numCache>
              </c:numRef>
            </c:plus>
            <c:minus>
              <c:numRef>
                <c:f>'TOCOFEROLI OTMG'!$C$10:$C$15</c:f>
                <c:numCache>
                  <c:formatCode>General</c:formatCode>
                  <c:ptCount val="6"/>
                  <c:pt idx="0">
                    <c:v>13.18</c:v>
                  </c:pt>
                  <c:pt idx="1">
                    <c:v>4.54</c:v>
                  </c:pt>
                  <c:pt idx="2">
                    <c:v>14.18</c:v>
                  </c:pt>
                  <c:pt idx="3">
                    <c:v>9.91</c:v>
                  </c:pt>
                  <c:pt idx="4">
                    <c:v>12.62</c:v>
                  </c:pt>
                  <c:pt idx="5">
                    <c:v>2.23</c:v>
                  </c:pt>
                </c:numCache>
              </c:numRef>
            </c:minus>
          </c:errBars>
          <c:cat>
            <c:strRef>
              <c:f>'TOCOFEROLI OTMG'!$A$2:$A$7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'TOCOFEROLI OTMG'!$C$2:$C$7</c:f>
              <c:numCache>
                <c:formatCode>General</c:formatCode>
                <c:ptCount val="6"/>
                <c:pt idx="0">
                  <c:v>176.56</c:v>
                </c:pt>
                <c:pt idx="1">
                  <c:v>223.93</c:v>
                </c:pt>
                <c:pt idx="2">
                  <c:v>218.99</c:v>
                </c:pt>
                <c:pt idx="3">
                  <c:v>203.13</c:v>
                </c:pt>
                <c:pt idx="4">
                  <c:v>165.81</c:v>
                </c:pt>
                <c:pt idx="5">
                  <c:v>59.2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79-4647-8CC4-4712B5447D50}"/>
            </c:ext>
          </c:extLst>
        </c:ser>
        <c:ser>
          <c:idx val="2"/>
          <c:order val="2"/>
          <c:tx>
            <c:v>M-MAL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 sz="700"/>
                      <a:t>a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 sz="700"/>
                      <a:t>b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 sz="700"/>
                      <a:t>a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 sz="700"/>
                      <a:t>c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 sz="700"/>
                      <a:t>d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 sz="700"/>
                      <a:t>e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'TOCOFEROLI OTMG'!$D$10:$D$15</c:f>
                <c:numCache>
                  <c:formatCode>General</c:formatCode>
                  <c:ptCount val="6"/>
                  <c:pt idx="0">
                    <c:v>15.21</c:v>
                  </c:pt>
                  <c:pt idx="1">
                    <c:v>17.02</c:v>
                  </c:pt>
                  <c:pt idx="2">
                    <c:v>3.31</c:v>
                  </c:pt>
                  <c:pt idx="3">
                    <c:v>14.85</c:v>
                  </c:pt>
                  <c:pt idx="4">
                    <c:v>15.09</c:v>
                  </c:pt>
                  <c:pt idx="5">
                    <c:v>1.19</c:v>
                  </c:pt>
                </c:numCache>
              </c:numRef>
            </c:plus>
            <c:minus>
              <c:numRef>
                <c:f>'TOCOFEROLI OTMG'!$D$10:$D$15</c:f>
                <c:numCache>
                  <c:formatCode>General</c:formatCode>
                  <c:ptCount val="6"/>
                  <c:pt idx="0">
                    <c:v>15.21</c:v>
                  </c:pt>
                  <c:pt idx="1">
                    <c:v>17.02</c:v>
                  </c:pt>
                  <c:pt idx="2">
                    <c:v>3.31</c:v>
                  </c:pt>
                  <c:pt idx="3">
                    <c:v>14.85</c:v>
                  </c:pt>
                  <c:pt idx="4">
                    <c:v>15.09</c:v>
                  </c:pt>
                  <c:pt idx="5">
                    <c:v>1.19</c:v>
                  </c:pt>
                </c:numCache>
              </c:numRef>
            </c:minus>
          </c:errBars>
          <c:cat>
            <c:strRef>
              <c:f>'TOCOFEROLI OTMG'!$A$2:$A$7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'TOCOFEROLI OTMG'!$D$2:$D$7</c:f>
              <c:numCache>
                <c:formatCode>General</c:formatCode>
                <c:ptCount val="6"/>
                <c:pt idx="0">
                  <c:v>284.56</c:v>
                </c:pt>
                <c:pt idx="1">
                  <c:v>275.39</c:v>
                </c:pt>
                <c:pt idx="2">
                  <c:v>281.12</c:v>
                </c:pt>
                <c:pt idx="3">
                  <c:v>242.76</c:v>
                </c:pt>
                <c:pt idx="4">
                  <c:v>232.47</c:v>
                </c:pt>
                <c:pt idx="5">
                  <c:v>97.21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79-4647-8CC4-4712B5447D50}"/>
            </c:ext>
          </c:extLst>
        </c:ser>
        <c:ser>
          <c:idx val="3"/>
          <c:order val="3"/>
          <c:tx>
            <c:v>G-MAL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'TOCOFEROLI OTMG'!$E$10:$E$15</c:f>
                <c:numCache>
                  <c:formatCode>General</c:formatCode>
                  <c:ptCount val="6"/>
                  <c:pt idx="0">
                    <c:v>9.52</c:v>
                  </c:pt>
                  <c:pt idx="1">
                    <c:v>14.23</c:v>
                  </c:pt>
                  <c:pt idx="2">
                    <c:v>6.8</c:v>
                  </c:pt>
                  <c:pt idx="3">
                    <c:v>2.9</c:v>
                  </c:pt>
                  <c:pt idx="4">
                    <c:v>14.05</c:v>
                  </c:pt>
                  <c:pt idx="5">
                    <c:v>3.24</c:v>
                  </c:pt>
                </c:numCache>
              </c:numRef>
            </c:plus>
            <c:minus>
              <c:numRef>
                <c:f>'TOCOFEROLI OTMG'!$E$10:$E$15</c:f>
                <c:numCache>
                  <c:formatCode>General</c:formatCode>
                  <c:ptCount val="6"/>
                  <c:pt idx="0">
                    <c:v>9.52</c:v>
                  </c:pt>
                  <c:pt idx="1">
                    <c:v>14.23</c:v>
                  </c:pt>
                  <c:pt idx="2">
                    <c:v>6.8</c:v>
                  </c:pt>
                  <c:pt idx="3">
                    <c:v>2.9</c:v>
                  </c:pt>
                  <c:pt idx="4">
                    <c:v>14.05</c:v>
                  </c:pt>
                  <c:pt idx="5">
                    <c:v>3.24</c:v>
                  </c:pt>
                </c:numCache>
              </c:numRef>
            </c:minus>
          </c:errBars>
          <c:cat>
            <c:strRef>
              <c:f>'TOCOFEROLI OTMG'!$A$2:$A$7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'TOCOFEROLI OTMG'!$E$2:$E$7</c:f>
              <c:numCache>
                <c:formatCode>General</c:formatCode>
                <c:ptCount val="6"/>
                <c:pt idx="0">
                  <c:v>317.81</c:v>
                </c:pt>
                <c:pt idx="1">
                  <c:v>304.49</c:v>
                </c:pt>
                <c:pt idx="2">
                  <c:v>278.49</c:v>
                </c:pt>
                <c:pt idx="3">
                  <c:v>271.58</c:v>
                </c:pt>
                <c:pt idx="4">
                  <c:v>210.62</c:v>
                </c:pt>
                <c:pt idx="5">
                  <c:v>101.16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C79-4647-8CC4-4712B5447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534712"/>
        <c:axId val="-2093337608"/>
      </c:barChart>
      <c:catAx>
        <c:axId val="-2112534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 (days)</a:t>
                </a:r>
              </a:p>
            </c:rich>
          </c:tx>
          <c:layout>
            <c:manualLayout>
              <c:xMode val="edge"/>
              <c:yMode val="edge"/>
              <c:x val="0.443332294668146"/>
              <c:y val="0.82395764394440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93337608"/>
        <c:crosses val="autoZero"/>
        <c:auto val="1"/>
        <c:lblAlgn val="ctr"/>
        <c:lblOffset val="100"/>
        <c:noMultiLvlLbl val="0"/>
      </c:catAx>
      <c:valAx>
        <c:axId val="-2093337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mg kg</a:t>
                </a:r>
                <a:r>
                  <a:rPr lang="it-IT" sz="700" baseline="30000">
                    <a:latin typeface="Times New Roman"/>
                    <a:cs typeface="Times New Roman"/>
                  </a:rPr>
                  <a:t>-1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112534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795093532383597"/>
          <c:y val="0.908391556689217"/>
          <c:w val="0.861428040244969"/>
          <c:h val="0.0621104580237329"/>
        </c:manualLayout>
      </c:layout>
      <c:overlay val="0"/>
      <c:txPr>
        <a:bodyPr/>
        <a:lstStyle/>
        <a:p>
          <a:pPr>
            <a:defRPr sz="7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Times New Roman"/>
                <a:cs typeface="Times New Roman"/>
              </a:defRPr>
            </a:pPr>
            <a:r>
              <a:rPr lang="it-IT" sz="1000">
                <a:latin typeface="Times New Roman"/>
                <a:cs typeface="Times New Roman"/>
              </a:rPr>
              <a:t>b</a:t>
            </a:r>
          </a:p>
        </c:rich>
      </c:tx>
      <c:layout>
        <c:manualLayout>
          <c:xMode val="edge"/>
          <c:yMode val="edge"/>
          <c:x val="0.242544557832798"/>
          <c:y val="0.04671711994026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2229002624672"/>
          <c:y val="0.0524122397642385"/>
          <c:w val="0.831659886264217"/>
          <c:h val="0.6884449656558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'TOCOFEROLI OTMG'!$B$28</c:f>
              <c:strCache>
                <c:ptCount val="1"/>
                <c:pt idx="0">
                  <c:v>EVOO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'TOCOFEROLI OTMG'!$B$37:$B$42</c:f>
                <c:numCache>
                  <c:formatCode>General</c:formatCode>
                  <c:ptCount val="6"/>
                  <c:pt idx="0">
                    <c:v>15.36</c:v>
                  </c:pt>
                  <c:pt idx="1">
                    <c:v>15.96</c:v>
                  </c:pt>
                  <c:pt idx="2">
                    <c:v>14.72</c:v>
                  </c:pt>
                  <c:pt idx="3">
                    <c:v>15.15</c:v>
                  </c:pt>
                  <c:pt idx="4">
                    <c:v>15.72</c:v>
                  </c:pt>
                  <c:pt idx="5">
                    <c:v>1.41</c:v>
                  </c:pt>
                </c:numCache>
              </c:numRef>
            </c:plus>
            <c:minus>
              <c:numRef>
                <c:f>'TOCOFEROLI OTMG'!$B$37:$B$42</c:f>
                <c:numCache>
                  <c:formatCode>General</c:formatCode>
                  <c:ptCount val="6"/>
                  <c:pt idx="0">
                    <c:v>15.36</c:v>
                  </c:pt>
                  <c:pt idx="1">
                    <c:v>15.96</c:v>
                  </c:pt>
                  <c:pt idx="2">
                    <c:v>14.72</c:v>
                  </c:pt>
                  <c:pt idx="3">
                    <c:v>15.15</c:v>
                  </c:pt>
                  <c:pt idx="4">
                    <c:v>15.72</c:v>
                  </c:pt>
                  <c:pt idx="5">
                    <c:v>1.41</c:v>
                  </c:pt>
                </c:numCache>
              </c:numRef>
            </c:minus>
          </c:errBars>
          <c:cat>
            <c:strRef>
              <c:f>'TOCOFEROLI OTMG'!$A$29:$A$34</c:f>
              <c:strCache>
                <c:ptCount val="6"/>
                <c:pt idx="0">
                  <c:v>T0ns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T360ns</c:v>
                </c:pt>
              </c:strCache>
            </c:strRef>
          </c:cat>
          <c:val>
            <c:numRef>
              <c:f>'TOCOFEROLI OTMG'!$B$29:$B$34</c:f>
              <c:numCache>
                <c:formatCode>General</c:formatCode>
                <c:ptCount val="6"/>
                <c:pt idx="0">
                  <c:v>354.63</c:v>
                </c:pt>
                <c:pt idx="1">
                  <c:v>261.63</c:v>
                </c:pt>
                <c:pt idx="2">
                  <c:v>234.22</c:v>
                </c:pt>
                <c:pt idx="3">
                  <c:v>223.72</c:v>
                </c:pt>
                <c:pt idx="4">
                  <c:v>246.61</c:v>
                </c:pt>
                <c:pt idx="5">
                  <c:v>79.53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7-463F-A3CC-636E25CB089F}"/>
            </c:ext>
          </c:extLst>
        </c:ser>
        <c:ser>
          <c:idx val="1"/>
          <c:order val="1"/>
          <c:tx>
            <c:v>T-INF</c:v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A77-463F-A3CC-636E25CB089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'TOCOFEROLI OTMG'!$C$37:$C$42</c:f>
                <c:numCache>
                  <c:formatCode>General</c:formatCode>
                  <c:ptCount val="6"/>
                  <c:pt idx="0">
                    <c:v>10.1</c:v>
                  </c:pt>
                  <c:pt idx="1">
                    <c:v>15.12</c:v>
                  </c:pt>
                  <c:pt idx="2">
                    <c:v>12.2</c:v>
                  </c:pt>
                  <c:pt idx="3">
                    <c:v>10.6</c:v>
                  </c:pt>
                  <c:pt idx="4">
                    <c:v>4.1</c:v>
                  </c:pt>
                  <c:pt idx="5">
                    <c:v>1.44</c:v>
                  </c:pt>
                </c:numCache>
              </c:numRef>
            </c:plus>
            <c:minus>
              <c:numRef>
                <c:f>'TOCOFEROLI OTMG'!$C$37:$C$42</c:f>
                <c:numCache>
                  <c:formatCode>General</c:formatCode>
                  <c:ptCount val="6"/>
                  <c:pt idx="0">
                    <c:v>10.1</c:v>
                  </c:pt>
                  <c:pt idx="1">
                    <c:v>15.12</c:v>
                  </c:pt>
                  <c:pt idx="2">
                    <c:v>12.2</c:v>
                  </c:pt>
                  <c:pt idx="3">
                    <c:v>10.6</c:v>
                  </c:pt>
                  <c:pt idx="4">
                    <c:v>4.1</c:v>
                  </c:pt>
                  <c:pt idx="5">
                    <c:v>1.44</c:v>
                  </c:pt>
                </c:numCache>
              </c:numRef>
            </c:minus>
          </c:errBars>
          <c:cat>
            <c:strRef>
              <c:f>'TOCOFEROLI OTMG'!$A$29:$A$34</c:f>
              <c:strCache>
                <c:ptCount val="6"/>
                <c:pt idx="0">
                  <c:v>T0ns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T360ns</c:v>
                </c:pt>
              </c:strCache>
            </c:strRef>
          </c:cat>
          <c:val>
            <c:numRef>
              <c:f>'TOCOFEROLI OTMG'!$C$29:$C$34</c:f>
              <c:numCache>
                <c:formatCode>General</c:formatCode>
                <c:ptCount val="6"/>
                <c:pt idx="0">
                  <c:v>350.01</c:v>
                </c:pt>
                <c:pt idx="1">
                  <c:v>252.2</c:v>
                </c:pt>
                <c:pt idx="2">
                  <c:v>253.6</c:v>
                </c:pt>
                <c:pt idx="3">
                  <c:v>225.13</c:v>
                </c:pt>
                <c:pt idx="4">
                  <c:v>218.44</c:v>
                </c:pt>
                <c:pt idx="5">
                  <c:v>84.55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77-463F-A3CC-636E25CB089F}"/>
            </c:ext>
          </c:extLst>
        </c:ser>
        <c:ser>
          <c:idx val="2"/>
          <c:order val="2"/>
          <c:tx>
            <c:v>M-INF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'TOCOFEROLI OTMG'!$D$37:$D$42</c:f>
                <c:numCache>
                  <c:formatCode>General</c:formatCode>
                  <c:ptCount val="6"/>
                  <c:pt idx="0">
                    <c:v>13.61</c:v>
                  </c:pt>
                  <c:pt idx="1">
                    <c:v>4.55</c:v>
                  </c:pt>
                  <c:pt idx="2">
                    <c:v>13.68</c:v>
                  </c:pt>
                  <c:pt idx="3">
                    <c:v>7.319999999999998</c:v>
                  </c:pt>
                  <c:pt idx="4">
                    <c:v>17.89</c:v>
                  </c:pt>
                  <c:pt idx="5">
                    <c:v>5.02</c:v>
                  </c:pt>
                </c:numCache>
              </c:numRef>
            </c:plus>
            <c:minus>
              <c:numRef>
                <c:f>'TOCOFEROLI OTMG'!$D$37:$D$42</c:f>
                <c:numCache>
                  <c:formatCode>General</c:formatCode>
                  <c:ptCount val="6"/>
                  <c:pt idx="0">
                    <c:v>13.61</c:v>
                  </c:pt>
                  <c:pt idx="1">
                    <c:v>4.55</c:v>
                  </c:pt>
                  <c:pt idx="2">
                    <c:v>13.68</c:v>
                  </c:pt>
                  <c:pt idx="3">
                    <c:v>7.319999999999998</c:v>
                  </c:pt>
                  <c:pt idx="4">
                    <c:v>17.89</c:v>
                  </c:pt>
                  <c:pt idx="5">
                    <c:v>5.02</c:v>
                  </c:pt>
                </c:numCache>
              </c:numRef>
            </c:minus>
          </c:errBars>
          <c:cat>
            <c:strRef>
              <c:f>'TOCOFEROLI OTMG'!$A$29:$A$34</c:f>
              <c:strCache>
                <c:ptCount val="6"/>
                <c:pt idx="0">
                  <c:v>T0ns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T360ns</c:v>
                </c:pt>
              </c:strCache>
            </c:strRef>
          </c:cat>
          <c:val>
            <c:numRef>
              <c:f>'TOCOFEROLI OTMG'!$D$29:$D$34</c:f>
              <c:numCache>
                <c:formatCode>General</c:formatCode>
                <c:ptCount val="6"/>
                <c:pt idx="0">
                  <c:v>355.77</c:v>
                </c:pt>
                <c:pt idx="1">
                  <c:v>282.19</c:v>
                </c:pt>
                <c:pt idx="2">
                  <c:v>282.62</c:v>
                </c:pt>
                <c:pt idx="3">
                  <c:v>282.35</c:v>
                </c:pt>
                <c:pt idx="4">
                  <c:v>258.5299999999999</c:v>
                </c:pt>
                <c:pt idx="5">
                  <c:v>84.78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77-463F-A3CC-636E25CB089F}"/>
            </c:ext>
          </c:extLst>
        </c:ser>
        <c:ser>
          <c:idx val="3"/>
          <c:order val="3"/>
          <c:tx>
            <c:v>G-INF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'TOCOFEROLI OTMG'!$E$37:$E$42</c:f>
                <c:numCache>
                  <c:formatCode>General</c:formatCode>
                  <c:ptCount val="6"/>
                  <c:pt idx="0">
                    <c:v>9.540000000000001</c:v>
                  </c:pt>
                  <c:pt idx="1">
                    <c:v>13.61</c:v>
                  </c:pt>
                  <c:pt idx="2">
                    <c:v>13.01</c:v>
                  </c:pt>
                  <c:pt idx="3">
                    <c:v>17.14</c:v>
                  </c:pt>
                  <c:pt idx="4">
                    <c:v>9.26</c:v>
                  </c:pt>
                  <c:pt idx="5">
                    <c:v>1.06</c:v>
                  </c:pt>
                </c:numCache>
              </c:numRef>
            </c:plus>
            <c:minus>
              <c:numRef>
                <c:f>'TOCOFEROLI OTMG'!$E$37:$E$42</c:f>
                <c:numCache>
                  <c:formatCode>General</c:formatCode>
                  <c:ptCount val="6"/>
                  <c:pt idx="0">
                    <c:v>9.540000000000001</c:v>
                  </c:pt>
                  <c:pt idx="1">
                    <c:v>13.61</c:v>
                  </c:pt>
                  <c:pt idx="2">
                    <c:v>13.01</c:v>
                  </c:pt>
                  <c:pt idx="3">
                    <c:v>17.14</c:v>
                  </c:pt>
                  <c:pt idx="4">
                    <c:v>9.26</c:v>
                  </c:pt>
                  <c:pt idx="5">
                    <c:v>1.06</c:v>
                  </c:pt>
                </c:numCache>
              </c:numRef>
            </c:minus>
          </c:errBars>
          <c:cat>
            <c:strRef>
              <c:f>'TOCOFEROLI OTMG'!$A$29:$A$34</c:f>
              <c:strCache>
                <c:ptCount val="6"/>
                <c:pt idx="0">
                  <c:v>T0ns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T360ns</c:v>
                </c:pt>
              </c:strCache>
            </c:strRef>
          </c:cat>
          <c:val>
            <c:numRef>
              <c:f>'TOCOFEROLI OTMG'!$E$29:$E$34</c:f>
              <c:numCache>
                <c:formatCode>General</c:formatCode>
                <c:ptCount val="6"/>
                <c:pt idx="0">
                  <c:v>351.19</c:v>
                </c:pt>
                <c:pt idx="1">
                  <c:v>286.68</c:v>
                </c:pt>
                <c:pt idx="2">
                  <c:v>224.11</c:v>
                </c:pt>
                <c:pt idx="3">
                  <c:v>222.7</c:v>
                </c:pt>
                <c:pt idx="4">
                  <c:v>240.91</c:v>
                </c:pt>
                <c:pt idx="5">
                  <c:v>85.48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77-463F-A3CC-636E25CB0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9556616"/>
        <c:axId val="-2093850888"/>
      </c:barChart>
      <c:catAx>
        <c:axId val="2129556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 (days)</a:t>
                </a:r>
              </a:p>
            </c:rich>
          </c:tx>
          <c:layout>
            <c:manualLayout>
              <c:xMode val="edge"/>
              <c:yMode val="edge"/>
              <c:x val="0.435242971659229"/>
              <c:y val="0.81615688050653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93850888"/>
        <c:crosses val="autoZero"/>
        <c:auto val="1"/>
        <c:lblAlgn val="ctr"/>
        <c:lblOffset val="100"/>
        <c:noMultiLvlLbl val="0"/>
      </c:catAx>
      <c:valAx>
        <c:axId val="-2093850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mg kg</a:t>
                </a:r>
                <a:r>
                  <a:rPr lang="it-IT" sz="700" baseline="30000">
                    <a:latin typeface="Times New Roman"/>
                    <a:cs typeface="Times New Roman"/>
                  </a:rPr>
                  <a:t>-1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2129556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207048239006225"/>
          <c:y val="0.88553206985932"/>
          <c:w val="0.952713621762984"/>
          <c:h val="0.0929764508603091"/>
        </c:manualLayout>
      </c:layout>
      <c:overlay val="0"/>
      <c:txPr>
        <a:bodyPr/>
        <a:lstStyle/>
        <a:p>
          <a:pPr>
            <a:defRPr sz="7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Times New Roman"/>
                <a:cs typeface="Times New Roman"/>
              </a:defRPr>
            </a:pPr>
            <a:r>
              <a:rPr lang="it-IT" sz="1000">
                <a:latin typeface="Times New Roman"/>
                <a:cs typeface="Times New Roman"/>
              </a:rPr>
              <a:t>a</a:t>
            </a:r>
          </a:p>
        </c:rich>
      </c:tx>
      <c:layout>
        <c:manualLayout>
          <c:xMode val="edge"/>
          <c:yMode val="edge"/>
          <c:x val="0.131115184436142"/>
          <c:y val="0.0442812671671855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5897002511992"/>
          <c:y val="0.0601851851851852"/>
          <c:w val="0.827991805428466"/>
          <c:h val="0.69390565762613"/>
        </c:manualLayout>
      </c:layout>
      <c:barChart>
        <c:barDir val="col"/>
        <c:grouping val="clustered"/>
        <c:varyColors val="0"/>
        <c:ser>
          <c:idx val="0"/>
          <c:order val="0"/>
          <c:tx>
            <c:v>EVOO</c:v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gramolatura otmg'!$G$3:$G$8</c:f>
                <c:numCache>
                  <c:formatCode>General</c:formatCode>
                  <c:ptCount val="6"/>
                  <c:pt idx="0">
                    <c:v>3.45</c:v>
                  </c:pt>
                  <c:pt idx="1">
                    <c:v>3.89</c:v>
                  </c:pt>
                  <c:pt idx="2">
                    <c:v>4.4</c:v>
                  </c:pt>
                  <c:pt idx="3">
                    <c:v>4.42</c:v>
                  </c:pt>
                  <c:pt idx="4">
                    <c:v>5.0</c:v>
                  </c:pt>
                  <c:pt idx="5">
                    <c:v>5.2</c:v>
                  </c:pt>
                </c:numCache>
              </c:numRef>
            </c:plus>
            <c:minus>
              <c:numRef>
                <c:f>'antiox enz gramolatura otmg'!$G$3:$G$8</c:f>
                <c:numCache>
                  <c:formatCode>General</c:formatCode>
                  <c:ptCount val="6"/>
                  <c:pt idx="0">
                    <c:v>3.45</c:v>
                  </c:pt>
                  <c:pt idx="1">
                    <c:v>3.89</c:v>
                  </c:pt>
                  <c:pt idx="2">
                    <c:v>4.4</c:v>
                  </c:pt>
                  <c:pt idx="3">
                    <c:v>4.42</c:v>
                  </c:pt>
                  <c:pt idx="4">
                    <c:v>5.0</c:v>
                  </c:pt>
                  <c:pt idx="5">
                    <c:v>5.2</c:v>
                  </c:pt>
                </c:numCache>
              </c:numRef>
            </c:minus>
          </c:errBars>
          <c:cat>
            <c:strRef>
              <c:f>'antiox enz gramolatura otmg'!$A$3:$A$8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'antiox enz gramolatura otmg'!$F$3:$F$8</c:f>
              <c:numCache>
                <c:formatCode>General</c:formatCode>
                <c:ptCount val="6"/>
                <c:pt idx="0">
                  <c:v>48.72</c:v>
                </c:pt>
                <c:pt idx="1">
                  <c:v>52.21</c:v>
                </c:pt>
                <c:pt idx="2">
                  <c:v>59.83</c:v>
                </c:pt>
                <c:pt idx="3">
                  <c:v>77.05</c:v>
                </c:pt>
                <c:pt idx="4">
                  <c:v>100.0</c:v>
                </c:pt>
                <c:pt idx="5">
                  <c:v>100.0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64-4CCB-9519-9E4AB923616E}"/>
            </c:ext>
          </c:extLst>
        </c:ser>
        <c:ser>
          <c:idx val="1"/>
          <c:order val="1"/>
          <c:tx>
            <c:v>T-MAL</c:v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gramolatura otmg'!$G$10:$G$15</c:f>
                <c:numCache>
                  <c:formatCode>General</c:formatCode>
                  <c:ptCount val="6"/>
                  <c:pt idx="0">
                    <c:v>2.09</c:v>
                  </c:pt>
                  <c:pt idx="1">
                    <c:v>2.23</c:v>
                  </c:pt>
                  <c:pt idx="2">
                    <c:v>2.29</c:v>
                  </c:pt>
                  <c:pt idx="3">
                    <c:v>2.38</c:v>
                  </c:pt>
                  <c:pt idx="4">
                    <c:v>3.15</c:v>
                  </c:pt>
                  <c:pt idx="5">
                    <c:v>3.43</c:v>
                  </c:pt>
                </c:numCache>
              </c:numRef>
            </c:plus>
            <c:minus>
              <c:numRef>
                <c:f>'antiox enz gramolatura otmg'!$G$10:$G$15</c:f>
                <c:numCache>
                  <c:formatCode>General</c:formatCode>
                  <c:ptCount val="6"/>
                  <c:pt idx="0">
                    <c:v>2.09</c:v>
                  </c:pt>
                  <c:pt idx="1">
                    <c:v>2.23</c:v>
                  </c:pt>
                  <c:pt idx="2">
                    <c:v>2.29</c:v>
                  </c:pt>
                  <c:pt idx="3">
                    <c:v>2.38</c:v>
                  </c:pt>
                  <c:pt idx="4">
                    <c:v>3.15</c:v>
                  </c:pt>
                  <c:pt idx="5">
                    <c:v>3.43</c:v>
                  </c:pt>
                </c:numCache>
              </c:numRef>
            </c:minus>
          </c:errBars>
          <c:val>
            <c:numRef>
              <c:f>'antiox enz gramolatura otmg'!$F$10:$F$15</c:f>
              <c:numCache>
                <c:formatCode>General</c:formatCode>
                <c:ptCount val="6"/>
                <c:pt idx="0">
                  <c:v>19.11</c:v>
                </c:pt>
                <c:pt idx="1">
                  <c:v>21.22</c:v>
                </c:pt>
                <c:pt idx="2">
                  <c:v>23.1</c:v>
                </c:pt>
                <c:pt idx="3">
                  <c:v>30.34</c:v>
                </c:pt>
                <c:pt idx="4">
                  <c:v>46.49</c:v>
                </c:pt>
                <c:pt idx="5">
                  <c:v>60.21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64-4CCB-9519-9E4AB923616E}"/>
            </c:ext>
          </c:extLst>
        </c:ser>
        <c:ser>
          <c:idx val="2"/>
          <c:order val="2"/>
          <c:tx>
            <c:v>M-MAL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gramolatura otmg'!$G$18:$G$23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2.21</c:v>
                  </c:pt>
                  <c:pt idx="2">
                    <c:v>2.44</c:v>
                  </c:pt>
                  <c:pt idx="3">
                    <c:v>2.56</c:v>
                  </c:pt>
                  <c:pt idx="4">
                    <c:v>2.9</c:v>
                  </c:pt>
                  <c:pt idx="5">
                    <c:v>3.08</c:v>
                  </c:pt>
                </c:numCache>
              </c:numRef>
            </c:plus>
            <c:minus>
              <c:numRef>
                <c:f>'antiox enz gramolatura otmg'!$G$18:$G$23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2.21</c:v>
                  </c:pt>
                  <c:pt idx="2">
                    <c:v>2.44</c:v>
                  </c:pt>
                  <c:pt idx="3">
                    <c:v>2.56</c:v>
                  </c:pt>
                  <c:pt idx="4">
                    <c:v>2.9</c:v>
                  </c:pt>
                  <c:pt idx="5">
                    <c:v>3.08</c:v>
                  </c:pt>
                </c:numCache>
              </c:numRef>
            </c:minus>
          </c:errBars>
          <c:val>
            <c:numRef>
              <c:f>'antiox enz gramolatura otmg'!$F$18:$F$23</c:f>
              <c:numCache>
                <c:formatCode>General</c:formatCode>
                <c:ptCount val="6"/>
                <c:pt idx="0">
                  <c:v>81.66999999999997</c:v>
                </c:pt>
                <c:pt idx="1">
                  <c:v>85.89</c:v>
                </c:pt>
                <c:pt idx="2">
                  <c:v>90.57</c:v>
                </c:pt>
                <c:pt idx="3">
                  <c:v>95.12</c:v>
                </c:pt>
                <c:pt idx="4">
                  <c:v>100.23</c:v>
                </c:pt>
                <c:pt idx="5">
                  <c:v>178.92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64-4CCB-9519-9E4AB923616E}"/>
            </c:ext>
          </c:extLst>
        </c:ser>
        <c:ser>
          <c:idx val="3"/>
          <c:order val="3"/>
          <c:tx>
            <c:v>G-MAL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gramolatura otmg'!$G$25:$G$30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2.69</c:v>
                  </c:pt>
                  <c:pt idx="2">
                    <c:v>2.75</c:v>
                  </c:pt>
                  <c:pt idx="3">
                    <c:v>3.08</c:v>
                  </c:pt>
                  <c:pt idx="4">
                    <c:v>3.88</c:v>
                  </c:pt>
                  <c:pt idx="5">
                    <c:v>4.09</c:v>
                  </c:pt>
                </c:numCache>
              </c:numRef>
            </c:plus>
            <c:minus>
              <c:numRef>
                <c:f>'antiox enz gramolatura otmg'!$G$25:$G$30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2.69</c:v>
                  </c:pt>
                  <c:pt idx="2">
                    <c:v>2.75</c:v>
                  </c:pt>
                  <c:pt idx="3">
                    <c:v>3.08</c:v>
                  </c:pt>
                  <c:pt idx="4">
                    <c:v>3.88</c:v>
                  </c:pt>
                  <c:pt idx="5">
                    <c:v>4.09</c:v>
                  </c:pt>
                </c:numCache>
              </c:numRef>
            </c:minus>
          </c:errBars>
          <c:val>
            <c:numRef>
              <c:f>'antiox enz gramolatura otmg'!$F$25:$F$30</c:f>
              <c:numCache>
                <c:formatCode>General</c:formatCode>
                <c:ptCount val="6"/>
                <c:pt idx="0">
                  <c:v>18.68</c:v>
                </c:pt>
                <c:pt idx="1">
                  <c:v>20.09</c:v>
                </c:pt>
                <c:pt idx="2">
                  <c:v>27.92</c:v>
                </c:pt>
                <c:pt idx="3">
                  <c:v>33.12</c:v>
                </c:pt>
                <c:pt idx="4">
                  <c:v>50.96</c:v>
                </c:pt>
                <c:pt idx="5">
                  <c:v>77.66999999999997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64-4CCB-9519-9E4AB9236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3752328"/>
        <c:axId val="-2093815848"/>
      </c:barChart>
      <c:catAx>
        <c:axId val="-2093752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 (days)</a:t>
                </a:r>
              </a:p>
            </c:rich>
          </c:tx>
          <c:layout>
            <c:manualLayout>
              <c:xMode val="edge"/>
              <c:yMode val="edge"/>
              <c:x val="0.443218158201545"/>
              <c:y val="0.83343450513947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93815848"/>
        <c:crosses val="autoZero"/>
        <c:auto val="1"/>
        <c:lblAlgn val="ctr"/>
        <c:lblOffset val="100"/>
        <c:noMultiLvlLbl val="0"/>
      </c:catAx>
      <c:valAx>
        <c:axId val="-2093815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700"/>
                </a:pPr>
                <a:r>
                  <a:rPr lang="mr-IN" sz="700" b="1" i="0" u="none" strike="noStrike" baseline="0">
                    <a:effectLst/>
                    <a:latin typeface="Times New Roman"/>
                    <a:cs typeface="Times New Roman"/>
                  </a:rPr>
                  <a:t>IC</a:t>
                </a:r>
                <a:r>
                  <a:rPr lang="mr-IN" sz="700" b="1" i="0" u="none" strike="noStrike" baseline="-25000">
                    <a:effectLst/>
                    <a:latin typeface="Times New Roman"/>
                    <a:cs typeface="Times New Roman"/>
                  </a:rPr>
                  <a:t>50</a:t>
                </a:r>
                <a:r>
                  <a:rPr lang="mr-IN" sz="700" b="1" i="0" u="none" strike="noStrike" baseline="0">
                    <a:effectLst/>
                    <a:latin typeface="Times New Roman"/>
                    <a:cs typeface="Times New Roman"/>
                  </a:rPr>
                  <a:t> μg mL</a:t>
                </a:r>
                <a:r>
                  <a:rPr lang="mr-IN" sz="700" b="1" i="0" baseline="30000">
                    <a:effectLst/>
                    <a:latin typeface="Times New Roman"/>
                    <a:cs typeface="Times New Roman"/>
                  </a:rPr>
                  <a:t>-1</a:t>
                </a:r>
                <a:r>
                  <a:rPr lang="mr-IN" sz="700" b="1" i="0" baseline="0">
                    <a:effectLst/>
                    <a:latin typeface="Times New Roman"/>
                    <a:cs typeface="Times New Roman"/>
                  </a:rPr>
                  <a:t> </a:t>
                </a:r>
                <a:endParaRPr lang="mr-IN" sz="700">
                  <a:effectLst/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93752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74943194350595"/>
          <c:y val="0.907023308132995"/>
          <c:w val="0.891983595800525"/>
          <c:h val="0.0929764508603091"/>
        </c:manualLayout>
      </c:layout>
      <c:overlay val="0"/>
      <c:txPr>
        <a:bodyPr/>
        <a:lstStyle/>
        <a:p>
          <a:pPr>
            <a:defRPr sz="7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it-IT" sz="1000">
                <a:latin typeface="Times New Roman"/>
                <a:cs typeface="Times New Roman"/>
              </a:rPr>
              <a:t>b</a:t>
            </a:r>
          </a:p>
        </c:rich>
      </c:tx>
      <c:layout>
        <c:manualLayout>
          <c:xMode val="edge"/>
          <c:yMode val="edge"/>
          <c:x val="0.115733201511246"/>
          <c:y val="0.047827412321491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9174817273401"/>
          <c:y val="0.0601851851851852"/>
          <c:w val="0.844714169697398"/>
          <c:h val="0.693504453675574"/>
        </c:manualLayout>
      </c:layout>
      <c:barChart>
        <c:barDir val="col"/>
        <c:grouping val="clustered"/>
        <c:varyColors val="0"/>
        <c:ser>
          <c:idx val="0"/>
          <c:order val="0"/>
          <c:tx>
            <c:v>EVOO</c:v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infusione otgm'!$G$3:$G$8</c:f>
                <c:numCache>
                  <c:formatCode>General</c:formatCode>
                  <c:ptCount val="6"/>
                  <c:pt idx="0">
                    <c:v>3.45</c:v>
                  </c:pt>
                  <c:pt idx="1">
                    <c:v>3.89</c:v>
                  </c:pt>
                  <c:pt idx="2">
                    <c:v>4.4</c:v>
                  </c:pt>
                  <c:pt idx="3">
                    <c:v>4.42</c:v>
                  </c:pt>
                  <c:pt idx="4">
                    <c:v>5.0</c:v>
                  </c:pt>
                  <c:pt idx="5">
                    <c:v>5.2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1.0</c:v>
                </c:pt>
              </c:numLit>
            </c:minus>
          </c:errBars>
          <c:cat>
            <c:strRef>
              <c:f>'antiox enz infusione otgm'!$A$3:$A$8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'antiox enz infusione otgm'!$F$3:$F$8</c:f>
              <c:numCache>
                <c:formatCode>General</c:formatCode>
                <c:ptCount val="6"/>
                <c:pt idx="0">
                  <c:v>48.72</c:v>
                </c:pt>
                <c:pt idx="1">
                  <c:v>52.21</c:v>
                </c:pt>
                <c:pt idx="2">
                  <c:v>59.83</c:v>
                </c:pt>
                <c:pt idx="3">
                  <c:v>77.05</c:v>
                </c:pt>
                <c:pt idx="4">
                  <c:v>100.0</c:v>
                </c:pt>
                <c:pt idx="5">
                  <c:v>100.0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6E-462E-83C1-EDFA9B9788B9}"/>
            </c:ext>
          </c:extLst>
        </c:ser>
        <c:ser>
          <c:idx val="1"/>
          <c:order val="1"/>
          <c:tx>
            <c:v>T-INF</c:v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infusione otgm'!$G$11:$G$16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2.62</c:v>
                  </c:pt>
                  <c:pt idx="2">
                    <c:v>2.19</c:v>
                  </c:pt>
                  <c:pt idx="3">
                    <c:v>2.08</c:v>
                  </c:pt>
                  <c:pt idx="4">
                    <c:v>2.78</c:v>
                  </c:pt>
                  <c:pt idx="5">
                    <c:v>2.85</c:v>
                  </c:pt>
                </c:numCache>
              </c:numRef>
            </c:plus>
            <c:minus>
              <c:numRef>
                <c:f>'antiox enz infusione otgm'!$G$11:$G$16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2.62</c:v>
                  </c:pt>
                  <c:pt idx="2">
                    <c:v>2.19</c:v>
                  </c:pt>
                  <c:pt idx="3">
                    <c:v>2.08</c:v>
                  </c:pt>
                  <c:pt idx="4">
                    <c:v>2.78</c:v>
                  </c:pt>
                  <c:pt idx="5">
                    <c:v>2.85</c:v>
                  </c:pt>
                </c:numCache>
              </c:numRef>
            </c:minus>
          </c:errBars>
          <c:val>
            <c:numRef>
              <c:f>'antiox enz infusione otgm'!$F$11:$F$16</c:f>
              <c:numCache>
                <c:formatCode>General</c:formatCode>
                <c:ptCount val="6"/>
                <c:pt idx="0">
                  <c:v>19.11</c:v>
                </c:pt>
                <c:pt idx="1">
                  <c:v>21.09</c:v>
                </c:pt>
                <c:pt idx="2">
                  <c:v>23.37</c:v>
                </c:pt>
                <c:pt idx="3">
                  <c:v>43.25</c:v>
                </c:pt>
                <c:pt idx="4">
                  <c:v>55.89</c:v>
                </c:pt>
                <c:pt idx="5">
                  <c:v>70.01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6E-462E-83C1-EDFA9B9788B9}"/>
            </c:ext>
          </c:extLst>
        </c:ser>
        <c:ser>
          <c:idx val="2"/>
          <c:order val="2"/>
          <c:tx>
            <c:v>M-INF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infusione otgm'!$G$19:$G$24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2.71</c:v>
                  </c:pt>
                  <c:pt idx="2">
                    <c:v>2.19</c:v>
                  </c:pt>
                  <c:pt idx="3">
                    <c:v>2.08</c:v>
                  </c:pt>
                  <c:pt idx="4">
                    <c:v>2.82</c:v>
                  </c:pt>
                  <c:pt idx="5">
                    <c:v>3.28</c:v>
                  </c:pt>
                </c:numCache>
              </c:numRef>
            </c:plus>
            <c:minus>
              <c:numRef>
                <c:f>'antiox enz infusione otgm'!$G$19:$G$24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2.71</c:v>
                  </c:pt>
                  <c:pt idx="2">
                    <c:v>2.19</c:v>
                  </c:pt>
                  <c:pt idx="3">
                    <c:v>2.08</c:v>
                  </c:pt>
                  <c:pt idx="4">
                    <c:v>2.82</c:v>
                  </c:pt>
                  <c:pt idx="5">
                    <c:v>3.28</c:v>
                  </c:pt>
                </c:numCache>
              </c:numRef>
            </c:minus>
          </c:errBars>
          <c:val>
            <c:numRef>
              <c:f>'antiox enz infusione otgm'!$F$19:$F$24</c:f>
              <c:numCache>
                <c:formatCode>General</c:formatCode>
                <c:ptCount val="6"/>
                <c:pt idx="0">
                  <c:v>71.57</c:v>
                </c:pt>
                <c:pt idx="1">
                  <c:v>75.89</c:v>
                </c:pt>
                <c:pt idx="2">
                  <c:v>85.09</c:v>
                </c:pt>
                <c:pt idx="3">
                  <c:v>95.97</c:v>
                </c:pt>
                <c:pt idx="4">
                  <c:v>96.45</c:v>
                </c:pt>
                <c:pt idx="5">
                  <c:v>122.1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6E-462E-83C1-EDFA9B9788B9}"/>
            </c:ext>
          </c:extLst>
        </c:ser>
        <c:ser>
          <c:idx val="3"/>
          <c:order val="3"/>
          <c:tx>
            <c:v>G-INF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infusione otgm'!$G$26:$G$31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2.71</c:v>
                  </c:pt>
                  <c:pt idx="2">
                    <c:v>2.19</c:v>
                  </c:pt>
                  <c:pt idx="3">
                    <c:v>2.08</c:v>
                  </c:pt>
                  <c:pt idx="4">
                    <c:v>2.11</c:v>
                  </c:pt>
                  <c:pt idx="5">
                    <c:v>2.8</c:v>
                  </c:pt>
                </c:numCache>
              </c:numRef>
            </c:plus>
            <c:minus>
              <c:numRef>
                <c:f>'antiox enz infusione otgm'!$G$26:$G$31</c:f>
                <c:numCache>
                  <c:formatCode>General</c:formatCode>
                  <c:ptCount val="6"/>
                  <c:pt idx="0">
                    <c:v>2.59</c:v>
                  </c:pt>
                  <c:pt idx="1">
                    <c:v>2.71</c:v>
                  </c:pt>
                  <c:pt idx="2">
                    <c:v>2.19</c:v>
                  </c:pt>
                  <c:pt idx="3">
                    <c:v>2.08</c:v>
                  </c:pt>
                  <c:pt idx="4">
                    <c:v>2.11</c:v>
                  </c:pt>
                  <c:pt idx="5">
                    <c:v>2.8</c:v>
                  </c:pt>
                </c:numCache>
              </c:numRef>
            </c:minus>
          </c:errBars>
          <c:val>
            <c:numRef>
              <c:f>'antiox enz infusione otgm'!$F$26:$F$31</c:f>
              <c:numCache>
                <c:formatCode>General</c:formatCode>
                <c:ptCount val="6"/>
                <c:pt idx="0">
                  <c:v>18.68</c:v>
                </c:pt>
                <c:pt idx="1">
                  <c:v>19.98</c:v>
                </c:pt>
                <c:pt idx="2">
                  <c:v>23.41</c:v>
                </c:pt>
                <c:pt idx="3">
                  <c:v>27.72</c:v>
                </c:pt>
                <c:pt idx="4">
                  <c:v>32.09</c:v>
                </c:pt>
                <c:pt idx="5">
                  <c:v>46.1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6E-462E-83C1-EDFA9B978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5273528"/>
        <c:axId val="-2084625976"/>
      </c:barChart>
      <c:catAx>
        <c:axId val="-2085273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 (days)</a:t>
                </a:r>
              </a:p>
            </c:rich>
          </c:tx>
          <c:layout>
            <c:manualLayout>
              <c:xMode val="edge"/>
              <c:yMode val="edge"/>
              <c:x val="0.43757150811201"/>
              <c:y val="0.83881499527704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4625976"/>
        <c:crosses val="autoZero"/>
        <c:auto val="1"/>
        <c:lblAlgn val="ctr"/>
        <c:lblOffset val="100"/>
        <c:noMultiLvlLbl val="0"/>
      </c:catAx>
      <c:valAx>
        <c:axId val="-2084625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mr-IN" sz="700" b="1" i="0" baseline="0">
                    <a:effectLst/>
                    <a:latin typeface="Times New Roman"/>
                    <a:cs typeface="Times New Roman"/>
                  </a:rPr>
                  <a:t>IC</a:t>
                </a:r>
                <a:r>
                  <a:rPr lang="mr-IN" sz="700" b="1" i="0" baseline="-25000">
                    <a:effectLst/>
                    <a:latin typeface="Times New Roman"/>
                    <a:cs typeface="Times New Roman"/>
                  </a:rPr>
                  <a:t>50</a:t>
                </a:r>
                <a:r>
                  <a:rPr lang="mr-IN" sz="700" b="1" i="0" baseline="0">
                    <a:effectLst/>
                    <a:latin typeface="Times New Roman"/>
                    <a:cs typeface="Times New Roman"/>
                  </a:rPr>
                  <a:t> μg mL</a:t>
                </a:r>
                <a:r>
                  <a:rPr lang="mr-IN" sz="700" b="1" i="0" baseline="30000">
                    <a:effectLst/>
                    <a:latin typeface="Times New Roman"/>
                    <a:cs typeface="Times New Roman"/>
                  </a:rPr>
                  <a:t>-1</a:t>
                </a:r>
                <a:r>
                  <a:rPr lang="mr-IN" sz="700" b="1" i="0" baseline="0">
                    <a:effectLst/>
                    <a:latin typeface="Times New Roman"/>
                    <a:cs typeface="Times New Roman"/>
                  </a:rPr>
                  <a:t> </a:t>
                </a:r>
                <a:endParaRPr lang="mr-IN" sz="700">
                  <a:effectLst/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5273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5742760279965"/>
          <c:y val="0.922377515310586"/>
          <c:w val="0.896255686789151"/>
          <c:h val="0.0776224846894138"/>
        </c:manualLayout>
      </c:layout>
      <c:overlay val="0"/>
      <c:txPr>
        <a:bodyPr/>
        <a:lstStyle/>
        <a:p>
          <a:pPr>
            <a:defRPr sz="7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>
                <a:latin typeface="Times New Roman"/>
                <a:cs typeface="Times New Roman"/>
              </a:defRPr>
            </a:pPr>
            <a:r>
              <a:rPr lang="it-IT" sz="1000">
                <a:latin typeface="Times New Roman"/>
                <a:cs typeface="Times New Roman"/>
              </a:rPr>
              <a:t>a</a:t>
            </a:r>
          </a:p>
        </c:rich>
      </c:tx>
      <c:layout>
        <c:manualLayout>
          <c:xMode val="edge"/>
          <c:yMode val="edge"/>
          <c:x val="0.120451245040421"/>
          <c:y val="0.058099391091178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9485692764489"/>
          <c:y val="0.0601851851851852"/>
          <c:w val="0.844403142599389"/>
          <c:h val="0.690546662298489"/>
        </c:manualLayout>
      </c:layout>
      <c:barChart>
        <c:barDir val="col"/>
        <c:grouping val="clustered"/>
        <c:varyColors val="0"/>
        <c:ser>
          <c:idx val="0"/>
          <c:order val="0"/>
          <c:tx>
            <c:v>EVOO</c:v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 sz="700">
                        <a:latin typeface="Times New Roman"/>
                        <a:cs typeface="Times New Roman"/>
                      </a:rPr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 sz="700">
                        <a:latin typeface="Times New Roman"/>
                        <a:cs typeface="Times New Roman"/>
                      </a:rPr>
                      <a:t>a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 sz="700">
                        <a:latin typeface="Times New Roman"/>
                        <a:cs typeface="Times New Roman"/>
                      </a:rPr>
                      <a:t>ab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 sz="700">
                        <a:latin typeface="Times New Roman"/>
                        <a:cs typeface="Times New Roman"/>
                      </a:rPr>
                      <a:t>b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 sz="700">
                        <a:latin typeface="Times New Roman"/>
                        <a:cs typeface="Times New Roman"/>
                      </a:rPr>
                      <a:t>c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 sz="700">
                        <a:latin typeface="Times New Roman"/>
                        <a:cs typeface="Times New Roman"/>
                      </a:rPr>
                      <a:t>d</a:t>
                    </a:r>
                    <a:endParaRPr lang="it-IT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gramolatura otmg'!$I$3:$I$8</c:f>
                <c:numCache>
                  <c:formatCode>General</c:formatCode>
                  <c:ptCount val="6"/>
                  <c:pt idx="0">
                    <c:v>1.2</c:v>
                  </c:pt>
                  <c:pt idx="1">
                    <c:v>1.3</c:v>
                  </c:pt>
                  <c:pt idx="2">
                    <c:v>1.52</c:v>
                  </c:pt>
                  <c:pt idx="3">
                    <c:v>1.56</c:v>
                  </c:pt>
                  <c:pt idx="4">
                    <c:v>1.21</c:v>
                  </c:pt>
                  <c:pt idx="5">
                    <c:v>0.85</c:v>
                  </c:pt>
                </c:numCache>
              </c:numRef>
            </c:plus>
            <c:minus>
              <c:numRef>
                <c:f>'antiox enz gramolatura otmg'!$I$3:$I$8</c:f>
                <c:numCache>
                  <c:formatCode>General</c:formatCode>
                  <c:ptCount val="6"/>
                  <c:pt idx="0">
                    <c:v>1.2</c:v>
                  </c:pt>
                  <c:pt idx="1">
                    <c:v>1.3</c:v>
                  </c:pt>
                  <c:pt idx="2">
                    <c:v>1.52</c:v>
                  </c:pt>
                  <c:pt idx="3">
                    <c:v>1.56</c:v>
                  </c:pt>
                  <c:pt idx="4">
                    <c:v>1.21</c:v>
                  </c:pt>
                  <c:pt idx="5">
                    <c:v>0.85</c:v>
                  </c:pt>
                </c:numCache>
              </c:numRef>
            </c:minus>
          </c:errBars>
          <c:cat>
            <c:strRef>
              <c:f>'antiox enz gramolatura otmg'!$A$3:$A$8</c:f>
              <c:strCache>
                <c:ptCount val="6"/>
                <c:pt idx="0">
                  <c:v>T0**</c:v>
                </c:pt>
                <c:pt idx="1">
                  <c:v>T15**</c:v>
                </c:pt>
                <c:pt idx="2">
                  <c:v>T30**</c:v>
                </c:pt>
                <c:pt idx="3">
                  <c:v>T60**</c:v>
                </c:pt>
                <c:pt idx="4">
                  <c:v>T180**</c:v>
                </c:pt>
                <c:pt idx="5">
                  <c:v>T360**</c:v>
                </c:pt>
              </c:strCache>
            </c:strRef>
          </c:cat>
          <c:val>
            <c:numRef>
              <c:f>'antiox enz gramolatura otmg'!$H$3:$H$8</c:f>
              <c:numCache>
                <c:formatCode>General</c:formatCode>
                <c:ptCount val="6"/>
                <c:pt idx="0">
                  <c:v>25.01</c:v>
                </c:pt>
                <c:pt idx="1">
                  <c:v>24.71</c:v>
                </c:pt>
                <c:pt idx="2">
                  <c:v>23.99</c:v>
                </c:pt>
                <c:pt idx="3">
                  <c:v>21.65</c:v>
                </c:pt>
                <c:pt idx="4">
                  <c:v>18.21</c:v>
                </c:pt>
                <c:pt idx="5">
                  <c:v>4.31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11-4F44-A473-7D4D2A6EC088}"/>
            </c:ext>
          </c:extLst>
        </c:ser>
        <c:ser>
          <c:idx val="1"/>
          <c:order val="1"/>
          <c:tx>
            <c:v>T-MAL</c:v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gramolatura otmg'!$I$10:$I$15</c:f>
                <c:numCache>
                  <c:formatCode>General</c:formatCode>
                  <c:ptCount val="6"/>
                  <c:pt idx="0">
                    <c:v>1.97</c:v>
                  </c:pt>
                  <c:pt idx="1">
                    <c:v>2.09</c:v>
                  </c:pt>
                  <c:pt idx="2">
                    <c:v>2.45</c:v>
                  </c:pt>
                  <c:pt idx="3">
                    <c:v>2.83</c:v>
                  </c:pt>
                  <c:pt idx="4">
                    <c:v>2.15</c:v>
                  </c:pt>
                  <c:pt idx="5">
                    <c:v>1.44</c:v>
                  </c:pt>
                </c:numCache>
              </c:numRef>
            </c:plus>
            <c:minus>
              <c:numRef>
                <c:f>'antiox enz gramolatura otmg'!$I$10:$I$15</c:f>
                <c:numCache>
                  <c:formatCode>General</c:formatCode>
                  <c:ptCount val="6"/>
                  <c:pt idx="0">
                    <c:v>1.97</c:v>
                  </c:pt>
                  <c:pt idx="1">
                    <c:v>2.09</c:v>
                  </c:pt>
                  <c:pt idx="2">
                    <c:v>2.45</c:v>
                  </c:pt>
                  <c:pt idx="3">
                    <c:v>2.83</c:v>
                  </c:pt>
                  <c:pt idx="4">
                    <c:v>2.15</c:v>
                  </c:pt>
                  <c:pt idx="5">
                    <c:v>1.44</c:v>
                  </c:pt>
                </c:numCache>
              </c:numRef>
            </c:minus>
          </c:errBars>
          <c:val>
            <c:numRef>
              <c:f>'antiox enz gramolatura otmg'!$H$10:$H$15</c:f>
              <c:numCache>
                <c:formatCode>General</c:formatCode>
                <c:ptCount val="6"/>
                <c:pt idx="0">
                  <c:v>57.98</c:v>
                </c:pt>
                <c:pt idx="1">
                  <c:v>59.63</c:v>
                </c:pt>
                <c:pt idx="2">
                  <c:v>44.76</c:v>
                </c:pt>
                <c:pt idx="3">
                  <c:v>32.98</c:v>
                </c:pt>
                <c:pt idx="4">
                  <c:v>21.01</c:v>
                </c:pt>
                <c:pt idx="5">
                  <c:v>16.14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11-4F44-A473-7D4D2A6EC088}"/>
            </c:ext>
          </c:extLst>
        </c:ser>
        <c:ser>
          <c:idx val="2"/>
          <c:order val="2"/>
          <c:tx>
            <c:v>M-MAL</c:v>
          </c:tx>
          <c:spPr>
            <a:solidFill>
              <a:schemeClr val="bg1">
                <a:lumMod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gramolatura otmg'!$I$18:$I$23</c:f>
                <c:numCache>
                  <c:formatCode>General</c:formatCode>
                  <c:ptCount val="6"/>
                  <c:pt idx="0">
                    <c:v>0.81</c:v>
                  </c:pt>
                  <c:pt idx="1">
                    <c:v>0.85</c:v>
                  </c:pt>
                  <c:pt idx="2">
                    <c:v>0.98</c:v>
                  </c:pt>
                  <c:pt idx="3">
                    <c:v>0.45</c:v>
                  </c:pt>
                  <c:pt idx="4">
                    <c:v>0.97</c:v>
                  </c:pt>
                  <c:pt idx="5">
                    <c:v>0.21</c:v>
                  </c:pt>
                </c:numCache>
              </c:numRef>
            </c:plus>
            <c:minus>
              <c:numRef>
                <c:f>'antiox enz gramolatura otmg'!$I$18:$I$23</c:f>
                <c:numCache>
                  <c:formatCode>General</c:formatCode>
                  <c:ptCount val="6"/>
                  <c:pt idx="0">
                    <c:v>0.81</c:v>
                  </c:pt>
                  <c:pt idx="1">
                    <c:v>0.85</c:v>
                  </c:pt>
                  <c:pt idx="2">
                    <c:v>0.98</c:v>
                  </c:pt>
                  <c:pt idx="3">
                    <c:v>0.45</c:v>
                  </c:pt>
                  <c:pt idx="4">
                    <c:v>0.97</c:v>
                  </c:pt>
                  <c:pt idx="5">
                    <c:v>0.21</c:v>
                  </c:pt>
                </c:numCache>
              </c:numRef>
            </c:minus>
          </c:errBars>
          <c:val>
            <c:numRef>
              <c:f>'antiox enz gramolatura otmg'!$H$18:$H$23</c:f>
              <c:numCache>
                <c:formatCode>General</c:formatCode>
                <c:ptCount val="6"/>
                <c:pt idx="0">
                  <c:v>9.09</c:v>
                </c:pt>
                <c:pt idx="1">
                  <c:v>10.09</c:v>
                </c:pt>
                <c:pt idx="2">
                  <c:v>10.78</c:v>
                </c:pt>
                <c:pt idx="3">
                  <c:v>11.12</c:v>
                </c:pt>
                <c:pt idx="4">
                  <c:v>12.87</c:v>
                </c:pt>
                <c:pt idx="5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11-4F44-A473-7D4D2A6EC088}"/>
            </c:ext>
          </c:extLst>
        </c:ser>
        <c:ser>
          <c:idx val="3"/>
          <c:order val="3"/>
          <c:tx>
            <c:v>G-MAL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it-IT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it-IT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it-IT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it-IT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it-IT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'antiox enz gramolatura otmg'!$I$25:$I$30</c:f>
                <c:numCache>
                  <c:formatCode>General</c:formatCode>
                  <c:ptCount val="6"/>
                  <c:pt idx="0">
                    <c:v>1.97</c:v>
                  </c:pt>
                  <c:pt idx="1">
                    <c:v>1.99</c:v>
                  </c:pt>
                  <c:pt idx="2">
                    <c:v>2.45</c:v>
                  </c:pt>
                  <c:pt idx="3">
                    <c:v>2.81</c:v>
                  </c:pt>
                  <c:pt idx="4">
                    <c:v>3.08</c:v>
                  </c:pt>
                  <c:pt idx="5">
                    <c:v>2.56</c:v>
                  </c:pt>
                </c:numCache>
              </c:numRef>
            </c:plus>
            <c:minus>
              <c:numRef>
                <c:f>'antiox enz gramolatura otmg'!$I$25:$I$30</c:f>
                <c:numCache>
                  <c:formatCode>General</c:formatCode>
                  <c:ptCount val="6"/>
                  <c:pt idx="0">
                    <c:v>1.97</c:v>
                  </c:pt>
                  <c:pt idx="1">
                    <c:v>1.99</c:v>
                  </c:pt>
                  <c:pt idx="2">
                    <c:v>2.45</c:v>
                  </c:pt>
                  <c:pt idx="3">
                    <c:v>2.81</c:v>
                  </c:pt>
                  <c:pt idx="4">
                    <c:v>3.08</c:v>
                  </c:pt>
                  <c:pt idx="5">
                    <c:v>2.56</c:v>
                  </c:pt>
                </c:numCache>
              </c:numRef>
            </c:minus>
          </c:errBars>
          <c:val>
            <c:numRef>
              <c:f>'antiox enz gramolatura otmg'!$H$25:$H$30</c:f>
              <c:numCache>
                <c:formatCode>General</c:formatCode>
                <c:ptCount val="6"/>
                <c:pt idx="0">
                  <c:v>86.42</c:v>
                </c:pt>
                <c:pt idx="1">
                  <c:v>85.55</c:v>
                </c:pt>
                <c:pt idx="2">
                  <c:v>74.67999999999998</c:v>
                </c:pt>
                <c:pt idx="3">
                  <c:v>62.9</c:v>
                </c:pt>
                <c:pt idx="4">
                  <c:v>49.67</c:v>
                </c:pt>
                <c:pt idx="5">
                  <c:v>30.21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11-4F44-A473-7D4D2A6EC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5015480"/>
        <c:axId val="-2085083624"/>
      </c:barChart>
      <c:catAx>
        <c:axId val="-2085015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>
                    <a:latin typeface="Times New Roman"/>
                    <a:cs typeface="Times New Roman"/>
                  </a:defRPr>
                </a:pPr>
                <a:r>
                  <a:rPr lang="it-IT" sz="700">
                    <a:latin typeface="Times New Roman"/>
                    <a:cs typeface="Times New Roman"/>
                  </a:rPr>
                  <a:t>Times (days)</a:t>
                </a:r>
              </a:p>
            </c:rich>
          </c:tx>
          <c:layout>
            <c:manualLayout>
              <c:xMode val="edge"/>
              <c:yMode val="edge"/>
              <c:x val="0.440984689413823"/>
              <c:y val="0.83534047827354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5083624"/>
        <c:crosses val="autoZero"/>
        <c:auto val="1"/>
        <c:lblAlgn val="ctr"/>
        <c:lblOffset val="100"/>
        <c:noMultiLvlLbl val="0"/>
      </c:catAx>
      <c:valAx>
        <c:axId val="-2085083624"/>
        <c:scaling>
          <c:orientation val="minMax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700"/>
                </a:pPr>
                <a:r>
                  <a:rPr lang="it-IT" sz="700" b="1" i="0" baseline="0">
                    <a:effectLst/>
                    <a:latin typeface="Times New Roman"/>
                    <a:cs typeface="Times New Roman"/>
                  </a:rPr>
                  <a:t>FRAP VALUE </a:t>
                </a:r>
                <a:r>
                  <a:rPr lang="mr-IN" sz="700" b="1" i="0" baseline="0">
                    <a:effectLst/>
                    <a:latin typeface="Times New Roman"/>
                    <a:cs typeface="Times New Roman"/>
                  </a:rPr>
                  <a:t>μM Fe(II) g</a:t>
                </a:r>
                <a:r>
                  <a:rPr lang="mr-IN" sz="700" b="1" i="0" baseline="30000">
                    <a:effectLst/>
                    <a:latin typeface="Times New Roman"/>
                    <a:cs typeface="Times New Roman"/>
                  </a:rPr>
                  <a:t>-1</a:t>
                </a:r>
                <a:r>
                  <a:rPr lang="mr-IN" sz="700" b="1" i="0" baseline="0">
                    <a:effectLst/>
                    <a:latin typeface="Times New Roman"/>
                    <a:cs typeface="Times New Roman"/>
                  </a:rPr>
                  <a:t> </a:t>
                </a:r>
                <a:endParaRPr lang="mr-IN" sz="700">
                  <a:effectLst/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700">
                <a:latin typeface="Times New Roman"/>
                <a:cs typeface="Times New Roman"/>
              </a:defRPr>
            </a:pPr>
            <a:endParaRPr lang="it-IT"/>
          </a:p>
        </c:txPr>
        <c:crossAx val="-2085015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752002662626015"/>
          <c:y val="0.922377681627673"/>
          <c:w val="0.882366797900262"/>
          <c:h val="0.0776224846894138"/>
        </c:manualLayout>
      </c:layout>
      <c:overlay val="0"/>
      <c:txPr>
        <a:bodyPr/>
        <a:lstStyle/>
        <a:p>
          <a:pPr>
            <a:defRPr sz="800">
              <a:latin typeface="Times New Roman"/>
              <a:cs typeface="Times New Roman"/>
            </a:defRPr>
          </a:pPr>
          <a:endParaRPr lang="it-IT"/>
        </a:p>
      </c:txPr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3061</Words>
  <Characters>16563</Characters>
  <Application>Microsoft Macintosh Word</Application>
  <DocSecurity>0</DocSecurity>
  <Lines>217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Irene Maria Grazia Custureri</cp:lastModifiedBy>
  <cp:revision>23</cp:revision>
  <cp:lastPrinted>2023-06-24T15:27:00Z</cp:lastPrinted>
  <dcterms:created xsi:type="dcterms:W3CDTF">2023-06-23T15:55:00Z</dcterms:created>
  <dcterms:modified xsi:type="dcterms:W3CDTF">2023-06-24T15:44:00Z</dcterms:modified>
</cp:coreProperties>
</file>