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8F20C" w14:textId="69CA60EC" w:rsidR="00512D9B" w:rsidRPr="003920A5" w:rsidRDefault="0045123C">
      <w:pPr>
        <w:pStyle w:val="Titolo"/>
        <w:spacing w:before="600" w:line="240" w:lineRule="auto"/>
        <w:rPr>
          <w:lang w:val="en-GB"/>
        </w:rPr>
      </w:pPr>
      <w:r w:rsidRPr="003920A5">
        <w:rPr>
          <w:lang w:val="en-GB"/>
        </w:rPr>
        <w:t xml:space="preserve">Health-promoting protein-derived peptides in functional foodstuff </w:t>
      </w:r>
    </w:p>
    <w:p w14:paraId="132A7EE5" w14:textId="41BE62B3" w:rsidR="00512D9B" w:rsidRPr="002E4AC0" w:rsidRDefault="0045123C">
      <w:pPr>
        <w:jc w:val="center"/>
        <w:rPr>
          <w:lang w:val="it-IT"/>
        </w:rPr>
      </w:pPr>
      <w:r w:rsidRPr="002E4AC0">
        <w:rPr>
          <w:lang w:val="it-IT"/>
        </w:rPr>
        <w:t>Giulia</w:t>
      </w:r>
      <w:r w:rsidR="00FB589C" w:rsidRPr="002E4AC0">
        <w:rPr>
          <w:lang w:val="it-IT"/>
        </w:rPr>
        <w:t xml:space="preserve"> </w:t>
      </w:r>
      <w:r w:rsidRPr="002E4AC0">
        <w:rPr>
          <w:lang w:val="it-IT"/>
        </w:rPr>
        <w:t>Di Filippo</w:t>
      </w:r>
      <w:r w:rsidR="00FB589C" w:rsidRPr="002E4AC0">
        <w:rPr>
          <w:lang w:val="it-IT"/>
        </w:rPr>
        <w:t xml:space="preserve"> (</w:t>
      </w:r>
      <w:r w:rsidRPr="002E4AC0">
        <w:rPr>
          <w:lang w:val="it-IT"/>
        </w:rPr>
        <w:t>difilippo.giulia@spes.uniud.it</w:t>
      </w:r>
      <w:r w:rsidR="00FB589C" w:rsidRPr="002E4AC0">
        <w:rPr>
          <w:lang w:val="it-IT"/>
        </w:rPr>
        <w:t>)</w:t>
      </w:r>
    </w:p>
    <w:p w14:paraId="6052C412" w14:textId="50BA911C" w:rsidR="00512D9B" w:rsidRPr="003920A5" w:rsidRDefault="00FB589C">
      <w:pPr>
        <w:jc w:val="center"/>
      </w:pPr>
      <w:r w:rsidRPr="003920A5">
        <w:t>Dept.</w:t>
      </w:r>
      <w:r w:rsidR="009C1DBC" w:rsidRPr="003920A5">
        <w:t xml:space="preserve"> of </w:t>
      </w:r>
      <w:proofErr w:type="spellStart"/>
      <w:r w:rsidR="009C1DBC" w:rsidRPr="003920A5">
        <w:t>AgriFood</w:t>
      </w:r>
      <w:proofErr w:type="spellEnd"/>
      <w:r w:rsidR="009C1DBC" w:rsidRPr="003920A5">
        <w:t>, Environmental and Animal Sciences</w:t>
      </w:r>
      <w:r w:rsidRPr="003920A5">
        <w:t xml:space="preserve">, University of </w:t>
      </w:r>
      <w:r w:rsidR="0045123C" w:rsidRPr="003920A5">
        <w:t>Udine</w:t>
      </w:r>
      <w:r w:rsidRPr="003920A5">
        <w:t xml:space="preserve">, </w:t>
      </w:r>
      <w:r w:rsidR="0045123C" w:rsidRPr="003920A5">
        <w:t>Udine</w:t>
      </w:r>
      <w:r w:rsidRPr="003920A5">
        <w:t>, Italy</w:t>
      </w:r>
    </w:p>
    <w:p w14:paraId="6238DF2C" w14:textId="6CAA15F0" w:rsidR="00512D9B" w:rsidRPr="003920A5" w:rsidRDefault="00FB589C">
      <w:pPr>
        <w:jc w:val="center"/>
      </w:pPr>
      <w:r w:rsidRPr="003920A5">
        <w:t xml:space="preserve">Tutor: </w:t>
      </w:r>
      <w:proofErr w:type="spellStart"/>
      <w:r w:rsidRPr="003920A5">
        <w:t>Prof.</w:t>
      </w:r>
      <w:r w:rsidR="0045123C" w:rsidRPr="003920A5">
        <w:t>ssa</w:t>
      </w:r>
      <w:proofErr w:type="spellEnd"/>
      <w:r w:rsidR="0045123C" w:rsidRPr="003920A5">
        <w:t xml:space="preserve"> Nadia Innocente</w:t>
      </w:r>
    </w:p>
    <w:p w14:paraId="3AD685C2" w14:textId="77777777" w:rsidR="00512D9B" w:rsidRPr="003920A5" w:rsidRDefault="00512D9B">
      <w:pPr>
        <w:jc w:val="center"/>
        <w:rPr>
          <w:strike/>
        </w:rPr>
      </w:pPr>
    </w:p>
    <w:p w14:paraId="0A0D19E4" w14:textId="3723D772" w:rsidR="006A5C13" w:rsidRPr="003920A5" w:rsidRDefault="00527FD4">
      <w:pPr>
        <w:pStyle w:val="Corpotesto"/>
        <w:jc w:val="both"/>
        <w:rPr>
          <w:i w:val="0"/>
          <w:iCs w:val="0"/>
          <w:sz w:val="20"/>
        </w:rPr>
      </w:pPr>
      <w:r w:rsidRPr="008845CD">
        <w:rPr>
          <w:i w:val="0"/>
          <w:iCs w:val="0"/>
          <w:sz w:val="20"/>
        </w:rPr>
        <w:t xml:space="preserve">The </w:t>
      </w:r>
      <w:r w:rsidR="007301C2" w:rsidRPr="008845CD">
        <w:rPr>
          <w:i w:val="0"/>
          <w:iCs w:val="0"/>
          <w:sz w:val="20"/>
        </w:rPr>
        <w:t>present PhD thesis's main objective is to develop</w:t>
      </w:r>
      <w:r w:rsidR="003A7CD9" w:rsidRPr="008845CD">
        <w:rPr>
          <w:i w:val="0"/>
          <w:iCs w:val="0"/>
          <w:sz w:val="20"/>
        </w:rPr>
        <w:t xml:space="preserve"> tailored</w:t>
      </w:r>
      <w:r w:rsidR="009470E7" w:rsidRPr="008845CD">
        <w:rPr>
          <w:i w:val="0"/>
          <w:iCs w:val="0"/>
          <w:sz w:val="20"/>
        </w:rPr>
        <w:t xml:space="preserve"> protein hydrolysates </w:t>
      </w:r>
      <w:r w:rsidR="008845CD">
        <w:rPr>
          <w:i w:val="0"/>
          <w:iCs w:val="0"/>
          <w:sz w:val="20"/>
        </w:rPr>
        <w:t xml:space="preserve">from food industry </w:t>
      </w:r>
      <w:r w:rsidR="00892CC8">
        <w:rPr>
          <w:i w:val="0"/>
          <w:iCs w:val="0"/>
          <w:sz w:val="20"/>
        </w:rPr>
        <w:t>by-products</w:t>
      </w:r>
      <w:r w:rsidR="008845CD">
        <w:rPr>
          <w:i w:val="0"/>
          <w:iCs w:val="0"/>
          <w:sz w:val="20"/>
        </w:rPr>
        <w:t xml:space="preserve"> </w:t>
      </w:r>
      <w:r w:rsidR="009470E7" w:rsidRPr="008845CD">
        <w:rPr>
          <w:i w:val="0"/>
          <w:iCs w:val="0"/>
          <w:sz w:val="20"/>
        </w:rPr>
        <w:t xml:space="preserve">to be used as </w:t>
      </w:r>
      <w:r w:rsidR="00F35F20" w:rsidRPr="008845CD">
        <w:rPr>
          <w:i w:val="0"/>
          <w:iCs w:val="0"/>
          <w:sz w:val="20"/>
        </w:rPr>
        <w:t xml:space="preserve">innovative </w:t>
      </w:r>
      <w:r w:rsidR="009470E7" w:rsidRPr="008845CD">
        <w:rPr>
          <w:i w:val="0"/>
          <w:iCs w:val="0"/>
          <w:sz w:val="20"/>
        </w:rPr>
        <w:t>functional food ingredients.</w:t>
      </w:r>
      <w:r w:rsidR="00863AF2" w:rsidRPr="008845CD">
        <w:rPr>
          <w:i w:val="0"/>
          <w:iCs w:val="0"/>
          <w:sz w:val="20"/>
        </w:rPr>
        <w:t xml:space="preserve"> </w:t>
      </w:r>
      <w:r w:rsidR="006329BC" w:rsidRPr="008845CD">
        <w:rPr>
          <w:i w:val="0"/>
          <w:iCs w:val="0"/>
          <w:sz w:val="20"/>
        </w:rPr>
        <w:t xml:space="preserve">Milk whey and pea proteins </w:t>
      </w:r>
      <w:r w:rsidR="00D26EA8" w:rsidRPr="008845CD">
        <w:rPr>
          <w:i w:val="0"/>
          <w:iCs w:val="0"/>
          <w:sz w:val="20"/>
        </w:rPr>
        <w:t xml:space="preserve">were used </w:t>
      </w:r>
      <w:r w:rsidR="00D64D25" w:rsidRPr="008845CD">
        <w:rPr>
          <w:i w:val="0"/>
          <w:iCs w:val="0"/>
          <w:sz w:val="20"/>
        </w:rPr>
        <w:t>as</w:t>
      </w:r>
      <w:r w:rsidR="00D71061" w:rsidRPr="008845CD">
        <w:rPr>
          <w:i w:val="0"/>
          <w:iCs w:val="0"/>
          <w:sz w:val="20"/>
        </w:rPr>
        <w:t xml:space="preserve"> </w:t>
      </w:r>
      <w:r w:rsidR="005474A2" w:rsidRPr="008845CD">
        <w:rPr>
          <w:i w:val="0"/>
          <w:iCs w:val="0"/>
          <w:sz w:val="20"/>
        </w:rPr>
        <w:t>animal and vegetal protein sources respectively.</w:t>
      </w:r>
      <w:r w:rsidR="008845CD">
        <w:rPr>
          <w:i w:val="0"/>
          <w:iCs w:val="0"/>
          <w:sz w:val="20"/>
        </w:rPr>
        <w:t xml:space="preserve"> </w:t>
      </w:r>
      <w:r w:rsidR="006A5C13" w:rsidRPr="003920A5">
        <w:rPr>
          <w:i w:val="0"/>
          <w:iCs w:val="0"/>
          <w:sz w:val="20"/>
        </w:rPr>
        <w:t>Two</w:t>
      </w:r>
      <w:r w:rsidR="00674F0E" w:rsidRPr="003920A5">
        <w:rPr>
          <w:i w:val="0"/>
          <w:iCs w:val="0"/>
          <w:sz w:val="20"/>
        </w:rPr>
        <w:t xml:space="preserve"> of the</w:t>
      </w:r>
      <w:r w:rsidR="006A5C13" w:rsidRPr="003920A5">
        <w:rPr>
          <w:i w:val="0"/>
          <w:iCs w:val="0"/>
          <w:sz w:val="20"/>
        </w:rPr>
        <w:t xml:space="preserve"> </w:t>
      </w:r>
      <w:r w:rsidR="00FA4A7E" w:rsidRPr="003920A5">
        <w:rPr>
          <w:i w:val="0"/>
          <w:iCs w:val="0"/>
          <w:sz w:val="20"/>
        </w:rPr>
        <w:t xml:space="preserve">activities </w:t>
      </w:r>
      <w:r w:rsidR="00674F0E" w:rsidRPr="003920A5">
        <w:rPr>
          <w:i w:val="0"/>
          <w:iCs w:val="0"/>
          <w:sz w:val="20"/>
        </w:rPr>
        <w:t xml:space="preserve">included in </w:t>
      </w:r>
      <w:r w:rsidR="00FA4A7E" w:rsidRPr="003920A5">
        <w:rPr>
          <w:i w:val="0"/>
          <w:iCs w:val="0"/>
          <w:sz w:val="20"/>
        </w:rPr>
        <w:t>the PhD thesis project are described</w:t>
      </w:r>
      <w:r w:rsidR="00C24A2B" w:rsidRPr="003920A5">
        <w:rPr>
          <w:i w:val="0"/>
          <w:iCs w:val="0"/>
          <w:sz w:val="20"/>
        </w:rPr>
        <w:t xml:space="preserve">. Firstly, the </w:t>
      </w:r>
      <w:r w:rsidR="0017518A" w:rsidRPr="003920A5">
        <w:rPr>
          <w:i w:val="0"/>
          <w:iCs w:val="0"/>
          <w:sz w:val="20"/>
        </w:rPr>
        <w:t xml:space="preserve">protein hydrolysates </w:t>
      </w:r>
      <w:r w:rsidR="00D0052B" w:rsidRPr="003920A5">
        <w:rPr>
          <w:i w:val="0"/>
          <w:iCs w:val="0"/>
          <w:sz w:val="20"/>
        </w:rPr>
        <w:t xml:space="preserve">were characterized in terms of the </w:t>
      </w:r>
      <w:r w:rsidR="0084618C" w:rsidRPr="003920A5">
        <w:rPr>
          <w:i w:val="0"/>
          <w:iCs w:val="0"/>
          <w:sz w:val="20"/>
        </w:rPr>
        <w:t>degree of hydrolysis</w:t>
      </w:r>
      <w:r w:rsidR="00131A4A" w:rsidRPr="003920A5">
        <w:rPr>
          <w:i w:val="0"/>
          <w:iCs w:val="0"/>
          <w:sz w:val="20"/>
        </w:rPr>
        <w:t xml:space="preserve"> and molecular weight distribution</w:t>
      </w:r>
      <w:r w:rsidR="00D0052B" w:rsidRPr="003920A5">
        <w:rPr>
          <w:i w:val="0"/>
          <w:iCs w:val="0"/>
          <w:sz w:val="20"/>
        </w:rPr>
        <w:t xml:space="preserve">. </w:t>
      </w:r>
      <w:r w:rsidR="00271AEB" w:rsidRPr="003920A5">
        <w:rPr>
          <w:i w:val="0"/>
          <w:iCs w:val="0"/>
          <w:sz w:val="20"/>
        </w:rPr>
        <w:t xml:space="preserve">Secondly, </w:t>
      </w:r>
      <w:r w:rsidR="007301C2" w:rsidRPr="003920A5">
        <w:rPr>
          <w:i w:val="0"/>
          <w:iCs w:val="0"/>
          <w:sz w:val="20"/>
        </w:rPr>
        <w:t xml:space="preserve">the protein hydrolysates' technological and </w:t>
      </w:r>
      <w:r w:rsidR="007301C2" w:rsidRPr="00B55D24">
        <w:rPr>
          <w:sz w:val="20"/>
        </w:rPr>
        <w:t>in vitro</w:t>
      </w:r>
      <w:r w:rsidR="007301C2" w:rsidRPr="003920A5">
        <w:rPr>
          <w:i w:val="0"/>
          <w:iCs w:val="0"/>
          <w:sz w:val="20"/>
        </w:rPr>
        <w:t xml:space="preserve"> biological properties </w:t>
      </w:r>
      <w:r w:rsidR="00831E01" w:rsidRPr="003920A5">
        <w:rPr>
          <w:i w:val="0"/>
          <w:iCs w:val="0"/>
          <w:sz w:val="20"/>
        </w:rPr>
        <w:t>were assessed.</w:t>
      </w:r>
    </w:p>
    <w:p w14:paraId="1943D075" w14:textId="13F51A46" w:rsidR="005B3BCD" w:rsidRPr="002D3F53" w:rsidRDefault="00CF3F0A" w:rsidP="002F69C5">
      <w:pPr>
        <w:pStyle w:val="Titolo"/>
        <w:spacing w:before="240" w:line="240" w:lineRule="auto"/>
        <w:rPr>
          <w:lang w:val="it-IT"/>
        </w:rPr>
      </w:pPr>
      <w:r w:rsidRPr="002D3F53">
        <w:rPr>
          <w:sz w:val="24"/>
          <w:lang w:val="it-IT"/>
        </w:rPr>
        <w:t xml:space="preserve">Impiego </w:t>
      </w:r>
      <w:r w:rsidR="00756970" w:rsidRPr="002D3F53">
        <w:rPr>
          <w:sz w:val="24"/>
          <w:lang w:val="it-IT"/>
        </w:rPr>
        <w:t xml:space="preserve">di peptidi bioattivi </w:t>
      </w:r>
      <w:r w:rsidR="00DE684E" w:rsidRPr="002D3F53">
        <w:rPr>
          <w:sz w:val="24"/>
          <w:lang w:val="it-IT"/>
        </w:rPr>
        <w:t>ottenuti</w:t>
      </w:r>
      <w:r w:rsidRPr="002D3F53">
        <w:rPr>
          <w:sz w:val="24"/>
          <w:lang w:val="it-IT"/>
        </w:rPr>
        <w:t xml:space="preserve"> da</w:t>
      </w:r>
      <w:r w:rsidR="000C7F97" w:rsidRPr="002D3F53">
        <w:rPr>
          <w:sz w:val="24"/>
          <w:lang w:val="it-IT"/>
        </w:rPr>
        <w:t>ll’</w:t>
      </w:r>
      <w:r w:rsidRPr="002D3F53">
        <w:rPr>
          <w:sz w:val="24"/>
          <w:lang w:val="it-IT"/>
        </w:rPr>
        <w:t xml:space="preserve">idrolisi delle proteine </w:t>
      </w:r>
      <w:r w:rsidR="002F69C5" w:rsidRPr="002D3F53">
        <w:rPr>
          <w:sz w:val="24"/>
          <w:lang w:val="it-IT"/>
        </w:rPr>
        <w:t>in alimenti funzionali</w:t>
      </w:r>
    </w:p>
    <w:p w14:paraId="5D50F7C0" w14:textId="7CDD700E" w:rsidR="004F2E40" w:rsidRPr="002D3F53" w:rsidRDefault="00902656" w:rsidP="00B66FAD">
      <w:pPr>
        <w:jc w:val="both"/>
        <w:rPr>
          <w:lang w:val="it-IT"/>
        </w:rPr>
      </w:pPr>
      <w:r>
        <w:rPr>
          <w:lang w:val="it-IT"/>
        </w:rPr>
        <w:t xml:space="preserve">Il principale obiettivo di questa tesi di dottorato è </w:t>
      </w:r>
      <w:r w:rsidR="000565E7">
        <w:rPr>
          <w:lang w:val="it-IT"/>
        </w:rPr>
        <w:t>lo sviluppo di</w:t>
      </w:r>
      <w:r>
        <w:rPr>
          <w:lang w:val="it-IT"/>
        </w:rPr>
        <w:t xml:space="preserve"> idrolizzati proteici </w:t>
      </w:r>
      <w:r w:rsidR="000565E7">
        <w:rPr>
          <w:lang w:val="it-IT"/>
        </w:rPr>
        <w:t>con specifici attributi,</w:t>
      </w:r>
      <w:r>
        <w:rPr>
          <w:lang w:val="it-IT"/>
        </w:rPr>
        <w:t xml:space="preserve"> ottenuti da </w:t>
      </w:r>
      <w:r w:rsidR="00892CC8">
        <w:rPr>
          <w:lang w:val="it-IT"/>
        </w:rPr>
        <w:t>sottoprodotti</w:t>
      </w:r>
      <w:r>
        <w:rPr>
          <w:lang w:val="it-IT"/>
        </w:rPr>
        <w:t xml:space="preserve"> delle industrie alimentari, che possano essere utilizzati come ingredienti funzionali.</w:t>
      </w:r>
      <w:r w:rsidR="00892CC8">
        <w:rPr>
          <w:lang w:val="it-IT"/>
        </w:rPr>
        <w:t xml:space="preserve"> Le proteine del siero di latte e le proteine di pisello sono state usate come proteine di origine animale e vegetale, rispettivamente.</w:t>
      </w:r>
      <w:r>
        <w:rPr>
          <w:lang w:val="it-IT"/>
        </w:rPr>
        <w:t xml:space="preserve"> </w:t>
      </w:r>
      <w:r w:rsidR="006A7949" w:rsidRPr="002D3F53">
        <w:rPr>
          <w:lang w:val="it-IT"/>
        </w:rPr>
        <w:t>Vengono descritte</w:t>
      </w:r>
      <w:r w:rsidR="008A7734" w:rsidRPr="002D3F53">
        <w:rPr>
          <w:lang w:val="it-IT"/>
        </w:rPr>
        <w:t xml:space="preserve"> </w:t>
      </w:r>
      <w:r w:rsidR="00B746BE" w:rsidRPr="002D3F53">
        <w:rPr>
          <w:lang w:val="it-IT"/>
        </w:rPr>
        <w:t xml:space="preserve">due </w:t>
      </w:r>
      <w:r w:rsidR="0033723A" w:rsidRPr="002D3F53">
        <w:rPr>
          <w:lang w:val="it-IT"/>
        </w:rPr>
        <w:t xml:space="preserve">delle </w:t>
      </w:r>
      <w:r w:rsidR="00B746BE" w:rsidRPr="002D3F53">
        <w:rPr>
          <w:lang w:val="it-IT"/>
        </w:rPr>
        <w:t>attività del progetto di tesi di dottorato</w:t>
      </w:r>
      <w:r w:rsidR="00763891" w:rsidRPr="002D3F53">
        <w:rPr>
          <w:lang w:val="it-IT"/>
        </w:rPr>
        <w:t>. In</w:t>
      </w:r>
      <w:r w:rsidR="0038397B" w:rsidRPr="002D3F53">
        <w:rPr>
          <w:lang w:val="it-IT"/>
        </w:rPr>
        <w:t>izialmente gli idrolizzati proteici sono stati caratterizzati in termini di grado di idrolis</w:t>
      </w:r>
      <w:r w:rsidR="00131A4A" w:rsidRPr="002D3F53">
        <w:rPr>
          <w:lang w:val="it-IT"/>
        </w:rPr>
        <w:t>i e distribuzione dei pesi molecolari</w:t>
      </w:r>
      <w:r w:rsidR="005F5CAF" w:rsidRPr="002D3F53">
        <w:rPr>
          <w:lang w:val="it-IT"/>
        </w:rPr>
        <w:t xml:space="preserve">. </w:t>
      </w:r>
      <w:r>
        <w:rPr>
          <w:lang w:val="it-IT"/>
        </w:rPr>
        <w:t>Inoltre</w:t>
      </w:r>
      <w:r w:rsidR="005F5CAF" w:rsidRPr="002D3F53">
        <w:rPr>
          <w:lang w:val="it-IT"/>
        </w:rPr>
        <w:t xml:space="preserve">, sono </w:t>
      </w:r>
      <w:r w:rsidR="008F78BC" w:rsidRPr="002D3F53">
        <w:rPr>
          <w:lang w:val="it-IT"/>
        </w:rPr>
        <w:t xml:space="preserve">state valutate </w:t>
      </w:r>
      <w:r w:rsidR="00A75DEB" w:rsidRPr="002D3F53">
        <w:rPr>
          <w:lang w:val="it-IT"/>
        </w:rPr>
        <w:t xml:space="preserve">le proprietà tecnologiche </w:t>
      </w:r>
      <w:r w:rsidR="000D35AD" w:rsidRPr="002D3F53">
        <w:rPr>
          <w:lang w:val="it-IT"/>
        </w:rPr>
        <w:t>e biologiche de</w:t>
      </w:r>
      <w:r w:rsidR="0055316E" w:rsidRPr="002D3F53">
        <w:rPr>
          <w:lang w:val="it-IT"/>
        </w:rPr>
        <w:t>gli</w:t>
      </w:r>
      <w:r>
        <w:rPr>
          <w:lang w:val="it-IT"/>
        </w:rPr>
        <w:t xml:space="preserve"> stessi</w:t>
      </w:r>
      <w:r w:rsidR="0055316E" w:rsidRPr="002D3F53">
        <w:rPr>
          <w:lang w:val="it-IT"/>
        </w:rPr>
        <w:t>.</w:t>
      </w:r>
    </w:p>
    <w:p w14:paraId="568A2CAC" w14:textId="77777777" w:rsidR="005E57D1" w:rsidRPr="00B55D24" w:rsidRDefault="005E57D1" w:rsidP="00B66FAD">
      <w:pPr>
        <w:jc w:val="both"/>
        <w:rPr>
          <w:sz w:val="10"/>
          <w:szCs w:val="10"/>
          <w:lang w:val="it-IT"/>
        </w:rPr>
      </w:pPr>
    </w:p>
    <w:p w14:paraId="28E78CEA" w14:textId="059EBA20" w:rsidR="00867297" w:rsidRPr="003920A5" w:rsidRDefault="00867297" w:rsidP="00B66FAD">
      <w:pPr>
        <w:jc w:val="both"/>
      </w:pPr>
      <w:r w:rsidRPr="003920A5">
        <w:rPr>
          <w:b/>
          <w:bCs/>
        </w:rPr>
        <w:t xml:space="preserve">Key words: </w:t>
      </w:r>
      <w:r w:rsidR="001B70A8" w:rsidRPr="003920A5">
        <w:t>whey proteins</w:t>
      </w:r>
      <w:r w:rsidR="00490A91" w:rsidRPr="003920A5">
        <w:t xml:space="preserve">, </w:t>
      </w:r>
      <w:r w:rsidR="00F3181A" w:rsidRPr="003920A5">
        <w:t xml:space="preserve">protein hydrolysates, technological properties, </w:t>
      </w:r>
      <w:r w:rsidR="009812C0" w:rsidRPr="003920A5">
        <w:t>biological properties</w:t>
      </w:r>
    </w:p>
    <w:p w14:paraId="4D9A18E5" w14:textId="091969F3" w:rsidR="00316F75" w:rsidRPr="00316F75" w:rsidRDefault="00316F75" w:rsidP="00316F75">
      <w:pPr>
        <w:spacing w:before="240" w:after="120"/>
        <w:jc w:val="both"/>
        <w:rPr>
          <w:b/>
          <w:bCs/>
          <w:sz w:val="24"/>
          <w:szCs w:val="24"/>
        </w:rPr>
      </w:pPr>
      <w:r w:rsidRPr="00316F75">
        <w:rPr>
          <w:b/>
          <w:bCs/>
          <w:sz w:val="24"/>
          <w:szCs w:val="24"/>
        </w:rPr>
        <w:t>1. Introduction</w:t>
      </w:r>
    </w:p>
    <w:p w14:paraId="6C942914" w14:textId="0D533EBA" w:rsidR="003D4FC8" w:rsidRPr="003920A5" w:rsidRDefault="003D4FC8" w:rsidP="006D2FB4">
      <w:pPr>
        <w:jc w:val="both"/>
      </w:pPr>
      <w:r w:rsidRPr="003920A5">
        <w:t>In accordance with the PhD thesis project</w:t>
      </w:r>
      <w:r w:rsidR="009A253F" w:rsidRPr="003920A5">
        <w:t xml:space="preserve"> previously described (Di Filippo, 2022), this poster</w:t>
      </w:r>
      <w:r w:rsidR="003D696C" w:rsidRPr="003920A5">
        <w:t xml:space="preserve"> reports the main results of the two activities concerning:</w:t>
      </w:r>
    </w:p>
    <w:p w14:paraId="36DF30F2" w14:textId="0B913A8F" w:rsidR="003D696C" w:rsidRPr="003920A5" w:rsidRDefault="003D696C" w:rsidP="006D2FB4">
      <w:pPr>
        <w:ind w:left="567" w:hanging="567"/>
        <w:jc w:val="both"/>
      </w:pPr>
      <w:r w:rsidRPr="003920A5">
        <w:t>(A1)</w:t>
      </w:r>
      <w:r w:rsidR="00513979" w:rsidRPr="003920A5">
        <w:t xml:space="preserve"> </w:t>
      </w:r>
      <w:r w:rsidR="006D2FB4" w:rsidRPr="003920A5">
        <w:tab/>
      </w:r>
      <w:r w:rsidR="00893D5B" w:rsidRPr="003920A5">
        <w:t xml:space="preserve">the </w:t>
      </w:r>
      <w:r w:rsidR="00876930" w:rsidRPr="003920A5">
        <w:rPr>
          <w:b/>
          <w:bCs/>
        </w:rPr>
        <w:t xml:space="preserve">physiochemical </w:t>
      </w:r>
      <w:r w:rsidR="002304A1" w:rsidRPr="003920A5">
        <w:rPr>
          <w:b/>
          <w:bCs/>
        </w:rPr>
        <w:t>charact</w:t>
      </w:r>
      <w:r w:rsidR="00E11278" w:rsidRPr="003920A5">
        <w:rPr>
          <w:b/>
          <w:bCs/>
        </w:rPr>
        <w:t>erization of whey protein hydrolysates</w:t>
      </w:r>
      <w:r w:rsidR="007D2D54" w:rsidRPr="003920A5">
        <w:t xml:space="preserve"> </w:t>
      </w:r>
      <w:r w:rsidR="00E11278" w:rsidRPr="003920A5">
        <w:t xml:space="preserve">in terms of </w:t>
      </w:r>
      <w:r w:rsidR="00E02089" w:rsidRPr="003920A5">
        <w:t>the degree of hydrolysis (DH),</w:t>
      </w:r>
      <w:r w:rsidR="001527FE" w:rsidRPr="003920A5">
        <w:t xml:space="preserve"> and </w:t>
      </w:r>
      <w:r w:rsidR="00A679B2" w:rsidRPr="003920A5">
        <w:t xml:space="preserve">molecular weight </w:t>
      </w:r>
      <w:proofErr w:type="gramStart"/>
      <w:r w:rsidR="00A679B2" w:rsidRPr="003920A5">
        <w:t>distribution</w:t>
      </w:r>
      <w:r w:rsidR="009E5733" w:rsidRPr="003920A5">
        <w:t>;</w:t>
      </w:r>
      <w:proofErr w:type="gramEnd"/>
    </w:p>
    <w:p w14:paraId="10FD7114" w14:textId="74FBF5A4" w:rsidR="00513979" w:rsidRPr="003920A5" w:rsidRDefault="00513979" w:rsidP="00D6114C">
      <w:pPr>
        <w:ind w:left="567" w:hanging="567"/>
        <w:jc w:val="both"/>
      </w:pPr>
      <w:r w:rsidRPr="003920A5">
        <w:t xml:space="preserve">(A2) </w:t>
      </w:r>
      <w:r w:rsidR="00D6114C" w:rsidRPr="003920A5">
        <w:tab/>
      </w:r>
      <w:r w:rsidR="007D2D54" w:rsidRPr="003920A5">
        <w:t xml:space="preserve">the </w:t>
      </w:r>
      <w:r w:rsidR="007D2D54" w:rsidRPr="003920A5">
        <w:rPr>
          <w:b/>
          <w:bCs/>
        </w:rPr>
        <w:t>assessment of</w:t>
      </w:r>
      <w:r w:rsidR="004D4E85" w:rsidRPr="003920A5">
        <w:rPr>
          <w:b/>
          <w:bCs/>
        </w:rPr>
        <w:t xml:space="preserve"> </w:t>
      </w:r>
      <w:r w:rsidR="00CC759B" w:rsidRPr="003920A5">
        <w:rPr>
          <w:b/>
          <w:bCs/>
        </w:rPr>
        <w:t xml:space="preserve">whey protein </w:t>
      </w:r>
      <w:r w:rsidR="00F151E8" w:rsidRPr="003920A5">
        <w:rPr>
          <w:b/>
          <w:bCs/>
        </w:rPr>
        <w:t>hydrolysates</w:t>
      </w:r>
      <w:r w:rsidR="004E6515" w:rsidRPr="003920A5">
        <w:rPr>
          <w:b/>
          <w:bCs/>
        </w:rPr>
        <w:t xml:space="preserve">’ technological </w:t>
      </w:r>
      <w:r w:rsidR="00846E9A" w:rsidRPr="003920A5">
        <w:rPr>
          <w:b/>
          <w:bCs/>
        </w:rPr>
        <w:t>properties</w:t>
      </w:r>
      <w:r w:rsidR="00295CA1" w:rsidRPr="003920A5">
        <w:t xml:space="preserve">, namely </w:t>
      </w:r>
      <w:r w:rsidR="00FA57B8" w:rsidRPr="003920A5">
        <w:t>solubility, emuls</w:t>
      </w:r>
      <w:r w:rsidR="00E5645F" w:rsidRPr="003920A5">
        <w:t>ifying, foaming and gelling properties</w:t>
      </w:r>
      <w:r w:rsidR="00361D21">
        <w:t>,</w:t>
      </w:r>
      <w:r w:rsidR="00853A9A" w:rsidRPr="003920A5">
        <w:t xml:space="preserve"> and</w:t>
      </w:r>
      <w:r w:rsidR="00E42CF3" w:rsidRPr="003920A5">
        <w:rPr>
          <w:i/>
          <w:iCs/>
        </w:rPr>
        <w:t xml:space="preserve"> in vitro</w:t>
      </w:r>
      <w:r w:rsidR="00853A9A" w:rsidRPr="003920A5">
        <w:t xml:space="preserve"> </w:t>
      </w:r>
      <w:r w:rsidR="004E6515" w:rsidRPr="003920A5">
        <w:rPr>
          <w:b/>
          <w:bCs/>
        </w:rPr>
        <w:t>biological</w:t>
      </w:r>
      <w:r w:rsidR="00077BDF" w:rsidRPr="003920A5">
        <w:t xml:space="preserve"> propert</w:t>
      </w:r>
      <w:r w:rsidR="0054540F">
        <w:t>y</w:t>
      </w:r>
      <w:r w:rsidR="004000C2" w:rsidRPr="003920A5">
        <w:t xml:space="preserve"> </w:t>
      </w:r>
      <w:r w:rsidR="002D3F53">
        <w:t>(</w:t>
      </w:r>
      <w:r w:rsidR="004000C2" w:rsidRPr="003920A5">
        <w:t>antioxidant</w:t>
      </w:r>
      <w:r w:rsidR="002D3F53">
        <w:t xml:space="preserve"> capacity)</w:t>
      </w:r>
      <w:r w:rsidR="00D6114C" w:rsidRPr="003920A5">
        <w:t>.</w:t>
      </w:r>
    </w:p>
    <w:p w14:paraId="52F57DE5" w14:textId="6B633E73" w:rsidR="00CD7D09" w:rsidRPr="00CD7D09" w:rsidRDefault="00CD7D09" w:rsidP="00CD7D09">
      <w:pPr>
        <w:spacing w:before="240" w:after="120"/>
        <w:jc w:val="both"/>
        <w:rPr>
          <w:b/>
          <w:bCs/>
          <w:sz w:val="24"/>
          <w:szCs w:val="24"/>
        </w:rPr>
      </w:pPr>
      <w:r>
        <w:rPr>
          <w:b/>
          <w:bCs/>
          <w:sz w:val="24"/>
          <w:szCs w:val="24"/>
        </w:rPr>
        <w:t>2</w:t>
      </w:r>
      <w:r w:rsidRPr="00CD7D09">
        <w:rPr>
          <w:b/>
          <w:bCs/>
          <w:sz w:val="24"/>
          <w:szCs w:val="24"/>
        </w:rPr>
        <w:t xml:space="preserve">. </w:t>
      </w:r>
      <w:r>
        <w:rPr>
          <w:b/>
          <w:bCs/>
          <w:sz w:val="24"/>
          <w:szCs w:val="24"/>
        </w:rPr>
        <w:t xml:space="preserve">Materials and </w:t>
      </w:r>
      <w:r w:rsidR="00316F75">
        <w:rPr>
          <w:b/>
          <w:bCs/>
          <w:sz w:val="24"/>
          <w:szCs w:val="24"/>
        </w:rPr>
        <w:t>M</w:t>
      </w:r>
      <w:r>
        <w:rPr>
          <w:b/>
          <w:bCs/>
          <w:sz w:val="24"/>
          <w:szCs w:val="24"/>
        </w:rPr>
        <w:t>ethods</w:t>
      </w:r>
    </w:p>
    <w:p w14:paraId="116AA8CF" w14:textId="2D814309" w:rsidR="00512D9B" w:rsidRPr="00247AA4" w:rsidRDefault="00387F42" w:rsidP="005B7057">
      <w:pPr>
        <w:jc w:val="both"/>
      </w:pPr>
      <w:r w:rsidRPr="003920A5">
        <w:t xml:space="preserve">Whey protein </w:t>
      </w:r>
      <w:r w:rsidRPr="00902656">
        <w:t>hydrolysates</w:t>
      </w:r>
      <w:r w:rsidR="00464A8D" w:rsidRPr="00902656">
        <w:t xml:space="preserve"> </w:t>
      </w:r>
      <w:r w:rsidR="007F4374" w:rsidRPr="00902656">
        <w:t>(WP</w:t>
      </w:r>
      <w:r w:rsidR="00902656">
        <w:t>Hs</w:t>
      </w:r>
      <w:r w:rsidR="007F4374" w:rsidRPr="00902656">
        <w:t>)</w:t>
      </w:r>
      <w:r w:rsidR="007F4374">
        <w:t xml:space="preserve"> </w:t>
      </w:r>
      <w:r w:rsidR="00464A8D" w:rsidRPr="003920A5">
        <w:t>were obtained</w:t>
      </w:r>
      <w:r w:rsidR="00DF0FFD" w:rsidRPr="003920A5">
        <w:t xml:space="preserve"> from </w:t>
      </w:r>
      <w:r w:rsidR="0091656C" w:rsidRPr="003920A5">
        <w:t xml:space="preserve">a whey protein isolate </w:t>
      </w:r>
      <w:r w:rsidR="00902656">
        <w:t xml:space="preserve">(WPI) </w:t>
      </w:r>
      <w:r w:rsidR="0091656C" w:rsidRPr="003920A5">
        <w:t>dissolved in potassium-phosphate</w:t>
      </w:r>
      <w:r w:rsidR="00464A8D" w:rsidRPr="003920A5">
        <w:t xml:space="preserve"> through </w:t>
      </w:r>
      <w:r w:rsidR="00767A8A" w:rsidRPr="003920A5">
        <w:t xml:space="preserve">a </w:t>
      </w:r>
      <w:r w:rsidR="00F81FB0" w:rsidRPr="003920A5">
        <w:t xml:space="preserve">hydrolysis process conducted with </w:t>
      </w:r>
      <w:r w:rsidR="00F60980" w:rsidRPr="003920A5">
        <w:t xml:space="preserve">the use of Alcalase 2.4L </w:t>
      </w:r>
      <w:r w:rsidR="00BF0535" w:rsidRPr="003920A5">
        <w:t xml:space="preserve">or Protamex enzymes </w:t>
      </w:r>
      <w:r w:rsidR="00343C58" w:rsidRPr="003920A5">
        <w:t>for different times, from 10 to 480 minutes</w:t>
      </w:r>
      <w:r w:rsidR="00335497" w:rsidRPr="003920A5">
        <w:t>, at 50 and 55°C respectively</w:t>
      </w:r>
      <w:r w:rsidR="00343C58" w:rsidRPr="003920A5">
        <w:t xml:space="preserve">. </w:t>
      </w:r>
      <w:r w:rsidR="00902656">
        <w:t>WPHs</w:t>
      </w:r>
      <w:r w:rsidR="007F4374">
        <w:t xml:space="preserve"> </w:t>
      </w:r>
      <w:r w:rsidR="00B63035" w:rsidRPr="003920A5">
        <w:t>were freeze-dr</w:t>
      </w:r>
      <w:r w:rsidR="005674F9" w:rsidRPr="003920A5">
        <w:t>ied and further characterized in terms of</w:t>
      </w:r>
      <w:r w:rsidR="00C33D97" w:rsidRPr="003920A5">
        <w:t xml:space="preserve"> </w:t>
      </w:r>
      <w:r w:rsidR="00C8502B" w:rsidRPr="003920A5">
        <w:t xml:space="preserve">the </w:t>
      </w:r>
      <w:r w:rsidR="00C33D97" w:rsidRPr="003920A5">
        <w:t>degree of hydrolysis</w:t>
      </w:r>
      <w:r w:rsidR="005674F9" w:rsidRPr="003920A5">
        <w:t>,</w:t>
      </w:r>
      <w:r w:rsidR="00EA2E52" w:rsidRPr="003920A5">
        <w:t xml:space="preserve"> </w:t>
      </w:r>
      <w:r w:rsidR="00D7155C">
        <w:t>with</w:t>
      </w:r>
      <w:r w:rsidR="00A22B73" w:rsidRPr="003920A5">
        <w:t xml:space="preserve"> the </w:t>
      </w:r>
      <w:r w:rsidR="00A24A81">
        <w:t>o-</w:t>
      </w:r>
      <w:proofErr w:type="spellStart"/>
      <w:r w:rsidR="00A24A81">
        <w:t>phthaldialdheyde</w:t>
      </w:r>
      <w:proofErr w:type="spellEnd"/>
      <w:r w:rsidR="00A24A81">
        <w:t xml:space="preserve"> (</w:t>
      </w:r>
      <w:r w:rsidR="00A22B73" w:rsidRPr="003920A5">
        <w:t>OPA</w:t>
      </w:r>
      <w:r w:rsidR="00A24A81">
        <w:t>)</w:t>
      </w:r>
      <w:r w:rsidR="00A22B73" w:rsidRPr="003920A5">
        <w:t xml:space="preserve"> assay</w:t>
      </w:r>
      <w:r w:rsidR="00AC0922">
        <w:t xml:space="preserve"> </w:t>
      </w:r>
      <w:r w:rsidR="0024323C">
        <w:fldChar w:fldCharType="begin" w:fldLock="1"/>
      </w:r>
      <w:r w:rsidR="00F342FB">
        <w:instrText>ADDIN CSL_CITATION {"citationItems":[{"id":"ITEM-1","itemData":{"DOI":"10.1016/J.FOODCHEM.2006.10.065","ISSN":"0308-8146","abstract":"The metabolic activities of Lactobacillus acidophilus (LAFTI® L10 and La4962) Bifidobacterium (lactis LAFTI® B94 and longum Bl536), Lactobacillus casei (LAFTI® L26 and Lc279), Lactobacillus delbrueckii ssp. bulgaricus Lb1466 and Streptococuss thermophilus St1342 were assessed in soymilk. Strains were initially analyzed for α-galactosidase activity and organic acid production in MRS broth at 37 °C. Consequently, soymilk was fermented with each strain and cell growth, production of organic acid, metabolism of oligosaccharides and proteolytic and ACE-inhibitory activities were assessed during 48 h of incubation at 42 °C. All strains exhibited variable α-galactosidase activity, with Bifidobacterium lactis B94 showing the highest activity. The oligosaccharide metabolism depended on α-galactosidase activity. B. lactis B94, S. thermophilus St1342 and L. acidophilus La4962 reduced raffinose substantially by 77.4%, 64.5% and 55.9%, respectively. All strains reached the desired therapeutic level of 108 cfu/ml in soymilk after 48 h at 42 °C. The hydrolysis of protein in soymilk likely depended on strain (P &lt; 0.0001) and time (P &lt; 0.0001). The strains also released bioactive peptides with ACE-inhibitory activities between 17% and 43%. © 2006 Elsevier Ltd. All rights reserved.","author":[{"dropping-particle":"","family":"Donkor","given":"Osaana N.","non-dropping-particle":"","parse-names":false,"suffix":""},{"dropping-particle":"","family":"Henriksson","given":"A.","non-dropping-particle":"","parse-names":false,"suffix":""},{"dropping-particle":"","family":"Vasiljevic","given":"T.","non-dropping-particle":"","parse-names":false,"suffix":""},{"dropping-particle":"","family":"Shah","given":"N. P.","non-dropping-particle":"","parse-names":false,"suffix":""}],"container-title":"Food Chemistry","id":"ITEM-1","issue":"1","issued":{"date-parts":[["2007","1","1"]]},"page":"10-20","publisher":"Elsevier","title":"α-Galactosidase and proteolytic activities of selected probiotic and dairy cultures in fermented soymilk","type":"article-journal","volume":"104"},"uris":["http://www.mendeley.com/documents/?uuid=deafeaab-3614-395d-b15a-27cfe3a833ef"]}],"mendeley":{"formattedCitation":"(Donkor et al., 2007)","plainTextFormattedCitation":"(Donkor et al., 2007)","previouslyFormattedCitation":"(Donkor &lt;i&gt;et al.&lt;/i&gt;, 2007)"},"properties":{"noteIndex":0},"schema":"https://github.com/citation-style-language/schema/raw/master/csl-citation.json"}</w:instrText>
      </w:r>
      <w:r w:rsidR="0024323C">
        <w:fldChar w:fldCharType="separate"/>
      </w:r>
      <w:r w:rsidR="0024323C" w:rsidRPr="00F342FB">
        <w:rPr>
          <w:noProof/>
        </w:rPr>
        <w:t>(Donkor et al., 2007)</w:t>
      </w:r>
      <w:r w:rsidR="0024323C">
        <w:fldChar w:fldCharType="end"/>
      </w:r>
      <w:r w:rsidR="00EA2E52" w:rsidRPr="003920A5">
        <w:t xml:space="preserve">, </w:t>
      </w:r>
      <w:r w:rsidR="00C8502B" w:rsidRPr="003920A5">
        <w:t>whereas</w:t>
      </w:r>
      <w:r w:rsidR="00410BB2" w:rsidRPr="003920A5">
        <w:t xml:space="preserve"> the</w:t>
      </w:r>
      <w:r w:rsidR="00361D21">
        <w:t xml:space="preserve"> percentage</w:t>
      </w:r>
      <w:r w:rsidR="00410BB2" w:rsidRPr="003920A5">
        <w:t xml:space="preserve"> molecular mass </w:t>
      </w:r>
      <w:r w:rsidR="00D7155C">
        <w:t xml:space="preserve">(MW) </w:t>
      </w:r>
      <w:r w:rsidR="00410BB2" w:rsidRPr="003920A5">
        <w:t xml:space="preserve">distribution was </w:t>
      </w:r>
      <w:r w:rsidR="00AC0922" w:rsidRPr="00902656">
        <w:t>determined</w:t>
      </w:r>
      <w:r w:rsidR="00E856F9" w:rsidRPr="00902656">
        <w:t xml:space="preserve"> through</w:t>
      </w:r>
      <w:r w:rsidR="00E856F9" w:rsidRPr="003920A5">
        <w:t xml:space="preserve"> HPLC analysis using a </w:t>
      </w:r>
      <w:proofErr w:type="spellStart"/>
      <w:r w:rsidR="00E856F9" w:rsidRPr="003920A5">
        <w:t>TSKgel</w:t>
      </w:r>
      <w:proofErr w:type="spellEnd"/>
      <w:r w:rsidR="00E856F9" w:rsidRPr="003920A5">
        <w:t xml:space="preserve"> column</w:t>
      </w:r>
      <w:r w:rsidR="006653D2">
        <w:t xml:space="preserve"> </w:t>
      </w:r>
      <w:r w:rsidR="006653D2" w:rsidRPr="0024323C">
        <w:fldChar w:fldCharType="begin" w:fldLock="1"/>
      </w:r>
      <w:r w:rsidR="00F342FB">
        <w:instrText>ADDIN CSL_CITATION {"citationItems":[{"id":"ITEM-1","itemData":{"DOI":"10.1016/J.FOODCHEM.2021.130711","ISSN":"0308-8146","PMID":"34343947","abstract":"Food protein and peptides are generally considered a source of dietary antioxidants. The antioxidant activity and peptide profiles of four extensive hydrolysates of milk protein concentrate (MPC) were examined using the two-step enzymatic method. The hydrolysis combinations were Alcalase-Flavourzyme (AE), Alcalase-ProteAXH (AH), Alcalase-Protamex (AX) and Alcalase-Protease A 2SD (AD). The results showed that highest degree of hydrolysis corresponded to the AE sample (20.41%). High-efficiency gel-filtration chromatography results indicated that the relative proportions of extensive hydrolysates with molecular weights &lt; 3 kDa were 99.89%, 99.57%, 99.93%, and 99.89% for AX, AE, AD and AH, respectively. The hydrolysates of the MPC exhibited increased radical-scavenging capacity, as evidenced through an analysis with 1,1-diphenyl-2-pycryl-hydrazyl (DPPH), 2,2-azinobis (3-ethylbenzothiazo-line-6-sulfonic acid) diammonium salt (ABTS), reducing power and hydroxyl-radical scavenging activity testing. The main bioactive peptides were identified through EASY-nLC-orbitrap MS/MS and bioinformatics. The study may provide useful information regarding the antioxidant properties of extensive hydrolysates of MPC.","author":[{"dropping-particle":"","family":"Cui","given":"Qiang","non-dropping-particle":"","parse-names":false,"suffix":""},{"dropping-particle":"","family":"Sun","given":"Yuxue","non-dropping-particle":"","parse-names":false,"suffix":""},{"dropping-particle":"","family":"Cheng","given":"Jianjun","non-dropping-particle":"","parse-names":false,"suffix":""},{"dropping-particle":"","family":"Guo","given":"Mingruo","non-dropping-particle":"","parse-names":false,"suffix":""}],"container-title":"Food Chemistry","id":"ITEM-1","issued":{"date-parts":[["2022","1","1"]]},"page":"130711","publisher":"Elsevier","title":"Effect of two-step enzymatic hydrolysis on the antioxidant properties and proteomics of hydrolysates of milk protein concentrate","type":"article-journal","volume":"366"},"uris":["http://www.mendeley.com/documents/?uuid=4fa89fc7-df12-3ee4-9d19-42da2a8af8fe"]}],"mendeley":{"formattedCitation":"(Cui et al., 2022)","plainTextFormattedCitation":"(Cui et al., 2022)","previouslyFormattedCitation":"(Cui &lt;i&gt;et al.&lt;/i&gt;, 2022)"},"properties":{"noteIndex":0},"schema":"https://github.com/citation-style-language/schema/raw/master/csl-citation.json"}</w:instrText>
      </w:r>
      <w:r w:rsidR="006653D2" w:rsidRPr="0024323C">
        <w:fldChar w:fldCharType="separate"/>
      </w:r>
      <w:r w:rsidR="006653D2" w:rsidRPr="00F342FB">
        <w:rPr>
          <w:noProof/>
        </w:rPr>
        <w:t>(Cui et al., 2022)</w:t>
      </w:r>
      <w:r w:rsidR="006653D2" w:rsidRPr="0024323C">
        <w:fldChar w:fldCharType="end"/>
      </w:r>
      <w:r w:rsidR="004A1C86" w:rsidRPr="0024323C">
        <w:t xml:space="preserve">. </w:t>
      </w:r>
      <w:r w:rsidR="00AC0922" w:rsidRPr="0024323C">
        <w:t xml:space="preserve">Peptides </w:t>
      </w:r>
      <w:r w:rsidR="00902656" w:rsidRPr="0024323C">
        <w:t>were</w:t>
      </w:r>
      <w:r w:rsidR="00AC0922" w:rsidRPr="0024323C">
        <w:t xml:space="preserve"> classified according to their </w:t>
      </w:r>
      <w:r w:rsidR="00D7155C">
        <w:t>MW</w:t>
      </w:r>
      <w:r w:rsidR="00AC0922" w:rsidRPr="0024323C">
        <w:t xml:space="preserve"> into three groups (I group</w:t>
      </w:r>
      <w:r w:rsidR="00823A5C" w:rsidRPr="0024323C">
        <w:t xml:space="preserve">&gt;18 kDa, </w:t>
      </w:r>
      <w:r w:rsidR="00AC0922" w:rsidRPr="0024323C">
        <w:t>II group</w:t>
      </w:r>
      <w:r w:rsidR="004E57E6" w:rsidRPr="0024323C">
        <w:t xml:space="preserve">18-3 kDa, </w:t>
      </w:r>
      <w:r w:rsidR="00AC0922" w:rsidRPr="0024323C">
        <w:t xml:space="preserve">III group </w:t>
      </w:r>
      <w:r w:rsidR="004E57E6" w:rsidRPr="0024323C">
        <w:t>3-</w:t>
      </w:r>
      <w:r w:rsidR="00A24A81" w:rsidRPr="0024323C">
        <w:t>0.6</w:t>
      </w:r>
      <w:r w:rsidR="004E57E6" w:rsidRPr="0024323C">
        <w:t xml:space="preserve"> kDa, and </w:t>
      </w:r>
      <w:r w:rsidR="00AC0922" w:rsidRPr="0024323C">
        <w:t xml:space="preserve">IV group </w:t>
      </w:r>
      <w:r w:rsidR="004E57E6" w:rsidRPr="0024323C">
        <w:t>&lt;</w:t>
      </w:r>
      <w:r w:rsidR="00A24A81" w:rsidRPr="0024323C">
        <w:t>0.6</w:t>
      </w:r>
      <w:r w:rsidR="004E57E6" w:rsidRPr="0024323C">
        <w:t xml:space="preserve"> kDa</w:t>
      </w:r>
      <w:r w:rsidR="00AC0922" w:rsidRPr="0024323C">
        <w:t>)</w:t>
      </w:r>
      <w:r w:rsidR="00C8502B" w:rsidRPr="0024323C">
        <w:t xml:space="preserve">. Technological properties </w:t>
      </w:r>
      <w:r w:rsidR="00504069" w:rsidRPr="0024323C">
        <w:t xml:space="preserve">were </w:t>
      </w:r>
      <w:r w:rsidR="007F4374" w:rsidRPr="0024323C">
        <w:t xml:space="preserve">then </w:t>
      </w:r>
      <w:r w:rsidR="00B94A57">
        <w:t>assessed</w:t>
      </w:r>
      <w:r w:rsidR="00AC0922" w:rsidRPr="0024323C">
        <w:t>.</w:t>
      </w:r>
      <w:r w:rsidR="00504069" w:rsidRPr="0024323C">
        <w:t xml:space="preserve"> </w:t>
      </w:r>
      <w:r w:rsidR="00AC0922" w:rsidRPr="0024323C">
        <w:t>S</w:t>
      </w:r>
      <w:r w:rsidR="00504069" w:rsidRPr="0024323C">
        <w:t>olubility</w:t>
      </w:r>
      <w:r w:rsidR="00367C2E" w:rsidRPr="0024323C">
        <w:t xml:space="preserve"> </w:t>
      </w:r>
      <w:r w:rsidR="00AC0922" w:rsidRPr="0024323C">
        <w:t xml:space="preserve">was performed </w:t>
      </w:r>
      <w:r w:rsidR="005C658F" w:rsidRPr="0024323C">
        <w:t>by drying</w:t>
      </w:r>
      <w:r w:rsidR="002A5D52" w:rsidRPr="0024323C">
        <w:t xml:space="preserve"> </w:t>
      </w:r>
      <w:r w:rsidR="00F5250A" w:rsidRPr="0024323C">
        <w:t>the insoluble precipitate</w:t>
      </w:r>
      <w:r w:rsidR="00745184" w:rsidRPr="0024323C">
        <w:t xml:space="preserve"> </w:t>
      </w:r>
      <w:r w:rsidR="00902656" w:rsidRPr="0024323C">
        <w:t>of WPI</w:t>
      </w:r>
      <w:r w:rsidR="007F4374" w:rsidRPr="0024323C">
        <w:t xml:space="preserve"> and </w:t>
      </w:r>
      <w:r w:rsidR="009429FE" w:rsidRPr="0024323C">
        <w:t>W</w:t>
      </w:r>
      <w:r w:rsidR="007F4374" w:rsidRPr="0024323C">
        <w:t>P</w:t>
      </w:r>
      <w:r w:rsidR="009429FE" w:rsidRPr="0024323C">
        <w:t>H</w:t>
      </w:r>
      <w:r w:rsidR="0096221C">
        <w:t>s</w:t>
      </w:r>
      <w:r w:rsidR="00902656" w:rsidRPr="0024323C">
        <w:t>,</w:t>
      </w:r>
      <w:r w:rsidR="007F4374" w:rsidRPr="0024323C">
        <w:t xml:space="preserve"> </w:t>
      </w:r>
      <w:r w:rsidR="00902656" w:rsidRPr="0024323C">
        <w:t xml:space="preserve">solubilized in water, </w:t>
      </w:r>
      <w:r w:rsidR="001769A6" w:rsidRPr="0024323C">
        <w:t>in a vacuum oven</w:t>
      </w:r>
      <w:r w:rsidR="00CF0038" w:rsidRPr="0024323C">
        <w:t xml:space="preserve"> </w:t>
      </w:r>
      <w:r w:rsidR="006E573C" w:rsidRPr="0024323C">
        <w:t>overnight</w:t>
      </w:r>
      <w:r w:rsidR="00730A82" w:rsidRPr="0024323C">
        <w:t xml:space="preserve">. </w:t>
      </w:r>
      <w:r w:rsidR="00DD7E4B" w:rsidRPr="0024323C">
        <w:t xml:space="preserve">The </w:t>
      </w:r>
      <w:r w:rsidR="00FF4E4F" w:rsidRPr="0024323C">
        <w:t xml:space="preserve">foaming ability </w:t>
      </w:r>
      <w:r w:rsidR="00F87400" w:rsidRPr="0024323C">
        <w:t xml:space="preserve">and stability </w:t>
      </w:r>
      <w:r w:rsidR="009932CB" w:rsidRPr="0024323C">
        <w:t>indices</w:t>
      </w:r>
      <w:r w:rsidR="00F87400" w:rsidRPr="0024323C">
        <w:t xml:space="preserve"> were determined</w:t>
      </w:r>
      <w:r w:rsidR="00990BC0" w:rsidRPr="0024323C">
        <w:t xml:space="preserve"> </w:t>
      </w:r>
      <w:r w:rsidR="009932CB" w:rsidRPr="0024323C">
        <w:t>by</w:t>
      </w:r>
      <w:r w:rsidR="004A652D" w:rsidRPr="0024323C">
        <w:t xml:space="preserve"> placing 10 mL of </w:t>
      </w:r>
      <w:r w:rsidR="007F4374" w:rsidRPr="0024323C">
        <w:t xml:space="preserve">WPI and </w:t>
      </w:r>
      <w:r w:rsidR="00892CC8" w:rsidRPr="0024323C">
        <w:t>WPH</w:t>
      </w:r>
      <w:r w:rsidR="007F4374" w:rsidRPr="0024323C">
        <w:t>s samples</w:t>
      </w:r>
      <w:r w:rsidR="00902656" w:rsidRPr="0024323C">
        <w:t>, overnight</w:t>
      </w:r>
      <w:r w:rsidR="007F4374" w:rsidRPr="0024323C">
        <w:t xml:space="preserve"> solubilized</w:t>
      </w:r>
      <w:r w:rsidR="004A652D" w:rsidRPr="0024323C">
        <w:t xml:space="preserve"> </w:t>
      </w:r>
      <w:r w:rsidR="00E830B0" w:rsidRPr="0024323C">
        <w:t xml:space="preserve">in </w:t>
      </w:r>
      <w:r w:rsidR="00290241" w:rsidRPr="0024323C">
        <w:t xml:space="preserve">distilled water </w:t>
      </w:r>
      <w:r w:rsidR="00E830B0" w:rsidRPr="0024323C">
        <w:t>(1%)</w:t>
      </w:r>
      <w:r w:rsidR="00902656" w:rsidRPr="0024323C">
        <w:t>,</w:t>
      </w:r>
      <w:r w:rsidR="007F4374" w:rsidRPr="0024323C">
        <w:t xml:space="preserve"> </w:t>
      </w:r>
      <w:r w:rsidR="004A652D" w:rsidRPr="0024323C">
        <w:t>in a graduated cylinder</w:t>
      </w:r>
      <w:r w:rsidR="009E0524" w:rsidRPr="0024323C">
        <w:t xml:space="preserve">, generating foam with an </w:t>
      </w:r>
      <w:r w:rsidR="00B01373">
        <w:t>U</w:t>
      </w:r>
      <w:r w:rsidR="009E0524" w:rsidRPr="0024323C">
        <w:t>ltraturrax</w:t>
      </w:r>
      <w:r w:rsidR="00B01373">
        <w:t>®</w:t>
      </w:r>
      <w:r w:rsidR="009E0524" w:rsidRPr="0024323C">
        <w:t xml:space="preserve"> at 800 x g for 3 min and measuring</w:t>
      </w:r>
      <w:r w:rsidR="008A798F" w:rsidRPr="0024323C">
        <w:t xml:space="preserve"> it over 1 h. </w:t>
      </w:r>
      <w:r w:rsidR="007E7803" w:rsidRPr="0024323C">
        <w:t>Similarly</w:t>
      </w:r>
      <w:r w:rsidR="00AC0922" w:rsidRPr="0024323C">
        <w:t>,</w:t>
      </w:r>
      <w:r w:rsidR="00E830B0" w:rsidRPr="0024323C">
        <w:t xml:space="preserve"> </w:t>
      </w:r>
      <w:r w:rsidR="009429FE" w:rsidRPr="0024323C">
        <w:t xml:space="preserve">WPI and </w:t>
      </w:r>
      <w:r w:rsidR="003923B5" w:rsidRPr="0024323C">
        <w:t>WPH</w:t>
      </w:r>
      <w:r w:rsidR="009429FE" w:rsidRPr="0024323C">
        <w:t xml:space="preserve"> solution</w:t>
      </w:r>
      <w:r w:rsidR="00E830B0" w:rsidRPr="0024323C">
        <w:t>s</w:t>
      </w:r>
      <w:r w:rsidR="00290241" w:rsidRPr="0024323C">
        <w:t xml:space="preserve"> were assayed for emulsion ability and stability</w:t>
      </w:r>
      <w:r w:rsidR="005602AD" w:rsidRPr="0024323C">
        <w:t xml:space="preserve"> with the </w:t>
      </w:r>
      <w:r w:rsidR="00AC00F0" w:rsidRPr="0024323C">
        <w:t xml:space="preserve">addition of sunflower </w:t>
      </w:r>
      <w:r w:rsidR="005F0995" w:rsidRPr="0024323C">
        <w:t xml:space="preserve">oil. </w:t>
      </w:r>
      <w:r w:rsidR="00B01373">
        <w:t>After homogenization</w:t>
      </w:r>
      <w:r w:rsidR="00865D37" w:rsidRPr="0024323C">
        <w:t xml:space="preserve"> </w:t>
      </w:r>
      <w:r w:rsidR="00471050">
        <w:t>with U</w:t>
      </w:r>
      <w:r w:rsidR="00471050" w:rsidRPr="0024323C">
        <w:t>ltraturrax</w:t>
      </w:r>
      <w:r w:rsidR="00471050">
        <w:t xml:space="preserve">® </w:t>
      </w:r>
      <w:r w:rsidR="00865D37" w:rsidRPr="0024323C">
        <w:t xml:space="preserve">at 1000 x g </w:t>
      </w:r>
      <w:r w:rsidR="00696FA1">
        <w:t>the emulsions were</w:t>
      </w:r>
      <w:r w:rsidR="00E0655E" w:rsidRPr="0024323C">
        <w:t xml:space="preserve"> </w:t>
      </w:r>
      <w:r w:rsidR="001E5C07" w:rsidRPr="0024323C">
        <w:t>spectrophotometrically</w:t>
      </w:r>
      <w:r w:rsidR="00E0655E" w:rsidRPr="0024323C">
        <w:t xml:space="preserve"> </w:t>
      </w:r>
      <w:r w:rsidR="007E7803" w:rsidRPr="0024323C">
        <w:t>analysed</w:t>
      </w:r>
      <w:r w:rsidR="003B72D9" w:rsidRPr="0024323C">
        <w:t>,</w:t>
      </w:r>
      <w:r w:rsidR="00E0655E" w:rsidRPr="0024323C">
        <w:t xml:space="preserve"> </w:t>
      </w:r>
      <w:r w:rsidR="00C3438D" w:rsidRPr="0024323C">
        <w:t xml:space="preserve">and the indices were calculated by </w:t>
      </w:r>
      <w:r w:rsidR="00B86B9E" w:rsidRPr="0024323C">
        <w:t xml:space="preserve">the equations reported </w:t>
      </w:r>
      <w:r w:rsidR="00AC0922" w:rsidRPr="0024323C">
        <w:t>by</w:t>
      </w:r>
      <w:r w:rsidR="006653D2" w:rsidRPr="0024323C">
        <w:t xml:space="preserve"> </w:t>
      </w:r>
      <w:r w:rsidR="0024323C" w:rsidRPr="0024323C">
        <w:fldChar w:fldCharType="begin" w:fldLock="1"/>
      </w:r>
      <w:r w:rsidR="00F342FB">
        <w:instrText>ADDIN CSL_CITATION {"citationItems":[{"id":"ITEM-1","itemData":{"DOI":"10.1007/S00217-019-03296-Y/FIGURES/8","ISSN":"14382385","abstract":"Isoelectric precipitation and ultrafiltration were investigated for their potential to produce protein products from lentils. Higher protein concentrations were obtained when ultrafiltration was used (&gt; 90%), whereas isoelectric precipitation resulted in higher contents of dietary fibre and some minerals (i.e., sodium and phosphorus). Differences in the functional properties between the two ingredients were found as the isoelectric precipitated ingredient showed lower protein solubilities over the investigated pH range (from 3 to 9) which can be linked to the slightly higher hydrophobicity values (2688.7) and total sulfhydryl groups (23.9 µM/g) found in this sample. In contrast, the protein ingredient obtained by ultrafiltration was superior with regard to its solubility (48.3%; pH 7), fat-binding capacity (2.24 g/g), water holding capacity (3.96 g/g), gelling properties (11%; w/w), and foam-forming capacity (69.6%). The assessment of the environmental performance showed that both LPIs exhibited promising properties and low carbon footprints in comparison to traditional dairy proteins.","author":[{"dropping-particle":"","family":"Alonso-Miravalles","given":"Loreto","non-dropping-particle":"","parse-names":false,"suffix":""},{"dropping-particle":"","family":"Jeske","given":"Stephanie","non-dropping-particle":"","parse-names":false,"suffix":""},{"dropping-particle":"","family":"Bez","given":"Juergen","non-dropping-particle":"","parse-names":false,"suffix":""},{"dropping-particle":"","family":"Detzel","given":"Andreas","non-dropping-particle":"","parse-names":false,"suffix":""},{"dropping-particle":"","family":"Busch","given":"Mirjam","non-dropping-particle":"","parse-names":false,"suffix":""},{"dropping-particle":"","family":"Krueger","given":"Martina","non-dropping-particle":"","parse-names":false,"suffix":""},{"dropping-particle":"","family":"Wriessnegger","given":"Clara Larissa","non-dropping-particle":"","parse-names":false,"suffix":""},{"dropping-particle":"","family":"O’Mahony","given":"James A.","non-dropping-particle":"","parse-names":false,"suffix":""},{"dropping-particle":"","family":"Zannini","given":"Emanuele","non-dropping-particle":"","parse-names":false,"suffix":""},{"dropping-particle":"","family":"Arendt","given":"Elke K.","non-dropping-particle":"","parse-names":false,"suffix":""}],"container-title":"European Food Research and Technology","id":"ITEM-1","issue":"9","issued":{"date-parts":[["2019","9","1"]]},"page":"1855-1869","publisher":"Springer Verlag","title":"Membrane filtration and isoelectric precipitation technological approaches for the preparation of novel, functional and sustainable protein isolate from lentils","type":"article-journal","volume":"245"},"uris":["http://www.mendeley.com/documents/?uuid=dca29d58-3d52-332e-bf62-48dc87c8b6fa"]}],"mendeley":{"formattedCitation":"(Alonso-Miravalles et al., 2019)","manualFormatting":"Alonso-Miravalles et al. (2019)","plainTextFormattedCitation":"(Alonso-Miravalles et al., 2019)","previouslyFormattedCitation":"(Alonso-Miravalles &lt;i&gt;et al.&lt;/i&gt;, 2019)"},"properties":{"noteIndex":0},"schema":"https://github.com/citation-style-language/schema/raw/master/csl-citation.json"}</w:instrText>
      </w:r>
      <w:r w:rsidR="0024323C" w:rsidRPr="0024323C">
        <w:fldChar w:fldCharType="separate"/>
      </w:r>
      <w:r w:rsidR="0024323C" w:rsidRPr="0024323C">
        <w:rPr>
          <w:noProof/>
        </w:rPr>
        <w:t xml:space="preserve">Alonso-Miravalles et al. </w:t>
      </w:r>
      <w:r w:rsidR="0024323C">
        <w:rPr>
          <w:noProof/>
        </w:rPr>
        <w:t>(</w:t>
      </w:r>
      <w:r w:rsidR="0024323C" w:rsidRPr="0024323C">
        <w:rPr>
          <w:noProof/>
        </w:rPr>
        <w:t>2019)</w:t>
      </w:r>
      <w:r w:rsidR="0024323C" w:rsidRPr="0024323C">
        <w:fldChar w:fldCharType="end"/>
      </w:r>
      <w:r w:rsidR="00B86B9E" w:rsidRPr="0024323C">
        <w:t xml:space="preserve">. </w:t>
      </w:r>
      <w:r w:rsidR="00F732A9" w:rsidRPr="0024323C">
        <w:t xml:space="preserve">The gelling property </w:t>
      </w:r>
      <w:r w:rsidR="00544AC8" w:rsidRPr="0024323C">
        <w:t>was determined according to</w:t>
      </w:r>
      <w:r w:rsidR="006653D2" w:rsidRPr="0024323C">
        <w:t xml:space="preserve"> </w:t>
      </w:r>
      <w:r w:rsidR="0024323C" w:rsidRPr="0024323C">
        <w:fldChar w:fldCharType="begin" w:fldLock="1"/>
      </w:r>
      <w:r w:rsidR="00F342FB">
        <w:instrText>ADDIN CSL_CITATION {"citationItems":[{"id":"ITEM-1","itemData":{"DOI":"10.1016/J.PROCBIO.2016.09.026","ISSN":"1359-5113","abstract":"The current study investigated the effects of various freeze-thaw (F-T) cycles on gel properties and molecular forces involved in gelation of soy protein isolate (SPI). The gel strength of SPI submitted to 4 and 5 freeze-thaw (F-T) cycles increased 1.95- and 1.98 folds compare to control, respectively (P &lt; 0.05). The observation from scanning electron microscope and atomic force microscopy indicated that the SPI submitted to 4 and 5 F-T cycles exhibited smoother, flatter and denser gel surface morphology images than the control samples. G′ and G″ values of the sample submitted to 4 and 5 F-T cycles dramatically increased during the cooling period in dynamic rheological testing and the final G′ value increased 32.6-folds for the samples submitted to 5 F-T cycles compare to control. In addition, the results of particle size distribution provided direct evidence that the aggregation occurred in SPI was accelerated by multiple F-T cycles. The results of molecular force measurement implied that these effects could be primarily attributed to the stronger molecular interactions in SPI gel, with the main forces being the disulfide bond, the hydrogen bond and the hydrophobic interactions. Overall, multiple F-T treatments offered a new way to improve the gel properties of SPI.","author":[{"dropping-particle":"","family":"Zhao","given":"Juyang","non-dropping-particle":"","parse-names":false,"suffix":""},{"dropping-particle":"","family":"Sun","given":"Fangda","non-dropping-particle":"","parse-names":false,"suffix":""},{"dropping-particle":"","family":"Li","given":"Yuanyuan","non-dropping-particle":"","parse-names":false,"suffix":""},{"dropping-particle":"","family":"Liu","given":"Qian","non-dropping-particle":"","parse-names":false,"suffix":""},{"dropping-particle":"","family":"Kong","given":"Baohua","non-dropping-particle":"","parse-names":false,"suffix":""}],"container-title":"Process Biochemistry","id":"ITEM-1","issued":{"date-parts":[["2017","1","1"]]},"page":"200-208","publisher":"Elsevier","title":"Modification of gel properties of soy protein isolate by freeze-thaw cycles are associated with changes of molecular force involved in the gelation","type":"article-journal","volume":"52"},"uris":["http://www.mendeley.com/documents/?uuid=d19433f9-82c5-34b4-a5cc-0d9f4923b2bb"]}],"mendeley":{"formattedCitation":"(Zhao et al., 2017)","manualFormatting":"Zhao et al. (2017)","plainTextFormattedCitation":"(Zhao et al., 2017)","previouslyFormattedCitation":"(Zhao &lt;i&gt;et al.&lt;/i&gt;, 2017)"},"properties":{"noteIndex":0},"schema":"https://github.com/citation-style-language/schema/raw/master/csl-citation.json"}</w:instrText>
      </w:r>
      <w:r w:rsidR="0024323C" w:rsidRPr="0024323C">
        <w:fldChar w:fldCharType="separate"/>
      </w:r>
      <w:r w:rsidR="0024323C" w:rsidRPr="0024323C">
        <w:rPr>
          <w:noProof/>
        </w:rPr>
        <w:t xml:space="preserve">Zhao et al. </w:t>
      </w:r>
      <w:r w:rsidR="0024323C">
        <w:rPr>
          <w:noProof/>
        </w:rPr>
        <w:t>(</w:t>
      </w:r>
      <w:r w:rsidR="0024323C" w:rsidRPr="0024323C">
        <w:rPr>
          <w:noProof/>
        </w:rPr>
        <w:t>2017)</w:t>
      </w:r>
      <w:r w:rsidR="0024323C" w:rsidRPr="0024323C">
        <w:fldChar w:fldCharType="end"/>
      </w:r>
      <w:r w:rsidR="007F4374" w:rsidRPr="00902656">
        <w:t>.</w:t>
      </w:r>
      <w:r w:rsidR="0036759E" w:rsidRPr="00902656">
        <w:t xml:space="preserve"> </w:t>
      </w:r>
      <w:r w:rsidR="007F4374" w:rsidRPr="00902656">
        <w:t xml:space="preserve">WPI and </w:t>
      </w:r>
      <w:r w:rsidR="009429FE" w:rsidRPr="00902656">
        <w:t>WPH</w:t>
      </w:r>
      <w:r w:rsidR="007F4374" w:rsidRPr="00902656">
        <w:t xml:space="preserve">s were </w:t>
      </w:r>
      <w:r w:rsidR="0012652B" w:rsidRPr="00902656">
        <w:t>s</w:t>
      </w:r>
      <w:r w:rsidR="007F4374" w:rsidRPr="00902656">
        <w:t>olubilized</w:t>
      </w:r>
      <w:r w:rsidR="0012652B" w:rsidRPr="00902656">
        <w:t xml:space="preserve"> in distilled water at 5, 10, and 20% protein concentration</w:t>
      </w:r>
      <w:r w:rsidR="007F4374" w:rsidRPr="00902656">
        <w:t>,</w:t>
      </w:r>
      <w:r w:rsidR="00D911DF" w:rsidRPr="00902656">
        <w:t xml:space="preserve"> heated at 90 °C for 30 min, cooled</w:t>
      </w:r>
      <w:r w:rsidR="00D911DF" w:rsidRPr="00247AA4">
        <w:t xml:space="preserve"> at 4 </w:t>
      </w:r>
      <w:r w:rsidR="00D911DF" w:rsidRPr="00902656">
        <w:t xml:space="preserve">°C and tested for </w:t>
      </w:r>
      <w:r w:rsidR="00534774" w:rsidRPr="00902656">
        <w:t>viscoelastic properties using a rheometer (</w:t>
      </w:r>
      <w:proofErr w:type="spellStart"/>
      <w:r w:rsidR="00534774" w:rsidRPr="00902656">
        <w:t>ThermoScientific</w:t>
      </w:r>
      <w:proofErr w:type="spellEnd"/>
      <w:r w:rsidR="00534774" w:rsidRPr="00902656">
        <w:t xml:space="preserve"> </w:t>
      </w:r>
      <w:proofErr w:type="spellStart"/>
      <w:r w:rsidR="00534774" w:rsidRPr="00902656">
        <w:t>RheoStress</w:t>
      </w:r>
      <w:proofErr w:type="spellEnd"/>
      <w:r w:rsidR="00623DD8" w:rsidRPr="00902656">
        <w:t xml:space="preserve">, </w:t>
      </w:r>
      <w:proofErr w:type="spellStart"/>
      <w:r w:rsidR="00623DD8" w:rsidRPr="00902656">
        <w:t>Haake</w:t>
      </w:r>
      <w:proofErr w:type="spellEnd"/>
      <w:r w:rsidR="001E5C07" w:rsidRPr="00902656">
        <w:t>, Germany</w:t>
      </w:r>
      <w:r w:rsidR="00623DD8" w:rsidRPr="00902656">
        <w:t>).</w:t>
      </w:r>
      <w:r w:rsidR="001E5C07" w:rsidRPr="00902656">
        <w:t xml:space="preserve"> </w:t>
      </w:r>
      <w:r w:rsidR="007F4374" w:rsidRPr="00902656">
        <w:t xml:space="preserve">Regarding biological properties, </w:t>
      </w:r>
      <w:r w:rsidR="0030060E">
        <w:t>WPHs were tested</w:t>
      </w:r>
      <w:r w:rsidR="00F54D41" w:rsidRPr="00247AA4">
        <w:t xml:space="preserve"> </w:t>
      </w:r>
      <w:r w:rsidR="0030060E">
        <w:t>for</w:t>
      </w:r>
      <w:r w:rsidR="00EE6F77" w:rsidRPr="00247AA4">
        <w:t xml:space="preserve"> DPPH </w:t>
      </w:r>
      <w:r w:rsidR="0030060E">
        <w:t>scavenging activity</w:t>
      </w:r>
      <w:r w:rsidR="00A51BDC" w:rsidRPr="00247AA4">
        <w:t>.</w:t>
      </w:r>
      <w:r w:rsidR="00B84247" w:rsidRPr="00247AA4">
        <w:t xml:space="preserve"> Statistical analysis was performed by analysis of variance (one-way ANOVA) and Tukey’s comparison test.</w:t>
      </w:r>
    </w:p>
    <w:p w14:paraId="5A609C88" w14:textId="120A860E" w:rsidR="00316F75" w:rsidRPr="00316F75" w:rsidRDefault="00316F75" w:rsidP="00316F75">
      <w:pPr>
        <w:spacing w:before="240" w:after="120"/>
        <w:jc w:val="both"/>
        <w:rPr>
          <w:b/>
          <w:bCs/>
          <w:sz w:val="24"/>
          <w:szCs w:val="24"/>
        </w:rPr>
      </w:pPr>
      <w:r w:rsidRPr="00316F75">
        <w:rPr>
          <w:b/>
          <w:bCs/>
          <w:sz w:val="24"/>
          <w:szCs w:val="24"/>
        </w:rPr>
        <w:t>3. Results</w:t>
      </w:r>
    </w:p>
    <w:p w14:paraId="267A3A9B" w14:textId="200AD380" w:rsidR="00572DF1" w:rsidRDefault="000D6217" w:rsidP="00444F52">
      <w:pPr>
        <w:jc w:val="both"/>
      </w:pPr>
      <w:r w:rsidRPr="00902656">
        <w:t>W</w:t>
      </w:r>
      <w:r w:rsidR="009429FE" w:rsidRPr="00902656">
        <w:t>PH</w:t>
      </w:r>
      <w:r w:rsidRPr="00902656">
        <w:t xml:space="preserve">s showed </w:t>
      </w:r>
      <w:r w:rsidR="001F0074" w:rsidRPr="00902656">
        <w:t xml:space="preserve">an increase in </w:t>
      </w:r>
      <w:r w:rsidR="006F65AA" w:rsidRPr="00902656">
        <w:t xml:space="preserve">the </w:t>
      </w:r>
      <w:r w:rsidR="001F0074" w:rsidRPr="00902656">
        <w:t>degree of hydrolysis</w:t>
      </w:r>
      <w:r w:rsidR="00F40E49" w:rsidRPr="00902656">
        <w:t xml:space="preserve"> (DH)</w:t>
      </w:r>
      <w:r w:rsidR="001F0074" w:rsidRPr="00902656">
        <w:t xml:space="preserve"> </w:t>
      </w:r>
      <w:r w:rsidR="009429FE" w:rsidRPr="00902656">
        <w:t xml:space="preserve">as </w:t>
      </w:r>
      <w:r w:rsidR="003923B5">
        <w:t xml:space="preserve">the </w:t>
      </w:r>
      <w:r w:rsidR="009429FE" w:rsidRPr="00902656">
        <w:t xml:space="preserve">time of hydrolysis </w:t>
      </w:r>
      <w:r w:rsidR="00902656" w:rsidRPr="00902656">
        <w:t>increased</w:t>
      </w:r>
      <w:r w:rsidR="009429FE">
        <w:t xml:space="preserve"> </w:t>
      </w:r>
      <w:r w:rsidR="00D83CD1">
        <w:t>(Figure 1</w:t>
      </w:r>
      <w:r w:rsidR="00E619E6">
        <w:t>a</w:t>
      </w:r>
      <w:r w:rsidR="00D83CD1">
        <w:t>)</w:t>
      </w:r>
      <w:r w:rsidR="00F40E49" w:rsidRPr="003920A5">
        <w:t>. A</w:t>
      </w:r>
      <w:r w:rsidR="006F65AA" w:rsidRPr="003920A5">
        <w:t>fter 480 min</w:t>
      </w:r>
      <w:r w:rsidR="00AE4253" w:rsidRPr="003920A5">
        <w:t>,</w:t>
      </w:r>
      <w:r w:rsidR="00760870" w:rsidRPr="003920A5">
        <w:t xml:space="preserve"> </w:t>
      </w:r>
      <w:r w:rsidR="00F40E49" w:rsidRPr="003920A5">
        <w:t xml:space="preserve">WPHs </w:t>
      </w:r>
      <w:r w:rsidR="009429FE">
        <w:t xml:space="preserve">obtained with </w:t>
      </w:r>
      <w:r w:rsidR="009429FE" w:rsidRPr="003920A5">
        <w:t xml:space="preserve">Alcalase and Protamex </w:t>
      </w:r>
      <w:r w:rsidR="009429FE">
        <w:t xml:space="preserve">enzymes </w:t>
      </w:r>
      <w:r w:rsidR="00BA14BB" w:rsidRPr="003920A5">
        <w:t>reached</w:t>
      </w:r>
      <w:r w:rsidR="00C55B70" w:rsidRPr="003920A5">
        <w:t xml:space="preserve"> a comparable</w:t>
      </w:r>
      <w:r w:rsidR="00E243D2" w:rsidRPr="003920A5">
        <w:t xml:space="preserve"> DH </w:t>
      </w:r>
      <w:r w:rsidR="00282AB7">
        <w:t>(</w:t>
      </w:r>
      <w:r w:rsidR="00760870" w:rsidRPr="003920A5">
        <w:t>25.65% and 26.71%</w:t>
      </w:r>
      <w:r w:rsidR="007C0987">
        <w:t>,</w:t>
      </w:r>
      <w:r w:rsidR="00282AB7">
        <w:t xml:space="preserve"> respectively)</w:t>
      </w:r>
      <w:r w:rsidR="00034CA9" w:rsidRPr="003920A5">
        <w:t>.</w:t>
      </w:r>
      <w:r w:rsidR="00327A16" w:rsidRPr="003920A5">
        <w:t xml:space="preserve"> </w:t>
      </w:r>
      <w:r w:rsidR="00FC48A0" w:rsidRPr="003920A5">
        <w:t>Th</w:t>
      </w:r>
      <w:r w:rsidR="009429FE">
        <w:t>e DH</w:t>
      </w:r>
      <w:r w:rsidR="00FC48A0" w:rsidRPr="003920A5">
        <w:t xml:space="preserve"> increasing trend, however, depicted a</w:t>
      </w:r>
      <w:r w:rsidR="00A66257" w:rsidRPr="003920A5">
        <w:t xml:space="preserve"> </w:t>
      </w:r>
      <w:r w:rsidR="00775A57" w:rsidRPr="003920A5">
        <w:t>statistical</w:t>
      </w:r>
      <w:r w:rsidR="00A66257" w:rsidRPr="003920A5">
        <w:t xml:space="preserve"> differen</w:t>
      </w:r>
      <w:r w:rsidR="00BA14BB" w:rsidRPr="003920A5">
        <w:t>ce</w:t>
      </w:r>
      <w:r w:rsidR="00652B1D" w:rsidRPr="003920A5">
        <w:t xml:space="preserve"> </w:t>
      </w:r>
      <w:r w:rsidR="00775A57" w:rsidRPr="003920A5">
        <w:t xml:space="preserve">after the first 10 min of hydrolysis </w:t>
      </w:r>
      <w:r w:rsidR="00A326F6" w:rsidRPr="003920A5">
        <w:t>since</w:t>
      </w:r>
      <w:r w:rsidR="0073124A" w:rsidRPr="003920A5">
        <w:t xml:space="preserve"> </w:t>
      </w:r>
      <w:r w:rsidR="003466CE" w:rsidRPr="003920A5">
        <w:t xml:space="preserve">Alcalase demonstrated </w:t>
      </w:r>
      <w:r w:rsidR="00FF17DA" w:rsidRPr="003920A5">
        <w:t>a faster proteolytic activity as compared to Protamex</w:t>
      </w:r>
      <w:r w:rsidR="005C2A37" w:rsidRPr="003920A5">
        <w:t>.</w:t>
      </w:r>
      <w:r w:rsidR="00A326F6" w:rsidRPr="003920A5">
        <w:t xml:space="preserve"> </w:t>
      </w:r>
      <w:r w:rsidR="00AD2A34" w:rsidRPr="003920A5">
        <w:t xml:space="preserve">This observation was also confirmed by the </w:t>
      </w:r>
      <w:r w:rsidR="00CD7D09" w:rsidRPr="00CD7D09">
        <w:t xml:space="preserve">hydrolysates' percentage molecular weight (MW) distribution </w:t>
      </w:r>
      <w:r w:rsidR="00E619E6">
        <w:t>(Figure</w:t>
      </w:r>
      <w:r w:rsidR="00D520E8">
        <w:t>s</w:t>
      </w:r>
      <w:r w:rsidR="00E619E6">
        <w:t xml:space="preserve"> 1b</w:t>
      </w:r>
      <w:r w:rsidR="003923B5">
        <w:t xml:space="preserve"> and 1c</w:t>
      </w:r>
      <w:r w:rsidR="00E619E6">
        <w:t>)</w:t>
      </w:r>
      <w:r w:rsidR="00BB5F9C">
        <w:t>.</w:t>
      </w:r>
      <w:r w:rsidR="00AD2A34" w:rsidRPr="005D049A">
        <w:t xml:space="preserve"> </w:t>
      </w:r>
    </w:p>
    <w:p w14:paraId="49398B66" w14:textId="6A9B9B66" w:rsidR="009436D7" w:rsidRDefault="005B5079" w:rsidP="00A067F6">
      <w:pPr>
        <w:jc w:val="both"/>
      </w:pPr>
      <w:r>
        <w:rPr>
          <w:noProof/>
        </w:rPr>
        <w:lastRenderedPageBreak/>
        <w:drawing>
          <wp:inline distT="0" distB="0" distL="0" distR="0" wp14:anchorId="0966D564" wp14:editId="6BDABACC">
            <wp:extent cx="5711548" cy="1238250"/>
            <wp:effectExtent l="0" t="0" r="0" b="0"/>
            <wp:docPr id="54354774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7556" cy="1263400"/>
                    </a:xfrm>
                    <a:prstGeom prst="rect">
                      <a:avLst/>
                    </a:prstGeom>
                    <a:noFill/>
                  </pic:spPr>
                </pic:pic>
              </a:graphicData>
            </a:graphic>
          </wp:inline>
        </w:drawing>
      </w:r>
    </w:p>
    <w:p w14:paraId="2DB67954" w14:textId="77777777" w:rsidR="005E4442" w:rsidRDefault="00BB3B0B" w:rsidP="00617C18">
      <w:pPr>
        <w:spacing w:before="120"/>
        <w:rPr>
          <w:i/>
          <w:iCs/>
          <w:sz w:val="18"/>
          <w:szCs w:val="18"/>
          <w:lang w:val="en-US"/>
        </w:rPr>
      </w:pPr>
      <w:r w:rsidRPr="00A24A81">
        <w:rPr>
          <w:b/>
          <w:bCs/>
          <w:i/>
          <w:iCs/>
          <w:sz w:val="18"/>
          <w:szCs w:val="18"/>
          <w:lang w:val="en-US"/>
        </w:rPr>
        <w:t>Figure 1</w:t>
      </w:r>
      <w:r w:rsidRPr="00A24A81">
        <w:rPr>
          <w:b/>
          <w:bCs/>
          <w:i/>
          <w:iCs/>
          <w:sz w:val="18"/>
          <w:szCs w:val="18"/>
          <w:lang w:val="en-US"/>
        </w:rPr>
        <w:tab/>
      </w:r>
      <w:r w:rsidRPr="00A24A81">
        <w:rPr>
          <w:i/>
          <w:iCs/>
          <w:sz w:val="18"/>
          <w:szCs w:val="18"/>
          <w:lang w:val="en-US"/>
        </w:rPr>
        <w:t>Degree of hydrolysis (DH) (</w:t>
      </w:r>
      <w:r>
        <w:rPr>
          <w:i/>
          <w:iCs/>
          <w:sz w:val="18"/>
          <w:szCs w:val="18"/>
          <w:lang w:val="en-US"/>
        </w:rPr>
        <w:t>a) and molecular mass (MW) distribution of Alcalase (b) and Protamex (c)</w:t>
      </w:r>
      <w:r w:rsidRPr="00A24A81">
        <w:rPr>
          <w:i/>
          <w:iCs/>
          <w:sz w:val="18"/>
          <w:szCs w:val="18"/>
          <w:lang w:val="en-US"/>
        </w:rPr>
        <w:t xml:space="preserve"> </w:t>
      </w:r>
      <w:r>
        <w:rPr>
          <w:i/>
          <w:iCs/>
          <w:sz w:val="18"/>
          <w:szCs w:val="18"/>
          <w:lang w:val="en-US"/>
        </w:rPr>
        <w:t>WPHs.</w:t>
      </w:r>
    </w:p>
    <w:p w14:paraId="13815BDB" w14:textId="6FB27EC7" w:rsidR="00BB3B0B" w:rsidRPr="00B57A06" w:rsidRDefault="00F00502" w:rsidP="009B1064">
      <w:pPr>
        <w:spacing w:after="120"/>
        <w:ind w:left="709"/>
        <w:rPr>
          <w:i/>
          <w:iCs/>
          <w:sz w:val="18"/>
          <w:szCs w:val="18"/>
          <w:lang w:val="en-US"/>
        </w:rPr>
      </w:pPr>
      <w:r>
        <w:rPr>
          <w:i/>
          <w:iCs/>
          <w:sz w:val="18"/>
          <w:szCs w:val="18"/>
          <w:lang w:val="en-US"/>
        </w:rPr>
        <w:t xml:space="preserve"> </w:t>
      </w:r>
      <w:r w:rsidR="00B57A06">
        <w:rPr>
          <w:i/>
          <w:iCs/>
          <w:sz w:val="18"/>
          <w:szCs w:val="18"/>
          <w:vertAlign w:val="superscript"/>
          <w:lang w:val="en-US"/>
        </w:rPr>
        <w:t>a-e</w:t>
      </w:r>
      <w:r w:rsidR="00B57A06">
        <w:rPr>
          <w:i/>
          <w:iCs/>
          <w:sz w:val="18"/>
          <w:szCs w:val="18"/>
          <w:lang w:val="en-US"/>
        </w:rPr>
        <w:t xml:space="preserve">: for each enzyme, means indicated by different letters are </w:t>
      </w:r>
      <w:r w:rsidR="005E4442">
        <w:rPr>
          <w:i/>
          <w:iCs/>
          <w:sz w:val="18"/>
          <w:szCs w:val="18"/>
          <w:lang w:val="en-US"/>
        </w:rPr>
        <w:t>statistically different (p&lt;0.05).</w:t>
      </w:r>
    </w:p>
    <w:p w14:paraId="1DCBE9B4" w14:textId="097AEBF0" w:rsidR="00B52485" w:rsidRDefault="00C5513B" w:rsidP="009B1064">
      <w:pPr>
        <w:jc w:val="both"/>
      </w:pPr>
      <w:r w:rsidRPr="003920A5">
        <w:t>Technological properties were then evaluated</w:t>
      </w:r>
      <w:r w:rsidR="00902656">
        <w:t xml:space="preserve">. </w:t>
      </w:r>
      <w:r w:rsidR="00373B6E" w:rsidRPr="00D520E8">
        <w:t>Table 1</w:t>
      </w:r>
      <w:r w:rsidR="005801A6" w:rsidRPr="00D520E8">
        <w:t xml:space="preserve"> report</w:t>
      </w:r>
      <w:r w:rsidR="00D73B92">
        <w:t>s</w:t>
      </w:r>
      <w:r w:rsidR="00D520E8" w:rsidRPr="00D520E8">
        <w:t xml:space="preserve"> the</w:t>
      </w:r>
      <w:r w:rsidR="00D520E8">
        <w:t xml:space="preserve"> solubility, foaming and emulsifying ability indices</w:t>
      </w:r>
      <w:r w:rsidR="001C6900">
        <w:t xml:space="preserve"> </w:t>
      </w:r>
      <w:r w:rsidR="00D520E8">
        <w:t xml:space="preserve">(FAI and EAI) of WPHs. </w:t>
      </w:r>
      <w:r w:rsidR="006A57A0">
        <w:t xml:space="preserve">The increase in hydrolysis time </w:t>
      </w:r>
      <w:r w:rsidR="00B847E2">
        <w:t>revealed a</w:t>
      </w:r>
      <w:r w:rsidR="00A47638">
        <w:t>n increase in solubility just after 10 min, when hydrolysis was conducted with both enzymes</w:t>
      </w:r>
      <w:r w:rsidR="00BC07FF">
        <w:t>, as compared to WPI</w:t>
      </w:r>
      <w:r w:rsidR="00EF322A">
        <w:t xml:space="preserve">. </w:t>
      </w:r>
      <w:r w:rsidR="005735E9">
        <w:t>A difference was observed</w:t>
      </w:r>
      <w:r w:rsidR="00E65C17">
        <w:t xml:space="preserve"> in Alcalase-WPHs that</w:t>
      </w:r>
      <w:r w:rsidR="001B660B">
        <w:t>,</w:t>
      </w:r>
      <w:r w:rsidR="00E65C17">
        <w:t xml:space="preserve"> after </w:t>
      </w:r>
      <w:r w:rsidR="00B50AA2">
        <w:t>60</w:t>
      </w:r>
      <w:r w:rsidR="00E65C17">
        <w:t xml:space="preserve"> min hydrolysis</w:t>
      </w:r>
      <w:r w:rsidR="001B660B">
        <w:t>,</w:t>
      </w:r>
      <w:r w:rsidR="00E65C17">
        <w:t xml:space="preserve"> </w:t>
      </w:r>
      <w:r w:rsidR="000A78E5">
        <w:t>demonstrated</w:t>
      </w:r>
      <w:r w:rsidR="001B660B">
        <w:t xml:space="preserve"> a slight solubility </w:t>
      </w:r>
      <w:r w:rsidR="001B660B" w:rsidRPr="006D5568">
        <w:t>reduction</w:t>
      </w:r>
      <w:r w:rsidR="000A78E5" w:rsidRPr="006D5568">
        <w:t xml:space="preserve"> whereas </w:t>
      </w:r>
      <w:r w:rsidR="003B37A6" w:rsidRPr="006D5568">
        <w:t xml:space="preserve">the </w:t>
      </w:r>
      <w:r w:rsidR="00705799" w:rsidRPr="006D5568">
        <w:t xml:space="preserve">solubility of </w:t>
      </w:r>
      <w:r w:rsidR="000A78E5" w:rsidRPr="006D5568">
        <w:t>Protamex</w:t>
      </w:r>
      <w:r w:rsidR="005137D4">
        <w:t>-</w:t>
      </w:r>
      <w:r w:rsidR="00705799" w:rsidRPr="006D5568">
        <w:t xml:space="preserve">WPHs </w:t>
      </w:r>
      <w:r w:rsidR="00E42F21" w:rsidRPr="006D5568">
        <w:t xml:space="preserve">maintained </w:t>
      </w:r>
      <w:r w:rsidR="006330DE" w:rsidRPr="006D5568">
        <w:t xml:space="preserve">constant </w:t>
      </w:r>
      <w:r w:rsidR="00705799" w:rsidRPr="006D5568">
        <w:t xml:space="preserve">values </w:t>
      </w:r>
      <w:r w:rsidR="003B37A6" w:rsidRPr="006D5568">
        <w:t xml:space="preserve">throughout the entire hydrolysis time. </w:t>
      </w:r>
      <w:r w:rsidR="00B2302F" w:rsidRPr="00D520E8">
        <w:t xml:space="preserve">An increased solubility is </w:t>
      </w:r>
      <w:r w:rsidR="00E53C6E" w:rsidRPr="00D520E8">
        <w:t xml:space="preserve">the result of a </w:t>
      </w:r>
      <w:r w:rsidR="0052357E" w:rsidRPr="00D520E8">
        <w:t xml:space="preserve">favoured exposure of hydrophilic groups on the surface that </w:t>
      </w:r>
      <w:r w:rsidR="00B67AA0" w:rsidRPr="00D520E8">
        <w:t>could enhance WPHs-water interaction. Foaming properties were thus analysed</w:t>
      </w:r>
      <w:r w:rsidR="006D5568" w:rsidRPr="00D520E8">
        <w:t xml:space="preserve"> and a</w:t>
      </w:r>
      <w:r w:rsidR="00AD7543" w:rsidRPr="00D520E8">
        <w:t>s expected</w:t>
      </w:r>
      <w:r w:rsidR="000141D6" w:rsidRPr="00D520E8">
        <w:t xml:space="preserve">, </w:t>
      </w:r>
      <w:r w:rsidR="000A5E50">
        <w:t xml:space="preserve">FAI </w:t>
      </w:r>
      <w:r w:rsidR="005801A6" w:rsidRPr="00D520E8">
        <w:t xml:space="preserve">of WPHs </w:t>
      </w:r>
      <w:r w:rsidR="000141D6" w:rsidRPr="00D520E8">
        <w:t xml:space="preserve">was higher compared </w:t>
      </w:r>
      <w:r w:rsidR="00821E12">
        <w:t>to</w:t>
      </w:r>
      <w:r w:rsidR="000141D6" w:rsidRPr="00D520E8">
        <w:t xml:space="preserve"> WPI</w:t>
      </w:r>
      <w:r w:rsidR="00AD7543" w:rsidRPr="00D520E8">
        <w:t xml:space="preserve">. </w:t>
      </w:r>
      <w:r w:rsidR="004D15B2" w:rsidRPr="00D520E8">
        <w:t xml:space="preserve">Again, hydrolysis </w:t>
      </w:r>
      <w:r w:rsidR="006E4732" w:rsidRPr="00D520E8">
        <w:t>conducted with Alcalase promoted an increase</w:t>
      </w:r>
      <w:r w:rsidR="006E4732">
        <w:t xml:space="preserve"> in </w:t>
      </w:r>
      <w:r w:rsidR="00D520E8">
        <w:t>FAI</w:t>
      </w:r>
      <w:r w:rsidR="009B018E">
        <w:t xml:space="preserve"> from 10 to 30 min hydrolysis</w:t>
      </w:r>
      <w:r w:rsidR="001120D0">
        <w:t>, whereas Protamex</w:t>
      </w:r>
      <w:r w:rsidR="00D520E8">
        <w:t xml:space="preserve">-WPHs </w:t>
      </w:r>
      <w:r w:rsidR="001120D0">
        <w:t xml:space="preserve">exhibited a progressive </w:t>
      </w:r>
      <w:r w:rsidR="00D520E8">
        <w:t xml:space="preserve">FAI </w:t>
      </w:r>
      <w:r w:rsidR="001120D0">
        <w:t xml:space="preserve">increase </w:t>
      </w:r>
      <w:r w:rsidR="00693288">
        <w:t>upon hydrolysis</w:t>
      </w:r>
      <w:r w:rsidR="009056D0">
        <w:t xml:space="preserve">. </w:t>
      </w:r>
      <w:r w:rsidR="00F1116C">
        <w:t xml:space="preserve">Foaming </w:t>
      </w:r>
      <w:r w:rsidR="00B0351B">
        <w:t xml:space="preserve">stability (FSI) was </w:t>
      </w:r>
      <w:r w:rsidR="006341A0">
        <w:t>detected</w:t>
      </w:r>
      <w:r w:rsidR="00B0351B">
        <w:t xml:space="preserve"> to gradually increase, regardless </w:t>
      </w:r>
      <w:r w:rsidR="00A067F6">
        <w:t xml:space="preserve">of </w:t>
      </w:r>
      <w:r w:rsidR="00B0351B">
        <w:t>the enzyme used</w:t>
      </w:r>
      <w:r w:rsidR="006341A0" w:rsidRPr="00D520E8">
        <w:t>.</w:t>
      </w:r>
      <w:r w:rsidR="00B0351B" w:rsidRPr="00D520E8">
        <w:t xml:space="preserve"> </w:t>
      </w:r>
      <w:r w:rsidR="009056D0" w:rsidRPr="00D520E8">
        <w:t xml:space="preserve">Both solubility and </w:t>
      </w:r>
      <w:r w:rsidR="006341A0" w:rsidRPr="00D520E8">
        <w:t xml:space="preserve">foaming ability </w:t>
      </w:r>
      <w:r w:rsidR="006012B6" w:rsidRPr="00D520E8">
        <w:t xml:space="preserve">results could be mostly attributed </w:t>
      </w:r>
      <w:r w:rsidR="00340D00" w:rsidRPr="00D520E8">
        <w:t xml:space="preserve">to the variation in </w:t>
      </w:r>
      <w:r w:rsidR="002B25CB" w:rsidRPr="00D520E8">
        <w:t>MW distribution</w:t>
      </w:r>
      <w:r w:rsidR="005140B0">
        <w:t xml:space="preserve"> (</w:t>
      </w:r>
      <w:r w:rsidR="00D520E8">
        <w:t>Figures</w:t>
      </w:r>
      <w:r w:rsidR="00D36CF9" w:rsidRPr="00D520E8">
        <w:t xml:space="preserve"> 1</w:t>
      </w:r>
      <w:r w:rsidR="00E619E6" w:rsidRPr="00D520E8">
        <w:t>b</w:t>
      </w:r>
      <w:r w:rsidR="005801A6" w:rsidRPr="00D520E8">
        <w:t xml:space="preserve"> </w:t>
      </w:r>
      <w:r w:rsidR="00D520E8" w:rsidRPr="00D520E8">
        <w:t>and</w:t>
      </w:r>
      <w:r w:rsidR="00D520E8">
        <w:t xml:space="preserve"> 1c</w:t>
      </w:r>
      <w:r w:rsidR="005140B0">
        <w:t>)</w:t>
      </w:r>
      <w:r w:rsidR="00D520E8">
        <w:t xml:space="preserve">. </w:t>
      </w:r>
      <w:r w:rsidR="003A732C">
        <w:t xml:space="preserve">The </w:t>
      </w:r>
      <w:r w:rsidR="00995457">
        <w:t>initial</w:t>
      </w:r>
      <w:r w:rsidR="003A732C">
        <w:t xml:space="preserve"> production of </w:t>
      </w:r>
      <w:r w:rsidR="00010029">
        <w:t>fractions</w:t>
      </w:r>
      <w:r w:rsidR="003A732C">
        <w:t xml:space="preserve"> with low</w:t>
      </w:r>
      <w:r w:rsidR="005F65F7">
        <w:t>er</w:t>
      </w:r>
      <w:r w:rsidR="00E53001">
        <w:t xml:space="preserve"> MW</w:t>
      </w:r>
      <w:r w:rsidR="009A1DDD">
        <w:t xml:space="preserve"> </w:t>
      </w:r>
      <w:r w:rsidR="00995457">
        <w:t xml:space="preserve">than </w:t>
      </w:r>
      <w:r w:rsidR="00485884">
        <w:t xml:space="preserve">native proteins </w:t>
      </w:r>
      <w:r w:rsidR="009D1DC0">
        <w:t xml:space="preserve">during the first minutes of hydrolysis </w:t>
      </w:r>
      <w:r w:rsidR="009A1DDD">
        <w:t xml:space="preserve">could have </w:t>
      </w:r>
      <w:r w:rsidR="00010029">
        <w:t xml:space="preserve">led to peptides </w:t>
      </w:r>
      <w:r w:rsidR="00501E2F">
        <w:t xml:space="preserve">being </w:t>
      </w:r>
      <w:r w:rsidR="00054A73">
        <w:t xml:space="preserve">more </w:t>
      </w:r>
      <w:r w:rsidR="00501E2F">
        <w:t>prone to displace themselves at the water-air interface.</w:t>
      </w:r>
      <w:r w:rsidR="009D1DC0">
        <w:t xml:space="preserve"> </w:t>
      </w:r>
      <w:r w:rsidR="009D1DC0" w:rsidRPr="0030060E">
        <w:t>However</w:t>
      </w:r>
      <w:r w:rsidR="0030060E" w:rsidRPr="0030060E">
        <w:t>, t</w:t>
      </w:r>
      <w:r w:rsidR="00CD0FC4" w:rsidRPr="0030060E">
        <w:t>h</w:t>
      </w:r>
      <w:r w:rsidR="00073597" w:rsidRPr="0030060E">
        <w:t>is</w:t>
      </w:r>
      <w:r w:rsidR="00073597">
        <w:t xml:space="preserve"> behaviour</w:t>
      </w:r>
      <w:r w:rsidR="0030510E">
        <w:t xml:space="preserve"> caused </w:t>
      </w:r>
      <w:r w:rsidR="00DB0C4E">
        <w:t>a</w:t>
      </w:r>
      <w:r w:rsidR="0030510E">
        <w:t xml:space="preserve"> decrease </w:t>
      </w:r>
      <w:r w:rsidR="00DB0C4E">
        <w:t xml:space="preserve">in </w:t>
      </w:r>
      <w:r w:rsidR="0030060E">
        <w:t xml:space="preserve">the </w:t>
      </w:r>
      <w:r w:rsidR="00DB0C4E">
        <w:t xml:space="preserve">EAI and </w:t>
      </w:r>
      <w:r w:rsidR="0030060E">
        <w:t xml:space="preserve">the </w:t>
      </w:r>
      <w:r w:rsidR="00D520E8">
        <w:t xml:space="preserve">emulsifying </w:t>
      </w:r>
      <w:r w:rsidR="00DB0C4E">
        <w:t>stability index (ESI</w:t>
      </w:r>
      <w:r w:rsidR="00DB0C4E" w:rsidRPr="00D520E8">
        <w:t>)</w:t>
      </w:r>
      <w:r w:rsidR="008E35AF" w:rsidRPr="00D520E8">
        <w:t xml:space="preserve"> </w:t>
      </w:r>
      <w:r w:rsidR="005801A6" w:rsidRPr="00D520E8">
        <w:t>o</w:t>
      </w:r>
      <w:r w:rsidR="00D520E8" w:rsidRPr="00D520E8">
        <w:t>f</w:t>
      </w:r>
      <w:r w:rsidR="00D520E8">
        <w:t xml:space="preserve"> WPHs</w:t>
      </w:r>
      <w:r w:rsidR="0030060E">
        <w:t>,</w:t>
      </w:r>
      <w:r w:rsidR="00D520E8">
        <w:t xml:space="preserve"> </w:t>
      </w:r>
      <w:r w:rsidR="008E35AF">
        <w:t>compared to WPI</w:t>
      </w:r>
      <w:r w:rsidR="0030060E">
        <w:t>,</w:t>
      </w:r>
      <w:r w:rsidR="008E35AF">
        <w:t xml:space="preserve"> due to the lower ability of short chains in reducing the interfacial tension.</w:t>
      </w:r>
      <w:r w:rsidR="00E619E6">
        <w:t xml:space="preserve"> </w:t>
      </w:r>
      <w:r w:rsidR="004D43D8">
        <w:t xml:space="preserve">Alcalase WPHs were not able to form a </w:t>
      </w:r>
      <w:r w:rsidR="00331E90">
        <w:t>gel network, while Protamex WPHs</w:t>
      </w:r>
      <w:r w:rsidR="007D30AA">
        <w:t xml:space="preserve"> </w:t>
      </w:r>
      <w:r w:rsidR="00F964FE">
        <w:t>form</w:t>
      </w:r>
      <w:r w:rsidR="00F167E3">
        <w:t>ed</w:t>
      </w:r>
      <w:r w:rsidR="00F964FE">
        <w:t xml:space="preserve"> a gel at </w:t>
      </w:r>
      <w:r w:rsidR="00D0651C">
        <w:t>10-, 20- and 30-min</w:t>
      </w:r>
      <w:r w:rsidR="00F964FE">
        <w:t xml:space="preserve"> hydrolysis</w:t>
      </w:r>
      <w:r w:rsidR="008C6AB1">
        <w:t xml:space="preserve">. </w:t>
      </w:r>
      <w:r w:rsidR="00D5514C">
        <w:t xml:space="preserve">Such results could be again attributed to the different </w:t>
      </w:r>
      <w:r w:rsidR="00A24A81">
        <w:t>trends in</w:t>
      </w:r>
      <w:r w:rsidR="00D5514C">
        <w:t xml:space="preserve"> </w:t>
      </w:r>
      <w:r w:rsidR="00D0651C">
        <w:t>peptide dimensions</w:t>
      </w:r>
      <w:r w:rsidR="00512D0F">
        <w:t xml:space="preserve"> </w:t>
      </w:r>
      <w:r w:rsidR="00A24A81">
        <w:t xml:space="preserve">obtained </w:t>
      </w:r>
      <w:r w:rsidR="00512D0F">
        <w:t>by the</w:t>
      </w:r>
      <w:r w:rsidR="004715F7">
        <w:t xml:space="preserve"> two enzymes.</w:t>
      </w:r>
      <w:r w:rsidR="00512D0F">
        <w:t xml:space="preserve"> </w:t>
      </w:r>
      <w:r w:rsidR="00F167E3">
        <w:t>Finally, t</w:t>
      </w:r>
      <w:r w:rsidR="002E4AC0">
        <w:t xml:space="preserve">he </w:t>
      </w:r>
      <w:r w:rsidR="002E4AC0">
        <w:rPr>
          <w:i/>
          <w:iCs/>
        </w:rPr>
        <w:t>in vitro</w:t>
      </w:r>
      <w:r w:rsidR="002E4AC0">
        <w:t xml:space="preserve"> antioxidant activity</w:t>
      </w:r>
      <w:r w:rsidR="00302A9D">
        <w:t xml:space="preserve"> displayed </w:t>
      </w:r>
      <w:r w:rsidR="00CC2D44">
        <w:t>a similar increasing</w:t>
      </w:r>
      <w:r w:rsidR="004A1C86" w:rsidRPr="004A1C86">
        <w:t xml:space="preserve"> </w:t>
      </w:r>
      <w:r w:rsidR="004A1C86">
        <w:t xml:space="preserve">trend until 120 min </w:t>
      </w:r>
      <w:r w:rsidR="0096221C">
        <w:t xml:space="preserve">for Alcalase </w:t>
      </w:r>
      <w:r w:rsidR="004A1C86">
        <w:t xml:space="preserve">(88.11% </w:t>
      </w:r>
      <w:r w:rsidR="004A1C86" w:rsidRPr="004C7BA7">
        <w:rPr>
          <w:color w:val="000000"/>
          <w:sz w:val="18"/>
          <w:szCs w:val="18"/>
          <w:lang w:eastAsia="it-IT"/>
        </w:rPr>
        <w:t>±</w:t>
      </w:r>
      <w:r w:rsidR="004A1C86">
        <w:rPr>
          <w:color w:val="000000"/>
          <w:sz w:val="18"/>
          <w:szCs w:val="18"/>
          <w:lang w:eastAsia="it-IT"/>
        </w:rPr>
        <w:t xml:space="preserve"> 0.77)</w:t>
      </w:r>
      <w:r w:rsidR="004A1C86">
        <w:t xml:space="preserve"> and 60 min </w:t>
      </w:r>
      <w:r w:rsidR="0096221C">
        <w:t>Protamex</w:t>
      </w:r>
      <w:r w:rsidR="00BC721E">
        <w:t xml:space="preserve"> hydrolysis</w:t>
      </w:r>
      <w:r w:rsidR="0096221C">
        <w:t xml:space="preserve"> </w:t>
      </w:r>
      <w:r w:rsidR="004A1C86">
        <w:t xml:space="preserve">(80.65% </w:t>
      </w:r>
      <w:r w:rsidR="004A1C86" w:rsidRPr="004C7BA7">
        <w:rPr>
          <w:color w:val="000000"/>
          <w:sz w:val="18"/>
          <w:szCs w:val="18"/>
          <w:lang w:eastAsia="it-IT"/>
        </w:rPr>
        <w:t>±</w:t>
      </w:r>
      <w:r w:rsidR="004A1C86">
        <w:rPr>
          <w:color w:val="000000"/>
          <w:sz w:val="18"/>
          <w:szCs w:val="18"/>
          <w:lang w:eastAsia="it-IT"/>
        </w:rPr>
        <w:t xml:space="preserve"> 0.33)</w:t>
      </w:r>
      <w:r w:rsidR="00BC721E">
        <w:rPr>
          <w:color w:val="000000"/>
          <w:sz w:val="18"/>
          <w:szCs w:val="18"/>
          <w:lang w:eastAsia="it-IT"/>
        </w:rPr>
        <w:t>.</w:t>
      </w:r>
      <w:r w:rsidR="004A1C86">
        <w:rPr>
          <w:color w:val="000000"/>
          <w:sz w:val="18"/>
          <w:szCs w:val="18"/>
          <w:lang w:eastAsia="it-IT"/>
        </w:rPr>
        <w:t xml:space="preserve"> </w:t>
      </w:r>
      <w:r w:rsidR="00B00B56">
        <w:rPr>
          <w:lang w:val="en-US"/>
        </w:rPr>
        <w:t xml:space="preserve">By further increasing hydrolysis time, Protamex-obtained </w:t>
      </w:r>
      <w:r w:rsidR="00A433C8">
        <w:rPr>
          <w:lang w:val="en-US"/>
        </w:rPr>
        <w:t>WPH’s</w:t>
      </w:r>
      <w:r w:rsidR="00B00B56">
        <w:rPr>
          <w:lang w:val="en-US"/>
        </w:rPr>
        <w:t xml:space="preserve"> antioxidant activity</w:t>
      </w:r>
      <w:r w:rsidR="00A24A81">
        <w:rPr>
          <w:lang w:val="en-US"/>
        </w:rPr>
        <w:t xml:space="preserve"> remained unchanged</w:t>
      </w:r>
      <w:r w:rsidR="00B00B56">
        <w:rPr>
          <w:lang w:val="en-US"/>
        </w:rPr>
        <w:t>,</w:t>
      </w:r>
      <w:r w:rsidR="00A433C8">
        <w:rPr>
          <w:lang w:val="en-US"/>
        </w:rPr>
        <w:t xml:space="preserve"> whereas</w:t>
      </w:r>
      <w:r w:rsidR="00B00B56">
        <w:rPr>
          <w:lang w:val="en-US"/>
        </w:rPr>
        <w:t xml:space="preserve"> Alcalase</w:t>
      </w:r>
      <w:r w:rsidR="00A433C8">
        <w:rPr>
          <w:lang w:val="en-US"/>
        </w:rPr>
        <w:t>-</w:t>
      </w:r>
      <w:r w:rsidR="00B00B56">
        <w:rPr>
          <w:lang w:val="en-US"/>
        </w:rPr>
        <w:t xml:space="preserve">WPHs showed a decrease in antioxidant activity to 48.85% </w:t>
      </w:r>
      <w:r w:rsidR="00B00B56">
        <w:rPr>
          <w:color w:val="000000"/>
          <w:sz w:val="18"/>
          <w:szCs w:val="18"/>
          <w:lang w:val="en-US" w:eastAsia="it-IT"/>
        </w:rPr>
        <w:t>±</w:t>
      </w:r>
      <w:r w:rsidR="00B00B56">
        <w:rPr>
          <w:lang w:val="en-US"/>
        </w:rPr>
        <w:t xml:space="preserve"> 1.92. However, WPHs </w:t>
      </w:r>
      <w:r w:rsidR="004A1C86">
        <w:rPr>
          <w:lang w:val="en-US"/>
        </w:rPr>
        <w:t xml:space="preserve">were </w:t>
      </w:r>
      <w:r w:rsidR="00B00B56">
        <w:rPr>
          <w:lang w:val="en-US"/>
        </w:rPr>
        <w:t xml:space="preserve">demonstrated to enhance the antioxidant activity of WPI (26.33% </w:t>
      </w:r>
      <w:r w:rsidR="00B00B56">
        <w:rPr>
          <w:color w:val="000000"/>
          <w:sz w:val="18"/>
          <w:szCs w:val="18"/>
          <w:lang w:val="en-US" w:eastAsia="it-IT"/>
        </w:rPr>
        <w:t>±</w:t>
      </w:r>
      <w:r w:rsidR="00B00B56">
        <w:rPr>
          <w:lang w:val="en-US"/>
        </w:rPr>
        <w:t xml:space="preserve"> 2.18).</w:t>
      </w:r>
      <w:r w:rsidR="00A433C8">
        <w:rPr>
          <w:lang w:val="en-US"/>
        </w:rPr>
        <w:t xml:space="preserve"> Such results </w:t>
      </w:r>
      <w:r w:rsidR="003125C8">
        <w:rPr>
          <w:lang w:val="en-US"/>
        </w:rPr>
        <w:t>highlight</w:t>
      </w:r>
      <w:r w:rsidR="000A7A15">
        <w:rPr>
          <w:lang w:val="en-US"/>
        </w:rPr>
        <w:t xml:space="preserve"> the possibility to obtain</w:t>
      </w:r>
      <w:r w:rsidR="000F5FCD">
        <w:rPr>
          <w:lang w:val="en-US"/>
        </w:rPr>
        <w:t>,</w:t>
      </w:r>
      <w:r w:rsidR="000A7A15">
        <w:rPr>
          <w:lang w:val="en-US"/>
        </w:rPr>
        <w:t xml:space="preserve"> </w:t>
      </w:r>
      <w:r w:rsidR="000F5FCD">
        <w:rPr>
          <w:lang w:val="en-US"/>
        </w:rPr>
        <w:t xml:space="preserve">through the selection of appropriate enzyme and hydrolysis degree, </w:t>
      </w:r>
      <w:r w:rsidR="000A7A15">
        <w:rPr>
          <w:lang w:val="en-US"/>
        </w:rPr>
        <w:t>the best tailored WPH-based ingredients</w:t>
      </w:r>
      <w:r w:rsidR="00D02C9E">
        <w:rPr>
          <w:lang w:val="en-US"/>
        </w:rPr>
        <w:t xml:space="preserve"> in terms of technological and/or biological properties</w:t>
      </w:r>
      <w:r w:rsidR="006653D2">
        <w:rPr>
          <w:lang w:val="en-US"/>
        </w:rPr>
        <w:t>.</w:t>
      </w:r>
    </w:p>
    <w:p w14:paraId="5F0C7E82" w14:textId="16FE29AA" w:rsidR="00AE1142" w:rsidRPr="004B5AD2" w:rsidRDefault="00B94DFE" w:rsidP="00BB3B0B">
      <w:pPr>
        <w:spacing w:before="120" w:after="120"/>
        <w:ind w:left="992" w:hanging="992"/>
        <w:jc w:val="both"/>
        <w:rPr>
          <w:i/>
          <w:iCs/>
          <w:sz w:val="18"/>
          <w:szCs w:val="18"/>
        </w:rPr>
      </w:pPr>
      <w:r w:rsidRPr="002C1DA6">
        <w:rPr>
          <w:b/>
          <w:bCs/>
          <w:i/>
          <w:iCs/>
          <w:sz w:val="18"/>
          <w:szCs w:val="18"/>
        </w:rPr>
        <w:t>Table 1</w:t>
      </w:r>
      <w:r w:rsidR="0093620F">
        <w:rPr>
          <w:b/>
          <w:bCs/>
          <w:i/>
          <w:iCs/>
          <w:sz w:val="18"/>
          <w:szCs w:val="18"/>
        </w:rPr>
        <w:tab/>
      </w:r>
      <w:r w:rsidR="004B5AD2">
        <w:rPr>
          <w:i/>
          <w:iCs/>
          <w:sz w:val="18"/>
          <w:szCs w:val="18"/>
        </w:rPr>
        <w:t xml:space="preserve">Solubility, foaming ability index </w:t>
      </w:r>
      <w:r w:rsidR="001E0603">
        <w:rPr>
          <w:i/>
          <w:iCs/>
          <w:sz w:val="18"/>
          <w:szCs w:val="18"/>
        </w:rPr>
        <w:t xml:space="preserve">(FAI) </w:t>
      </w:r>
      <w:r w:rsidR="004B5AD2">
        <w:rPr>
          <w:i/>
          <w:iCs/>
          <w:sz w:val="18"/>
          <w:szCs w:val="18"/>
        </w:rPr>
        <w:t xml:space="preserve">and emulsifying </w:t>
      </w:r>
      <w:r w:rsidR="007354A9">
        <w:rPr>
          <w:i/>
          <w:iCs/>
          <w:sz w:val="18"/>
          <w:szCs w:val="18"/>
        </w:rPr>
        <w:t>ability index</w:t>
      </w:r>
      <w:r w:rsidR="001E0603">
        <w:rPr>
          <w:i/>
          <w:iCs/>
          <w:sz w:val="18"/>
          <w:szCs w:val="18"/>
        </w:rPr>
        <w:t xml:space="preserve"> (EAI)</w:t>
      </w:r>
      <w:r w:rsidR="007354A9">
        <w:rPr>
          <w:i/>
          <w:iCs/>
          <w:sz w:val="18"/>
          <w:szCs w:val="18"/>
        </w:rPr>
        <w:t xml:space="preserve"> </w:t>
      </w:r>
      <w:r w:rsidR="00B55D24">
        <w:rPr>
          <w:i/>
          <w:iCs/>
          <w:sz w:val="18"/>
          <w:szCs w:val="18"/>
        </w:rPr>
        <w:t>of WPHs.</w:t>
      </w:r>
      <w:r w:rsidR="009B6298">
        <w:rPr>
          <w:i/>
          <w:iCs/>
          <w:sz w:val="18"/>
          <w:szCs w:val="18"/>
        </w:rPr>
        <w:t xml:space="preserve"> </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tblCellMar>
        <w:tblLook w:val="04A0" w:firstRow="1" w:lastRow="0" w:firstColumn="1" w:lastColumn="0" w:noHBand="0" w:noVBand="1"/>
      </w:tblPr>
      <w:tblGrid>
        <w:gridCol w:w="1139"/>
        <w:gridCol w:w="1413"/>
        <w:gridCol w:w="1134"/>
        <w:gridCol w:w="1136"/>
        <w:gridCol w:w="423"/>
        <w:gridCol w:w="1417"/>
        <w:gridCol w:w="1275"/>
        <w:gridCol w:w="1134"/>
      </w:tblGrid>
      <w:tr w:rsidR="00B74A2B" w:rsidRPr="004C7BA7" w14:paraId="172BB365" w14:textId="77777777" w:rsidTr="004A1C86">
        <w:trPr>
          <w:trHeight w:val="259"/>
        </w:trPr>
        <w:tc>
          <w:tcPr>
            <w:tcW w:w="628" w:type="pct"/>
            <w:vMerge w:val="restart"/>
            <w:tcBorders>
              <w:top w:val="single" w:sz="6" w:space="0" w:color="auto"/>
            </w:tcBorders>
            <w:noWrap/>
            <w:vAlign w:val="bottom"/>
          </w:tcPr>
          <w:p w14:paraId="1481577F" w14:textId="77777777" w:rsidR="004D7B49" w:rsidRPr="004C7BA7" w:rsidRDefault="004D7B49" w:rsidP="001C38F1">
            <w:pPr>
              <w:rPr>
                <w:color w:val="000000"/>
                <w:sz w:val="18"/>
                <w:szCs w:val="18"/>
                <w:lang w:eastAsia="it-IT"/>
              </w:rPr>
            </w:pPr>
          </w:p>
          <w:p w14:paraId="41064E7C" w14:textId="77777777" w:rsidR="004D7B49" w:rsidRPr="004C7BA7" w:rsidRDefault="004D7B49" w:rsidP="001C38F1">
            <w:pPr>
              <w:rPr>
                <w:color w:val="000000"/>
                <w:sz w:val="18"/>
                <w:szCs w:val="18"/>
                <w:lang w:eastAsia="it-IT"/>
              </w:rPr>
            </w:pPr>
            <w:r w:rsidRPr="004C7BA7">
              <w:rPr>
                <w:color w:val="000000"/>
                <w:sz w:val="18"/>
                <w:szCs w:val="18"/>
                <w:lang w:eastAsia="it-IT"/>
              </w:rPr>
              <w:t>Hydrolysis time (min)</w:t>
            </w:r>
          </w:p>
        </w:tc>
        <w:tc>
          <w:tcPr>
            <w:tcW w:w="2030" w:type="pct"/>
            <w:gridSpan w:val="3"/>
            <w:tcBorders>
              <w:top w:val="single" w:sz="6" w:space="0" w:color="auto"/>
              <w:bottom w:val="single" w:sz="4" w:space="0" w:color="auto"/>
              <w:right w:val="single" w:sz="4" w:space="0" w:color="FFFFFF" w:themeColor="background1"/>
            </w:tcBorders>
          </w:tcPr>
          <w:p w14:paraId="29FDB4BE" w14:textId="77777777" w:rsidR="004D7B49" w:rsidRPr="004C7BA7" w:rsidRDefault="004D7B49" w:rsidP="001C38F1">
            <w:pPr>
              <w:rPr>
                <w:color w:val="000000"/>
                <w:sz w:val="18"/>
                <w:szCs w:val="18"/>
                <w:lang w:eastAsia="it-IT"/>
              </w:rPr>
            </w:pPr>
            <w:r w:rsidRPr="004C7BA7">
              <w:rPr>
                <w:color w:val="000000"/>
                <w:sz w:val="18"/>
                <w:szCs w:val="18"/>
                <w:lang w:eastAsia="it-IT"/>
              </w:rPr>
              <w:t>Alcalase</w:t>
            </w:r>
          </w:p>
        </w:tc>
        <w:tc>
          <w:tcPr>
            <w:tcW w:w="233" w:type="pct"/>
            <w:tcBorders>
              <w:top w:val="single" w:sz="6" w:space="0" w:color="auto"/>
              <w:bottom w:val="single" w:sz="4" w:space="0" w:color="FFFFFF"/>
              <w:right w:val="single" w:sz="4" w:space="0" w:color="FFFFFF" w:themeColor="background1"/>
            </w:tcBorders>
            <w:vAlign w:val="bottom"/>
          </w:tcPr>
          <w:p w14:paraId="050B95F9" w14:textId="77777777" w:rsidR="004D7B49" w:rsidRPr="004C7BA7" w:rsidRDefault="004D7B49" w:rsidP="001C38F1">
            <w:pPr>
              <w:rPr>
                <w:color w:val="000000"/>
                <w:sz w:val="18"/>
                <w:szCs w:val="18"/>
                <w:lang w:eastAsia="it-IT"/>
              </w:rPr>
            </w:pPr>
          </w:p>
        </w:tc>
        <w:tc>
          <w:tcPr>
            <w:tcW w:w="2109" w:type="pct"/>
            <w:gridSpan w:val="3"/>
            <w:tcBorders>
              <w:top w:val="single" w:sz="6" w:space="0" w:color="auto"/>
              <w:bottom w:val="single" w:sz="6" w:space="0" w:color="auto"/>
            </w:tcBorders>
          </w:tcPr>
          <w:p w14:paraId="288526BC" w14:textId="77777777" w:rsidR="004D7B49" w:rsidRPr="004C7BA7" w:rsidRDefault="004D7B49" w:rsidP="001C38F1">
            <w:pPr>
              <w:rPr>
                <w:color w:val="000000"/>
                <w:sz w:val="18"/>
                <w:szCs w:val="18"/>
                <w:lang w:eastAsia="it-IT"/>
              </w:rPr>
            </w:pPr>
            <w:r w:rsidRPr="004C7BA7">
              <w:rPr>
                <w:color w:val="000000"/>
                <w:sz w:val="18"/>
                <w:szCs w:val="18"/>
                <w:lang w:eastAsia="it-IT"/>
              </w:rPr>
              <w:t>Protamex</w:t>
            </w:r>
          </w:p>
        </w:tc>
      </w:tr>
      <w:tr w:rsidR="002D6BBD" w:rsidRPr="004C7BA7" w14:paraId="25D0C976" w14:textId="77777777" w:rsidTr="004A1C86">
        <w:trPr>
          <w:trHeight w:val="176"/>
        </w:trPr>
        <w:tc>
          <w:tcPr>
            <w:tcW w:w="628" w:type="pct"/>
            <w:vMerge/>
            <w:tcBorders>
              <w:bottom w:val="single" w:sz="6" w:space="0" w:color="auto"/>
            </w:tcBorders>
            <w:noWrap/>
            <w:vAlign w:val="bottom"/>
          </w:tcPr>
          <w:p w14:paraId="028DECE8" w14:textId="77777777" w:rsidR="002D6BBD" w:rsidRPr="004C7BA7" w:rsidRDefault="002D6BBD" w:rsidP="002D6BBD">
            <w:pPr>
              <w:rPr>
                <w:color w:val="000000"/>
                <w:sz w:val="18"/>
                <w:szCs w:val="18"/>
                <w:lang w:eastAsia="it-IT"/>
              </w:rPr>
            </w:pPr>
          </w:p>
        </w:tc>
        <w:tc>
          <w:tcPr>
            <w:tcW w:w="779" w:type="pct"/>
            <w:tcBorders>
              <w:top w:val="single" w:sz="4" w:space="0" w:color="auto"/>
              <w:bottom w:val="single" w:sz="6" w:space="0" w:color="auto"/>
            </w:tcBorders>
            <w:vAlign w:val="center"/>
          </w:tcPr>
          <w:p w14:paraId="19C63123" w14:textId="718532D5" w:rsidR="002D6BBD" w:rsidRPr="004C7BA7" w:rsidRDefault="002D6BBD" w:rsidP="002D6BBD">
            <w:pPr>
              <w:rPr>
                <w:color w:val="000000"/>
                <w:sz w:val="18"/>
                <w:szCs w:val="18"/>
                <w:lang w:eastAsia="it-IT"/>
              </w:rPr>
            </w:pPr>
            <w:r w:rsidRPr="004C7BA7">
              <w:rPr>
                <w:color w:val="000000"/>
                <w:sz w:val="18"/>
                <w:szCs w:val="18"/>
                <w:lang w:eastAsia="it-IT"/>
              </w:rPr>
              <w:t>Solubility (%)</w:t>
            </w:r>
          </w:p>
        </w:tc>
        <w:tc>
          <w:tcPr>
            <w:tcW w:w="625" w:type="pct"/>
            <w:tcBorders>
              <w:top w:val="single" w:sz="4" w:space="0" w:color="auto"/>
              <w:bottom w:val="single" w:sz="6" w:space="0" w:color="auto"/>
            </w:tcBorders>
            <w:vAlign w:val="center"/>
          </w:tcPr>
          <w:p w14:paraId="6357CFAD" w14:textId="31C7635C" w:rsidR="002D6BBD" w:rsidRPr="004C7BA7" w:rsidRDefault="002D6BBD" w:rsidP="002D6BBD">
            <w:pPr>
              <w:rPr>
                <w:color w:val="000000"/>
                <w:sz w:val="18"/>
                <w:szCs w:val="18"/>
                <w:lang w:eastAsia="it-IT"/>
              </w:rPr>
            </w:pPr>
            <w:r w:rsidRPr="004C7BA7">
              <w:rPr>
                <w:color w:val="000000"/>
                <w:sz w:val="18"/>
                <w:szCs w:val="18"/>
                <w:lang w:eastAsia="it-IT"/>
              </w:rPr>
              <w:t>FAI (%)</w:t>
            </w:r>
          </w:p>
        </w:tc>
        <w:tc>
          <w:tcPr>
            <w:tcW w:w="626" w:type="pct"/>
            <w:tcBorders>
              <w:top w:val="single" w:sz="4" w:space="0" w:color="auto"/>
              <w:bottom w:val="single" w:sz="6" w:space="0" w:color="auto"/>
            </w:tcBorders>
            <w:vAlign w:val="center"/>
          </w:tcPr>
          <w:p w14:paraId="3AC70706" w14:textId="56B02832" w:rsidR="002D6BBD" w:rsidRPr="004C7BA7" w:rsidRDefault="002D6BBD" w:rsidP="002D6BBD">
            <w:pPr>
              <w:rPr>
                <w:color w:val="000000"/>
                <w:sz w:val="18"/>
                <w:szCs w:val="18"/>
                <w:lang w:eastAsia="it-IT"/>
              </w:rPr>
            </w:pPr>
            <w:r w:rsidRPr="004C7BA7">
              <w:rPr>
                <w:color w:val="000000"/>
                <w:sz w:val="18"/>
                <w:szCs w:val="18"/>
                <w:lang w:eastAsia="it-IT"/>
              </w:rPr>
              <w:t>EAI (m</w:t>
            </w:r>
            <w:r w:rsidRPr="004C7BA7">
              <w:rPr>
                <w:color w:val="000000"/>
                <w:sz w:val="18"/>
                <w:szCs w:val="18"/>
                <w:vertAlign w:val="superscript"/>
                <w:lang w:eastAsia="it-IT"/>
              </w:rPr>
              <w:t>2</w:t>
            </w:r>
            <w:r w:rsidRPr="004C7BA7">
              <w:rPr>
                <w:color w:val="000000"/>
                <w:sz w:val="18"/>
                <w:szCs w:val="18"/>
                <w:lang w:eastAsia="it-IT"/>
              </w:rPr>
              <w:t>/g)</w:t>
            </w:r>
          </w:p>
        </w:tc>
        <w:tc>
          <w:tcPr>
            <w:tcW w:w="233" w:type="pct"/>
            <w:tcBorders>
              <w:top w:val="single" w:sz="4" w:space="0" w:color="FFFFFF"/>
              <w:bottom w:val="single" w:sz="6" w:space="0" w:color="auto"/>
              <w:right w:val="single" w:sz="4" w:space="0" w:color="FFFFFF" w:themeColor="background1"/>
            </w:tcBorders>
            <w:vAlign w:val="center"/>
          </w:tcPr>
          <w:p w14:paraId="00654F98" w14:textId="77777777" w:rsidR="002D6BBD" w:rsidRPr="004C7BA7" w:rsidRDefault="002D6BBD" w:rsidP="002D6BBD">
            <w:pPr>
              <w:rPr>
                <w:color w:val="000000"/>
                <w:sz w:val="18"/>
                <w:szCs w:val="18"/>
                <w:lang w:eastAsia="it-IT"/>
              </w:rPr>
            </w:pPr>
          </w:p>
        </w:tc>
        <w:tc>
          <w:tcPr>
            <w:tcW w:w="781" w:type="pct"/>
            <w:tcBorders>
              <w:top w:val="single" w:sz="4" w:space="0" w:color="FFFFFF"/>
              <w:bottom w:val="single" w:sz="6" w:space="0" w:color="auto"/>
            </w:tcBorders>
            <w:vAlign w:val="center"/>
          </w:tcPr>
          <w:p w14:paraId="49AB2899" w14:textId="59771BD8" w:rsidR="002D6BBD" w:rsidRPr="004C7BA7" w:rsidRDefault="002D6BBD" w:rsidP="002D6BBD">
            <w:pPr>
              <w:rPr>
                <w:color w:val="000000"/>
                <w:sz w:val="18"/>
                <w:szCs w:val="18"/>
                <w:lang w:eastAsia="it-IT"/>
              </w:rPr>
            </w:pPr>
            <w:r w:rsidRPr="004C7BA7">
              <w:rPr>
                <w:color w:val="000000"/>
                <w:sz w:val="18"/>
                <w:szCs w:val="18"/>
                <w:lang w:eastAsia="it-IT"/>
              </w:rPr>
              <w:t>Solubility (%)</w:t>
            </w:r>
          </w:p>
        </w:tc>
        <w:tc>
          <w:tcPr>
            <w:tcW w:w="703" w:type="pct"/>
            <w:tcBorders>
              <w:top w:val="single" w:sz="4" w:space="0" w:color="FFFFFF"/>
              <w:bottom w:val="single" w:sz="6" w:space="0" w:color="auto"/>
            </w:tcBorders>
            <w:vAlign w:val="center"/>
          </w:tcPr>
          <w:p w14:paraId="46416022" w14:textId="02CAB911" w:rsidR="002D6BBD" w:rsidRPr="004C7BA7" w:rsidRDefault="002D6BBD" w:rsidP="002D6BBD">
            <w:pPr>
              <w:rPr>
                <w:color w:val="000000"/>
                <w:sz w:val="18"/>
                <w:szCs w:val="18"/>
                <w:lang w:eastAsia="it-IT"/>
              </w:rPr>
            </w:pPr>
            <w:r w:rsidRPr="004C7BA7">
              <w:rPr>
                <w:color w:val="000000"/>
                <w:sz w:val="18"/>
                <w:szCs w:val="18"/>
                <w:lang w:eastAsia="it-IT"/>
              </w:rPr>
              <w:t>FAI (%)</w:t>
            </w:r>
          </w:p>
        </w:tc>
        <w:tc>
          <w:tcPr>
            <w:tcW w:w="625" w:type="pct"/>
            <w:tcBorders>
              <w:top w:val="single" w:sz="4" w:space="0" w:color="FFFFFF"/>
              <w:bottom w:val="single" w:sz="6" w:space="0" w:color="auto"/>
            </w:tcBorders>
            <w:vAlign w:val="center"/>
          </w:tcPr>
          <w:p w14:paraId="5511C574" w14:textId="14264F3A" w:rsidR="002D6BBD" w:rsidRPr="004C7BA7" w:rsidRDefault="002D6BBD" w:rsidP="002D6BBD">
            <w:pPr>
              <w:rPr>
                <w:color w:val="000000"/>
                <w:sz w:val="18"/>
                <w:szCs w:val="18"/>
                <w:lang w:eastAsia="it-IT"/>
              </w:rPr>
            </w:pPr>
            <w:r w:rsidRPr="004C7BA7">
              <w:rPr>
                <w:color w:val="000000"/>
                <w:sz w:val="18"/>
                <w:szCs w:val="18"/>
                <w:lang w:eastAsia="it-IT"/>
              </w:rPr>
              <w:t>EAI (m</w:t>
            </w:r>
            <w:r w:rsidRPr="004C7BA7">
              <w:rPr>
                <w:color w:val="000000"/>
                <w:sz w:val="18"/>
                <w:szCs w:val="18"/>
                <w:vertAlign w:val="superscript"/>
                <w:lang w:eastAsia="it-IT"/>
              </w:rPr>
              <w:t>2</w:t>
            </w:r>
            <w:r w:rsidRPr="004C7BA7">
              <w:rPr>
                <w:color w:val="000000"/>
                <w:sz w:val="18"/>
                <w:szCs w:val="18"/>
                <w:lang w:eastAsia="it-IT"/>
              </w:rPr>
              <w:t>/g)</w:t>
            </w:r>
          </w:p>
        </w:tc>
      </w:tr>
      <w:tr w:rsidR="002D6BBD" w:rsidRPr="004C7BA7" w14:paraId="690B82DA" w14:textId="77777777" w:rsidTr="00B94DFE">
        <w:trPr>
          <w:trHeight w:val="271"/>
        </w:trPr>
        <w:tc>
          <w:tcPr>
            <w:tcW w:w="628" w:type="pct"/>
            <w:tcBorders>
              <w:top w:val="single" w:sz="6" w:space="0" w:color="auto"/>
              <w:bottom w:val="single" w:sz="4" w:space="0" w:color="FFFFFF" w:themeColor="background1"/>
            </w:tcBorders>
            <w:noWrap/>
            <w:vAlign w:val="center"/>
          </w:tcPr>
          <w:p w14:paraId="55CD70EF" w14:textId="77777777" w:rsidR="002D6BBD" w:rsidRPr="004C7BA7" w:rsidRDefault="002D6BBD" w:rsidP="002D6BBD">
            <w:pPr>
              <w:rPr>
                <w:color w:val="000000"/>
                <w:sz w:val="18"/>
                <w:szCs w:val="18"/>
                <w:lang w:eastAsia="it-IT"/>
              </w:rPr>
            </w:pPr>
            <w:r w:rsidRPr="004C7BA7">
              <w:rPr>
                <w:color w:val="000000"/>
                <w:sz w:val="18"/>
                <w:szCs w:val="18"/>
                <w:lang w:eastAsia="it-IT"/>
              </w:rPr>
              <w:t>0</w:t>
            </w:r>
          </w:p>
        </w:tc>
        <w:tc>
          <w:tcPr>
            <w:tcW w:w="779" w:type="pct"/>
            <w:tcBorders>
              <w:top w:val="single" w:sz="6" w:space="0" w:color="auto"/>
              <w:bottom w:val="single" w:sz="4" w:space="0" w:color="FFFFFF" w:themeColor="background1"/>
            </w:tcBorders>
            <w:vAlign w:val="center"/>
          </w:tcPr>
          <w:p w14:paraId="45725C16" w14:textId="036DA50F" w:rsidR="002D6BBD" w:rsidRPr="004C7BA7" w:rsidRDefault="002D6BBD" w:rsidP="004B642E">
            <w:pPr>
              <w:rPr>
                <w:color w:val="000000"/>
                <w:sz w:val="18"/>
                <w:szCs w:val="18"/>
                <w:vertAlign w:val="superscript"/>
                <w:lang w:eastAsia="it-IT"/>
              </w:rPr>
            </w:pPr>
            <w:r w:rsidRPr="004C7BA7">
              <w:rPr>
                <w:color w:val="000000"/>
                <w:sz w:val="18"/>
                <w:szCs w:val="18"/>
                <w:lang w:eastAsia="it-IT"/>
              </w:rPr>
              <w:t>88.18±0.80</w:t>
            </w:r>
            <w:r w:rsidRPr="004C7BA7">
              <w:rPr>
                <w:color w:val="000000"/>
                <w:sz w:val="18"/>
                <w:szCs w:val="18"/>
                <w:vertAlign w:val="superscript"/>
                <w:lang w:eastAsia="it-IT"/>
              </w:rPr>
              <w:t>d</w:t>
            </w:r>
          </w:p>
        </w:tc>
        <w:tc>
          <w:tcPr>
            <w:tcW w:w="625" w:type="pct"/>
            <w:tcBorders>
              <w:top w:val="single" w:sz="6" w:space="0" w:color="auto"/>
              <w:bottom w:val="single" w:sz="4" w:space="0" w:color="FFFFFF" w:themeColor="background1"/>
            </w:tcBorders>
            <w:vAlign w:val="center"/>
          </w:tcPr>
          <w:p w14:paraId="4F439AF9"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20.4±3.9</w:t>
            </w:r>
            <w:r w:rsidRPr="004C7BA7">
              <w:rPr>
                <w:color w:val="000000"/>
                <w:sz w:val="18"/>
                <w:szCs w:val="18"/>
                <w:vertAlign w:val="superscript"/>
                <w:lang w:eastAsia="it-IT"/>
              </w:rPr>
              <w:t>f</w:t>
            </w:r>
          </w:p>
        </w:tc>
        <w:tc>
          <w:tcPr>
            <w:tcW w:w="626" w:type="pct"/>
            <w:tcBorders>
              <w:top w:val="single" w:sz="6" w:space="0" w:color="auto"/>
              <w:bottom w:val="single" w:sz="4" w:space="0" w:color="FFFFFF" w:themeColor="background1"/>
            </w:tcBorders>
            <w:vAlign w:val="center"/>
          </w:tcPr>
          <w:p w14:paraId="6F9D1A45"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2.27±0.44</w:t>
            </w:r>
            <w:r w:rsidRPr="004C7BA7">
              <w:rPr>
                <w:color w:val="000000"/>
                <w:sz w:val="18"/>
                <w:szCs w:val="18"/>
                <w:vertAlign w:val="superscript"/>
                <w:lang w:eastAsia="it-IT"/>
              </w:rPr>
              <w:t>a</w:t>
            </w:r>
          </w:p>
        </w:tc>
        <w:tc>
          <w:tcPr>
            <w:tcW w:w="233" w:type="pct"/>
            <w:tcBorders>
              <w:top w:val="single" w:sz="6" w:space="0" w:color="auto"/>
              <w:bottom w:val="single" w:sz="4" w:space="0" w:color="FFFFFF" w:themeColor="background1"/>
              <w:right w:val="single" w:sz="4" w:space="0" w:color="FFFFFF" w:themeColor="background1"/>
            </w:tcBorders>
            <w:vAlign w:val="center"/>
          </w:tcPr>
          <w:p w14:paraId="7905C4C5" w14:textId="77777777" w:rsidR="002D6BBD" w:rsidRPr="004C7BA7" w:rsidRDefault="002D6BBD" w:rsidP="004B642E">
            <w:pPr>
              <w:rPr>
                <w:color w:val="000000"/>
                <w:sz w:val="18"/>
                <w:szCs w:val="18"/>
                <w:lang w:eastAsia="it-IT"/>
              </w:rPr>
            </w:pPr>
          </w:p>
        </w:tc>
        <w:tc>
          <w:tcPr>
            <w:tcW w:w="781" w:type="pct"/>
            <w:tcBorders>
              <w:top w:val="single" w:sz="6" w:space="0" w:color="auto"/>
              <w:bottom w:val="single" w:sz="4" w:space="0" w:color="FFFFFF" w:themeColor="background1"/>
            </w:tcBorders>
            <w:vAlign w:val="center"/>
          </w:tcPr>
          <w:p w14:paraId="6D5AB592" w14:textId="365DB179" w:rsidR="002D6BBD" w:rsidRPr="004C7BA7" w:rsidRDefault="002D6BBD" w:rsidP="004B642E">
            <w:pPr>
              <w:rPr>
                <w:color w:val="000000"/>
                <w:sz w:val="18"/>
                <w:szCs w:val="18"/>
                <w:highlight w:val="yellow"/>
                <w:lang w:eastAsia="it-IT"/>
              </w:rPr>
            </w:pPr>
            <w:r w:rsidRPr="004C7BA7">
              <w:rPr>
                <w:color w:val="000000"/>
                <w:sz w:val="18"/>
                <w:szCs w:val="18"/>
                <w:lang w:eastAsia="it-IT"/>
              </w:rPr>
              <w:t>88.18±0.80</w:t>
            </w:r>
            <w:r w:rsidRPr="004C7BA7">
              <w:rPr>
                <w:color w:val="000000"/>
                <w:sz w:val="18"/>
                <w:szCs w:val="18"/>
                <w:vertAlign w:val="superscript"/>
                <w:lang w:eastAsia="it-IT"/>
              </w:rPr>
              <w:t>c</w:t>
            </w:r>
          </w:p>
        </w:tc>
        <w:tc>
          <w:tcPr>
            <w:tcW w:w="703" w:type="pct"/>
            <w:tcBorders>
              <w:top w:val="single" w:sz="6" w:space="0" w:color="auto"/>
              <w:bottom w:val="single" w:sz="4" w:space="0" w:color="FFFFFF" w:themeColor="background1"/>
            </w:tcBorders>
            <w:vAlign w:val="center"/>
          </w:tcPr>
          <w:p w14:paraId="4BF4938E" w14:textId="77777777" w:rsidR="002D6BBD" w:rsidRPr="004C7BA7" w:rsidRDefault="002D6BBD" w:rsidP="004B642E">
            <w:pPr>
              <w:rPr>
                <w:color w:val="000000"/>
                <w:sz w:val="18"/>
                <w:szCs w:val="18"/>
                <w:lang w:eastAsia="it-IT"/>
              </w:rPr>
            </w:pPr>
            <w:r w:rsidRPr="004C7BA7">
              <w:rPr>
                <w:color w:val="000000"/>
                <w:sz w:val="18"/>
                <w:szCs w:val="18"/>
                <w:lang w:eastAsia="it-IT"/>
              </w:rPr>
              <w:t>20.4±3.9</w:t>
            </w:r>
            <w:r w:rsidRPr="004C7BA7">
              <w:rPr>
                <w:color w:val="000000"/>
                <w:sz w:val="18"/>
                <w:szCs w:val="18"/>
                <w:vertAlign w:val="superscript"/>
                <w:lang w:eastAsia="it-IT"/>
              </w:rPr>
              <w:t>d</w:t>
            </w:r>
          </w:p>
        </w:tc>
        <w:tc>
          <w:tcPr>
            <w:tcW w:w="625" w:type="pct"/>
            <w:tcBorders>
              <w:top w:val="single" w:sz="6" w:space="0" w:color="auto"/>
              <w:left w:val="single" w:sz="4" w:space="0" w:color="FFFFFF" w:themeColor="background1"/>
              <w:bottom w:val="single" w:sz="4" w:space="0" w:color="FFFFFF" w:themeColor="background1"/>
            </w:tcBorders>
            <w:vAlign w:val="center"/>
          </w:tcPr>
          <w:p w14:paraId="00CD8F9F"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2.27±0.44</w:t>
            </w:r>
            <w:r w:rsidRPr="004C7BA7">
              <w:rPr>
                <w:color w:val="000000"/>
                <w:sz w:val="18"/>
                <w:szCs w:val="18"/>
                <w:vertAlign w:val="superscript"/>
                <w:lang w:eastAsia="it-IT"/>
              </w:rPr>
              <w:t>a</w:t>
            </w:r>
          </w:p>
        </w:tc>
      </w:tr>
      <w:tr w:rsidR="002D6BBD" w:rsidRPr="004C7BA7" w14:paraId="5F14AEB3" w14:textId="77777777" w:rsidTr="00B94DFE">
        <w:trPr>
          <w:trHeight w:val="271"/>
        </w:trPr>
        <w:tc>
          <w:tcPr>
            <w:tcW w:w="628" w:type="pct"/>
            <w:tcBorders>
              <w:top w:val="single" w:sz="4" w:space="0" w:color="FFFFFF" w:themeColor="background1"/>
            </w:tcBorders>
            <w:noWrap/>
            <w:vAlign w:val="center"/>
          </w:tcPr>
          <w:p w14:paraId="79A7D8F5" w14:textId="77777777" w:rsidR="002D6BBD" w:rsidRPr="004C7BA7" w:rsidRDefault="002D6BBD" w:rsidP="002D6BBD">
            <w:pPr>
              <w:rPr>
                <w:color w:val="000000"/>
                <w:sz w:val="18"/>
                <w:szCs w:val="18"/>
                <w:lang w:eastAsia="it-IT"/>
              </w:rPr>
            </w:pPr>
            <w:r w:rsidRPr="004C7BA7">
              <w:rPr>
                <w:color w:val="000000"/>
                <w:sz w:val="18"/>
                <w:szCs w:val="18"/>
                <w:lang w:eastAsia="it-IT"/>
              </w:rPr>
              <w:t>10</w:t>
            </w:r>
          </w:p>
        </w:tc>
        <w:tc>
          <w:tcPr>
            <w:tcW w:w="779" w:type="pct"/>
            <w:vAlign w:val="center"/>
          </w:tcPr>
          <w:p w14:paraId="373B2CA9" w14:textId="68F88FAB" w:rsidR="002D6BBD" w:rsidRPr="004C7BA7" w:rsidRDefault="002D6BBD" w:rsidP="004B642E">
            <w:pPr>
              <w:rPr>
                <w:color w:val="000000"/>
                <w:sz w:val="18"/>
                <w:szCs w:val="18"/>
                <w:lang w:eastAsia="it-IT"/>
              </w:rPr>
            </w:pPr>
            <w:r w:rsidRPr="004C7BA7">
              <w:rPr>
                <w:color w:val="000000"/>
                <w:sz w:val="18"/>
                <w:szCs w:val="18"/>
                <w:lang w:eastAsia="it-IT"/>
              </w:rPr>
              <w:t>92.26±0.70</w:t>
            </w:r>
            <w:r w:rsidRPr="004C7BA7">
              <w:rPr>
                <w:color w:val="000000"/>
                <w:sz w:val="18"/>
                <w:szCs w:val="18"/>
                <w:vertAlign w:val="superscript"/>
                <w:lang w:eastAsia="it-IT"/>
              </w:rPr>
              <w:t>ab</w:t>
            </w:r>
          </w:p>
        </w:tc>
        <w:tc>
          <w:tcPr>
            <w:tcW w:w="625" w:type="pct"/>
            <w:tcBorders>
              <w:top w:val="single" w:sz="4" w:space="0" w:color="FFFFFF" w:themeColor="background1"/>
            </w:tcBorders>
            <w:vAlign w:val="center"/>
          </w:tcPr>
          <w:p w14:paraId="742D1A65"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76.2±3.0</w:t>
            </w:r>
            <w:r w:rsidRPr="004C7BA7">
              <w:rPr>
                <w:color w:val="000000"/>
                <w:sz w:val="18"/>
                <w:szCs w:val="18"/>
                <w:vertAlign w:val="superscript"/>
                <w:lang w:eastAsia="it-IT"/>
              </w:rPr>
              <w:t>e</w:t>
            </w:r>
          </w:p>
        </w:tc>
        <w:tc>
          <w:tcPr>
            <w:tcW w:w="626" w:type="pct"/>
            <w:tcBorders>
              <w:top w:val="single" w:sz="4" w:space="0" w:color="FFFFFF" w:themeColor="background1"/>
            </w:tcBorders>
            <w:vAlign w:val="center"/>
          </w:tcPr>
          <w:p w14:paraId="015A8E14"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1.19±0.12</w:t>
            </w:r>
            <w:r w:rsidRPr="004C7BA7">
              <w:rPr>
                <w:color w:val="000000"/>
                <w:sz w:val="18"/>
                <w:szCs w:val="18"/>
                <w:vertAlign w:val="superscript"/>
                <w:lang w:eastAsia="it-IT"/>
              </w:rPr>
              <w:t>bce</w:t>
            </w:r>
          </w:p>
        </w:tc>
        <w:tc>
          <w:tcPr>
            <w:tcW w:w="233" w:type="pct"/>
            <w:tcBorders>
              <w:top w:val="single" w:sz="4" w:space="0" w:color="FFFFFF" w:themeColor="background1"/>
              <w:right w:val="single" w:sz="4" w:space="0" w:color="FFFFFF" w:themeColor="background1"/>
            </w:tcBorders>
            <w:vAlign w:val="center"/>
          </w:tcPr>
          <w:p w14:paraId="0A0952A3" w14:textId="77777777" w:rsidR="002D6BBD" w:rsidRPr="004C7BA7" w:rsidRDefault="002D6BBD" w:rsidP="004B642E">
            <w:pPr>
              <w:rPr>
                <w:color w:val="000000"/>
                <w:sz w:val="18"/>
                <w:szCs w:val="18"/>
                <w:lang w:eastAsia="it-IT"/>
              </w:rPr>
            </w:pPr>
          </w:p>
        </w:tc>
        <w:tc>
          <w:tcPr>
            <w:tcW w:w="781" w:type="pct"/>
            <w:vAlign w:val="center"/>
          </w:tcPr>
          <w:p w14:paraId="22B3E1A1" w14:textId="436E3906" w:rsidR="002D6BBD" w:rsidRPr="004C7BA7" w:rsidRDefault="002D6BBD" w:rsidP="004B642E">
            <w:pPr>
              <w:rPr>
                <w:color w:val="000000"/>
                <w:sz w:val="18"/>
                <w:szCs w:val="18"/>
                <w:lang w:eastAsia="it-IT"/>
              </w:rPr>
            </w:pPr>
            <w:r w:rsidRPr="004C7BA7">
              <w:rPr>
                <w:color w:val="000000"/>
                <w:sz w:val="18"/>
                <w:szCs w:val="18"/>
                <w:lang w:eastAsia="it-IT"/>
              </w:rPr>
              <w:t>92.20±0.91</w:t>
            </w:r>
            <w:r w:rsidRPr="004C7BA7">
              <w:rPr>
                <w:color w:val="000000"/>
                <w:sz w:val="18"/>
                <w:szCs w:val="18"/>
                <w:vertAlign w:val="superscript"/>
                <w:lang w:eastAsia="it-IT"/>
              </w:rPr>
              <w:t>b</w:t>
            </w:r>
          </w:p>
        </w:tc>
        <w:tc>
          <w:tcPr>
            <w:tcW w:w="703" w:type="pct"/>
            <w:tcBorders>
              <w:top w:val="single" w:sz="4" w:space="0" w:color="FFFFFF" w:themeColor="background1"/>
            </w:tcBorders>
            <w:vAlign w:val="center"/>
          </w:tcPr>
          <w:p w14:paraId="69E3951F" w14:textId="77777777" w:rsidR="002D6BBD" w:rsidRPr="004C7BA7" w:rsidRDefault="002D6BBD" w:rsidP="004B642E">
            <w:pPr>
              <w:rPr>
                <w:color w:val="000000"/>
                <w:sz w:val="18"/>
                <w:szCs w:val="18"/>
                <w:lang w:eastAsia="it-IT"/>
              </w:rPr>
            </w:pPr>
            <w:r w:rsidRPr="004C7BA7">
              <w:rPr>
                <w:color w:val="000000"/>
                <w:sz w:val="18"/>
                <w:szCs w:val="18"/>
                <w:lang w:eastAsia="it-IT"/>
              </w:rPr>
              <w:t>72.2±2.6</w:t>
            </w:r>
            <w:r w:rsidRPr="004C7BA7">
              <w:rPr>
                <w:color w:val="000000"/>
                <w:sz w:val="18"/>
                <w:szCs w:val="18"/>
                <w:vertAlign w:val="superscript"/>
                <w:lang w:eastAsia="it-IT"/>
              </w:rPr>
              <w:t>c</w:t>
            </w:r>
          </w:p>
        </w:tc>
        <w:tc>
          <w:tcPr>
            <w:tcW w:w="625" w:type="pct"/>
            <w:tcBorders>
              <w:top w:val="single" w:sz="4" w:space="0" w:color="FFFFFF" w:themeColor="background1"/>
              <w:left w:val="single" w:sz="4" w:space="0" w:color="FFFFFF" w:themeColor="background1"/>
            </w:tcBorders>
            <w:vAlign w:val="center"/>
          </w:tcPr>
          <w:p w14:paraId="5ADCAE39"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1.82±0.43</w:t>
            </w:r>
            <w:r w:rsidRPr="004C7BA7">
              <w:rPr>
                <w:color w:val="000000"/>
                <w:sz w:val="18"/>
                <w:szCs w:val="18"/>
                <w:vertAlign w:val="superscript"/>
                <w:lang w:eastAsia="it-IT"/>
              </w:rPr>
              <w:t>ab</w:t>
            </w:r>
          </w:p>
        </w:tc>
      </w:tr>
      <w:tr w:rsidR="002D6BBD" w:rsidRPr="004C7BA7" w14:paraId="3DEAC6EC" w14:textId="77777777" w:rsidTr="00B94DFE">
        <w:trPr>
          <w:trHeight w:val="271"/>
        </w:trPr>
        <w:tc>
          <w:tcPr>
            <w:tcW w:w="628" w:type="pct"/>
            <w:noWrap/>
            <w:vAlign w:val="center"/>
          </w:tcPr>
          <w:p w14:paraId="377EFBBE" w14:textId="77777777" w:rsidR="002D6BBD" w:rsidRPr="004C7BA7" w:rsidRDefault="002D6BBD" w:rsidP="002D6BBD">
            <w:pPr>
              <w:rPr>
                <w:color w:val="000000"/>
                <w:sz w:val="18"/>
                <w:szCs w:val="18"/>
                <w:lang w:eastAsia="it-IT"/>
              </w:rPr>
            </w:pPr>
            <w:r w:rsidRPr="004C7BA7">
              <w:rPr>
                <w:color w:val="000000"/>
                <w:sz w:val="18"/>
                <w:szCs w:val="18"/>
                <w:lang w:eastAsia="it-IT"/>
              </w:rPr>
              <w:t>20</w:t>
            </w:r>
          </w:p>
        </w:tc>
        <w:tc>
          <w:tcPr>
            <w:tcW w:w="779" w:type="pct"/>
            <w:vAlign w:val="center"/>
          </w:tcPr>
          <w:p w14:paraId="1D8C8563" w14:textId="509154DA" w:rsidR="002D6BBD" w:rsidRPr="004C7BA7" w:rsidRDefault="002D6BBD" w:rsidP="004B642E">
            <w:pPr>
              <w:rPr>
                <w:color w:val="000000"/>
                <w:sz w:val="18"/>
                <w:szCs w:val="18"/>
                <w:lang w:eastAsia="it-IT"/>
              </w:rPr>
            </w:pPr>
            <w:r w:rsidRPr="004C7BA7">
              <w:rPr>
                <w:color w:val="000000"/>
                <w:sz w:val="18"/>
                <w:szCs w:val="18"/>
                <w:lang w:eastAsia="it-IT"/>
              </w:rPr>
              <w:t>91.81±0.64</w:t>
            </w:r>
            <w:r w:rsidRPr="004C7BA7">
              <w:rPr>
                <w:color w:val="000000"/>
                <w:sz w:val="18"/>
                <w:szCs w:val="18"/>
                <w:vertAlign w:val="superscript"/>
                <w:lang w:eastAsia="it-IT"/>
              </w:rPr>
              <w:t>ab</w:t>
            </w:r>
          </w:p>
        </w:tc>
        <w:tc>
          <w:tcPr>
            <w:tcW w:w="625" w:type="pct"/>
            <w:vAlign w:val="center"/>
          </w:tcPr>
          <w:p w14:paraId="32E5E6E1"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129.6±0.0</w:t>
            </w:r>
            <w:r w:rsidRPr="004C7BA7">
              <w:rPr>
                <w:color w:val="000000"/>
                <w:sz w:val="18"/>
                <w:szCs w:val="18"/>
                <w:vertAlign w:val="superscript"/>
                <w:lang w:eastAsia="it-IT"/>
              </w:rPr>
              <w:t>b</w:t>
            </w:r>
          </w:p>
        </w:tc>
        <w:tc>
          <w:tcPr>
            <w:tcW w:w="626" w:type="pct"/>
            <w:vAlign w:val="center"/>
          </w:tcPr>
          <w:p w14:paraId="38D71D41"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1.34±0.25</w:t>
            </w:r>
            <w:r w:rsidRPr="004C7BA7">
              <w:rPr>
                <w:color w:val="000000"/>
                <w:sz w:val="18"/>
                <w:szCs w:val="18"/>
                <w:vertAlign w:val="superscript"/>
                <w:lang w:eastAsia="it-IT"/>
              </w:rPr>
              <w:t>bcd</w:t>
            </w:r>
          </w:p>
        </w:tc>
        <w:tc>
          <w:tcPr>
            <w:tcW w:w="233" w:type="pct"/>
            <w:tcBorders>
              <w:right w:val="single" w:sz="4" w:space="0" w:color="FFFFFF" w:themeColor="background1"/>
            </w:tcBorders>
            <w:vAlign w:val="center"/>
          </w:tcPr>
          <w:p w14:paraId="2F8A2673" w14:textId="77777777" w:rsidR="002D6BBD" w:rsidRPr="004C7BA7" w:rsidRDefault="002D6BBD" w:rsidP="004B642E">
            <w:pPr>
              <w:rPr>
                <w:color w:val="000000"/>
                <w:sz w:val="18"/>
                <w:szCs w:val="18"/>
                <w:lang w:eastAsia="it-IT"/>
              </w:rPr>
            </w:pPr>
          </w:p>
        </w:tc>
        <w:tc>
          <w:tcPr>
            <w:tcW w:w="781" w:type="pct"/>
            <w:vAlign w:val="center"/>
          </w:tcPr>
          <w:p w14:paraId="61F1C977" w14:textId="768E770A" w:rsidR="002D6BBD" w:rsidRPr="004C7BA7" w:rsidRDefault="002D6BBD" w:rsidP="004B642E">
            <w:pPr>
              <w:rPr>
                <w:color w:val="000000"/>
                <w:sz w:val="18"/>
                <w:szCs w:val="18"/>
                <w:lang w:eastAsia="it-IT"/>
              </w:rPr>
            </w:pPr>
            <w:r w:rsidRPr="004C7BA7">
              <w:rPr>
                <w:color w:val="000000"/>
                <w:sz w:val="18"/>
                <w:szCs w:val="18"/>
                <w:lang w:eastAsia="it-IT"/>
              </w:rPr>
              <w:t>92.59±0.87</w:t>
            </w:r>
            <w:r w:rsidRPr="004C7BA7">
              <w:rPr>
                <w:color w:val="000000"/>
                <w:sz w:val="18"/>
                <w:szCs w:val="18"/>
                <w:vertAlign w:val="superscript"/>
                <w:lang w:eastAsia="it-IT"/>
              </w:rPr>
              <w:t>a</w:t>
            </w:r>
          </w:p>
        </w:tc>
        <w:tc>
          <w:tcPr>
            <w:tcW w:w="703" w:type="pct"/>
            <w:vAlign w:val="center"/>
          </w:tcPr>
          <w:p w14:paraId="13CAC335" w14:textId="77777777" w:rsidR="002D6BBD" w:rsidRPr="004C7BA7" w:rsidRDefault="002D6BBD" w:rsidP="004B642E">
            <w:pPr>
              <w:rPr>
                <w:color w:val="000000"/>
                <w:sz w:val="18"/>
                <w:szCs w:val="18"/>
                <w:lang w:eastAsia="it-IT"/>
              </w:rPr>
            </w:pPr>
            <w:r w:rsidRPr="004C7BA7">
              <w:rPr>
                <w:color w:val="000000"/>
                <w:sz w:val="18"/>
                <w:szCs w:val="18"/>
                <w:lang w:eastAsia="it-IT"/>
              </w:rPr>
              <w:t>100.3±10.9</w:t>
            </w:r>
            <w:r w:rsidRPr="004C7BA7">
              <w:rPr>
                <w:color w:val="000000"/>
                <w:sz w:val="18"/>
                <w:szCs w:val="18"/>
                <w:vertAlign w:val="superscript"/>
                <w:lang w:eastAsia="it-IT"/>
              </w:rPr>
              <w:t>bc</w:t>
            </w:r>
          </w:p>
        </w:tc>
        <w:tc>
          <w:tcPr>
            <w:tcW w:w="625" w:type="pct"/>
            <w:tcBorders>
              <w:left w:val="single" w:sz="4" w:space="0" w:color="FFFFFF" w:themeColor="background1"/>
            </w:tcBorders>
            <w:vAlign w:val="center"/>
          </w:tcPr>
          <w:p w14:paraId="64AF8E16"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1.66±0.40</w:t>
            </w:r>
            <w:r w:rsidRPr="004C7BA7">
              <w:rPr>
                <w:color w:val="000000"/>
                <w:sz w:val="18"/>
                <w:szCs w:val="18"/>
                <w:vertAlign w:val="superscript"/>
                <w:lang w:eastAsia="it-IT"/>
              </w:rPr>
              <w:t>ab</w:t>
            </w:r>
          </w:p>
        </w:tc>
      </w:tr>
      <w:tr w:rsidR="002D6BBD" w:rsidRPr="004C7BA7" w14:paraId="5E535A10" w14:textId="77777777" w:rsidTr="00B94DFE">
        <w:trPr>
          <w:trHeight w:val="271"/>
        </w:trPr>
        <w:tc>
          <w:tcPr>
            <w:tcW w:w="628" w:type="pct"/>
            <w:noWrap/>
            <w:vAlign w:val="center"/>
          </w:tcPr>
          <w:p w14:paraId="72DE18E8" w14:textId="77777777" w:rsidR="002D6BBD" w:rsidRPr="004C7BA7" w:rsidRDefault="002D6BBD" w:rsidP="002D6BBD">
            <w:pPr>
              <w:rPr>
                <w:color w:val="000000"/>
                <w:sz w:val="18"/>
                <w:szCs w:val="18"/>
                <w:lang w:eastAsia="it-IT"/>
              </w:rPr>
            </w:pPr>
            <w:r w:rsidRPr="004C7BA7">
              <w:rPr>
                <w:color w:val="000000"/>
                <w:sz w:val="18"/>
                <w:szCs w:val="18"/>
                <w:lang w:eastAsia="it-IT"/>
              </w:rPr>
              <w:t>30</w:t>
            </w:r>
          </w:p>
        </w:tc>
        <w:tc>
          <w:tcPr>
            <w:tcW w:w="779" w:type="pct"/>
            <w:vAlign w:val="center"/>
          </w:tcPr>
          <w:p w14:paraId="4D6E7FEE" w14:textId="7554D15C" w:rsidR="002D6BBD" w:rsidRPr="004C7BA7" w:rsidRDefault="002D6BBD" w:rsidP="004B642E">
            <w:pPr>
              <w:rPr>
                <w:color w:val="000000"/>
                <w:sz w:val="18"/>
                <w:szCs w:val="18"/>
                <w:lang w:eastAsia="it-IT"/>
              </w:rPr>
            </w:pPr>
            <w:r w:rsidRPr="004C7BA7">
              <w:rPr>
                <w:color w:val="000000"/>
                <w:sz w:val="18"/>
                <w:szCs w:val="18"/>
                <w:lang w:eastAsia="it-IT"/>
              </w:rPr>
              <w:t>93.36±0.85</w:t>
            </w:r>
            <w:r w:rsidRPr="004C7BA7">
              <w:rPr>
                <w:color w:val="000000"/>
                <w:sz w:val="18"/>
                <w:szCs w:val="18"/>
                <w:vertAlign w:val="superscript"/>
                <w:lang w:eastAsia="it-IT"/>
              </w:rPr>
              <w:t>a</w:t>
            </w:r>
          </w:p>
        </w:tc>
        <w:tc>
          <w:tcPr>
            <w:tcW w:w="625" w:type="pct"/>
            <w:vAlign w:val="center"/>
          </w:tcPr>
          <w:p w14:paraId="232EACD9"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176.5±4.9</w:t>
            </w:r>
            <w:r w:rsidRPr="004C7BA7">
              <w:rPr>
                <w:color w:val="000000"/>
                <w:sz w:val="18"/>
                <w:szCs w:val="18"/>
                <w:vertAlign w:val="superscript"/>
                <w:lang w:eastAsia="it-IT"/>
              </w:rPr>
              <w:t>a</w:t>
            </w:r>
          </w:p>
        </w:tc>
        <w:tc>
          <w:tcPr>
            <w:tcW w:w="626" w:type="pct"/>
            <w:vAlign w:val="center"/>
          </w:tcPr>
          <w:p w14:paraId="50A9BD13"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1.60±0.16</w:t>
            </w:r>
            <w:r w:rsidRPr="004C7BA7">
              <w:rPr>
                <w:color w:val="000000"/>
                <w:sz w:val="18"/>
                <w:szCs w:val="18"/>
                <w:vertAlign w:val="superscript"/>
                <w:lang w:eastAsia="it-IT"/>
              </w:rPr>
              <w:t>ab</w:t>
            </w:r>
          </w:p>
        </w:tc>
        <w:tc>
          <w:tcPr>
            <w:tcW w:w="233" w:type="pct"/>
            <w:tcBorders>
              <w:right w:val="single" w:sz="4" w:space="0" w:color="FFFFFF" w:themeColor="background1"/>
            </w:tcBorders>
            <w:vAlign w:val="center"/>
          </w:tcPr>
          <w:p w14:paraId="1AC75D3E" w14:textId="77777777" w:rsidR="002D6BBD" w:rsidRPr="004C7BA7" w:rsidRDefault="002D6BBD" w:rsidP="004B642E">
            <w:pPr>
              <w:rPr>
                <w:color w:val="000000"/>
                <w:sz w:val="18"/>
                <w:szCs w:val="18"/>
                <w:lang w:eastAsia="it-IT"/>
              </w:rPr>
            </w:pPr>
          </w:p>
        </w:tc>
        <w:tc>
          <w:tcPr>
            <w:tcW w:w="781" w:type="pct"/>
            <w:vAlign w:val="center"/>
          </w:tcPr>
          <w:p w14:paraId="6D50D71B" w14:textId="5279AEFF" w:rsidR="002D6BBD" w:rsidRPr="004C7BA7" w:rsidRDefault="002D6BBD" w:rsidP="004B642E">
            <w:pPr>
              <w:rPr>
                <w:color w:val="000000"/>
                <w:sz w:val="18"/>
                <w:szCs w:val="18"/>
                <w:lang w:eastAsia="it-IT"/>
              </w:rPr>
            </w:pPr>
            <w:r w:rsidRPr="004C7BA7">
              <w:rPr>
                <w:color w:val="000000"/>
                <w:sz w:val="18"/>
                <w:szCs w:val="18"/>
                <w:lang w:eastAsia="it-IT"/>
              </w:rPr>
              <w:t>91.59±0.81</w:t>
            </w:r>
            <w:r w:rsidRPr="004C7BA7">
              <w:rPr>
                <w:color w:val="000000"/>
                <w:sz w:val="18"/>
                <w:szCs w:val="18"/>
                <w:vertAlign w:val="superscript"/>
                <w:lang w:eastAsia="it-IT"/>
              </w:rPr>
              <w:t>ab</w:t>
            </w:r>
          </w:p>
        </w:tc>
        <w:tc>
          <w:tcPr>
            <w:tcW w:w="703" w:type="pct"/>
            <w:vAlign w:val="center"/>
          </w:tcPr>
          <w:p w14:paraId="515920DE" w14:textId="77777777" w:rsidR="002D6BBD" w:rsidRPr="004C7BA7" w:rsidRDefault="002D6BBD" w:rsidP="004B642E">
            <w:pPr>
              <w:rPr>
                <w:color w:val="000000"/>
                <w:sz w:val="18"/>
                <w:szCs w:val="18"/>
                <w:lang w:eastAsia="it-IT"/>
              </w:rPr>
            </w:pPr>
            <w:r w:rsidRPr="004C7BA7">
              <w:rPr>
                <w:color w:val="000000"/>
                <w:sz w:val="18"/>
                <w:szCs w:val="18"/>
                <w:lang w:eastAsia="it-IT"/>
              </w:rPr>
              <w:t>104.0±5.7</w:t>
            </w:r>
            <w:r w:rsidRPr="004C7BA7">
              <w:rPr>
                <w:color w:val="000000"/>
                <w:sz w:val="18"/>
                <w:szCs w:val="18"/>
                <w:vertAlign w:val="superscript"/>
                <w:lang w:eastAsia="it-IT"/>
              </w:rPr>
              <w:t>b</w:t>
            </w:r>
          </w:p>
        </w:tc>
        <w:tc>
          <w:tcPr>
            <w:tcW w:w="625" w:type="pct"/>
            <w:tcBorders>
              <w:left w:val="single" w:sz="4" w:space="0" w:color="FFFFFF" w:themeColor="background1"/>
            </w:tcBorders>
            <w:vAlign w:val="center"/>
          </w:tcPr>
          <w:p w14:paraId="634EBA71"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1.05±0.22</w:t>
            </w:r>
            <w:r w:rsidRPr="004C7BA7">
              <w:rPr>
                <w:color w:val="000000"/>
                <w:sz w:val="18"/>
                <w:szCs w:val="18"/>
                <w:vertAlign w:val="superscript"/>
                <w:lang w:eastAsia="it-IT"/>
              </w:rPr>
              <w:t>b</w:t>
            </w:r>
          </w:p>
        </w:tc>
      </w:tr>
      <w:tr w:rsidR="002D6BBD" w:rsidRPr="004C7BA7" w14:paraId="3DCFF992" w14:textId="77777777" w:rsidTr="00B94DFE">
        <w:trPr>
          <w:trHeight w:val="271"/>
        </w:trPr>
        <w:tc>
          <w:tcPr>
            <w:tcW w:w="628" w:type="pct"/>
            <w:noWrap/>
            <w:vAlign w:val="center"/>
          </w:tcPr>
          <w:p w14:paraId="3EB30FEC" w14:textId="77777777" w:rsidR="002D6BBD" w:rsidRPr="004C7BA7" w:rsidRDefault="002D6BBD" w:rsidP="002D6BBD">
            <w:pPr>
              <w:rPr>
                <w:color w:val="000000"/>
                <w:sz w:val="18"/>
                <w:szCs w:val="18"/>
                <w:lang w:eastAsia="it-IT"/>
              </w:rPr>
            </w:pPr>
            <w:r w:rsidRPr="004C7BA7">
              <w:rPr>
                <w:color w:val="000000"/>
                <w:sz w:val="18"/>
                <w:szCs w:val="18"/>
                <w:lang w:eastAsia="it-IT"/>
              </w:rPr>
              <w:t>60</w:t>
            </w:r>
          </w:p>
        </w:tc>
        <w:tc>
          <w:tcPr>
            <w:tcW w:w="779" w:type="pct"/>
            <w:vAlign w:val="center"/>
          </w:tcPr>
          <w:p w14:paraId="7676B117" w14:textId="1B97DE7E" w:rsidR="002D6BBD" w:rsidRPr="004C7BA7" w:rsidRDefault="002D6BBD" w:rsidP="004B642E">
            <w:pPr>
              <w:rPr>
                <w:color w:val="000000"/>
                <w:sz w:val="18"/>
                <w:szCs w:val="18"/>
                <w:lang w:eastAsia="it-IT"/>
              </w:rPr>
            </w:pPr>
            <w:r w:rsidRPr="004C7BA7">
              <w:rPr>
                <w:color w:val="000000"/>
                <w:sz w:val="18"/>
                <w:szCs w:val="18"/>
                <w:lang w:eastAsia="it-IT"/>
              </w:rPr>
              <w:t>92.48±0.52</w:t>
            </w:r>
            <w:r w:rsidRPr="004C7BA7">
              <w:rPr>
                <w:color w:val="000000"/>
                <w:sz w:val="18"/>
                <w:szCs w:val="18"/>
                <w:vertAlign w:val="superscript"/>
                <w:lang w:eastAsia="it-IT"/>
              </w:rPr>
              <w:t>c</w:t>
            </w:r>
          </w:p>
        </w:tc>
        <w:tc>
          <w:tcPr>
            <w:tcW w:w="625" w:type="pct"/>
            <w:vAlign w:val="center"/>
          </w:tcPr>
          <w:p w14:paraId="4274AFD3"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139.7±3.7</w:t>
            </w:r>
            <w:r w:rsidRPr="004C7BA7">
              <w:rPr>
                <w:color w:val="000000"/>
                <w:sz w:val="18"/>
                <w:szCs w:val="18"/>
                <w:vertAlign w:val="superscript"/>
                <w:lang w:eastAsia="it-IT"/>
              </w:rPr>
              <w:t>b</w:t>
            </w:r>
          </w:p>
        </w:tc>
        <w:tc>
          <w:tcPr>
            <w:tcW w:w="626" w:type="pct"/>
            <w:vAlign w:val="center"/>
          </w:tcPr>
          <w:p w14:paraId="1189FDDC"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1.50±0.09</w:t>
            </w:r>
            <w:r w:rsidRPr="004C7BA7">
              <w:rPr>
                <w:color w:val="000000"/>
                <w:sz w:val="18"/>
                <w:szCs w:val="18"/>
                <w:vertAlign w:val="superscript"/>
                <w:lang w:eastAsia="it-IT"/>
              </w:rPr>
              <w:t>ac</w:t>
            </w:r>
          </w:p>
        </w:tc>
        <w:tc>
          <w:tcPr>
            <w:tcW w:w="233" w:type="pct"/>
            <w:tcBorders>
              <w:right w:val="single" w:sz="4" w:space="0" w:color="FFFFFF" w:themeColor="background1"/>
            </w:tcBorders>
            <w:vAlign w:val="center"/>
          </w:tcPr>
          <w:p w14:paraId="75DC89FB" w14:textId="77777777" w:rsidR="002D6BBD" w:rsidRPr="004C7BA7" w:rsidRDefault="002D6BBD" w:rsidP="004B642E">
            <w:pPr>
              <w:rPr>
                <w:color w:val="000000"/>
                <w:sz w:val="18"/>
                <w:szCs w:val="18"/>
                <w:lang w:eastAsia="it-IT"/>
              </w:rPr>
            </w:pPr>
          </w:p>
        </w:tc>
        <w:tc>
          <w:tcPr>
            <w:tcW w:w="781" w:type="pct"/>
            <w:vAlign w:val="center"/>
          </w:tcPr>
          <w:p w14:paraId="28A650B4" w14:textId="213B49ED" w:rsidR="002D6BBD" w:rsidRPr="004C7BA7" w:rsidRDefault="002D6BBD" w:rsidP="004B642E">
            <w:pPr>
              <w:rPr>
                <w:color w:val="000000"/>
                <w:sz w:val="18"/>
                <w:szCs w:val="18"/>
                <w:lang w:eastAsia="it-IT"/>
              </w:rPr>
            </w:pPr>
            <w:r w:rsidRPr="004C7BA7">
              <w:rPr>
                <w:color w:val="000000"/>
                <w:sz w:val="18"/>
                <w:szCs w:val="18"/>
                <w:lang w:eastAsia="it-IT"/>
              </w:rPr>
              <w:t>92.39±1.04</w:t>
            </w:r>
            <w:r w:rsidRPr="004C7BA7">
              <w:rPr>
                <w:color w:val="000000"/>
                <w:sz w:val="18"/>
                <w:szCs w:val="18"/>
                <w:vertAlign w:val="superscript"/>
                <w:lang w:eastAsia="it-IT"/>
              </w:rPr>
              <w:t>a</w:t>
            </w:r>
          </w:p>
        </w:tc>
        <w:tc>
          <w:tcPr>
            <w:tcW w:w="703" w:type="pct"/>
            <w:vAlign w:val="center"/>
          </w:tcPr>
          <w:p w14:paraId="0F72E03C" w14:textId="77777777" w:rsidR="002D6BBD" w:rsidRPr="004C7BA7" w:rsidRDefault="002D6BBD" w:rsidP="004B642E">
            <w:pPr>
              <w:rPr>
                <w:color w:val="000000"/>
                <w:sz w:val="18"/>
                <w:szCs w:val="18"/>
                <w:lang w:eastAsia="it-IT"/>
              </w:rPr>
            </w:pPr>
            <w:r w:rsidRPr="004C7BA7">
              <w:rPr>
                <w:color w:val="000000"/>
                <w:sz w:val="18"/>
                <w:szCs w:val="18"/>
                <w:lang w:eastAsia="it-IT"/>
              </w:rPr>
              <w:t>104.0±5.7</w:t>
            </w:r>
            <w:r w:rsidRPr="004C7BA7">
              <w:rPr>
                <w:color w:val="000000"/>
                <w:sz w:val="18"/>
                <w:szCs w:val="18"/>
                <w:vertAlign w:val="superscript"/>
                <w:lang w:eastAsia="it-IT"/>
              </w:rPr>
              <w:t>b</w:t>
            </w:r>
          </w:p>
        </w:tc>
        <w:tc>
          <w:tcPr>
            <w:tcW w:w="625" w:type="pct"/>
            <w:tcBorders>
              <w:left w:val="single" w:sz="4" w:space="0" w:color="FFFFFF" w:themeColor="background1"/>
            </w:tcBorders>
            <w:vAlign w:val="center"/>
          </w:tcPr>
          <w:p w14:paraId="45112547"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1.19±0.30</w:t>
            </w:r>
            <w:r w:rsidRPr="004C7BA7">
              <w:rPr>
                <w:color w:val="000000"/>
                <w:sz w:val="18"/>
                <w:szCs w:val="18"/>
                <w:vertAlign w:val="superscript"/>
                <w:lang w:eastAsia="it-IT"/>
              </w:rPr>
              <w:t>ab</w:t>
            </w:r>
          </w:p>
        </w:tc>
      </w:tr>
      <w:tr w:rsidR="002D6BBD" w:rsidRPr="004C7BA7" w14:paraId="55A1AA3F" w14:textId="77777777" w:rsidTr="00B94DFE">
        <w:trPr>
          <w:trHeight w:val="271"/>
        </w:trPr>
        <w:tc>
          <w:tcPr>
            <w:tcW w:w="628" w:type="pct"/>
            <w:noWrap/>
            <w:vAlign w:val="center"/>
          </w:tcPr>
          <w:p w14:paraId="6EA63BA4" w14:textId="77777777" w:rsidR="002D6BBD" w:rsidRPr="004C7BA7" w:rsidRDefault="002D6BBD" w:rsidP="002D6BBD">
            <w:pPr>
              <w:rPr>
                <w:color w:val="000000"/>
                <w:sz w:val="18"/>
                <w:szCs w:val="18"/>
                <w:lang w:eastAsia="it-IT"/>
              </w:rPr>
            </w:pPr>
            <w:r w:rsidRPr="004C7BA7">
              <w:rPr>
                <w:color w:val="000000"/>
                <w:sz w:val="18"/>
                <w:szCs w:val="18"/>
                <w:lang w:eastAsia="it-IT"/>
              </w:rPr>
              <w:t>120</w:t>
            </w:r>
          </w:p>
        </w:tc>
        <w:tc>
          <w:tcPr>
            <w:tcW w:w="779" w:type="pct"/>
            <w:vAlign w:val="center"/>
          </w:tcPr>
          <w:p w14:paraId="7A4AE81A" w14:textId="14EFC876" w:rsidR="002D6BBD" w:rsidRPr="004C7BA7" w:rsidRDefault="002D6BBD" w:rsidP="004B642E">
            <w:pPr>
              <w:rPr>
                <w:color w:val="000000"/>
                <w:sz w:val="18"/>
                <w:szCs w:val="18"/>
                <w:lang w:eastAsia="it-IT"/>
              </w:rPr>
            </w:pPr>
            <w:r w:rsidRPr="004C7BA7">
              <w:rPr>
                <w:color w:val="000000"/>
                <w:sz w:val="18"/>
                <w:szCs w:val="18"/>
                <w:lang w:eastAsia="it-IT"/>
              </w:rPr>
              <w:t>90.25±0.72</w:t>
            </w:r>
            <w:r w:rsidRPr="004C7BA7">
              <w:rPr>
                <w:color w:val="000000"/>
                <w:sz w:val="18"/>
                <w:szCs w:val="18"/>
                <w:vertAlign w:val="superscript"/>
                <w:lang w:eastAsia="it-IT"/>
              </w:rPr>
              <w:t>bc</w:t>
            </w:r>
          </w:p>
        </w:tc>
        <w:tc>
          <w:tcPr>
            <w:tcW w:w="625" w:type="pct"/>
            <w:vAlign w:val="center"/>
          </w:tcPr>
          <w:p w14:paraId="26B73272"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94.4±2.5</w:t>
            </w:r>
            <w:r w:rsidRPr="004C7BA7">
              <w:rPr>
                <w:color w:val="000000"/>
                <w:sz w:val="18"/>
                <w:szCs w:val="18"/>
                <w:vertAlign w:val="superscript"/>
                <w:lang w:eastAsia="it-IT"/>
              </w:rPr>
              <w:t>d</w:t>
            </w:r>
          </w:p>
        </w:tc>
        <w:tc>
          <w:tcPr>
            <w:tcW w:w="626" w:type="pct"/>
            <w:vAlign w:val="center"/>
          </w:tcPr>
          <w:p w14:paraId="5D1702C6"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1.49±0.02</w:t>
            </w:r>
            <w:r w:rsidRPr="004C7BA7">
              <w:rPr>
                <w:color w:val="000000"/>
                <w:sz w:val="18"/>
                <w:szCs w:val="18"/>
                <w:vertAlign w:val="superscript"/>
                <w:lang w:eastAsia="it-IT"/>
              </w:rPr>
              <w:t>bc</w:t>
            </w:r>
          </w:p>
        </w:tc>
        <w:tc>
          <w:tcPr>
            <w:tcW w:w="233" w:type="pct"/>
            <w:tcBorders>
              <w:right w:val="single" w:sz="4" w:space="0" w:color="FFFFFF" w:themeColor="background1"/>
            </w:tcBorders>
            <w:vAlign w:val="center"/>
          </w:tcPr>
          <w:p w14:paraId="56D24B15" w14:textId="77777777" w:rsidR="002D6BBD" w:rsidRPr="004C7BA7" w:rsidRDefault="002D6BBD" w:rsidP="004B642E">
            <w:pPr>
              <w:rPr>
                <w:color w:val="000000"/>
                <w:sz w:val="18"/>
                <w:szCs w:val="18"/>
                <w:lang w:eastAsia="it-IT"/>
              </w:rPr>
            </w:pPr>
          </w:p>
        </w:tc>
        <w:tc>
          <w:tcPr>
            <w:tcW w:w="781" w:type="pct"/>
            <w:vAlign w:val="center"/>
          </w:tcPr>
          <w:p w14:paraId="5C9746B5" w14:textId="7A8FC20A" w:rsidR="002D6BBD" w:rsidRPr="004C7BA7" w:rsidRDefault="002D6BBD" w:rsidP="004B642E">
            <w:pPr>
              <w:rPr>
                <w:color w:val="000000"/>
                <w:sz w:val="18"/>
                <w:szCs w:val="18"/>
                <w:lang w:eastAsia="it-IT"/>
              </w:rPr>
            </w:pPr>
            <w:r w:rsidRPr="004C7BA7">
              <w:rPr>
                <w:color w:val="000000"/>
                <w:sz w:val="18"/>
                <w:szCs w:val="18"/>
                <w:lang w:eastAsia="it-IT"/>
              </w:rPr>
              <w:t>91.83±0.95</w:t>
            </w:r>
            <w:r w:rsidRPr="004C7BA7">
              <w:rPr>
                <w:color w:val="000000"/>
                <w:sz w:val="18"/>
                <w:szCs w:val="18"/>
                <w:vertAlign w:val="superscript"/>
                <w:lang w:eastAsia="it-IT"/>
              </w:rPr>
              <w:t>ab</w:t>
            </w:r>
          </w:p>
        </w:tc>
        <w:tc>
          <w:tcPr>
            <w:tcW w:w="703" w:type="pct"/>
            <w:vAlign w:val="center"/>
          </w:tcPr>
          <w:p w14:paraId="3280850A" w14:textId="77777777" w:rsidR="002D6BBD" w:rsidRPr="004C7BA7" w:rsidRDefault="002D6BBD" w:rsidP="004B642E">
            <w:pPr>
              <w:rPr>
                <w:color w:val="000000"/>
                <w:sz w:val="18"/>
                <w:szCs w:val="18"/>
                <w:lang w:eastAsia="it-IT"/>
              </w:rPr>
            </w:pPr>
            <w:r w:rsidRPr="004C7BA7">
              <w:rPr>
                <w:color w:val="000000"/>
                <w:sz w:val="18"/>
                <w:szCs w:val="18"/>
                <w:lang w:eastAsia="it-IT"/>
              </w:rPr>
              <w:t>136.0±5.7</w:t>
            </w:r>
            <w:r w:rsidRPr="004C7BA7">
              <w:rPr>
                <w:color w:val="000000"/>
                <w:sz w:val="18"/>
                <w:szCs w:val="18"/>
                <w:vertAlign w:val="superscript"/>
                <w:lang w:eastAsia="it-IT"/>
              </w:rPr>
              <w:t>a</w:t>
            </w:r>
          </w:p>
        </w:tc>
        <w:tc>
          <w:tcPr>
            <w:tcW w:w="625" w:type="pct"/>
            <w:tcBorders>
              <w:left w:val="single" w:sz="4" w:space="0" w:color="FFFFFF" w:themeColor="background1"/>
            </w:tcBorders>
            <w:vAlign w:val="center"/>
          </w:tcPr>
          <w:p w14:paraId="077CB112"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1.11±0.05</w:t>
            </w:r>
            <w:r w:rsidRPr="004C7BA7">
              <w:rPr>
                <w:color w:val="000000"/>
                <w:sz w:val="18"/>
                <w:szCs w:val="18"/>
                <w:vertAlign w:val="superscript"/>
                <w:lang w:eastAsia="it-IT"/>
              </w:rPr>
              <w:t>ab</w:t>
            </w:r>
          </w:p>
        </w:tc>
      </w:tr>
      <w:tr w:rsidR="002D6BBD" w:rsidRPr="004C7BA7" w14:paraId="7514AA01" w14:textId="77777777" w:rsidTr="00B94DFE">
        <w:trPr>
          <w:trHeight w:val="271"/>
        </w:trPr>
        <w:tc>
          <w:tcPr>
            <w:tcW w:w="628" w:type="pct"/>
            <w:noWrap/>
            <w:vAlign w:val="center"/>
          </w:tcPr>
          <w:p w14:paraId="360D2142" w14:textId="77777777" w:rsidR="002D6BBD" w:rsidRPr="004C7BA7" w:rsidRDefault="002D6BBD" w:rsidP="002D6BBD">
            <w:pPr>
              <w:rPr>
                <w:color w:val="000000"/>
                <w:sz w:val="18"/>
                <w:szCs w:val="18"/>
                <w:lang w:eastAsia="it-IT"/>
              </w:rPr>
            </w:pPr>
            <w:r w:rsidRPr="004C7BA7">
              <w:rPr>
                <w:color w:val="000000"/>
                <w:sz w:val="18"/>
                <w:szCs w:val="18"/>
                <w:lang w:eastAsia="it-IT"/>
              </w:rPr>
              <w:t>240</w:t>
            </w:r>
          </w:p>
        </w:tc>
        <w:tc>
          <w:tcPr>
            <w:tcW w:w="779" w:type="pct"/>
            <w:vAlign w:val="center"/>
          </w:tcPr>
          <w:p w14:paraId="30C1A9CF" w14:textId="29DA5E44" w:rsidR="002D6BBD" w:rsidRPr="004C7BA7" w:rsidRDefault="002D6BBD" w:rsidP="004B642E">
            <w:pPr>
              <w:rPr>
                <w:color w:val="000000"/>
                <w:sz w:val="18"/>
                <w:szCs w:val="18"/>
                <w:lang w:eastAsia="it-IT"/>
              </w:rPr>
            </w:pPr>
            <w:r w:rsidRPr="004C7BA7">
              <w:rPr>
                <w:color w:val="000000"/>
                <w:sz w:val="18"/>
                <w:szCs w:val="18"/>
                <w:lang w:eastAsia="it-IT"/>
              </w:rPr>
              <w:t>90.50±0.11</w:t>
            </w:r>
            <w:r w:rsidRPr="004C7BA7">
              <w:rPr>
                <w:color w:val="000000"/>
                <w:sz w:val="18"/>
                <w:szCs w:val="18"/>
                <w:vertAlign w:val="superscript"/>
                <w:lang w:eastAsia="it-IT"/>
              </w:rPr>
              <w:t>d</w:t>
            </w:r>
          </w:p>
        </w:tc>
        <w:tc>
          <w:tcPr>
            <w:tcW w:w="625" w:type="pct"/>
            <w:vAlign w:val="center"/>
          </w:tcPr>
          <w:p w14:paraId="109C32F5"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111.7±4.2</w:t>
            </w:r>
            <w:r w:rsidRPr="004C7BA7">
              <w:rPr>
                <w:color w:val="000000"/>
                <w:sz w:val="18"/>
                <w:szCs w:val="18"/>
                <w:vertAlign w:val="superscript"/>
                <w:lang w:eastAsia="it-IT"/>
              </w:rPr>
              <w:t>c</w:t>
            </w:r>
          </w:p>
        </w:tc>
        <w:tc>
          <w:tcPr>
            <w:tcW w:w="626" w:type="pct"/>
            <w:vAlign w:val="center"/>
          </w:tcPr>
          <w:p w14:paraId="535BA2CA"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0.80±0.03</w:t>
            </w:r>
            <w:r w:rsidRPr="004C7BA7">
              <w:rPr>
                <w:color w:val="000000"/>
                <w:sz w:val="18"/>
                <w:szCs w:val="18"/>
                <w:vertAlign w:val="superscript"/>
                <w:lang w:eastAsia="it-IT"/>
              </w:rPr>
              <w:t>ce</w:t>
            </w:r>
          </w:p>
        </w:tc>
        <w:tc>
          <w:tcPr>
            <w:tcW w:w="233" w:type="pct"/>
            <w:tcBorders>
              <w:right w:val="single" w:sz="4" w:space="0" w:color="FFFFFF" w:themeColor="background1"/>
            </w:tcBorders>
            <w:vAlign w:val="center"/>
          </w:tcPr>
          <w:p w14:paraId="7D810BA7" w14:textId="77777777" w:rsidR="002D6BBD" w:rsidRPr="004C7BA7" w:rsidRDefault="002D6BBD" w:rsidP="004B642E">
            <w:pPr>
              <w:rPr>
                <w:color w:val="000000"/>
                <w:sz w:val="18"/>
                <w:szCs w:val="18"/>
                <w:lang w:eastAsia="it-IT"/>
              </w:rPr>
            </w:pPr>
          </w:p>
        </w:tc>
        <w:tc>
          <w:tcPr>
            <w:tcW w:w="781" w:type="pct"/>
            <w:vAlign w:val="center"/>
          </w:tcPr>
          <w:p w14:paraId="5AA8F190" w14:textId="7813FBA1" w:rsidR="002D6BBD" w:rsidRPr="004C7BA7" w:rsidRDefault="002D6BBD" w:rsidP="004B642E">
            <w:pPr>
              <w:rPr>
                <w:color w:val="000000"/>
                <w:sz w:val="18"/>
                <w:szCs w:val="18"/>
                <w:lang w:eastAsia="it-IT"/>
              </w:rPr>
            </w:pPr>
            <w:r w:rsidRPr="004C7BA7">
              <w:rPr>
                <w:color w:val="000000"/>
                <w:sz w:val="18"/>
                <w:szCs w:val="18"/>
                <w:lang w:eastAsia="it-IT"/>
              </w:rPr>
              <w:t>92.11±0.62</w:t>
            </w:r>
            <w:r w:rsidRPr="004C7BA7">
              <w:rPr>
                <w:color w:val="000000"/>
                <w:sz w:val="18"/>
                <w:szCs w:val="18"/>
                <w:vertAlign w:val="superscript"/>
                <w:lang w:eastAsia="it-IT"/>
              </w:rPr>
              <w:t>a</w:t>
            </w:r>
          </w:p>
        </w:tc>
        <w:tc>
          <w:tcPr>
            <w:tcW w:w="703" w:type="pct"/>
            <w:vAlign w:val="center"/>
          </w:tcPr>
          <w:p w14:paraId="1E4810BC" w14:textId="77777777" w:rsidR="002D6BBD" w:rsidRPr="004C7BA7" w:rsidRDefault="002D6BBD" w:rsidP="004B642E">
            <w:pPr>
              <w:rPr>
                <w:color w:val="000000"/>
                <w:sz w:val="18"/>
                <w:szCs w:val="18"/>
                <w:lang w:eastAsia="it-IT"/>
              </w:rPr>
            </w:pPr>
            <w:r w:rsidRPr="004C7BA7">
              <w:rPr>
                <w:color w:val="000000"/>
                <w:sz w:val="18"/>
                <w:szCs w:val="18"/>
                <w:lang w:eastAsia="it-IT"/>
              </w:rPr>
              <w:t>120.0±10.0</w:t>
            </w:r>
            <w:r w:rsidRPr="004C7BA7">
              <w:rPr>
                <w:color w:val="000000"/>
                <w:sz w:val="18"/>
                <w:szCs w:val="18"/>
                <w:vertAlign w:val="superscript"/>
                <w:lang w:eastAsia="it-IT"/>
              </w:rPr>
              <w:t>ab</w:t>
            </w:r>
          </w:p>
        </w:tc>
        <w:tc>
          <w:tcPr>
            <w:tcW w:w="625" w:type="pct"/>
            <w:tcBorders>
              <w:left w:val="single" w:sz="4" w:space="0" w:color="FFFFFF" w:themeColor="background1"/>
            </w:tcBorders>
            <w:vAlign w:val="center"/>
          </w:tcPr>
          <w:p w14:paraId="4DB6B398"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0.97±0.02</w:t>
            </w:r>
            <w:r w:rsidRPr="004C7BA7">
              <w:rPr>
                <w:color w:val="000000"/>
                <w:sz w:val="18"/>
                <w:szCs w:val="18"/>
                <w:vertAlign w:val="superscript"/>
                <w:lang w:eastAsia="it-IT"/>
              </w:rPr>
              <w:t>b</w:t>
            </w:r>
          </w:p>
        </w:tc>
      </w:tr>
      <w:tr w:rsidR="002D6BBD" w:rsidRPr="004C7BA7" w14:paraId="5C35105C" w14:textId="77777777" w:rsidTr="00B94DFE">
        <w:trPr>
          <w:trHeight w:val="271"/>
        </w:trPr>
        <w:tc>
          <w:tcPr>
            <w:tcW w:w="628" w:type="pct"/>
            <w:noWrap/>
            <w:vAlign w:val="center"/>
          </w:tcPr>
          <w:p w14:paraId="34CAD5C2" w14:textId="77777777" w:rsidR="002D6BBD" w:rsidRPr="004C7BA7" w:rsidRDefault="002D6BBD" w:rsidP="002D6BBD">
            <w:pPr>
              <w:rPr>
                <w:color w:val="000000"/>
                <w:sz w:val="18"/>
                <w:szCs w:val="18"/>
                <w:lang w:eastAsia="it-IT"/>
              </w:rPr>
            </w:pPr>
            <w:r w:rsidRPr="004C7BA7">
              <w:rPr>
                <w:color w:val="000000"/>
                <w:sz w:val="18"/>
                <w:szCs w:val="18"/>
                <w:lang w:eastAsia="it-IT"/>
              </w:rPr>
              <w:t>360</w:t>
            </w:r>
          </w:p>
        </w:tc>
        <w:tc>
          <w:tcPr>
            <w:tcW w:w="779" w:type="pct"/>
            <w:vAlign w:val="center"/>
          </w:tcPr>
          <w:p w14:paraId="647754CE" w14:textId="1382B9EC" w:rsidR="002D6BBD" w:rsidRPr="004C7BA7" w:rsidRDefault="002D6BBD" w:rsidP="004B642E">
            <w:pPr>
              <w:rPr>
                <w:color w:val="000000"/>
                <w:sz w:val="18"/>
                <w:szCs w:val="18"/>
                <w:lang w:eastAsia="it-IT"/>
              </w:rPr>
            </w:pPr>
            <w:r w:rsidRPr="004C7BA7">
              <w:rPr>
                <w:color w:val="000000"/>
                <w:sz w:val="18"/>
                <w:szCs w:val="18"/>
                <w:lang w:eastAsia="it-IT"/>
              </w:rPr>
              <w:t>90.32±0.48</w:t>
            </w:r>
            <w:r w:rsidRPr="004C7BA7">
              <w:rPr>
                <w:color w:val="000000"/>
                <w:sz w:val="18"/>
                <w:szCs w:val="18"/>
                <w:vertAlign w:val="superscript"/>
                <w:lang w:eastAsia="it-IT"/>
              </w:rPr>
              <w:t>c</w:t>
            </w:r>
          </w:p>
        </w:tc>
        <w:tc>
          <w:tcPr>
            <w:tcW w:w="625" w:type="pct"/>
            <w:vAlign w:val="center"/>
          </w:tcPr>
          <w:p w14:paraId="50FD612A"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106.0±2.8</w:t>
            </w:r>
            <w:r w:rsidRPr="004C7BA7">
              <w:rPr>
                <w:color w:val="000000"/>
                <w:sz w:val="18"/>
                <w:szCs w:val="18"/>
                <w:vertAlign w:val="superscript"/>
                <w:lang w:eastAsia="it-IT"/>
              </w:rPr>
              <w:t>cd</w:t>
            </w:r>
          </w:p>
        </w:tc>
        <w:tc>
          <w:tcPr>
            <w:tcW w:w="626" w:type="pct"/>
            <w:vAlign w:val="center"/>
          </w:tcPr>
          <w:p w14:paraId="23856B8A"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0.50±0.03</w:t>
            </w:r>
            <w:r w:rsidRPr="004C7BA7">
              <w:rPr>
                <w:color w:val="000000"/>
                <w:sz w:val="18"/>
                <w:szCs w:val="18"/>
                <w:vertAlign w:val="superscript"/>
                <w:lang w:eastAsia="it-IT"/>
              </w:rPr>
              <w:t>e</w:t>
            </w:r>
          </w:p>
        </w:tc>
        <w:tc>
          <w:tcPr>
            <w:tcW w:w="233" w:type="pct"/>
            <w:tcBorders>
              <w:right w:val="single" w:sz="4" w:space="0" w:color="FFFFFF" w:themeColor="background1"/>
            </w:tcBorders>
            <w:vAlign w:val="center"/>
          </w:tcPr>
          <w:p w14:paraId="507B5A75" w14:textId="77777777" w:rsidR="002D6BBD" w:rsidRPr="004C7BA7" w:rsidRDefault="002D6BBD" w:rsidP="004B642E">
            <w:pPr>
              <w:rPr>
                <w:color w:val="000000"/>
                <w:sz w:val="18"/>
                <w:szCs w:val="18"/>
                <w:lang w:eastAsia="it-IT"/>
              </w:rPr>
            </w:pPr>
          </w:p>
        </w:tc>
        <w:tc>
          <w:tcPr>
            <w:tcW w:w="781" w:type="pct"/>
            <w:vAlign w:val="center"/>
          </w:tcPr>
          <w:p w14:paraId="274A25BA" w14:textId="31A95563" w:rsidR="002D6BBD" w:rsidRPr="004C7BA7" w:rsidRDefault="002D6BBD" w:rsidP="004B642E">
            <w:pPr>
              <w:rPr>
                <w:color w:val="000000"/>
                <w:sz w:val="18"/>
                <w:szCs w:val="18"/>
                <w:lang w:eastAsia="it-IT"/>
              </w:rPr>
            </w:pPr>
            <w:r w:rsidRPr="004C7BA7">
              <w:rPr>
                <w:color w:val="000000"/>
                <w:sz w:val="18"/>
                <w:szCs w:val="18"/>
                <w:lang w:eastAsia="it-IT"/>
              </w:rPr>
              <w:t>92.18±0.12</w:t>
            </w:r>
            <w:r w:rsidRPr="004C7BA7">
              <w:rPr>
                <w:color w:val="000000"/>
                <w:sz w:val="18"/>
                <w:szCs w:val="18"/>
                <w:vertAlign w:val="superscript"/>
                <w:lang w:eastAsia="it-IT"/>
              </w:rPr>
              <w:t>a</w:t>
            </w:r>
          </w:p>
        </w:tc>
        <w:tc>
          <w:tcPr>
            <w:tcW w:w="703" w:type="pct"/>
            <w:vAlign w:val="center"/>
          </w:tcPr>
          <w:p w14:paraId="629627A3" w14:textId="77777777" w:rsidR="002D6BBD" w:rsidRPr="004C7BA7" w:rsidRDefault="002D6BBD" w:rsidP="004B642E">
            <w:pPr>
              <w:rPr>
                <w:color w:val="000000"/>
                <w:sz w:val="18"/>
                <w:szCs w:val="18"/>
                <w:lang w:eastAsia="it-IT"/>
              </w:rPr>
            </w:pPr>
            <w:r w:rsidRPr="004C7BA7">
              <w:rPr>
                <w:color w:val="000000"/>
                <w:sz w:val="18"/>
                <w:szCs w:val="18"/>
                <w:lang w:eastAsia="it-IT"/>
              </w:rPr>
              <w:t>108.0±17.0</w:t>
            </w:r>
            <w:r w:rsidRPr="004C7BA7">
              <w:rPr>
                <w:color w:val="000000"/>
                <w:sz w:val="18"/>
                <w:szCs w:val="18"/>
                <w:vertAlign w:val="superscript"/>
                <w:lang w:eastAsia="it-IT"/>
              </w:rPr>
              <w:t>ab</w:t>
            </w:r>
          </w:p>
        </w:tc>
        <w:tc>
          <w:tcPr>
            <w:tcW w:w="625" w:type="pct"/>
            <w:tcBorders>
              <w:left w:val="single" w:sz="4" w:space="0" w:color="FFFFFF" w:themeColor="background1"/>
            </w:tcBorders>
            <w:vAlign w:val="center"/>
          </w:tcPr>
          <w:p w14:paraId="357B749A"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1.03±0.38</w:t>
            </w:r>
            <w:r w:rsidRPr="004C7BA7">
              <w:rPr>
                <w:color w:val="000000"/>
                <w:sz w:val="18"/>
                <w:szCs w:val="18"/>
                <w:vertAlign w:val="superscript"/>
                <w:lang w:eastAsia="it-IT"/>
              </w:rPr>
              <w:t>b</w:t>
            </w:r>
          </w:p>
        </w:tc>
      </w:tr>
      <w:tr w:rsidR="002D6BBD" w:rsidRPr="004C7BA7" w14:paraId="2DDAC960" w14:textId="77777777" w:rsidTr="00B94DFE">
        <w:trPr>
          <w:trHeight w:val="271"/>
        </w:trPr>
        <w:tc>
          <w:tcPr>
            <w:tcW w:w="628" w:type="pct"/>
            <w:tcBorders>
              <w:bottom w:val="single" w:sz="4" w:space="0" w:color="auto"/>
            </w:tcBorders>
            <w:noWrap/>
            <w:vAlign w:val="center"/>
          </w:tcPr>
          <w:p w14:paraId="7AC18025" w14:textId="77777777" w:rsidR="002D6BBD" w:rsidRPr="004C7BA7" w:rsidRDefault="002D6BBD" w:rsidP="002D6BBD">
            <w:pPr>
              <w:rPr>
                <w:color w:val="000000"/>
                <w:sz w:val="18"/>
                <w:szCs w:val="18"/>
                <w:lang w:eastAsia="it-IT"/>
              </w:rPr>
            </w:pPr>
            <w:r w:rsidRPr="004C7BA7">
              <w:rPr>
                <w:color w:val="000000"/>
                <w:sz w:val="18"/>
                <w:szCs w:val="18"/>
                <w:lang w:eastAsia="it-IT"/>
              </w:rPr>
              <w:t>480</w:t>
            </w:r>
          </w:p>
        </w:tc>
        <w:tc>
          <w:tcPr>
            <w:tcW w:w="779" w:type="pct"/>
            <w:tcBorders>
              <w:bottom w:val="single" w:sz="4" w:space="0" w:color="auto"/>
            </w:tcBorders>
            <w:vAlign w:val="center"/>
          </w:tcPr>
          <w:p w14:paraId="6C5E0CC4" w14:textId="79E1B06E" w:rsidR="002D6BBD" w:rsidRPr="004C7BA7" w:rsidRDefault="002D6BBD" w:rsidP="004B642E">
            <w:pPr>
              <w:rPr>
                <w:color w:val="000000"/>
                <w:sz w:val="18"/>
                <w:szCs w:val="18"/>
                <w:lang w:eastAsia="it-IT"/>
              </w:rPr>
            </w:pPr>
            <w:r w:rsidRPr="004C7BA7">
              <w:rPr>
                <w:color w:val="000000"/>
                <w:sz w:val="18"/>
                <w:szCs w:val="18"/>
                <w:lang w:eastAsia="it-IT"/>
              </w:rPr>
              <w:t>90.25±0.65</w:t>
            </w:r>
            <w:r w:rsidRPr="004C7BA7">
              <w:rPr>
                <w:color w:val="000000"/>
                <w:sz w:val="18"/>
                <w:szCs w:val="18"/>
                <w:vertAlign w:val="superscript"/>
                <w:lang w:eastAsia="it-IT"/>
              </w:rPr>
              <w:t>c</w:t>
            </w:r>
          </w:p>
        </w:tc>
        <w:tc>
          <w:tcPr>
            <w:tcW w:w="625" w:type="pct"/>
            <w:tcBorders>
              <w:bottom w:val="single" w:sz="4" w:space="0" w:color="auto"/>
            </w:tcBorders>
            <w:vAlign w:val="center"/>
          </w:tcPr>
          <w:p w14:paraId="6F1CA8D2"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102.2±3.1</w:t>
            </w:r>
            <w:r w:rsidRPr="004C7BA7">
              <w:rPr>
                <w:color w:val="000000"/>
                <w:sz w:val="18"/>
                <w:szCs w:val="18"/>
                <w:vertAlign w:val="superscript"/>
                <w:lang w:eastAsia="it-IT"/>
              </w:rPr>
              <w:t>cd</w:t>
            </w:r>
          </w:p>
        </w:tc>
        <w:tc>
          <w:tcPr>
            <w:tcW w:w="626" w:type="pct"/>
            <w:tcBorders>
              <w:bottom w:val="single" w:sz="4" w:space="0" w:color="auto"/>
            </w:tcBorders>
            <w:vAlign w:val="center"/>
          </w:tcPr>
          <w:p w14:paraId="3985769A"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0.57±0.20</w:t>
            </w:r>
            <w:r w:rsidRPr="004C7BA7">
              <w:rPr>
                <w:color w:val="000000"/>
                <w:sz w:val="18"/>
                <w:szCs w:val="18"/>
                <w:vertAlign w:val="superscript"/>
                <w:lang w:eastAsia="it-IT"/>
              </w:rPr>
              <w:t>de</w:t>
            </w:r>
          </w:p>
        </w:tc>
        <w:tc>
          <w:tcPr>
            <w:tcW w:w="233" w:type="pct"/>
            <w:tcBorders>
              <w:bottom w:val="single" w:sz="4" w:space="0" w:color="auto"/>
              <w:right w:val="single" w:sz="4" w:space="0" w:color="FFFFFF" w:themeColor="background1"/>
            </w:tcBorders>
            <w:vAlign w:val="center"/>
          </w:tcPr>
          <w:p w14:paraId="5023C497" w14:textId="77777777" w:rsidR="002D6BBD" w:rsidRPr="004C7BA7" w:rsidRDefault="002D6BBD" w:rsidP="004B642E">
            <w:pPr>
              <w:rPr>
                <w:color w:val="000000"/>
                <w:sz w:val="18"/>
                <w:szCs w:val="18"/>
                <w:lang w:eastAsia="it-IT"/>
              </w:rPr>
            </w:pPr>
          </w:p>
        </w:tc>
        <w:tc>
          <w:tcPr>
            <w:tcW w:w="781" w:type="pct"/>
            <w:tcBorders>
              <w:bottom w:val="single" w:sz="4" w:space="0" w:color="auto"/>
            </w:tcBorders>
            <w:vAlign w:val="center"/>
          </w:tcPr>
          <w:p w14:paraId="0739BC1C" w14:textId="483D8138" w:rsidR="002D6BBD" w:rsidRPr="004C7BA7" w:rsidRDefault="002D6BBD" w:rsidP="004B642E">
            <w:pPr>
              <w:rPr>
                <w:color w:val="000000"/>
                <w:sz w:val="18"/>
                <w:szCs w:val="18"/>
                <w:lang w:eastAsia="it-IT"/>
              </w:rPr>
            </w:pPr>
            <w:r w:rsidRPr="004C7BA7">
              <w:rPr>
                <w:color w:val="000000"/>
                <w:sz w:val="18"/>
                <w:szCs w:val="18"/>
                <w:lang w:eastAsia="it-IT"/>
              </w:rPr>
              <w:t>90.95±0.58</w:t>
            </w:r>
            <w:r w:rsidRPr="004C7BA7">
              <w:rPr>
                <w:color w:val="000000"/>
                <w:sz w:val="18"/>
                <w:szCs w:val="18"/>
                <w:vertAlign w:val="superscript"/>
                <w:lang w:eastAsia="it-IT"/>
              </w:rPr>
              <w:t>ab</w:t>
            </w:r>
          </w:p>
        </w:tc>
        <w:tc>
          <w:tcPr>
            <w:tcW w:w="703" w:type="pct"/>
            <w:tcBorders>
              <w:bottom w:val="single" w:sz="4" w:space="0" w:color="auto"/>
            </w:tcBorders>
            <w:vAlign w:val="center"/>
          </w:tcPr>
          <w:p w14:paraId="4CF23D30" w14:textId="77777777" w:rsidR="002D6BBD" w:rsidRPr="004C7BA7" w:rsidRDefault="002D6BBD" w:rsidP="004B642E">
            <w:pPr>
              <w:rPr>
                <w:color w:val="000000"/>
                <w:sz w:val="18"/>
                <w:szCs w:val="18"/>
                <w:lang w:eastAsia="it-IT"/>
              </w:rPr>
            </w:pPr>
            <w:r w:rsidRPr="004C7BA7">
              <w:rPr>
                <w:color w:val="000000"/>
                <w:sz w:val="18"/>
                <w:szCs w:val="18"/>
                <w:lang w:eastAsia="it-IT"/>
              </w:rPr>
              <w:t>122.0±19.8</w:t>
            </w:r>
            <w:r w:rsidRPr="004C7BA7">
              <w:rPr>
                <w:color w:val="000000"/>
                <w:sz w:val="18"/>
                <w:szCs w:val="18"/>
                <w:vertAlign w:val="superscript"/>
                <w:lang w:eastAsia="it-IT"/>
              </w:rPr>
              <w:t>ab</w:t>
            </w:r>
          </w:p>
        </w:tc>
        <w:tc>
          <w:tcPr>
            <w:tcW w:w="625" w:type="pct"/>
            <w:tcBorders>
              <w:left w:val="single" w:sz="4" w:space="0" w:color="FFFFFF" w:themeColor="background1"/>
              <w:bottom w:val="single" w:sz="4" w:space="0" w:color="auto"/>
            </w:tcBorders>
            <w:vAlign w:val="center"/>
          </w:tcPr>
          <w:p w14:paraId="04222B10" w14:textId="77777777" w:rsidR="002D6BBD" w:rsidRPr="004C7BA7" w:rsidRDefault="002D6BBD" w:rsidP="004B642E">
            <w:pPr>
              <w:rPr>
                <w:color w:val="000000"/>
                <w:sz w:val="18"/>
                <w:szCs w:val="18"/>
                <w:vertAlign w:val="superscript"/>
                <w:lang w:eastAsia="it-IT"/>
              </w:rPr>
            </w:pPr>
            <w:r w:rsidRPr="004C7BA7">
              <w:rPr>
                <w:color w:val="000000"/>
                <w:sz w:val="18"/>
                <w:szCs w:val="18"/>
                <w:lang w:eastAsia="it-IT"/>
              </w:rPr>
              <w:t>1.30±0.10</w:t>
            </w:r>
            <w:r w:rsidRPr="004C7BA7">
              <w:rPr>
                <w:color w:val="000000"/>
                <w:sz w:val="18"/>
                <w:szCs w:val="18"/>
                <w:vertAlign w:val="superscript"/>
                <w:lang w:eastAsia="it-IT"/>
              </w:rPr>
              <w:t>ab</w:t>
            </w:r>
          </w:p>
        </w:tc>
      </w:tr>
    </w:tbl>
    <w:p w14:paraId="22E45770" w14:textId="26CAEAF6" w:rsidR="00AE1142" w:rsidRPr="0009415A" w:rsidRDefault="00FE1BD9" w:rsidP="00A067F6">
      <w:pPr>
        <w:jc w:val="both"/>
        <w:rPr>
          <w:sz w:val="18"/>
          <w:szCs w:val="18"/>
        </w:rPr>
      </w:pPr>
      <w:r w:rsidRPr="0009415A">
        <w:rPr>
          <w:sz w:val="18"/>
          <w:szCs w:val="18"/>
        </w:rPr>
        <w:t>Data show mean values (±</w:t>
      </w:r>
      <w:r w:rsidR="005E23BA" w:rsidRPr="0009415A">
        <w:rPr>
          <w:sz w:val="18"/>
          <w:szCs w:val="18"/>
        </w:rPr>
        <w:t>SD</w:t>
      </w:r>
      <w:r w:rsidR="00143F83">
        <w:rPr>
          <w:sz w:val="18"/>
          <w:szCs w:val="18"/>
        </w:rPr>
        <w:t>, n=3</w:t>
      </w:r>
      <w:r w:rsidR="005E23BA" w:rsidRPr="0009415A">
        <w:rPr>
          <w:sz w:val="18"/>
          <w:szCs w:val="18"/>
        </w:rPr>
        <w:t>). WPI data were reported for both enzymes to allow the comparison with WPHs.</w:t>
      </w:r>
    </w:p>
    <w:p w14:paraId="1D3F3989" w14:textId="4F8C3248" w:rsidR="005801A6" w:rsidRDefault="000C275B" w:rsidP="00A067F6">
      <w:pPr>
        <w:jc w:val="both"/>
        <w:rPr>
          <w:sz w:val="18"/>
          <w:szCs w:val="18"/>
        </w:rPr>
      </w:pPr>
      <w:r w:rsidRPr="0009415A">
        <w:rPr>
          <w:sz w:val="18"/>
          <w:szCs w:val="18"/>
          <w:vertAlign w:val="superscript"/>
        </w:rPr>
        <w:t>ae</w:t>
      </w:r>
      <w:r w:rsidRPr="0009415A">
        <w:rPr>
          <w:sz w:val="18"/>
          <w:szCs w:val="18"/>
        </w:rPr>
        <w:t>: in the same column, means indicated by different letters are statistically different (</w:t>
      </w:r>
      <w:r w:rsidRPr="0009415A">
        <w:rPr>
          <w:i/>
          <w:iCs/>
          <w:sz w:val="18"/>
          <w:szCs w:val="18"/>
        </w:rPr>
        <w:t>p</w:t>
      </w:r>
      <w:r w:rsidR="00E47FC4" w:rsidRPr="0009415A">
        <w:rPr>
          <w:sz w:val="18"/>
          <w:szCs w:val="18"/>
        </w:rPr>
        <w:t>&lt;0.05).</w:t>
      </w:r>
    </w:p>
    <w:p w14:paraId="17C3A229" w14:textId="5FF40807" w:rsidR="00F0082B" w:rsidRPr="00B55D24" w:rsidRDefault="00D11373" w:rsidP="00B21BC8">
      <w:pPr>
        <w:spacing w:before="240" w:after="120"/>
        <w:rPr>
          <w:b/>
          <w:color w:val="000000"/>
          <w:spacing w:val="-2"/>
          <w:sz w:val="22"/>
          <w:szCs w:val="48"/>
          <w:lang w:val="en-US"/>
        </w:rPr>
      </w:pPr>
      <w:r w:rsidRPr="00F342FB">
        <w:rPr>
          <w:b/>
          <w:color w:val="000000"/>
          <w:spacing w:val="-2"/>
          <w:sz w:val="24"/>
          <w:szCs w:val="52"/>
          <w:lang w:val="en-US"/>
        </w:rPr>
        <w:t>4. References</w:t>
      </w:r>
    </w:p>
    <w:p w14:paraId="4C7F004F" w14:textId="1C0D4313" w:rsidR="00F342FB" w:rsidRPr="00BB3B0B" w:rsidRDefault="006653D2" w:rsidP="00F342FB">
      <w:pPr>
        <w:autoSpaceDE w:val="0"/>
        <w:autoSpaceDN w:val="0"/>
        <w:adjustRightInd w:val="0"/>
        <w:ind w:left="480" w:hanging="480"/>
        <w:rPr>
          <w:noProof/>
          <w:sz w:val="19"/>
          <w:szCs w:val="19"/>
        </w:rPr>
      </w:pPr>
      <w:r w:rsidRPr="00BB3B0B">
        <w:rPr>
          <w:sz w:val="19"/>
          <w:szCs w:val="19"/>
          <w:lang w:val="it-IT"/>
        </w:rPr>
        <w:fldChar w:fldCharType="begin" w:fldLock="1"/>
      </w:r>
      <w:r w:rsidRPr="00BB3B0B">
        <w:rPr>
          <w:sz w:val="19"/>
          <w:szCs w:val="19"/>
          <w:lang w:val="en-US"/>
        </w:rPr>
        <w:instrText xml:space="preserve">ADDIN Mendeley Bibliography CSL_BIBLIOGRAPHY </w:instrText>
      </w:r>
      <w:r w:rsidRPr="00BB3B0B">
        <w:rPr>
          <w:sz w:val="19"/>
          <w:szCs w:val="19"/>
          <w:lang w:val="it-IT"/>
        </w:rPr>
        <w:fldChar w:fldCharType="separate"/>
      </w:r>
      <w:r w:rsidR="00F342FB" w:rsidRPr="00BB3B0B">
        <w:rPr>
          <w:noProof/>
          <w:sz w:val="19"/>
          <w:szCs w:val="19"/>
        </w:rPr>
        <w:t xml:space="preserve">Alonso-Miravalles L, Jeske S, Bez J, Detzel A, Busch M, Krueger M, Wriessnegger CL, O’Mahony JA, Zannini E, Arendt EK (2019) Membrane filtration and isoelectric precipitation technological approaches for the preparation of novel, functional and sustainable protein isolate from lentils. </w:t>
      </w:r>
      <w:r w:rsidR="00F342FB" w:rsidRPr="00BB3B0B">
        <w:rPr>
          <w:i/>
          <w:iCs/>
          <w:noProof/>
          <w:sz w:val="19"/>
          <w:szCs w:val="19"/>
        </w:rPr>
        <w:t>Eur Food Res and Tech</w:t>
      </w:r>
      <w:r w:rsidR="00B55D24" w:rsidRPr="00BB3B0B">
        <w:rPr>
          <w:i/>
          <w:iCs/>
          <w:noProof/>
          <w:sz w:val="19"/>
          <w:szCs w:val="19"/>
        </w:rPr>
        <w:t>nol</w:t>
      </w:r>
      <w:r w:rsidR="00F342FB" w:rsidRPr="00BB3B0B">
        <w:rPr>
          <w:noProof/>
          <w:sz w:val="19"/>
          <w:szCs w:val="19"/>
        </w:rPr>
        <w:t xml:space="preserve">, </w:t>
      </w:r>
      <w:r w:rsidR="00F342FB" w:rsidRPr="00BB3B0B">
        <w:rPr>
          <w:b/>
          <w:bCs/>
          <w:noProof/>
          <w:sz w:val="19"/>
          <w:szCs w:val="19"/>
        </w:rPr>
        <w:t>245</w:t>
      </w:r>
      <w:r w:rsidR="00F342FB" w:rsidRPr="00BB3B0B">
        <w:rPr>
          <w:noProof/>
          <w:sz w:val="19"/>
          <w:szCs w:val="19"/>
        </w:rPr>
        <w:t xml:space="preserve">, 1855–1869. </w:t>
      </w:r>
    </w:p>
    <w:p w14:paraId="3F3BA48D" w14:textId="6EA6F54D" w:rsidR="00F342FB" w:rsidRPr="00BB3B0B" w:rsidRDefault="00F342FB" w:rsidP="00F342FB">
      <w:pPr>
        <w:autoSpaceDE w:val="0"/>
        <w:autoSpaceDN w:val="0"/>
        <w:adjustRightInd w:val="0"/>
        <w:ind w:left="480" w:hanging="480"/>
        <w:rPr>
          <w:noProof/>
          <w:sz w:val="19"/>
          <w:szCs w:val="19"/>
        </w:rPr>
      </w:pPr>
      <w:r w:rsidRPr="00BB3B0B">
        <w:rPr>
          <w:noProof/>
          <w:sz w:val="19"/>
          <w:szCs w:val="19"/>
        </w:rPr>
        <w:t xml:space="preserve">Cui Q, Sun Y, Cheng J, Guo M (2022) Effect of two-step enzymatic hydrolysis on the antioxidant properties and proteomics of hydrolysates of milk protein concentrate. </w:t>
      </w:r>
      <w:r w:rsidRPr="00BB3B0B">
        <w:rPr>
          <w:i/>
          <w:iCs/>
          <w:noProof/>
          <w:sz w:val="19"/>
          <w:szCs w:val="19"/>
        </w:rPr>
        <w:t>Food Chem</w:t>
      </w:r>
      <w:r w:rsidRPr="00BB3B0B">
        <w:rPr>
          <w:noProof/>
          <w:sz w:val="19"/>
          <w:szCs w:val="19"/>
        </w:rPr>
        <w:t xml:space="preserve">, </w:t>
      </w:r>
      <w:r w:rsidRPr="00BB3B0B">
        <w:rPr>
          <w:b/>
          <w:bCs/>
          <w:noProof/>
          <w:sz w:val="19"/>
          <w:szCs w:val="19"/>
        </w:rPr>
        <w:t>366</w:t>
      </w:r>
      <w:r w:rsidRPr="00BB3B0B">
        <w:rPr>
          <w:noProof/>
          <w:sz w:val="19"/>
          <w:szCs w:val="19"/>
        </w:rPr>
        <w:t xml:space="preserve">, 130711. </w:t>
      </w:r>
    </w:p>
    <w:p w14:paraId="6E24847F" w14:textId="7F9C5192" w:rsidR="00F342FB" w:rsidRPr="00BB3B0B" w:rsidRDefault="00F342FB" w:rsidP="00F342FB">
      <w:pPr>
        <w:autoSpaceDE w:val="0"/>
        <w:autoSpaceDN w:val="0"/>
        <w:adjustRightInd w:val="0"/>
        <w:ind w:left="480" w:hanging="480"/>
        <w:rPr>
          <w:noProof/>
          <w:sz w:val="19"/>
          <w:szCs w:val="19"/>
        </w:rPr>
      </w:pPr>
      <w:r w:rsidRPr="00BB3B0B">
        <w:rPr>
          <w:noProof/>
          <w:sz w:val="19"/>
          <w:szCs w:val="19"/>
        </w:rPr>
        <w:t>Donkor ON</w:t>
      </w:r>
      <w:r w:rsidR="00B55D24" w:rsidRPr="00BB3B0B">
        <w:rPr>
          <w:noProof/>
          <w:sz w:val="19"/>
          <w:szCs w:val="19"/>
        </w:rPr>
        <w:t>,</w:t>
      </w:r>
      <w:r w:rsidRPr="00BB3B0B">
        <w:rPr>
          <w:noProof/>
          <w:sz w:val="19"/>
          <w:szCs w:val="19"/>
        </w:rPr>
        <w:t xml:space="preserve"> Henriksson A, Vasiljevic T, Shah</w:t>
      </w:r>
      <w:r w:rsidR="00B55D24" w:rsidRPr="00BB3B0B">
        <w:rPr>
          <w:noProof/>
          <w:sz w:val="19"/>
          <w:szCs w:val="19"/>
        </w:rPr>
        <w:t xml:space="preserve"> </w:t>
      </w:r>
      <w:r w:rsidRPr="00BB3B0B">
        <w:rPr>
          <w:noProof/>
          <w:sz w:val="19"/>
          <w:szCs w:val="19"/>
        </w:rPr>
        <w:t xml:space="preserve">NP (2007) α-Galactosidase and proteolytic activities of selected probiotic and dairy cultures in fermented soymilk. </w:t>
      </w:r>
      <w:r w:rsidRPr="00BB3B0B">
        <w:rPr>
          <w:i/>
          <w:iCs/>
          <w:noProof/>
          <w:sz w:val="19"/>
          <w:szCs w:val="19"/>
        </w:rPr>
        <w:t>Food Chem</w:t>
      </w:r>
      <w:r w:rsidRPr="00BB3B0B">
        <w:rPr>
          <w:noProof/>
          <w:sz w:val="19"/>
          <w:szCs w:val="19"/>
        </w:rPr>
        <w:t xml:space="preserve">, </w:t>
      </w:r>
      <w:r w:rsidRPr="00BB3B0B">
        <w:rPr>
          <w:b/>
          <w:bCs/>
          <w:noProof/>
          <w:sz w:val="19"/>
          <w:szCs w:val="19"/>
        </w:rPr>
        <w:t>104</w:t>
      </w:r>
      <w:r w:rsidRPr="00BB3B0B">
        <w:rPr>
          <w:noProof/>
          <w:sz w:val="19"/>
          <w:szCs w:val="19"/>
        </w:rPr>
        <w:t xml:space="preserve">, 10–20. </w:t>
      </w:r>
    </w:p>
    <w:p w14:paraId="4359053F" w14:textId="05547BD4" w:rsidR="00A433C8" w:rsidRPr="002426AB" w:rsidRDefault="00F342FB" w:rsidP="00BB3B0B">
      <w:pPr>
        <w:autoSpaceDE w:val="0"/>
        <w:autoSpaceDN w:val="0"/>
        <w:adjustRightInd w:val="0"/>
        <w:ind w:left="480" w:hanging="480"/>
        <w:rPr>
          <w:sz w:val="19"/>
          <w:szCs w:val="19"/>
          <w:lang w:val="en-US"/>
        </w:rPr>
      </w:pPr>
      <w:r w:rsidRPr="00BB3B0B">
        <w:rPr>
          <w:noProof/>
          <w:sz w:val="19"/>
          <w:szCs w:val="19"/>
        </w:rPr>
        <w:t>Zhao J</w:t>
      </w:r>
      <w:r w:rsidR="00B55D24" w:rsidRPr="00BB3B0B">
        <w:rPr>
          <w:noProof/>
          <w:sz w:val="19"/>
          <w:szCs w:val="19"/>
        </w:rPr>
        <w:t>,</w:t>
      </w:r>
      <w:r w:rsidRPr="00BB3B0B">
        <w:rPr>
          <w:noProof/>
          <w:sz w:val="19"/>
          <w:szCs w:val="19"/>
        </w:rPr>
        <w:t xml:space="preserve"> Sun F, Li Y, Liu Q, Kong B</w:t>
      </w:r>
      <w:r w:rsidR="00B55D24" w:rsidRPr="00BB3B0B">
        <w:rPr>
          <w:noProof/>
          <w:sz w:val="19"/>
          <w:szCs w:val="19"/>
        </w:rPr>
        <w:t xml:space="preserve"> </w:t>
      </w:r>
      <w:r w:rsidRPr="00BB3B0B">
        <w:rPr>
          <w:noProof/>
          <w:sz w:val="19"/>
          <w:szCs w:val="19"/>
        </w:rPr>
        <w:t xml:space="preserve">(2017) Modification of gel properties of soy protein isolate by freeze-thaw cycles are associated with changes of molecular force involved in the gelation. </w:t>
      </w:r>
      <w:r w:rsidRPr="00BB3B0B">
        <w:rPr>
          <w:i/>
          <w:iCs/>
          <w:noProof/>
          <w:sz w:val="19"/>
          <w:szCs w:val="19"/>
        </w:rPr>
        <w:t>Process Biochem</w:t>
      </w:r>
      <w:r w:rsidRPr="00BB3B0B">
        <w:rPr>
          <w:noProof/>
          <w:sz w:val="19"/>
          <w:szCs w:val="19"/>
        </w:rPr>
        <w:t xml:space="preserve">, </w:t>
      </w:r>
      <w:r w:rsidRPr="00BB3B0B">
        <w:rPr>
          <w:b/>
          <w:bCs/>
          <w:noProof/>
          <w:sz w:val="19"/>
          <w:szCs w:val="19"/>
        </w:rPr>
        <w:t>52</w:t>
      </w:r>
      <w:r w:rsidRPr="00BB3B0B">
        <w:rPr>
          <w:noProof/>
          <w:sz w:val="19"/>
          <w:szCs w:val="19"/>
        </w:rPr>
        <w:t xml:space="preserve">, 200–208. </w:t>
      </w:r>
      <w:r w:rsidR="006653D2" w:rsidRPr="00BB3B0B">
        <w:rPr>
          <w:sz w:val="19"/>
          <w:szCs w:val="19"/>
          <w:lang w:val="it-IT"/>
        </w:rPr>
        <w:fldChar w:fldCharType="end"/>
      </w:r>
    </w:p>
    <w:sectPr w:rsidR="00A433C8" w:rsidRPr="002426AB" w:rsidSect="00191E46">
      <w:type w:val="continuous"/>
      <w:pgSz w:w="11906" w:h="16838" w:code="9"/>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5179" w14:textId="77777777" w:rsidR="00F162CF" w:rsidRDefault="00F162CF">
      <w:r>
        <w:separator/>
      </w:r>
    </w:p>
  </w:endnote>
  <w:endnote w:type="continuationSeparator" w:id="0">
    <w:p w14:paraId="6EEF5451" w14:textId="77777777" w:rsidR="00F162CF" w:rsidRDefault="00F1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9032" w14:textId="77777777" w:rsidR="00F162CF" w:rsidRDefault="00F162CF">
      <w:r>
        <w:separator/>
      </w:r>
    </w:p>
  </w:footnote>
  <w:footnote w:type="continuationSeparator" w:id="0">
    <w:p w14:paraId="0D5D30F7" w14:textId="77777777" w:rsidR="00F162CF" w:rsidRDefault="00F1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3E9"/>
    <w:multiLevelType w:val="hybridMultilevel"/>
    <w:tmpl w:val="92B4ABE2"/>
    <w:lvl w:ilvl="0" w:tplc="ECFE5D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1751804014">
    <w:abstractNumId w:val="2"/>
  </w:num>
  <w:num w:numId="2" w16cid:durableId="262810448">
    <w:abstractNumId w:val="1"/>
  </w:num>
  <w:num w:numId="3" w16cid:durableId="202686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6EED"/>
    <w:rsid w:val="00010029"/>
    <w:rsid w:val="00011297"/>
    <w:rsid w:val="000141D6"/>
    <w:rsid w:val="000156F9"/>
    <w:rsid w:val="000178D8"/>
    <w:rsid w:val="00017B05"/>
    <w:rsid w:val="000301BE"/>
    <w:rsid w:val="000307B8"/>
    <w:rsid w:val="00031019"/>
    <w:rsid w:val="00033051"/>
    <w:rsid w:val="00033586"/>
    <w:rsid w:val="00034CA9"/>
    <w:rsid w:val="00035C81"/>
    <w:rsid w:val="000363DB"/>
    <w:rsid w:val="000405BB"/>
    <w:rsid w:val="0004178A"/>
    <w:rsid w:val="00043DDA"/>
    <w:rsid w:val="000447AB"/>
    <w:rsid w:val="00053336"/>
    <w:rsid w:val="0005337E"/>
    <w:rsid w:val="00054A73"/>
    <w:rsid w:val="000565E7"/>
    <w:rsid w:val="000675E6"/>
    <w:rsid w:val="00071C21"/>
    <w:rsid w:val="000722A8"/>
    <w:rsid w:val="00073597"/>
    <w:rsid w:val="0007502C"/>
    <w:rsid w:val="00077BDF"/>
    <w:rsid w:val="0008095D"/>
    <w:rsid w:val="00086345"/>
    <w:rsid w:val="0008690D"/>
    <w:rsid w:val="00086C43"/>
    <w:rsid w:val="00087C7E"/>
    <w:rsid w:val="00090EB2"/>
    <w:rsid w:val="000933E5"/>
    <w:rsid w:val="0009415A"/>
    <w:rsid w:val="00096A03"/>
    <w:rsid w:val="00097526"/>
    <w:rsid w:val="000A02BC"/>
    <w:rsid w:val="000A062F"/>
    <w:rsid w:val="000A08AA"/>
    <w:rsid w:val="000A08FB"/>
    <w:rsid w:val="000A0EDB"/>
    <w:rsid w:val="000A5C4D"/>
    <w:rsid w:val="000A5E50"/>
    <w:rsid w:val="000A78E5"/>
    <w:rsid w:val="000A7A15"/>
    <w:rsid w:val="000B002B"/>
    <w:rsid w:val="000B1EF7"/>
    <w:rsid w:val="000B5391"/>
    <w:rsid w:val="000C275B"/>
    <w:rsid w:val="000C3C69"/>
    <w:rsid w:val="000C5FC6"/>
    <w:rsid w:val="000C6714"/>
    <w:rsid w:val="000C6BB5"/>
    <w:rsid w:val="000C7F97"/>
    <w:rsid w:val="000D174D"/>
    <w:rsid w:val="000D1DC2"/>
    <w:rsid w:val="000D35AD"/>
    <w:rsid w:val="000D6217"/>
    <w:rsid w:val="000D72DC"/>
    <w:rsid w:val="000E0824"/>
    <w:rsid w:val="000E2985"/>
    <w:rsid w:val="000E42A4"/>
    <w:rsid w:val="000E6EAD"/>
    <w:rsid w:val="000E7AC4"/>
    <w:rsid w:val="000E7D1A"/>
    <w:rsid w:val="000F2223"/>
    <w:rsid w:val="000F2F3B"/>
    <w:rsid w:val="000F5FCD"/>
    <w:rsid w:val="00103E3E"/>
    <w:rsid w:val="0010663B"/>
    <w:rsid w:val="00107429"/>
    <w:rsid w:val="001120D0"/>
    <w:rsid w:val="00113E92"/>
    <w:rsid w:val="001146AA"/>
    <w:rsid w:val="001150CB"/>
    <w:rsid w:val="00120BE0"/>
    <w:rsid w:val="00120E00"/>
    <w:rsid w:val="00121984"/>
    <w:rsid w:val="0012652B"/>
    <w:rsid w:val="00131A4A"/>
    <w:rsid w:val="001416F8"/>
    <w:rsid w:val="001429E5"/>
    <w:rsid w:val="00143F83"/>
    <w:rsid w:val="0014661D"/>
    <w:rsid w:val="001466F9"/>
    <w:rsid w:val="001478F3"/>
    <w:rsid w:val="001527FE"/>
    <w:rsid w:val="0016600B"/>
    <w:rsid w:val="001672CE"/>
    <w:rsid w:val="001715D8"/>
    <w:rsid w:val="0017518A"/>
    <w:rsid w:val="001754CB"/>
    <w:rsid w:val="001769A6"/>
    <w:rsid w:val="00186089"/>
    <w:rsid w:val="00191081"/>
    <w:rsid w:val="00191E46"/>
    <w:rsid w:val="00197833"/>
    <w:rsid w:val="00197D52"/>
    <w:rsid w:val="001A00B9"/>
    <w:rsid w:val="001A02B0"/>
    <w:rsid w:val="001A7E55"/>
    <w:rsid w:val="001B660B"/>
    <w:rsid w:val="001B70A8"/>
    <w:rsid w:val="001B74A5"/>
    <w:rsid w:val="001B7CF7"/>
    <w:rsid w:val="001C2B35"/>
    <w:rsid w:val="001C6900"/>
    <w:rsid w:val="001C768B"/>
    <w:rsid w:val="001D127D"/>
    <w:rsid w:val="001D493A"/>
    <w:rsid w:val="001D57C5"/>
    <w:rsid w:val="001D704C"/>
    <w:rsid w:val="001E0603"/>
    <w:rsid w:val="001E3A57"/>
    <w:rsid w:val="001E5C07"/>
    <w:rsid w:val="001E7B62"/>
    <w:rsid w:val="001F0074"/>
    <w:rsid w:val="001F03AD"/>
    <w:rsid w:val="001F0841"/>
    <w:rsid w:val="001F30FB"/>
    <w:rsid w:val="001F4EB0"/>
    <w:rsid w:val="001F683A"/>
    <w:rsid w:val="001F79D2"/>
    <w:rsid w:val="00206592"/>
    <w:rsid w:val="00207EA1"/>
    <w:rsid w:val="0021128B"/>
    <w:rsid w:val="00217274"/>
    <w:rsid w:val="0021748B"/>
    <w:rsid w:val="00223B6C"/>
    <w:rsid w:val="00224699"/>
    <w:rsid w:val="00225DB5"/>
    <w:rsid w:val="002304A1"/>
    <w:rsid w:val="002333BD"/>
    <w:rsid w:val="00241776"/>
    <w:rsid w:val="002423F4"/>
    <w:rsid w:val="002426AB"/>
    <w:rsid w:val="00242AD8"/>
    <w:rsid w:val="0024323C"/>
    <w:rsid w:val="002433A7"/>
    <w:rsid w:val="0024772E"/>
    <w:rsid w:val="00247AA4"/>
    <w:rsid w:val="00253474"/>
    <w:rsid w:val="00257493"/>
    <w:rsid w:val="00262B81"/>
    <w:rsid w:val="00262E51"/>
    <w:rsid w:val="00271AEB"/>
    <w:rsid w:val="0028178C"/>
    <w:rsid w:val="00282AB7"/>
    <w:rsid w:val="002855C1"/>
    <w:rsid w:val="0028604B"/>
    <w:rsid w:val="00290241"/>
    <w:rsid w:val="00290374"/>
    <w:rsid w:val="00292533"/>
    <w:rsid w:val="0029307B"/>
    <w:rsid w:val="002952B5"/>
    <w:rsid w:val="00295CA1"/>
    <w:rsid w:val="002A026C"/>
    <w:rsid w:val="002A1185"/>
    <w:rsid w:val="002A4F64"/>
    <w:rsid w:val="002A5D52"/>
    <w:rsid w:val="002A6C35"/>
    <w:rsid w:val="002A7D98"/>
    <w:rsid w:val="002B0083"/>
    <w:rsid w:val="002B25CB"/>
    <w:rsid w:val="002B283B"/>
    <w:rsid w:val="002B30CE"/>
    <w:rsid w:val="002B5301"/>
    <w:rsid w:val="002B60D3"/>
    <w:rsid w:val="002B6AEA"/>
    <w:rsid w:val="002C1DA6"/>
    <w:rsid w:val="002C3352"/>
    <w:rsid w:val="002C7803"/>
    <w:rsid w:val="002D3805"/>
    <w:rsid w:val="002D3F53"/>
    <w:rsid w:val="002D5E85"/>
    <w:rsid w:val="002D6BBD"/>
    <w:rsid w:val="002E3961"/>
    <w:rsid w:val="002E4AC0"/>
    <w:rsid w:val="002E5A26"/>
    <w:rsid w:val="002E755C"/>
    <w:rsid w:val="002F0BF5"/>
    <w:rsid w:val="002F1221"/>
    <w:rsid w:val="002F2D33"/>
    <w:rsid w:val="002F4432"/>
    <w:rsid w:val="002F588E"/>
    <w:rsid w:val="002F69C5"/>
    <w:rsid w:val="0030060E"/>
    <w:rsid w:val="00301817"/>
    <w:rsid w:val="00301DB4"/>
    <w:rsid w:val="00302A9D"/>
    <w:rsid w:val="0030510E"/>
    <w:rsid w:val="0030531C"/>
    <w:rsid w:val="00305C3D"/>
    <w:rsid w:val="00307F55"/>
    <w:rsid w:val="00310D6A"/>
    <w:rsid w:val="00311E53"/>
    <w:rsid w:val="003125C8"/>
    <w:rsid w:val="00316F75"/>
    <w:rsid w:val="003203F8"/>
    <w:rsid w:val="003210C6"/>
    <w:rsid w:val="0032192B"/>
    <w:rsid w:val="00325BC0"/>
    <w:rsid w:val="00327A16"/>
    <w:rsid w:val="00331E90"/>
    <w:rsid w:val="00332CF4"/>
    <w:rsid w:val="00335497"/>
    <w:rsid w:val="0033723A"/>
    <w:rsid w:val="00340D00"/>
    <w:rsid w:val="00343C58"/>
    <w:rsid w:val="003447BF"/>
    <w:rsid w:val="003466CE"/>
    <w:rsid w:val="00347F5B"/>
    <w:rsid w:val="0035074F"/>
    <w:rsid w:val="00353AC3"/>
    <w:rsid w:val="00355168"/>
    <w:rsid w:val="003567D4"/>
    <w:rsid w:val="0036168C"/>
    <w:rsid w:val="00361D21"/>
    <w:rsid w:val="00362F1C"/>
    <w:rsid w:val="00363DE5"/>
    <w:rsid w:val="003642F2"/>
    <w:rsid w:val="003652BB"/>
    <w:rsid w:val="003658FB"/>
    <w:rsid w:val="00366EF1"/>
    <w:rsid w:val="0036759E"/>
    <w:rsid w:val="00367C2E"/>
    <w:rsid w:val="00373B6E"/>
    <w:rsid w:val="00380AC4"/>
    <w:rsid w:val="00383255"/>
    <w:rsid w:val="0038397B"/>
    <w:rsid w:val="00383FFB"/>
    <w:rsid w:val="003872EF"/>
    <w:rsid w:val="00387F42"/>
    <w:rsid w:val="003920A5"/>
    <w:rsid w:val="003923B5"/>
    <w:rsid w:val="00397F24"/>
    <w:rsid w:val="003A06F4"/>
    <w:rsid w:val="003A732C"/>
    <w:rsid w:val="003A7979"/>
    <w:rsid w:val="003A7CD9"/>
    <w:rsid w:val="003B30E4"/>
    <w:rsid w:val="003B37A6"/>
    <w:rsid w:val="003B533C"/>
    <w:rsid w:val="003B5908"/>
    <w:rsid w:val="003B72D9"/>
    <w:rsid w:val="003B75BD"/>
    <w:rsid w:val="003C089A"/>
    <w:rsid w:val="003C2806"/>
    <w:rsid w:val="003D14FD"/>
    <w:rsid w:val="003D4C1D"/>
    <w:rsid w:val="003D4FC8"/>
    <w:rsid w:val="003D696C"/>
    <w:rsid w:val="003D78D1"/>
    <w:rsid w:val="003E3796"/>
    <w:rsid w:val="003E3F1F"/>
    <w:rsid w:val="003E522F"/>
    <w:rsid w:val="003E61B7"/>
    <w:rsid w:val="003F0239"/>
    <w:rsid w:val="004000C2"/>
    <w:rsid w:val="00402FDE"/>
    <w:rsid w:val="004041DF"/>
    <w:rsid w:val="00404649"/>
    <w:rsid w:val="0040570B"/>
    <w:rsid w:val="0040593E"/>
    <w:rsid w:val="00407B2A"/>
    <w:rsid w:val="00410BB2"/>
    <w:rsid w:val="004115C8"/>
    <w:rsid w:val="00412A5D"/>
    <w:rsid w:val="00413064"/>
    <w:rsid w:val="00413212"/>
    <w:rsid w:val="00437AC0"/>
    <w:rsid w:val="00441454"/>
    <w:rsid w:val="00444F52"/>
    <w:rsid w:val="0044607D"/>
    <w:rsid w:val="0045123C"/>
    <w:rsid w:val="0045156A"/>
    <w:rsid w:val="00456647"/>
    <w:rsid w:val="004578EC"/>
    <w:rsid w:val="00464666"/>
    <w:rsid w:val="00464A8D"/>
    <w:rsid w:val="00467736"/>
    <w:rsid w:val="0047054C"/>
    <w:rsid w:val="0047091A"/>
    <w:rsid w:val="00471050"/>
    <w:rsid w:val="00471085"/>
    <w:rsid w:val="004715F7"/>
    <w:rsid w:val="00475C19"/>
    <w:rsid w:val="0047636B"/>
    <w:rsid w:val="00481606"/>
    <w:rsid w:val="004845CC"/>
    <w:rsid w:val="00484CD3"/>
    <w:rsid w:val="00485884"/>
    <w:rsid w:val="00486B32"/>
    <w:rsid w:val="00490A91"/>
    <w:rsid w:val="00491F2B"/>
    <w:rsid w:val="00494D1C"/>
    <w:rsid w:val="004A0D76"/>
    <w:rsid w:val="004A1C86"/>
    <w:rsid w:val="004A2AC3"/>
    <w:rsid w:val="004A2BE4"/>
    <w:rsid w:val="004A652D"/>
    <w:rsid w:val="004B1879"/>
    <w:rsid w:val="004B5AD2"/>
    <w:rsid w:val="004B642E"/>
    <w:rsid w:val="004B701C"/>
    <w:rsid w:val="004B776A"/>
    <w:rsid w:val="004C0837"/>
    <w:rsid w:val="004C51AD"/>
    <w:rsid w:val="004C671D"/>
    <w:rsid w:val="004C7BA7"/>
    <w:rsid w:val="004D15B2"/>
    <w:rsid w:val="004D2071"/>
    <w:rsid w:val="004D43D8"/>
    <w:rsid w:val="004D43F8"/>
    <w:rsid w:val="004D4724"/>
    <w:rsid w:val="004D4E85"/>
    <w:rsid w:val="004D7B49"/>
    <w:rsid w:val="004E49B0"/>
    <w:rsid w:val="004E57E6"/>
    <w:rsid w:val="004E6515"/>
    <w:rsid w:val="004F2E40"/>
    <w:rsid w:val="004F381A"/>
    <w:rsid w:val="004F69B3"/>
    <w:rsid w:val="005000AA"/>
    <w:rsid w:val="00501E2F"/>
    <w:rsid w:val="00502042"/>
    <w:rsid w:val="00504069"/>
    <w:rsid w:val="005040E2"/>
    <w:rsid w:val="005060D0"/>
    <w:rsid w:val="0050677A"/>
    <w:rsid w:val="005126E0"/>
    <w:rsid w:val="00512D0F"/>
    <w:rsid w:val="00512D9B"/>
    <w:rsid w:val="005137D4"/>
    <w:rsid w:val="00513979"/>
    <w:rsid w:val="005140B0"/>
    <w:rsid w:val="005162A3"/>
    <w:rsid w:val="0052170C"/>
    <w:rsid w:val="00522F4E"/>
    <w:rsid w:val="0052357E"/>
    <w:rsid w:val="00525F3B"/>
    <w:rsid w:val="00527FD4"/>
    <w:rsid w:val="00534774"/>
    <w:rsid w:val="00535489"/>
    <w:rsid w:val="0054399F"/>
    <w:rsid w:val="005448F5"/>
    <w:rsid w:val="00544AC8"/>
    <w:rsid w:val="0054540F"/>
    <w:rsid w:val="005454FE"/>
    <w:rsid w:val="005474A2"/>
    <w:rsid w:val="005529F4"/>
    <w:rsid w:val="0055316E"/>
    <w:rsid w:val="005542B5"/>
    <w:rsid w:val="005547F5"/>
    <w:rsid w:val="00554EC6"/>
    <w:rsid w:val="00556128"/>
    <w:rsid w:val="005602AD"/>
    <w:rsid w:val="005615BA"/>
    <w:rsid w:val="0056384A"/>
    <w:rsid w:val="00565AF8"/>
    <w:rsid w:val="00566779"/>
    <w:rsid w:val="005674F9"/>
    <w:rsid w:val="00572DF1"/>
    <w:rsid w:val="00573075"/>
    <w:rsid w:val="005735E9"/>
    <w:rsid w:val="00574877"/>
    <w:rsid w:val="00576108"/>
    <w:rsid w:val="00576DD7"/>
    <w:rsid w:val="005801A6"/>
    <w:rsid w:val="00586EB9"/>
    <w:rsid w:val="00593E55"/>
    <w:rsid w:val="005A1695"/>
    <w:rsid w:val="005A4432"/>
    <w:rsid w:val="005A5B50"/>
    <w:rsid w:val="005B227B"/>
    <w:rsid w:val="005B3BCD"/>
    <w:rsid w:val="005B5079"/>
    <w:rsid w:val="005B7057"/>
    <w:rsid w:val="005B7D5F"/>
    <w:rsid w:val="005C0D4A"/>
    <w:rsid w:val="005C2A37"/>
    <w:rsid w:val="005C3BC0"/>
    <w:rsid w:val="005C658F"/>
    <w:rsid w:val="005D049A"/>
    <w:rsid w:val="005D516A"/>
    <w:rsid w:val="005D5289"/>
    <w:rsid w:val="005D6F6A"/>
    <w:rsid w:val="005E23BA"/>
    <w:rsid w:val="005E4442"/>
    <w:rsid w:val="005E57D1"/>
    <w:rsid w:val="005E678A"/>
    <w:rsid w:val="005F0995"/>
    <w:rsid w:val="005F5CAF"/>
    <w:rsid w:val="005F65F7"/>
    <w:rsid w:val="00600B38"/>
    <w:rsid w:val="006012B6"/>
    <w:rsid w:val="00601316"/>
    <w:rsid w:val="00604B89"/>
    <w:rsid w:val="00605117"/>
    <w:rsid w:val="00606EBB"/>
    <w:rsid w:val="00614B1F"/>
    <w:rsid w:val="00615EA2"/>
    <w:rsid w:val="006171BE"/>
    <w:rsid w:val="00617C18"/>
    <w:rsid w:val="00621D5E"/>
    <w:rsid w:val="00621F73"/>
    <w:rsid w:val="006239A3"/>
    <w:rsid w:val="00623DD8"/>
    <w:rsid w:val="00624D23"/>
    <w:rsid w:val="00625467"/>
    <w:rsid w:val="0062576E"/>
    <w:rsid w:val="006329BC"/>
    <w:rsid w:val="006330DE"/>
    <w:rsid w:val="00633D33"/>
    <w:rsid w:val="006341A0"/>
    <w:rsid w:val="00635E45"/>
    <w:rsid w:val="00640662"/>
    <w:rsid w:val="0064596E"/>
    <w:rsid w:val="00651E5E"/>
    <w:rsid w:val="00652B1D"/>
    <w:rsid w:val="00653095"/>
    <w:rsid w:val="0066459A"/>
    <w:rsid w:val="006653D2"/>
    <w:rsid w:val="0066569E"/>
    <w:rsid w:val="0066698E"/>
    <w:rsid w:val="00666F1D"/>
    <w:rsid w:val="00667C84"/>
    <w:rsid w:val="00671EBC"/>
    <w:rsid w:val="00672571"/>
    <w:rsid w:val="00673DF2"/>
    <w:rsid w:val="00674F0E"/>
    <w:rsid w:val="006760A3"/>
    <w:rsid w:val="00676300"/>
    <w:rsid w:val="006812CC"/>
    <w:rsid w:val="006822CB"/>
    <w:rsid w:val="0068251D"/>
    <w:rsid w:val="0069023B"/>
    <w:rsid w:val="00690FF0"/>
    <w:rsid w:val="00693288"/>
    <w:rsid w:val="00696FA1"/>
    <w:rsid w:val="006978BD"/>
    <w:rsid w:val="006A1577"/>
    <w:rsid w:val="006A2080"/>
    <w:rsid w:val="006A53A9"/>
    <w:rsid w:val="006A57A0"/>
    <w:rsid w:val="006A5C13"/>
    <w:rsid w:val="006A7266"/>
    <w:rsid w:val="006A7949"/>
    <w:rsid w:val="006B514C"/>
    <w:rsid w:val="006B7815"/>
    <w:rsid w:val="006C2D50"/>
    <w:rsid w:val="006C3314"/>
    <w:rsid w:val="006C411C"/>
    <w:rsid w:val="006C67B2"/>
    <w:rsid w:val="006C752A"/>
    <w:rsid w:val="006D0BD6"/>
    <w:rsid w:val="006D1EFB"/>
    <w:rsid w:val="006D2FB4"/>
    <w:rsid w:val="006D3090"/>
    <w:rsid w:val="006D4108"/>
    <w:rsid w:val="006D5568"/>
    <w:rsid w:val="006D5CBA"/>
    <w:rsid w:val="006D612B"/>
    <w:rsid w:val="006D66F8"/>
    <w:rsid w:val="006D7BA1"/>
    <w:rsid w:val="006E4732"/>
    <w:rsid w:val="006E573C"/>
    <w:rsid w:val="006F65AA"/>
    <w:rsid w:val="006F7330"/>
    <w:rsid w:val="007002B8"/>
    <w:rsid w:val="00700E63"/>
    <w:rsid w:val="007022AF"/>
    <w:rsid w:val="00703F2D"/>
    <w:rsid w:val="00705799"/>
    <w:rsid w:val="00715CAB"/>
    <w:rsid w:val="00716952"/>
    <w:rsid w:val="00721094"/>
    <w:rsid w:val="007211D9"/>
    <w:rsid w:val="0072173C"/>
    <w:rsid w:val="007241CE"/>
    <w:rsid w:val="00724247"/>
    <w:rsid w:val="007300C8"/>
    <w:rsid w:val="007301C2"/>
    <w:rsid w:val="00730A82"/>
    <w:rsid w:val="0073124A"/>
    <w:rsid w:val="00734C11"/>
    <w:rsid w:val="00734C94"/>
    <w:rsid w:val="00735172"/>
    <w:rsid w:val="007354A9"/>
    <w:rsid w:val="00735BC5"/>
    <w:rsid w:val="007450B5"/>
    <w:rsid w:val="00745184"/>
    <w:rsid w:val="007452F1"/>
    <w:rsid w:val="00746B7D"/>
    <w:rsid w:val="00751E35"/>
    <w:rsid w:val="00752968"/>
    <w:rsid w:val="007546E9"/>
    <w:rsid w:val="007547DA"/>
    <w:rsid w:val="00755376"/>
    <w:rsid w:val="00755CDF"/>
    <w:rsid w:val="00756970"/>
    <w:rsid w:val="00760870"/>
    <w:rsid w:val="00763891"/>
    <w:rsid w:val="00765B75"/>
    <w:rsid w:val="00765CC1"/>
    <w:rsid w:val="00767A8A"/>
    <w:rsid w:val="00771622"/>
    <w:rsid w:val="00772251"/>
    <w:rsid w:val="00773E7E"/>
    <w:rsid w:val="0077579F"/>
    <w:rsid w:val="00775A57"/>
    <w:rsid w:val="00776C7D"/>
    <w:rsid w:val="00783AEB"/>
    <w:rsid w:val="00784E3F"/>
    <w:rsid w:val="00787DA9"/>
    <w:rsid w:val="00790DC0"/>
    <w:rsid w:val="0079654A"/>
    <w:rsid w:val="00796BCE"/>
    <w:rsid w:val="007A1FEC"/>
    <w:rsid w:val="007A2F5F"/>
    <w:rsid w:val="007A63AB"/>
    <w:rsid w:val="007A660C"/>
    <w:rsid w:val="007A732C"/>
    <w:rsid w:val="007B132B"/>
    <w:rsid w:val="007B361A"/>
    <w:rsid w:val="007B54BC"/>
    <w:rsid w:val="007C01B3"/>
    <w:rsid w:val="007C0987"/>
    <w:rsid w:val="007C0D8C"/>
    <w:rsid w:val="007C0DE4"/>
    <w:rsid w:val="007C1DB6"/>
    <w:rsid w:val="007C3DC0"/>
    <w:rsid w:val="007C42C0"/>
    <w:rsid w:val="007C5F0A"/>
    <w:rsid w:val="007D2D54"/>
    <w:rsid w:val="007D30AA"/>
    <w:rsid w:val="007D67CA"/>
    <w:rsid w:val="007E00E9"/>
    <w:rsid w:val="007E5903"/>
    <w:rsid w:val="007E618C"/>
    <w:rsid w:val="007E7803"/>
    <w:rsid w:val="007F4374"/>
    <w:rsid w:val="007F5229"/>
    <w:rsid w:val="007F6D5E"/>
    <w:rsid w:val="007F7E03"/>
    <w:rsid w:val="00804524"/>
    <w:rsid w:val="00806848"/>
    <w:rsid w:val="008143D9"/>
    <w:rsid w:val="008163A1"/>
    <w:rsid w:val="00817E4D"/>
    <w:rsid w:val="00821E12"/>
    <w:rsid w:val="00822018"/>
    <w:rsid w:val="00822696"/>
    <w:rsid w:val="00822DD8"/>
    <w:rsid w:val="00823A5C"/>
    <w:rsid w:val="008258D5"/>
    <w:rsid w:val="00827779"/>
    <w:rsid w:val="00831E01"/>
    <w:rsid w:val="0083625B"/>
    <w:rsid w:val="00836394"/>
    <w:rsid w:val="00842D8F"/>
    <w:rsid w:val="008439CA"/>
    <w:rsid w:val="0084618C"/>
    <w:rsid w:val="00846E9A"/>
    <w:rsid w:val="00853A9A"/>
    <w:rsid w:val="00853AAF"/>
    <w:rsid w:val="008624C5"/>
    <w:rsid w:val="00863AF2"/>
    <w:rsid w:val="00865D37"/>
    <w:rsid w:val="00867297"/>
    <w:rsid w:val="00874C06"/>
    <w:rsid w:val="008752AF"/>
    <w:rsid w:val="00876930"/>
    <w:rsid w:val="00883482"/>
    <w:rsid w:val="008845CD"/>
    <w:rsid w:val="008858D2"/>
    <w:rsid w:val="00890B97"/>
    <w:rsid w:val="00892680"/>
    <w:rsid w:val="00892CC8"/>
    <w:rsid w:val="00893D5B"/>
    <w:rsid w:val="00894340"/>
    <w:rsid w:val="00897C64"/>
    <w:rsid w:val="008A2322"/>
    <w:rsid w:val="008A288F"/>
    <w:rsid w:val="008A3F92"/>
    <w:rsid w:val="008A73B8"/>
    <w:rsid w:val="008A7734"/>
    <w:rsid w:val="008A798F"/>
    <w:rsid w:val="008B3224"/>
    <w:rsid w:val="008B791D"/>
    <w:rsid w:val="008C034C"/>
    <w:rsid w:val="008C1C30"/>
    <w:rsid w:val="008C1F03"/>
    <w:rsid w:val="008C3056"/>
    <w:rsid w:val="008C458A"/>
    <w:rsid w:val="008C5BB4"/>
    <w:rsid w:val="008C5D01"/>
    <w:rsid w:val="008C6AB1"/>
    <w:rsid w:val="008D0175"/>
    <w:rsid w:val="008D3140"/>
    <w:rsid w:val="008D6542"/>
    <w:rsid w:val="008D74EB"/>
    <w:rsid w:val="008D7C30"/>
    <w:rsid w:val="008E0276"/>
    <w:rsid w:val="008E0E71"/>
    <w:rsid w:val="008E1D05"/>
    <w:rsid w:val="008E35AF"/>
    <w:rsid w:val="008E4DAC"/>
    <w:rsid w:val="008E57F8"/>
    <w:rsid w:val="008E7BCA"/>
    <w:rsid w:val="008F0160"/>
    <w:rsid w:val="008F0DFF"/>
    <w:rsid w:val="008F55ED"/>
    <w:rsid w:val="008F78BC"/>
    <w:rsid w:val="00900446"/>
    <w:rsid w:val="00902656"/>
    <w:rsid w:val="009056D0"/>
    <w:rsid w:val="00906E26"/>
    <w:rsid w:val="009119C1"/>
    <w:rsid w:val="00911F65"/>
    <w:rsid w:val="00913725"/>
    <w:rsid w:val="00916195"/>
    <w:rsid w:val="0091656C"/>
    <w:rsid w:val="0091663D"/>
    <w:rsid w:val="00920D84"/>
    <w:rsid w:val="00920E7F"/>
    <w:rsid w:val="00921911"/>
    <w:rsid w:val="0093036F"/>
    <w:rsid w:val="009336F7"/>
    <w:rsid w:val="0093620F"/>
    <w:rsid w:val="00936CD1"/>
    <w:rsid w:val="009429FE"/>
    <w:rsid w:val="009436D7"/>
    <w:rsid w:val="009439AB"/>
    <w:rsid w:val="009470E7"/>
    <w:rsid w:val="00947AE9"/>
    <w:rsid w:val="00952603"/>
    <w:rsid w:val="009556A5"/>
    <w:rsid w:val="0095646E"/>
    <w:rsid w:val="00957FD6"/>
    <w:rsid w:val="009613AF"/>
    <w:rsid w:val="00961DDA"/>
    <w:rsid w:val="0096221C"/>
    <w:rsid w:val="00966950"/>
    <w:rsid w:val="00971E65"/>
    <w:rsid w:val="009735BC"/>
    <w:rsid w:val="009768DA"/>
    <w:rsid w:val="009812C0"/>
    <w:rsid w:val="009850D9"/>
    <w:rsid w:val="009866E1"/>
    <w:rsid w:val="00990BC0"/>
    <w:rsid w:val="009932CB"/>
    <w:rsid w:val="00994EAC"/>
    <w:rsid w:val="00995457"/>
    <w:rsid w:val="00996E36"/>
    <w:rsid w:val="009A1DDD"/>
    <w:rsid w:val="009A253F"/>
    <w:rsid w:val="009A2CFB"/>
    <w:rsid w:val="009A6C9C"/>
    <w:rsid w:val="009B018E"/>
    <w:rsid w:val="009B1064"/>
    <w:rsid w:val="009B4902"/>
    <w:rsid w:val="009B4D8B"/>
    <w:rsid w:val="009B6298"/>
    <w:rsid w:val="009C1DBC"/>
    <w:rsid w:val="009C3567"/>
    <w:rsid w:val="009C7B8A"/>
    <w:rsid w:val="009D1DC0"/>
    <w:rsid w:val="009D5CA3"/>
    <w:rsid w:val="009E0524"/>
    <w:rsid w:val="009E30B6"/>
    <w:rsid w:val="009E3DEC"/>
    <w:rsid w:val="009E5733"/>
    <w:rsid w:val="009E7C26"/>
    <w:rsid w:val="009F1DF4"/>
    <w:rsid w:val="009F2C57"/>
    <w:rsid w:val="00A0259C"/>
    <w:rsid w:val="00A02E9F"/>
    <w:rsid w:val="00A0463D"/>
    <w:rsid w:val="00A05503"/>
    <w:rsid w:val="00A05DD8"/>
    <w:rsid w:val="00A05ECF"/>
    <w:rsid w:val="00A06132"/>
    <w:rsid w:val="00A0646E"/>
    <w:rsid w:val="00A067F6"/>
    <w:rsid w:val="00A10569"/>
    <w:rsid w:val="00A1262C"/>
    <w:rsid w:val="00A13906"/>
    <w:rsid w:val="00A13A89"/>
    <w:rsid w:val="00A142FB"/>
    <w:rsid w:val="00A14610"/>
    <w:rsid w:val="00A14AE4"/>
    <w:rsid w:val="00A1551F"/>
    <w:rsid w:val="00A1703E"/>
    <w:rsid w:val="00A21255"/>
    <w:rsid w:val="00A21BD6"/>
    <w:rsid w:val="00A22B73"/>
    <w:rsid w:val="00A22DF0"/>
    <w:rsid w:val="00A24A81"/>
    <w:rsid w:val="00A26AF5"/>
    <w:rsid w:val="00A3196D"/>
    <w:rsid w:val="00A326F6"/>
    <w:rsid w:val="00A404F3"/>
    <w:rsid w:val="00A41409"/>
    <w:rsid w:val="00A433C8"/>
    <w:rsid w:val="00A4395B"/>
    <w:rsid w:val="00A4717A"/>
    <w:rsid w:val="00A47638"/>
    <w:rsid w:val="00A5196F"/>
    <w:rsid w:val="00A51BDC"/>
    <w:rsid w:val="00A52E34"/>
    <w:rsid w:val="00A5545B"/>
    <w:rsid w:val="00A556D6"/>
    <w:rsid w:val="00A568A9"/>
    <w:rsid w:val="00A60802"/>
    <w:rsid w:val="00A60D7C"/>
    <w:rsid w:val="00A66257"/>
    <w:rsid w:val="00A67369"/>
    <w:rsid w:val="00A679B2"/>
    <w:rsid w:val="00A71E3D"/>
    <w:rsid w:val="00A72471"/>
    <w:rsid w:val="00A72B23"/>
    <w:rsid w:val="00A75DEB"/>
    <w:rsid w:val="00A767B0"/>
    <w:rsid w:val="00A76DA4"/>
    <w:rsid w:val="00A84EC4"/>
    <w:rsid w:val="00A868AB"/>
    <w:rsid w:val="00A90DFF"/>
    <w:rsid w:val="00A917C7"/>
    <w:rsid w:val="00A928E4"/>
    <w:rsid w:val="00A95ABB"/>
    <w:rsid w:val="00AA10C5"/>
    <w:rsid w:val="00AA3FAD"/>
    <w:rsid w:val="00AA42DF"/>
    <w:rsid w:val="00AA4761"/>
    <w:rsid w:val="00AB3549"/>
    <w:rsid w:val="00AC00F0"/>
    <w:rsid w:val="00AC0922"/>
    <w:rsid w:val="00AC10CF"/>
    <w:rsid w:val="00AC1EDB"/>
    <w:rsid w:val="00AC326B"/>
    <w:rsid w:val="00AC51C2"/>
    <w:rsid w:val="00AD2A34"/>
    <w:rsid w:val="00AD31ED"/>
    <w:rsid w:val="00AD384D"/>
    <w:rsid w:val="00AD7399"/>
    <w:rsid w:val="00AD7543"/>
    <w:rsid w:val="00AE09E5"/>
    <w:rsid w:val="00AE1142"/>
    <w:rsid w:val="00AE34BE"/>
    <w:rsid w:val="00AE4253"/>
    <w:rsid w:val="00AE5EFB"/>
    <w:rsid w:val="00AE6555"/>
    <w:rsid w:val="00AE7DE9"/>
    <w:rsid w:val="00AF1BF1"/>
    <w:rsid w:val="00AF30CC"/>
    <w:rsid w:val="00AF347E"/>
    <w:rsid w:val="00B00B56"/>
    <w:rsid w:val="00B01373"/>
    <w:rsid w:val="00B015F0"/>
    <w:rsid w:val="00B026BC"/>
    <w:rsid w:val="00B02F77"/>
    <w:rsid w:val="00B02FB4"/>
    <w:rsid w:val="00B03334"/>
    <w:rsid w:val="00B0351B"/>
    <w:rsid w:val="00B10BCC"/>
    <w:rsid w:val="00B12E7E"/>
    <w:rsid w:val="00B13E45"/>
    <w:rsid w:val="00B15D6C"/>
    <w:rsid w:val="00B17AF9"/>
    <w:rsid w:val="00B21BC8"/>
    <w:rsid w:val="00B2302F"/>
    <w:rsid w:val="00B237C2"/>
    <w:rsid w:val="00B23D42"/>
    <w:rsid w:val="00B24A5D"/>
    <w:rsid w:val="00B26926"/>
    <w:rsid w:val="00B33BE9"/>
    <w:rsid w:val="00B373A3"/>
    <w:rsid w:val="00B4227D"/>
    <w:rsid w:val="00B43720"/>
    <w:rsid w:val="00B43D14"/>
    <w:rsid w:val="00B443E3"/>
    <w:rsid w:val="00B461F7"/>
    <w:rsid w:val="00B46700"/>
    <w:rsid w:val="00B50AA2"/>
    <w:rsid w:val="00B52485"/>
    <w:rsid w:val="00B53154"/>
    <w:rsid w:val="00B5329B"/>
    <w:rsid w:val="00B53526"/>
    <w:rsid w:val="00B54638"/>
    <w:rsid w:val="00B547C4"/>
    <w:rsid w:val="00B55D24"/>
    <w:rsid w:val="00B57A06"/>
    <w:rsid w:val="00B603F8"/>
    <w:rsid w:val="00B63035"/>
    <w:rsid w:val="00B6303C"/>
    <w:rsid w:val="00B63152"/>
    <w:rsid w:val="00B66FAD"/>
    <w:rsid w:val="00B67AA0"/>
    <w:rsid w:val="00B7105F"/>
    <w:rsid w:val="00B746BE"/>
    <w:rsid w:val="00B74A2B"/>
    <w:rsid w:val="00B84247"/>
    <w:rsid w:val="00B847E2"/>
    <w:rsid w:val="00B86B9E"/>
    <w:rsid w:val="00B91E4B"/>
    <w:rsid w:val="00B93C21"/>
    <w:rsid w:val="00B94A57"/>
    <w:rsid w:val="00B94DFE"/>
    <w:rsid w:val="00B95E5D"/>
    <w:rsid w:val="00B974F5"/>
    <w:rsid w:val="00BA0FEC"/>
    <w:rsid w:val="00BA14BB"/>
    <w:rsid w:val="00BA5270"/>
    <w:rsid w:val="00BB07AB"/>
    <w:rsid w:val="00BB2FAC"/>
    <w:rsid w:val="00BB3B0B"/>
    <w:rsid w:val="00BB5F9C"/>
    <w:rsid w:val="00BB6591"/>
    <w:rsid w:val="00BC07FF"/>
    <w:rsid w:val="00BC0CD4"/>
    <w:rsid w:val="00BC5A36"/>
    <w:rsid w:val="00BC721E"/>
    <w:rsid w:val="00BD08BD"/>
    <w:rsid w:val="00BD2658"/>
    <w:rsid w:val="00BD275C"/>
    <w:rsid w:val="00BD285A"/>
    <w:rsid w:val="00BD2BCA"/>
    <w:rsid w:val="00BD71FF"/>
    <w:rsid w:val="00BD7A35"/>
    <w:rsid w:val="00BE2F19"/>
    <w:rsid w:val="00BE331D"/>
    <w:rsid w:val="00BE49BA"/>
    <w:rsid w:val="00BE759F"/>
    <w:rsid w:val="00BF0535"/>
    <w:rsid w:val="00BF1BE4"/>
    <w:rsid w:val="00BF4A4C"/>
    <w:rsid w:val="00BF6975"/>
    <w:rsid w:val="00C0358D"/>
    <w:rsid w:val="00C05368"/>
    <w:rsid w:val="00C10B6C"/>
    <w:rsid w:val="00C12FC9"/>
    <w:rsid w:val="00C155CC"/>
    <w:rsid w:val="00C15AF0"/>
    <w:rsid w:val="00C15B65"/>
    <w:rsid w:val="00C16AAD"/>
    <w:rsid w:val="00C16E7F"/>
    <w:rsid w:val="00C17942"/>
    <w:rsid w:val="00C17F8D"/>
    <w:rsid w:val="00C20981"/>
    <w:rsid w:val="00C20E76"/>
    <w:rsid w:val="00C24A2B"/>
    <w:rsid w:val="00C24B3E"/>
    <w:rsid w:val="00C261FE"/>
    <w:rsid w:val="00C26CA5"/>
    <w:rsid w:val="00C312A6"/>
    <w:rsid w:val="00C33D97"/>
    <w:rsid w:val="00C3438D"/>
    <w:rsid w:val="00C355B9"/>
    <w:rsid w:val="00C3595C"/>
    <w:rsid w:val="00C366D0"/>
    <w:rsid w:val="00C4053F"/>
    <w:rsid w:val="00C41065"/>
    <w:rsid w:val="00C41236"/>
    <w:rsid w:val="00C4653E"/>
    <w:rsid w:val="00C473A6"/>
    <w:rsid w:val="00C50299"/>
    <w:rsid w:val="00C54C64"/>
    <w:rsid w:val="00C54F44"/>
    <w:rsid w:val="00C5513B"/>
    <w:rsid w:val="00C55B70"/>
    <w:rsid w:val="00C56198"/>
    <w:rsid w:val="00C67BA7"/>
    <w:rsid w:val="00C67CD9"/>
    <w:rsid w:val="00C71FE5"/>
    <w:rsid w:val="00C809E7"/>
    <w:rsid w:val="00C8168D"/>
    <w:rsid w:val="00C83CA0"/>
    <w:rsid w:val="00C8502B"/>
    <w:rsid w:val="00C86114"/>
    <w:rsid w:val="00C8662B"/>
    <w:rsid w:val="00C90A68"/>
    <w:rsid w:val="00C90FCD"/>
    <w:rsid w:val="00C919BD"/>
    <w:rsid w:val="00C93749"/>
    <w:rsid w:val="00C97511"/>
    <w:rsid w:val="00CA148D"/>
    <w:rsid w:val="00CA1962"/>
    <w:rsid w:val="00CA317B"/>
    <w:rsid w:val="00CA3E06"/>
    <w:rsid w:val="00CA7150"/>
    <w:rsid w:val="00CB0FA9"/>
    <w:rsid w:val="00CB2F35"/>
    <w:rsid w:val="00CB4AE2"/>
    <w:rsid w:val="00CB63E4"/>
    <w:rsid w:val="00CC2D44"/>
    <w:rsid w:val="00CC759B"/>
    <w:rsid w:val="00CD0FC4"/>
    <w:rsid w:val="00CD1F40"/>
    <w:rsid w:val="00CD46B6"/>
    <w:rsid w:val="00CD7D09"/>
    <w:rsid w:val="00CE31CE"/>
    <w:rsid w:val="00CE428C"/>
    <w:rsid w:val="00CE55FE"/>
    <w:rsid w:val="00CF0038"/>
    <w:rsid w:val="00CF0DA4"/>
    <w:rsid w:val="00CF13AB"/>
    <w:rsid w:val="00CF3F0A"/>
    <w:rsid w:val="00CF4A73"/>
    <w:rsid w:val="00CF4A7B"/>
    <w:rsid w:val="00CF5EED"/>
    <w:rsid w:val="00CF730B"/>
    <w:rsid w:val="00D0052B"/>
    <w:rsid w:val="00D02C9E"/>
    <w:rsid w:val="00D030E3"/>
    <w:rsid w:val="00D04294"/>
    <w:rsid w:val="00D0537E"/>
    <w:rsid w:val="00D0565B"/>
    <w:rsid w:val="00D0566E"/>
    <w:rsid w:val="00D0651C"/>
    <w:rsid w:val="00D07A15"/>
    <w:rsid w:val="00D11373"/>
    <w:rsid w:val="00D121C1"/>
    <w:rsid w:val="00D13613"/>
    <w:rsid w:val="00D139A3"/>
    <w:rsid w:val="00D26DE0"/>
    <w:rsid w:val="00D26EA8"/>
    <w:rsid w:val="00D30933"/>
    <w:rsid w:val="00D31B04"/>
    <w:rsid w:val="00D36CF9"/>
    <w:rsid w:val="00D443A7"/>
    <w:rsid w:val="00D46EEA"/>
    <w:rsid w:val="00D51078"/>
    <w:rsid w:val="00D520E8"/>
    <w:rsid w:val="00D54C80"/>
    <w:rsid w:val="00D5514C"/>
    <w:rsid w:val="00D5788F"/>
    <w:rsid w:val="00D57AE8"/>
    <w:rsid w:val="00D6114C"/>
    <w:rsid w:val="00D61B93"/>
    <w:rsid w:val="00D643D8"/>
    <w:rsid w:val="00D64D25"/>
    <w:rsid w:val="00D66888"/>
    <w:rsid w:val="00D67F4C"/>
    <w:rsid w:val="00D67F76"/>
    <w:rsid w:val="00D71061"/>
    <w:rsid w:val="00D7155C"/>
    <w:rsid w:val="00D73B92"/>
    <w:rsid w:val="00D73B97"/>
    <w:rsid w:val="00D74FF4"/>
    <w:rsid w:val="00D811AF"/>
    <w:rsid w:val="00D8161A"/>
    <w:rsid w:val="00D82018"/>
    <w:rsid w:val="00D83AB2"/>
    <w:rsid w:val="00D83CD1"/>
    <w:rsid w:val="00D877AD"/>
    <w:rsid w:val="00D87E59"/>
    <w:rsid w:val="00D911DF"/>
    <w:rsid w:val="00D9301B"/>
    <w:rsid w:val="00D9505E"/>
    <w:rsid w:val="00DA113F"/>
    <w:rsid w:val="00DB0C4E"/>
    <w:rsid w:val="00DB4C4E"/>
    <w:rsid w:val="00DC2554"/>
    <w:rsid w:val="00DC27C7"/>
    <w:rsid w:val="00DC5CA8"/>
    <w:rsid w:val="00DC781C"/>
    <w:rsid w:val="00DC792E"/>
    <w:rsid w:val="00DD13E6"/>
    <w:rsid w:val="00DD39F3"/>
    <w:rsid w:val="00DD6680"/>
    <w:rsid w:val="00DD7E4B"/>
    <w:rsid w:val="00DE1AFE"/>
    <w:rsid w:val="00DE30B8"/>
    <w:rsid w:val="00DE684E"/>
    <w:rsid w:val="00DE7F27"/>
    <w:rsid w:val="00DF0FFD"/>
    <w:rsid w:val="00DF52EF"/>
    <w:rsid w:val="00DF5487"/>
    <w:rsid w:val="00DF5A56"/>
    <w:rsid w:val="00DF72FB"/>
    <w:rsid w:val="00E02089"/>
    <w:rsid w:val="00E02365"/>
    <w:rsid w:val="00E0655E"/>
    <w:rsid w:val="00E07C07"/>
    <w:rsid w:val="00E07E38"/>
    <w:rsid w:val="00E10E25"/>
    <w:rsid w:val="00E110AA"/>
    <w:rsid w:val="00E11278"/>
    <w:rsid w:val="00E11D08"/>
    <w:rsid w:val="00E16832"/>
    <w:rsid w:val="00E22E26"/>
    <w:rsid w:val="00E243D2"/>
    <w:rsid w:val="00E30904"/>
    <w:rsid w:val="00E3405A"/>
    <w:rsid w:val="00E42C4E"/>
    <w:rsid w:val="00E42CF3"/>
    <w:rsid w:val="00E42F21"/>
    <w:rsid w:val="00E47FC4"/>
    <w:rsid w:val="00E53001"/>
    <w:rsid w:val="00E53C6E"/>
    <w:rsid w:val="00E55225"/>
    <w:rsid w:val="00E5645F"/>
    <w:rsid w:val="00E619E6"/>
    <w:rsid w:val="00E62092"/>
    <w:rsid w:val="00E6418E"/>
    <w:rsid w:val="00E643B1"/>
    <w:rsid w:val="00E659C9"/>
    <w:rsid w:val="00E65C17"/>
    <w:rsid w:val="00E6710E"/>
    <w:rsid w:val="00E6726C"/>
    <w:rsid w:val="00E677E8"/>
    <w:rsid w:val="00E70142"/>
    <w:rsid w:val="00E7229D"/>
    <w:rsid w:val="00E830B0"/>
    <w:rsid w:val="00E83522"/>
    <w:rsid w:val="00E8364D"/>
    <w:rsid w:val="00E856F9"/>
    <w:rsid w:val="00E9067A"/>
    <w:rsid w:val="00E950B1"/>
    <w:rsid w:val="00E95D79"/>
    <w:rsid w:val="00E97DD6"/>
    <w:rsid w:val="00EA24FC"/>
    <w:rsid w:val="00EA2DEA"/>
    <w:rsid w:val="00EA2E52"/>
    <w:rsid w:val="00EA50BA"/>
    <w:rsid w:val="00EA528A"/>
    <w:rsid w:val="00EB0944"/>
    <w:rsid w:val="00EB1912"/>
    <w:rsid w:val="00EB2251"/>
    <w:rsid w:val="00EB45AE"/>
    <w:rsid w:val="00EB600B"/>
    <w:rsid w:val="00EB63EB"/>
    <w:rsid w:val="00EB6678"/>
    <w:rsid w:val="00EC199C"/>
    <w:rsid w:val="00EC2DA2"/>
    <w:rsid w:val="00EC440B"/>
    <w:rsid w:val="00ED2C7D"/>
    <w:rsid w:val="00ED38FD"/>
    <w:rsid w:val="00ED3BFB"/>
    <w:rsid w:val="00ED5C92"/>
    <w:rsid w:val="00ED6A54"/>
    <w:rsid w:val="00EE28F8"/>
    <w:rsid w:val="00EE462F"/>
    <w:rsid w:val="00EE6725"/>
    <w:rsid w:val="00EE6967"/>
    <w:rsid w:val="00EE6CA4"/>
    <w:rsid w:val="00EE6F77"/>
    <w:rsid w:val="00EF322A"/>
    <w:rsid w:val="00EF7BF9"/>
    <w:rsid w:val="00F00502"/>
    <w:rsid w:val="00F00617"/>
    <w:rsid w:val="00F0082B"/>
    <w:rsid w:val="00F04451"/>
    <w:rsid w:val="00F0491F"/>
    <w:rsid w:val="00F049DE"/>
    <w:rsid w:val="00F04FBC"/>
    <w:rsid w:val="00F10CD5"/>
    <w:rsid w:val="00F1116C"/>
    <w:rsid w:val="00F11597"/>
    <w:rsid w:val="00F14BA2"/>
    <w:rsid w:val="00F14CDB"/>
    <w:rsid w:val="00F151E8"/>
    <w:rsid w:val="00F162CF"/>
    <w:rsid w:val="00F167E3"/>
    <w:rsid w:val="00F17FF0"/>
    <w:rsid w:val="00F23AB2"/>
    <w:rsid w:val="00F27D57"/>
    <w:rsid w:val="00F3181A"/>
    <w:rsid w:val="00F32B17"/>
    <w:rsid w:val="00F342FB"/>
    <w:rsid w:val="00F34708"/>
    <w:rsid w:val="00F35F20"/>
    <w:rsid w:val="00F4047D"/>
    <w:rsid w:val="00F40E49"/>
    <w:rsid w:val="00F429F7"/>
    <w:rsid w:val="00F44D56"/>
    <w:rsid w:val="00F47004"/>
    <w:rsid w:val="00F5250A"/>
    <w:rsid w:val="00F54D41"/>
    <w:rsid w:val="00F579EA"/>
    <w:rsid w:val="00F57A05"/>
    <w:rsid w:val="00F60980"/>
    <w:rsid w:val="00F659AA"/>
    <w:rsid w:val="00F659E0"/>
    <w:rsid w:val="00F65A53"/>
    <w:rsid w:val="00F67B06"/>
    <w:rsid w:val="00F708BA"/>
    <w:rsid w:val="00F723F3"/>
    <w:rsid w:val="00F732A9"/>
    <w:rsid w:val="00F73C66"/>
    <w:rsid w:val="00F7609F"/>
    <w:rsid w:val="00F77A92"/>
    <w:rsid w:val="00F806DC"/>
    <w:rsid w:val="00F81FB0"/>
    <w:rsid w:val="00F838BB"/>
    <w:rsid w:val="00F84C43"/>
    <w:rsid w:val="00F8723A"/>
    <w:rsid w:val="00F87400"/>
    <w:rsid w:val="00F87ABC"/>
    <w:rsid w:val="00F964FE"/>
    <w:rsid w:val="00F97BAD"/>
    <w:rsid w:val="00F97FB9"/>
    <w:rsid w:val="00FA4A7E"/>
    <w:rsid w:val="00FA5770"/>
    <w:rsid w:val="00FA57B8"/>
    <w:rsid w:val="00FB035B"/>
    <w:rsid w:val="00FB1272"/>
    <w:rsid w:val="00FB16AE"/>
    <w:rsid w:val="00FB191C"/>
    <w:rsid w:val="00FB3532"/>
    <w:rsid w:val="00FB3580"/>
    <w:rsid w:val="00FB589C"/>
    <w:rsid w:val="00FB5CF7"/>
    <w:rsid w:val="00FB7C32"/>
    <w:rsid w:val="00FC00B0"/>
    <w:rsid w:val="00FC2901"/>
    <w:rsid w:val="00FC48A0"/>
    <w:rsid w:val="00FC5480"/>
    <w:rsid w:val="00FC737A"/>
    <w:rsid w:val="00FC73DF"/>
    <w:rsid w:val="00FD21D8"/>
    <w:rsid w:val="00FD2FB2"/>
    <w:rsid w:val="00FD411D"/>
    <w:rsid w:val="00FD6670"/>
    <w:rsid w:val="00FE0922"/>
    <w:rsid w:val="00FE0AE8"/>
    <w:rsid w:val="00FE1BD9"/>
    <w:rsid w:val="00FE46E8"/>
    <w:rsid w:val="00FF076A"/>
    <w:rsid w:val="00FF0F50"/>
    <w:rsid w:val="00FF17DA"/>
    <w:rsid w:val="00FF2C4A"/>
    <w:rsid w:val="00FF4E4F"/>
    <w:rsid w:val="00FF6306"/>
    <w:rsid w:val="00FF79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41B4"/>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val="en-GB"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rPr>
  </w:style>
  <w:style w:type="paragraph" w:styleId="Rientrocorpodeltesto">
    <w:name w:val="Body Text Indent"/>
    <w:basedOn w:val="Normale"/>
    <w:pPr>
      <w:widowControl/>
      <w:spacing w:line="264" w:lineRule="auto"/>
      <w:ind w:left="284" w:hanging="284"/>
      <w:jc w:val="both"/>
    </w:pPr>
    <w:rPr>
      <w:kern w:val="2"/>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Paragrafoelenco">
    <w:name w:val="List Paragraph"/>
    <w:basedOn w:val="Normale"/>
    <w:uiPriority w:val="34"/>
    <w:qFormat/>
    <w:rsid w:val="00DD39F3"/>
    <w:pPr>
      <w:ind w:left="720"/>
      <w:contextualSpacing/>
    </w:pPr>
  </w:style>
  <w:style w:type="paragraph" w:styleId="Revisione">
    <w:name w:val="Revision"/>
    <w:hidden/>
    <w:uiPriority w:val="99"/>
    <w:semiHidden/>
    <w:rsid w:val="00E110AA"/>
    <w:rPr>
      <w:rFonts w:ascii="Times New Roman" w:eastAsia="Times New Roman" w:hAnsi="Times New Roman" w:cs="Times New Roman"/>
      <w:sz w:val="20"/>
      <w:szCs w:val="20"/>
      <w:lang w:bidi="ar-SA"/>
    </w:rPr>
  </w:style>
  <w:style w:type="table" w:styleId="Grigliatabella">
    <w:name w:val="Table Grid"/>
    <w:basedOn w:val="Tabellanormale"/>
    <w:uiPriority w:val="39"/>
    <w:rsid w:val="004D7B49"/>
    <w:rPr>
      <w:rFonts w:ascii="Times New Roman" w:eastAsiaTheme="minorHAnsi" w:hAnsi="Times New Roman"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796B-1B19-4AA7-8FFE-8441A7EA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2923</Words>
  <Characters>17718</Characters>
  <Application>Microsoft Office Word</Application>
  <DocSecurity>0</DocSecurity>
  <Lines>843</Lines>
  <Paragraphs>396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Giulia Di Filippo</cp:lastModifiedBy>
  <cp:revision>43</cp:revision>
  <cp:lastPrinted>2023-06-09T13:42:00Z</cp:lastPrinted>
  <dcterms:created xsi:type="dcterms:W3CDTF">2023-06-09T12:37:00Z</dcterms:created>
  <dcterms:modified xsi:type="dcterms:W3CDTF">2023-06-23T12:49:00Z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Mendeley Document_1">
    <vt:lpwstr>True</vt:lpwstr>
  </property>
  <property fmtid="{D5CDD505-2E9C-101B-9397-08002B2CF9AE}" pid="4" name="Mendeley Unique User Id_1">
    <vt:lpwstr>0452fdb5-b7ac-3dd3-ba47-dcabcbbeb0a0</vt:lpwstr>
  </property>
  <property fmtid="{D5CDD505-2E9C-101B-9397-08002B2CF9AE}" pid="5" name="Mendeley Citation Style_1">
    <vt:lpwstr>http://www.zotero.org/styles/harvard1</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 6th edition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11th edition - Harvard</vt:lpwstr>
  </property>
  <property fmtid="{D5CDD505-2E9C-101B-9397-08002B2CF9AE}" pid="14" name="Mendeley Recent Style Id 4_1">
    <vt:lpwstr>http://www.zotero.org/styles/food-bioscience</vt:lpwstr>
  </property>
  <property fmtid="{D5CDD505-2E9C-101B-9397-08002B2CF9AE}" pid="15" name="Mendeley Recent Style Name 4_1">
    <vt:lpwstr>Food Bioscience</vt:lpwstr>
  </property>
  <property fmtid="{D5CDD505-2E9C-101B-9397-08002B2CF9AE}" pid="16" name="Mendeley Recent Style Id 5_1">
    <vt:lpwstr>http://www.zotero.org/styles/food-and-bioproducts-processing</vt:lpwstr>
  </property>
  <property fmtid="{D5CDD505-2E9C-101B-9397-08002B2CF9AE}" pid="17" name="Mendeley Recent Style Name 5_1">
    <vt:lpwstr>Food and Bioproducts Processing</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9th edition</vt:lpwstr>
  </property>
  <property fmtid="{D5CDD505-2E9C-101B-9397-08002B2CF9AE}" pid="26" name="GrammarlyDocumentId">
    <vt:lpwstr>fea1f3885c1c504e559d472ad8e64283aa13f899b8c890f3ae05470c65c5cfc9</vt:lpwstr>
  </property>
</Properties>
</file>