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885A" w14:textId="7B26E202" w:rsidR="007D40F9" w:rsidRDefault="003B301B" w:rsidP="007D40F9">
      <w:pPr>
        <w:pStyle w:val="Titolo"/>
        <w:spacing w:before="600" w:line="240" w:lineRule="auto"/>
        <w:rPr>
          <w:lang w:val="en-GB"/>
        </w:rPr>
      </w:pPr>
      <w:r w:rsidRPr="003B301B">
        <w:rPr>
          <w:lang w:val="en-GB"/>
        </w:rPr>
        <w:t>Sustainable Solutions in Technology and Quality Control of Olive Oil</w:t>
      </w:r>
    </w:p>
    <w:p w14:paraId="21C2B6D2" w14:textId="4774AF8B" w:rsidR="007D40F9" w:rsidRDefault="003B301B" w:rsidP="007D40F9">
      <w:pPr>
        <w:jc w:val="center"/>
        <w:rPr>
          <w:lang w:val="de-DE"/>
        </w:rPr>
      </w:pPr>
      <w:r>
        <w:rPr>
          <w:lang w:val="de-DE"/>
        </w:rPr>
        <w:t>Ilaria Grigoletto</w:t>
      </w:r>
      <w:r w:rsidR="007D40F9">
        <w:rPr>
          <w:lang w:val="de-DE"/>
        </w:rPr>
        <w:t xml:space="preserve"> (</w:t>
      </w:r>
      <w:r>
        <w:rPr>
          <w:lang w:val="de-DE"/>
        </w:rPr>
        <w:t>ilaria.grigoletto2</w:t>
      </w:r>
      <w:r w:rsidR="007D40F9">
        <w:rPr>
          <w:lang w:val="de-DE"/>
        </w:rPr>
        <w:t>@unib</w:t>
      </w:r>
      <w:r>
        <w:rPr>
          <w:lang w:val="de-DE"/>
        </w:rPr>
        <w:t>o.it</w:t>
      </w:r>
      <w:r w:rsidR="007D40F9">
        <w:rPr>
          <w:lang w:val="de-DE"/>
        </w:rPr>
        <w:t>)</w:t>
      </w:r>
    </w:p>
    <w:p w14:paraId="45EC4CC3" w14:textId="798A0724" w:rsidR="007D40F9" w:rsidRPr="003B301B" w:rsidRDefault="003B301B" w:rsidP="003B301B">
      <w:pPr>
        <w:jc w:val="center"/>
      </w:pPr>
      <w:proofErr w:type="spellStart"/>
      <w:r w:rsidRPr="00AF2541">
        <w:t>Dep</w:t>
      </w:r>
      <w:r>
        <w:t>t</w:t>
      </w:r>
      <w:proofErr w:type="spellEnd"/>
      <w:r>
        <w:t>.</w:t>
      </w:r>
      <w:r w:rsidRPr="00AF2541">
        <w:t xml:space="preserve"> of </w:t>
      </w:r>
      <w:proofErr w:type="spellStart"/>
      <w:r w:rsidRPr="00AF2541">
        <w:t>Agricultural</w:t>
      </w:r>
      <w:proofErr w:type="spellEnd"/>
      <w:r w:rsidRPr="00AF2541">
        <w:t xml:space="preserve"> and Food Sciences, Alma Mater </w:t>
      </w:r>
      <w:proofErr w:type="spellStart"/>
      <w:r w:rsidRPr="00AF2541">
        <w:t>Studiorum</w:t>
      </w:r>
      <w:proofErr w:type="spellEnd"/>
      <w:r w:rsidRPr="00AF2541">
        <w:t xml:space="preserve"> – Università di Bologna, Cesena, </w:t>
      </w:r>
      <w:proofErr w:type="spellStart"/>
      <w:r w:rsidRPr="00AF2541">
        <w:t>Italy</w:t>
      </w:r>
      <w:proofErr w:type="spellEnd"/>
    </w:p>
    <w:p w14:paraId="1549B0B4" w14:textId="0F6E2C8A" w:rsidR="007D40F9" w:rsidRPr="003B301B" w:rsidRDefault="007D40F9" w:rsidP="007D40F9">
      <w:pPr>
        <w:jc w:val="center"/>
      </w:pPr>
      <w:r w:rsidRPr="003B301B">
        <w:t xml:space="preserve">Tutor: Prof. </w:t>
      </w:r>
      <w:r w:rsidR="003B301B" w:rsidRPr="003B301B">
        <w:t>Enrico Valli, c</w:t>
      </w:r>
      <w:r w:rsidR="003B301B">
        <w:t>o-tutors: Prof. Tullia Gallina Toschi, Dott. Enrico Casadei</w:t>
      </w:r>
    </w:p>
    <w:p w14:paraId="470CB764" w14:textId="77777777" w:rsidR="007D40F9" w:rsidRPr="003B301B" w:rsidRDefault="007D40F9" w:rsidP="007D40F9">
      <w:pPr>
        <w:jc w:val="both"/>
      </w:pPr>
    </w:p>
    <w:p w14:paraId="4DE4548A" w14:textId="4DEF1376" w:rsidR="007D40F9" w:rsidRDefault="003B301B" w:rsidP="007D40F9">
      <w:pPr>
        <w:jc w:val="both"/>
        <w:rPr>
          <w:lang w:val="en-GB"/>
        </w:rPr>
      </w:pPr>
      <w:r w:rsidRPr="003B301B">
        <w:rPr>
          <w:lang w:val="en-GB"/>
        </w:rPr>
        <w:t>This PhD thesis deals with the set-up and application of rapid, innovative, and sustainable instrumental analytical methods for supporting the sensory analysis (</w:t>
      </w:r>
      <w:r w:rsidR="00546EC4">
        <w:rPr>
          <w:lang w:val="en-GB"/>
        </w:rPr>
        <w:t>Panel test</w:t>
      </w:r>
      <w:r w:rsidRPr="003B301B">
        <w:rPr>
          <w:lang w:val="en-GB"/>
        </w:rPr>
        <w:t xml:space="preserve">) of virgin olive oils. Furthermore, it is focused on olive pomace </w:t>
      </w:r>
      <w:proofErr w:type="spellStart"/>
      <w:r w:rsidRPr="003B301B">
        <w:rPr>
          <w:lang w:val="en-GB"/>
        </w:rPr>
        <w:t>valorization</w:t>
      </w:r>
      <w:proofErr w:type="spellEnd"/>
      <w:r w:rsidRPr="003B301B">
        <w:rPr>
          <w:lang w:val="en-GB"/>
        </w:rPr>
        <w:t xml:space="preserve"> by developing sustainable methods for the extraction of phenolic compounds, followed by the characterization and shelf-life evaluation of the obtained extracts.</w:t>
      </w:r>
    </w:p>
    <w:p w14:paraId="4B8C0A79" w14:textId="43FFE5B9" w:rsidR="007D40F9" w:rsidRDefault="003B301B" w:rsidP="007D40F9">
      <w:pPr>
        <w:pStyle w:val="Titolo"/>
        <w:spacing w:before="240" w:line="240" w:lineRule="auto"/>
        <w:rPr>
          <w:sz w:val="24"/>
          <w:lang w:val="it-IT"/>
        </w:rPr>
      </w:pPr>
      <w:r w:rsidRPr="003B301B">
        <w:rPr>
          <w:sz w:val="24"/>
          <w:lang w:val="it-IT"/>
        </w:rPr>
        <w:t>Soluzioni sostenibili nella tecnologia e nel controllo qualità dell’olio di oliva</w:t>
      </w:r>
    </w:p>
    <w:p w14:paraId="567AA3B7" w14:textId="61EBFBBF" w:rsidR="007D40F9" w:rsidRDefault="003B301B" w:rsidP="007D40F9">
      <w:pPr>
        <w:jc w:val="both"/>
      </w:pPr>
      <w:r w:rsidRPr="003B301B">
        <w:t xml:space="preserve">Questa tesi di dottorato riguarda la messa a punto e l’applicazione di metodi analitici rapidi, innovativi e sostenibili, per la determinazione della qualità e purezza degli oli di oliva vergini come supporto all’analisi sensoriale. Inoltre, l’attività di ricerca è focalizzata sulla valorizzazione della sansa di oliva attraverso lo sviluppo di metodi sostenibili per l’estrazione di composti fenolici e le successive fasi di caratterizzazione e valutazione della </w:t>
      </w:r>
      <w:proofErr w:type="spellStart"/>
      <w:r w:rsidRPr="003B301B">
        <w:t>shelf</w:t>
      </w:r>
      <w:proofErr w:type="spellEnd"/>
      <w:r w:rsidRPr="003B301B">
        <w:t>-life degli estratti ottenuti</w:t>
      </w:r>
      <w:r w:rsidR="007D40F9">
        <w:t>.</w:t>
      </w:r>
    </w:p>
    <w:p w14:paraId="39E78291" w14:textId="77777777" w:rsidR="007D40F9" w:rsidRDefault="007D40F9" w:rsidP="007D40F9">
      <w:pPr>
        <w:pStyle w:val="Intestazione"/>
        <w:tabs>
          <w:tab w:val="clear" w:pos="4819"/>
          <w:tab w:val="clear" w:pos="9638"/>
        </w:tabs>
        <w:spacing w:line="240" w:lineRule="auto"/>
        <w:rPr>
          <w:lang w:val="it-IT"/>
        </w:rPr>
      </w:pPr>
    </w:p>
    <w:p w14:paraId="0188BB6A" w14:textId="5A6338FD" w:rsidR="007D40F9" w:rsidRPr="00746B7D" w:rsidRDefault="007D40F9" w:rsidP="007D40F9">
      <w:pPr>
        <w:jc w:val="both"/>
        <w:rPr>
          <w:lang w:val="en-US"/>
        </w:rPr>
      </w:pPr>
      <w:r>
        <w:rPr>
          <w:b/>
          <w:bCs/>
          <w:lang w:val="en-GB"/>
        </w:rPr>
        <w:t>Key words</w:t>
      </w:r>
      <w:r>
        <w:rPr>
          <w:lang w:val="en-GB"/>
        </w:rPr>
        <w:t xml:space="preserve">: </w:t>
      </w:r>
      <w:r w:rsidR="003B301B" w:rsidRPr="003B301B">
        <w:rPr>
          <w:lang w:val="en-GB"/>
        </w:rPr>
        <w:t xml:space="preserve">virgin olive oils; rapid analytical methods; </w:t>
      </w:r>
      <w:r w:rsidR="00546EC4">
        <w:rPr>
          <w:lang w:val="en-GB"/>
        </w:rPr>
        <w:t>Panel test</w:t>
      </w:r>
      <w:r w:rsidR="003B301B" w:rsidRPr="003B301B">
        <w:rPr>
          <w:lang w:val="en-GB"/>
        </w:rPr>
        <w:t>; quality control; sustainability; olive pomace.</w:t>
      </w:r>
    </w:p>
    <w:p w14:paraId="758A709A" w14:textId="77777777" w:rsidR="007D40F9" w:rsidRDefault="007D40F9" w:rsidP="007D40F9">
      <w:pPr>
        <w:pStyle w:val="Titolo1"/>
        <w:spacing w:before="240" w:after="120"/>
        <w:ind w:right="0"/>
        <w:jc w:val="both"/>
        <w:rPr>
          <w:b/>
          <w:bCs/>
          <w:color w:val="000000"/>
          <w:sz w:val="24"/>
          <w:lang w:val="en-GB"/>
        </w:rPr>
      </w:pPr>
      <w:r>
        <w:rPr>
          <w:b/>
          <w:bCs/>
          <w:color w:val="000000"/>
          <w:sz w:val="24"/>
          <w:lang w:val="en-GB"/>
        </w:rPr>
        <w:t>1. Introduction</w:t>
      </w:r>
    </w:p>
    <w:p w14:paraId="5B0EAC65" w14:textId="512067F3" w:rsidR="007D40F9" w:rsidRDefault="003B301B" w:rsidP="007D40F9">
      <w:pPr>
        <w:jc w:val="both"/>
        <w:rPr>
          <w:lang w:val="en-GB"/>
        </w:rPr>
      </w:pPr>
      <w:r w:rsidRPr="003B301B">
        <w:rPr>
          <w:lang w:val="en-GB"/>
        </w:rPr>
        <w:t xml:space="preserve">This oral communication reports the main results of the following two research activities carried out in this PhD project: </w:t>
      </w:r>
      <w:r w:rsidR="007D40F9">
        <w:rPr>
          <w:lang w:val="en-GB"/>
        </w:rPr>
        <w:t xml:space="preserve"> this oral communication reports the main results of the following four activities directed to: </w:t>
      </w:r>
    </w:p>
    <w:p w14:paraId="5CF88C03" w14:textId="6340A839" w:rsidR="007D40F9" w:rsidRPr="00746B7D" w:rsidRDefault="007D40F9" w:rsidP="007D40F9">
      <w:pPr>
        <w:tabs>
          <w:tab w:val="left" w:pos="567"/>
          <w:tab w:val="left" w:pos="1276"/>
        </w:tabs>
        <w:ind w:left="567" w:hanging="567"/>
        <w:jc w:val="both"/>
        <w:rPr>
          <w:lang w:val="en-US"/>
        </w:rPr>
      </w:pPr>
      <w:r>
        <w:rPr>
          <w:lang w:val="en-GB"/>
        </w:rPr>
        <w:t xml:space="preserve">A1) </w:t>
      </w:r>
      <w:r>
        <w:rPr>
          <w:lang w:val="en-GB"/>
        </w:rPr>
        <w:tab/>
      </w:r>
      <w:r w:rsidR="003B301B" w:rsidRPr="003B301B">
        <w:rPr>
          <w:lang w:val="en-GB"/>
        </w:rPr>
        <w:t>development and application of easy-to-use, innovative, rapid</w:t>
      </w:r>
      <w:r w:rsidR="003D72C9">
        <w:rPr>
          <w:lang w:val="en-GB"/>
        </w:rPr>
        <w:t>,</w:t>
      </w:r>
      <w:r w:rsidR="003B301B" w:rsidRPr="003B301B">
        <w:rPr>
          <w:lang w:val="en-GB"/>
        </w:rPr>
        <w:t xml:space="preserve"> and sustainable analytical instrumental methods to support the sensory analysis of virgin olive oils. In particular, a focus is carried out on the study of the volatile fraction by gas-chromatographic analyses and the composition by spectroscopic techniques, as a relevant potential tools in the determination of the commercial category of virgin olive </w:t>
      </w:r>
      <w:proofErr w:type="gramStart"/>
      <w:r w:rsidR="003B301B" w:rsidRPr="003B301B">
        <w:rPr>
          <w:lang w:val="en-GB"/>
        </w:rPr>
        <w:t>oils;</w:t>
      </w:r>
      <w:proofErr w:type="gramEnd"/>
    </w:p>
    <w:p w14:paraId="46202974" w14:textId="67DDD821" w:rsidR="007D40F9" w:rsidRPr="00746B7D" w:rsidRDefault="007D40F9" w:rsidP="007D40F9">
      <w:pPr>
        <w:tabs>
          <w:tab w:val="left" w:pos="567"/>
        </w:tabs>
        <w:ind w:left="567" w:hanging="567"/>
        <w:jc w:val="both"/>
        <w:rPr>
          <w:lang w:val="en-US"/>
        </w:rPr>
      </w:pPr>
      <w:r>
        <w:rPr>
          <w:lang w:val="en-GB"/>
        </w:rPr>
        <w:t xml:space="preserve">A2) </w:t>
      </w:r>
      <w:r>
        <w:rPr>
          <w:lang w:val="en-GB"/>
        </w:rPr>
        <w:tab/>
      </w:r>
      <w:r w:rsidR="003B301B" w:rsidRPr="003B301B">
        <w:rPr>
          <w:lang w:val="en-GB"/>
        </w:rPr>
        <w:t>olive pomace valorisation: set-up of sustainable methods for extraction of phenolic compounds from olive pomace, as well as characterization and shelf-life evaluation of the so obtained phenolic extracts. This activity is aimed to produce extracts potentially usable in different industrial sectors, such as pharmaceutical, food and cosmetic.</w:t>
      </w:r>
    </w:p>
    <w:p w14:paraId="500829AB" w14:textId="20FB237D" w:rsidR="007D40F9" w:rsidRDefault="007D40F9" w:rsidP="007D40F9">
      <w:pPr>
        <w:pStyle w:val="Titolo1"/>
        <w:spacing w:before="240" w:after="120"/>
        <w:ind w:right="0"/>
        <w:jc w:val="both"/>
        <w:rPr>
          <w:b/>
          <w:bCs/>
          <w:color w:val="000000"/>
          <w:sz w:val="24"/>
          <w:lang w:val="en-GB"/>
        </w:rPr>
      </w:pPr>
      <w:r>
        <w:rPr>
          <w:b/>
          <w:bCs/>
          <w:color w:val="000000"/>
          <w:sz w:val="24"/>
          <w:lang w:val="en-GB"/>
        </w:rPr>
        <w:t xml:space="preserve">2. </w:t>
      </w:r>
      <w:r w:rsidR="003B301B" w:rsidRPr="003B301B">
        <w:rPr>
          <w:b/>
          <w:bCs/>
          <w:color w:val="000000"/>
          <w:sz w:val="24"/>
          <w:lang w:val="en-GB"/>
        </w:rPr>
        <w:t xml:space="preserve">Sustainability Aspects and Related Gaps in the Quality Control and Technology of Olive </w:t>
      </w:r>
      <w:r w:rsidR="003D72C9">
        <w:rPr>
          <w:b/>
          <w:bCs/>
          <w:color w:val="000000"/>
          <w:sz w:val="24"/>
          <w:lang w:val="en-GB"/>
        </w:rPr>
        <w:t>O</w:t>
      </w:r>
      <w:r w:rsidR="003B301B" w:rsidRPr="003B301B">
        <w:rPr>
          <w:b/>
          <w:bCs/>
          <w:color w:val="000000"/>
          <w:sz w:val="24"/>
          <w:lang w:val="en-GB"/>
        </w:rPr>
        <w:t>il</w:t>
      </w:r>
      <w:r w:rsidR="00903D38">
        <w:rPr>
          <w:b/>
          <w:bCs/>
          <w:color w:val="000000"/>
          <w:sz w:val="24"/>
          <w:lang w:val="en-GB"/>
        </w:rPr>
        <w:t xml:space="preserve"> Sector</w:t>
      </w:r>
    </w:p>
    <w:p w14:paraId="1EE2C6CB" w14:textId="77777777" w:rsidR="003B301B" w:rsidRPr="003B301B" w:rsidRDefault="003B301B" w:rsidP="003B301B">
      <w:pPr>
        <w:tabs>
          <w:tab w:val="left" w:pos="0"/>
        </w:tabs>
        <w:jc w:val="both"/>
        <w:rPr>
          <w:lang w:val="en-GB"/>
        </w:rPr>
      </w:pPr>
      <w:r w:rsidRPr="003B301B">
        <w:rPr>
          <w:lang w:val="en-GB"/>
        </w:rPr>
        <w:t>Nowadays, one of the main worldwide challenges is the achievement of the 17 sustainable development goals, known as SDGs in the framework of UN Agenda 2030. Among these, it is important to mention the most related to this PhD project, the SDG 12, namely “responsible consumption and production”, and specifically the target 12.3 which focuses on the halve per capita food waste at the retail and consumer level and reduce food losses along the food production and supply chains; and the target 12.4, that focuses on the management of chemicals and waste to significantly reduce their release to air, water and soil in order to minimize their adverse impacts on human health and the environment.</w:t>
      </w:r>
    </w:p>
    <w:p w14:paraId="7CF1286B" w14:textId="77777777" w:rsidR="003B301B" w:rsidRPr="003B301B" w:rsidRDefault="003B301B" w:rsidP="003B301B">
      <w:pPr>
        <w:tabs>
          <w:tab w:val="left" w:pos="0"/>
        </w:tabs>
        <w:jc w:val="both"/>
        <w:rPr>
          <w:lang w:val="en-GB"/>
        </w:rPr>
      </w:pPr>
      <w:r w:rsidRPr="003B301B">
        <w:rPr>
          <w:lang w:val="en-GB"/>
        </w:rPr>
        <w:t xml:space="preserve">In the Mediterranean basin, olive oil represents one of the main food products, since more than 90% of the global production comes from this area, concentrating mainly on European countries like Spain, Greece, and Italy (European Commission, 2023). In the European Union, virgin olive oils (VOOs) can be classified in three commercial categories depending on their quality degree: extra virgin (EV), virgin (V) and </w:t>
      </w:r>
      <w:proofErr w:type="spellStart"/>
      <w:r w:rsidRPr="003B301B">
        <w:rPr>
          <w:lang w:val="en-GB"/>
        </w:rPr>
        <w:t>lampante</w:t>
      </w:r>
      <w:proofErr w:type="spellEnd"/>
      <w:r w:rsidRPr="003B301B">
        <w:rPr>
          <w:lang w:val="en-GB"/>
        </w:rPr>
        <w:t xml:space="preserve"> (L) (EU Reg. 2022/2104). The different quality level of each commercial category corresponds to different values and, subsequently, to various prices.</w:t>
      </w:r>
    </w:p>
    <w:p w14:paraId="4AA8866F" w14:textId="77777777" w:rsidR="003B301B" w:rsidRPr="003B301B" w:rsidRDefault="003B301B" w:rsidP="003B301B">
      <w:pPr>
        <w:tabs>
          <w:tab w:val="left" w:pos="0"/>
        </w:tabs>
        <w:jc w:val="both"/>
        <w:rPr>
          <w:lang w:val="en-GB"/>
        </w:rPr>
      </w:pPr>
      <w:r w:rsidRPr="003B301B">
        <w:rPr>
          <w:lang w:val="en-GB"/>
        </w:rPr>
        <w:t xml:space="preserve">It is important to consider that most of the official analytical methods to assess the quality and genuineness of VOOs consist of time-consuming and complex procedures, often with the use of toxic chemicals and solvents which are dangerous for human health and the environment or are expensive and difficult to be managed. For these reasons, there is a strong and growing demand for rapid, easy-to use and environmentally friendly analytical procedures to support the official ones. This includes procedures that do not require solvents at all, such as the determination of volatile compounds by gas-chromatographic techniques with headspace-solid phase microextraction (HS-SPME-GC), ion mobility spectrometry (HS-GC-IMS) or HS-Flash-GC (Quintanilla-Casas </w:t>
      </w:r>
      <w:r w:rsidRPr="0028440F">
        <w:rPr>
          <w:i/>
          <w:iCs/>
          <w:lang w:val="en-GB"/>
        </w:rPr>
        <w:t>et al.</w:t>
      </w:r>
      <w:r w:rsidRPr="003B301B">
        <w:rPr>
          <w:lang w:val="en-GB"/>
        </w:rPr>
        <w:t xml:space="preserve">, 2020). It is well known that volatile compounds have a crucial role to determinate VOOs quality, since they are directly responsible for the olfactory notes, and methods for their determination could be used as support for sensory analysis in the classification of VOO based on the quality grade (Barbieri </w:t>
      </w:r>
      <w:r w:rsidRPr="0028440F">
        <w:rPr>
          <w:i/>
          <w:iCs/>
          <w:lang w:val="en-GB"/>
        </w:rPr>
        <w:t>et al</w:t>
      </w:r>
      <w:r w:rsidRPr="003B301B">
        <w:rPr>
          <w:lang w:val="en-GB"/>
        </w:rPr>
        <w:t xml:space="preserve">., 2020a; Quintanilla-Casas </w:t>
      </w:r>
      <w:r w:rsidRPr="0028440F">
        <w:rPr>
          <w:i/>
          <w:iCs/>
          <w:lang w:val="en-GB"/>
        </w:rPr>
        <w:t>et al</w:t>
      </w:r>
      <w:r w:rsidRPr="003B301B">
        <w:rPr>
          <w:lang w:val="en-GB"/>
        </w:rPr>
        <w:t xml:space="preserve">., 2020). </w:t>
      </w:r>
    </w:p>
    <w:p w14:paraId="3E3A2A04" w14:textId="77777777" w:rsidR="003B301B" w:rsidRPr="003B301B" w:rsidRDefault="003B301B" w:rsidP="003B301B">
      <w:pPr>
        <w:tabs>
          <w:tab w:val="left" w:pos="0"/>
        </w:tabs>
        <w:jc w:val="both"/>
        <w:rPr>
          <w:lang w:val="en-GB"/>
        </w:rPr>
      </w:pPr>
      <w:r w:rsidRPr="003B301B">
        <w:rPr>
          <w:lang w:val="en-GB"/>
        </w:rPr>
        <w:lastRenderedPageBreak/>
        <w:t xml:space="preserve">Furthermore, regarding rapid, innovative, and sustainable techniques for the assessment of VOOs quality and genuineness, current investigations are also focused on the adoption of optical techniques (Delfino </w:t>
      </w:r>
      <w:r w:rsidRPr="0028440F">
        <w:rPr>
          <w:i/>
          <w:iCs/>
          <w:lang w:val="en-GB"/>
        </w:rPr>
        <w:t>et al</w:t>
      </w:r>
      <w:r w:rsidRPr="003B301B">
        <w:rPr>
          <w:lang w:val="en-GB"/>
        </w:rPr>
        <w:t xml:space="preserve">., 2018). </w:t>
      </w:r>
      <w:proofErr w:type="gramStart"/>
      <w:r w:rsidRPr="003B301B">
        <w:rPr>
          <w:lang w:val="en-GB"/>
        </w:rPr>
        <w:t>In particular, NIR</w:t>
      </w:r>
      <w:proofErr w:type="gramEnd"/>
      <w:r w:rsidRPr="003B301B">
        <w:rPr>
          <w:lang w:val="en-GB"/>
        </w:rPr>
        <w:t xml:space="preserve">, MIR, Raman and FT-IR spectroscopic methods are useful tools for the rapid determination of food composition and molecular structure, also in the case of olive oils. </w:t>
      </w:r>
    </w:p>
    <w:p w14:paraId="3369A913" w14:textId="59110783" w:rsidR="00E90063" w:rsidRPr="00934E93" w:rsidRDefault="003B301B" w:rsidP="00934E93">
      <w:pPr>
        <w:tabs>
          <w:tab w:val="left" w:pos="0"/>
        </w:tabs>
        <w:jc w:val="both"/>
        <w:rPr>
          <w:lang w:val="en-GB"/>
        </w:rPr>
      </w:pPr>
      <w:r w:rsidRPr="003B301B">
        <w:rPr>
          <w:lang w:val="en-GB"/>
        </w:rPr>
        <w:t xml:space="preserve">In the context of a sustainable olive oil production, olive pomace is the main residue in the mechanical extraction of the olive oil from the olive fruits and it is basically composed of skin, pulp and stone pieces, water, and oil. The major problem related to olive pomace is that it also contains organic compounds with phytotoxic properties, that are dangerous for the environment (Nunes </w:t>
      </w:r>
      <w:r w:rsidRPr="0028440F">
        <w:rPr>
          <w:i/>
          <w:iCs/>
          <w:lang w:val="en-GB"/>
        </w:rPr>
        <w:t>et al</w:t>
      </w:r>
      <w:r w:rsidRPr="003B301B">
        <w:rPr>
          <w:lang w:val="en-GB"/>
        </w:rPr>
        <w:t>., 2021). Although it represents an important environmental issue, olive pomace is also characterized by the presence of high added value molecules, such as phenolic compounds (</w:t>
      </w:r>
      <w:proofErr w:type="spellStart"/>
      <w:r w:rsidRPr="003B301B">
        <w:rPr>
          <w:lang w:val="en-GB"/>
        </w:rPr>
        <w:t>Dermeche</w:t>
      </w:r>
      <w:proofErr w:type="spellEnd"/>
      <w:r w:rsidRPr="003B301B">
        <w:rPr>
          <w:lang w:val="en-GB"/>
        </w:rPr>
        <w:t xml:space="preserve"> </w:t>
      </w:r>
      <w:r w:rsidRPr="0028440F">
        <w:rPr>
          <w:i/>
          <w:iCs/>
          <w:lang w:val="en-GB"/>
        </w:rPr>
        <w:t>et al</w:t>
      </w:r>
      <w:r w:rsidRPr="003B301B">
        <w:rPr>
          <w:lang w:val="en-GB"/>
        </w:rPr>
        <w:t>., 2013), widely recognised for their beneficial properties (</w:t>
      </w:r>
      <w:proofErr w:type="gramStart"/>
      <w:r w:rsidRPr="003B301B">
        <w:rPr>
          <w:lang w:val="en-GB"/>
        </w:rPr>
        <w:t>e.g.</w:t>
      </w:r>
      <w:proofErr w:type="gramEnd"/>
      <w:r w:rsidRPr="003B301B">
        <w:rPr>
          <w:lang w:val="en-GB"/>
        </w:rPr>
        <w:t xml:space="preserve"> antioxidant activity). For this reason, this by-product is a potential source of phenolic compounds and their valorisation as functional ingredients in pharmaceutical, cosmetic and food industries (Nunes </w:t>
      </w:r>
      <w:r w:rsidRPr="0028440F">
        <w:rPr>
          <w:i/>
          <w:iCs/>
          <w:lang w:val="en-GB"/>
        </w:rPr>
        <w:t>et al</w:t>
      </w:r>
      <w:r w:rsidRPr="003B301B">
        <w:rPr>
          <w:lang w:val="en-GB"/>
        </w:rPr>
        <w:t>., 2016) represents a promising sustainable valorisation strategy, especially in a circular economy perspective</w:t>
      </w:r>
      <w:r w:rsidR="00E90063">
        <w:rPr>
          <w:lang w:val="en-GB"/>
        </w:rPr>
        <w:t>.</w:t>
      </w:r>
    </w:p>
    <w:p w14:paraId="5426E9C8" w14:textId="2C393CAC" w:rsidR="007D40F9" w:rsidRDefault="00E90063" w:rsidP="007D40F9">
      <w:pPr>
        <w:pStyle w:val="Titolo1"/>
        <w:spacing w:before="240" w:after="120"/>
        <w:ind w:right="0"/>
        <w:jc w:val="both"/>
        <w:rPr>
          <w:b/>
          <w:bCs/>
          <w:color w:val="000000"/>
          <w:sz w:val="24"/>
          <w:lang w:val="en-GB"/>
        </w:rPr>
      </w:pPr>
      <w:r>
        <w:rPr>
          <w:b/>
          <w:bCs/>
          <w:color w:val="000000"/>
          <w:sz w:val="24"/>
          <w:lang w:val="en-GB"/>
        </w:rPr>
        <w:t>3</w:t>
      </w:r>
      <w:r w:rsidR="007D40F9">
        <w:rPr>
          <w:b/>
          <w:bCs/>
          <w:color w:val="000000"/>
          <w:sz w:val="24"/>
          <w:lang w:val="en-GB"/>
        </w:rPr>
        <w:t>. Experimental Procedure</w:t>
      </w:r>
    </w:p>
    <w:p w14:paraId="023AFFD0" w14:textId="4214D8FA" w:rsidR="00934E93" w:rsidRPr="00934E93" w:rsidRDefault="00934E93" w:rsidP="00934E93">
      <w:pPr>
        <w:jc w:val="both"/>
        <w:rPr>
          <w:bCs/>
          <w:iCs/>
          <w:lang w:val="en-GB"/>
        </w:rPr>
      </w:pPr>
      <w:r w:rsidRPr="00934E93">
        <w:rPr>
          <w:bCs/>
          <w:iCs/>
          <w:lang w:val="en-GB"/>
        </w:rPr>
        <w:t>Regarding the first activity (A1), the research has started with the collection of commercial VOOs. The sensory analysis (</w:t>
      </w:r>
      <w:r w:rsidR="00546EC4">
        <w:rPr>
          <w:bCs/>
          <w:iCs/>
          <w:lang w:val="en-GB"/>
        </w:rPr>
        <w:t>Panel test</w:t>
      </w:r>
      <w:r w:rsidRPr="00934E93">
        <w:rPr>
          <w:bCs/>
          <w:iCs/>
          <w:lang w:val="en-GB"/>
        </w:rPr>
        <w:t>) was carried out by four panels to robustly determine the commercial category of each sampled oil, among EV, V and L. Secondly, the same sample set was analysed by gas chromatography coupled with ion mobility spectrometry (HS-GC-IMS) and Flash-gas chromatography (Flash-GC) to investigate the volatile fraction, since it is strictly correlated with the sensory attributes, both fruity and defects. The data obtained from the two techniques were elaborated by applying chemometric approaches, such as PLS-DA models, to predict the commercial category.</w:t>
      </w:r>
    </w:p>
    <w:p w14:paraId="2C748AA8" w14:textId="77777777" w:rsidR="00934E93" w:rsidRPr="00934E93" w:rsidRDefault="00934E93" w:rsidP="00934E93">
      <w:pPr>
        <w:jc w:val="both"/>
        <w:rPr>
          <w:bCs/>
          <w:iCs/>
          <w:lang w:val="en-GB"/>
        </w:rPr>
      </w:pPr>
      <w:r w:rsidRPr="00934E93">
        <w:rPr>
          <w:bCs/>
          <w:iCs/>
          <w:lang w:val="en-GB"/>
        </w:rPr>
        <w:t xml:space="preserve">Finally, a selection of the same samples set was analysed by spectroscopic techniques (NIR, FT-IR and Raman), during a 3-months visiting period at Queen’s University Belfast (from November 2022 to February 2023) to investigate composition and molecular structure of VOOs. Regarding data elaboration, a focus on rancid defect is under investigation, mainly applying PLS-DA models, since it is directly related to the oxidation status of olive oil (Frankel </w:t>
      </w:r>
      <w:r w:rsidRPr="0028440F">
        <w:rPr>
          <w:bCs/>
          <w:i/>
          <w:lang w:val="en-GB"/>
        </w:rPr>
        <w:t>et al</w:t>
      </w:r>
      <w:r w:rsidRPr="00934E93">
        <w:rPr>
          <w:bCs/>
          <w:iCs/>
          <w:lang w:val="en-GB"/>
        </w:rPr>
        <w:t xml:space="preserve">., 1983), and consequently to its quality. Also, a “data fusion” between the results of the different analytical techniques will be considered to obtain more robust predictive models. </w:t>
      </w:r>
    </w:p>
    <w:p w14:paraId="0DF81C70" w14:textId="77777777" w:rsidR="00934E93" w:rsidRPr="00934E93" w:rsidRDefault="00934E93" w:rsidP="00934E93">
      <w:pPr>
        <w:jc w:val="both"/>
        <w:rPr>
          <w:bCs/>
          <w:iCs/>
          <w:lang w:val="en-GB"/>
        </w:rPr>
      </w:pPr>
      <w:r w:rsidRPr="00934E93">
        <w:rPr>
          <w:bCs/>
          <w:iCs/>
          <w:lang w:val="en-GB"/>
        </w:rPr>
        <w:t xml:space="preserve">Regarding the second activity (A2), the sustainable valorisation of olive pomace by obtaining extracts rich in phenolic compounds was carried out in the framework of the PRIMA project SUSTAINOLIVE “Novel approaches to promote the </w:t>
      </w:r>
      <w:proofErr w:type="spellStart"/>
      <w:r w:rsidRPr="00934E93">
        <w:rPr>
          <w:bCs/>
          <w:iCs/>
          <w:lang w:val="en-GB"/>
        </w:rPr>
        <w:t>SUSTAInability</w:t>
      </w:r>
      <w:proofErr w:type="spellEnd"/>
      <w:r w:rsidRPr="00934E93">
        <w:rPr>
          <w:bCs/>
          <w:iCs/>
          <w:lang w:val="en-GB"/>
        </w:rPr>
        <w:t xml:space="preserve"> of OLIVE cultivation in the Mediterranean" (Grant Agreement no. 813904, 2019 – 2023). </w:t>
      </w:r>
    </w:p>
    <w:p w14:paraId="73E3897A" w14:textId="0267B129" w:rsidR="007D40F9" w:rsidRPr="00934E93" w:rsidRDefault="00934E93" w:rsidP="00934E93">
      <w:pPr>
        <w:jc w:val="both"/>
        <w:rPr>
          <w:lang w:val="en-GB"/>
        </w:rPr>
      </w:pPr>
      <w:r w:rsidRPr="00934E93">
        <w:rPr>
          <w:bCs/>
          <w:iCs/>
          <w:lang w:val="en-GB"/>
        </w:rPr>
        <w:t xml:space="preserve">The research has started from the set-up of the analytical procedure for the extraction of phenolic compounds and the characterization of the phenolic profile of olive pomace samples. Subsequently, the activities were aimed to develop a sustainable procedure through the application of a mechanical approach, using </w:t>
      </w:r>
      <w:proofErr w:type="gramStart"/>
      <w:r w:rsidRPr="00934E93">
        <w:rPr>
          <w:bCs/>
          <w:iCs/>
          <w:lang w:val="en-GB"/>
        </w:rPr>
        <w:t>less</w:t>
      </w:r>
      <w:proofErr w:type="gramEnd"/>
      <w:r w:rsidRPr="00934E93">
        <w:rPr>
          <w:bCs/>
          <w:iCs/>
          <w:lang w:val="en-GB"/>
        </w:rPr>
        <w:t xml:space="preserve"> toxic solvents than those usually adopted such as food grade ethanol, to obtain phenolic hydroalcoholic extracts. On these extracts, a shelf-life study, including both sensory and instrumental evaluations, was carried out to investigate their stability over time.</w:t>
      </w:r>
    </w:p>
    <w:p w14:paraId="7B1DF5C4" w14:textId="6F999ACA" w:rsidR="007D40F9" w:rsidRDefault="00E90063" w:rsidP="007D40F9">
      <w:pPr>
        <w:pStyle w:val="Titolo1"/>
        <w:tabs>
          <w:tab w:val="left" w:pos="567"/>
        </w:tabs>
        <w:spacing w:before="240" w:after="120"/>
        <w:ind w:right="0"/>
        <w:jc w:val="both"/>
        <w:rPr>
          <w:b/>
          <w:bCs/>
          <w:color w:val="000000"/>
          <w:sz w:val="24"/>
          <w:lang w:val="en-GB"/>
        </w:rPr>
      </w:pPr>
      <w:r>
        <w:rPr>
          <w:b/>
          <w:bCs/>
          <w:color w:val="000000"/>
          <w:sz w:val="24"/>
          <w:lang w:val="en-GB"/>
        </w:rPr>
        <w:t>4</w:t>
      </w:r>
      <w:r w:rsidR="007D40F9">
        <w:rPr>
          <w:b/>
          <w:bCs/>
          <w:color w:val="000000"/>
          <w:sz w:val="24"/>
          <w:lang w:val="en-GB"/>
        </w:rPr>
        <w:t>. Materials and Methods</w:t>
      </w:r>
    </w:p>
    <w:p w14:paraId="65A28C21" w14:textId="77777777" w:rsidR="00934E93" w:rsidRPr="00581223" w:rsidRDefault="00934E93" w:rsidP="00581223">
      <w:pPr>
        <w:pStyle w:val="Titolo2"/>
        <w:jc w:val="both"/>
        <w:rPr>
          <w:b/>
          <w:bCs/>
          <w:sz w:val="20"/>
          <w:lang w:val="en-GB"/>
        </w:rPr>
      </w:pPr>
      <w:r w:rsidRPr="00581223">
        <w:rPr>
          <w:b/>
          <w:bCs/>
          <w:sz w:val="20"/>
          <w:lang w:val="en-GB"/>
        </w:rPr>
        <w:t xml:space="preserve">4.1 Rapid and sustainable instrumental analytical methods to support the sensory </w:t>
      </w:r>
      <w:proofErr w:type="gramStart"/>
      <w:r w:rsidRPr="00581223">
        <w:rPr>
          <w:b/>
          <w:bCs/>
          <w:sz w:val="20"/>
          <w:lang w:val="en-GB"/>
        </w:rPr>
        <w:t>analysis</w:t>
      </w:r>
      <w:proofErr w:type="gramEnd"/>
    </w:p>
    <w:p w14:paraId="27E6B611" w14:textId="61D5308E" w:rsidR="00934E93" w:rsidRDefault="00934E93" w:rsidP="00934E93">
      <w:pPr>
        <w:jc w:val="both"/>
        <w:rPr>
          <w:lang w:val="en-GB"/>
        </w:rPr>
      </w:pPr>
      <w:r w:rsidRPr="00FE38D2">
        <w:rPr>
          <w:lang w:val="en-GB"/>
        </w:rPr>
        <w:t xml:space="preserve">In this context, </w:t>
      </w:r>
      <w:r>
        <w:rPr>
          <w:lang w:val="en-GB"/>
        </w:rPr>
        <w:t>Flash-GC (</w:t>
      </w:r>
      <w:r w:rsidRPr="00D849AE">
        <w:rPr>
          <w:lang w:val="en-GB"/>
        </w:rPr>
        <w:t xml:space="preserve">FGC-E-nose Heracles II, </w:t>
      </w:r>
      <w:proofErr w:type="spellStart"/>
      <w:r w:rsidRPr="00D849AE">
        <w:rPr>
          <w:lang w:val="en-GB"/>
        </w:rPr>
        <w:t>AlphaMos</w:t>
      </w:r>
      <w:proofErr w:type="spellEnd"/>
      <w:r w:rsidRPr="00D849AE">
        <w:rPr>
          <w:lang w:val="en-GB"/>
        </w:rPr>
        <w:t>, Toulouse, F</w:t>
      </w:r>
      <w:r>
        <w:rPr>
          <w:lang w:val="en-GB"/>
        </w:rPr>
        <w:t xml:space="preserve">) and </w:t>
      </w:r>
      <w:r w:rsidRPr="00FE38D2">
        <w:rPr>
          <w:lang w:val="en-GB"/>
        </w:rPr>
        <w:t>HS-GC-IMS</w:t>
      </w:r>
      <w:r>
        <w:rPr>
          <w:lang w:val="en-GB"/>
        </w:rPr>
        <w:t xml:space="preserve"> (</w:t>
      </w:r>
      <w:proofErr w:type="spellStart"/>
      <w:r w:rsidRPr="00AF2541">
        <w:rPr>
          <w:lang w:val="en-GB"/>
        </w:rPr>
        <w:t>Flavourspec</w:t>
      </w:r>
      <w:proofErr w:type="spellEnd"/>
      <w:r w:rsidRPr="00AF2541">
        <w:rPr>
          <w:lang w:val="en-GB"/>
        </w:rPr>
        <w:t>®</w:t>
      </w:r>
      <w:r>
        <w:rPr>
          <w:lang w:val="en-GB"/>
        </w:rPr>
        <w:t xml:space="preserve">, </w:t>
      </w:r>
      <w:r w:rsidRPr="00AF2541">
        <w:rPr>
          <w:lang w:val="en-GB"/>
        </w:rPr>
        <w:t xml:space="preserve">G.A.S. Dortmund, Dortmund, </w:t>
      </w:r>
      <w:r>
        <w:rPr>
          <w:lang w:val="en-GB"/>
        </w:rPr>
        <w:t xml:space="preserve">D) </w:t>
      </w:r>
      <w:r w:rsidRPr="00A457C7">
        <w:rPr>
          <w:lang w:val="en-GB"/>
        </w:rPr>
        <w:t>techniques</w:t>
      </w:r>
      <w:r>
        <w:rPr>
          <w:lang w:val="en-GB"/>
        </w:rPr>
        <w:t xml:space="preserve"> </w:t>
      </w:r>
      <w:r w:rsidRPr="00FE38D2">
        <w:rPr>
          <w:lang w:val="en-GB"/>
        </w:rPr>
        <w:t>were performed on</w:t>
      </w:r>
      <w:r>
        <w:rPr>
          <w:lang w:val="en-GB"/>
        </w:rPr>
        <w:t xml:space="preserve"> 120 VOOs, </w:t>
      </w:r>
      <w:r w:rsidRPr="00FE38D2">
        <w:rPr>
          <w:lang w:val="en-GB"/>
        </w:rPr>
        <w:t>collected</w:t>
      </w:r>
      <w:r>
        <w:rPr>
          <w:lang w:val="en-GB"/>
        </w:rPr>
        <w:t xml:space="preserve"> </w:t>
      </w:r>
      <w:proofErr w:type="gramStart"/>
      <w:r>
        <w:rPr>
          <w:lang w:val="en-GB"/>
        </w:rPr>
        <w:t>in order to</w:t>
      </w:r>
      <w:proofErr w:type="gramEnd"/>
      <w:r>
        <w:rPr>
          <w:lang w:val="en-GB"/>
        </w:rPr>
        <w:t xml:space="preserve"> have </w:t>
      </w:r>
      <w:r w:rsidRPr="00FE38D2">
        <w:rPr>
          <w:lang w:val="en-GB"/>
        </w:rPr>
        <w:t>a relevant and balanced variety in the commercial categories</w:t>
      </w:r>
      <w:r>
        <w:rPr>
          <w:lang w:val="en-GB"/>
        </w:rPr>
        <w:t xml:space="preserve">. The samples were assessed </w:t>
      </w:r>
      <w:r w:rsidRPr="00FE38D2">
        <w:rPr>
          <w:lang w:val="en-GB"/>
        </w:rPr>
        <w:t xml:space="preserve">by sensory analysis </w:t>
      </w:r>
      <w:r>
        <w:rPr>
          <w:lang w:val="en-GB"/>
        </w:rPr>
        <w:t>(</w:t>
      </w:r>
      <w:r w:rsidR="00546EC4">
        <w:rPr>
          <w:lang w:val="en-GB"/>
        </w:rPr>
        <w:t>Panel test</w:t>
      </w:r>
      <w:r>
        <w:rPr>
          <w:lang w:val="en-GB"/>
        </w:rPr>
        <w:t xml:space="preserve">) </w:t>
      </w:r>
      <w:r w:rsidRPr="00A457C7">
        <w:rPr>
          <w:lang w:val="en-GB"/>
        </w:rPr>
        <w:t xml:space="preserve">carried out by 4 Italian panels, </w:t>
      </w:r>
      <w:proofErr w:type="gramStart"/>
      <w:r w:rsidRPr="00A457C7">
        <w:rPr>
          <w:lang w:val="en-GB"/>
        </w:rPr>
        <w:t>in order to</w:t>
      </w:r>
      <w:proofErr w:type="gramEnd"/>
      <w:r w:rsidRPr="00A457C7">
        <w:rPr>
          <w:lang w:val="en-GB"/>
        </w:rPr>
        <w:t xml:space="preserve"> have a robust sensory classification thanks to the application of a decision tree developed within the</w:t>
      </w:r>
      <w:r>
        <w:rPr>
          <w:lang w:val="en-GB"/>
        </w:rPr>
        <w:t xml:space="preserve"> H2020</w:t>
      </w:r>
      <w:r w:rsidRPr="00A457C7">
        <w:rPr>
          <w:lang w:val="en-GB"/>
        </w:rPr>
        <w:t xml:space="preserve"> OLEUM project</w:t>
      </w:r>
      <w:r w:rsidRPr="004C0A27">
        <w:rPr>
          <w:lang w:val="en-GB"/>
        </w:rPr>
        <w:t xml:space="preserve"> (Barbieri </w:t>
      </w:r>
      <w:r w:rsidRPr="00522DCB">
        <w:rPr>
          <w:i/>
          <w:iCs/>
          <w:lang w:val="en-GB"/>
        </w:rPr>
        <w:t>et al</w:t>
      </w:r>
      <w:r w:rsidRPr="004C0A27">
        <w:rPr>
          <w:lang w:val="en-GB"/>
        </w:rPr>
        <w:t>., 2020</w:t>
      </w:r>
      <w:r>
        <w:rPr>
          <w:lang w:val="en-GB"/>
        </w:rPr>
        <w:t>b</w:t>
      </w:r>
      <w:r w:rsidRPr="004C0A27">
        <w:rPr>
          <w:lang w:val="en-GB"/>
        </w:rPr>
        <w:t>). To predict the commercial category, previously developed chemometric approaches based on a PLS-DA models, both for</w:t>
      </w:r>
      <w:r w:rsidRPr="002D3F00">
        <w:rPr>
          <w:lang w:val="en-GB"/>
        </w:rPr>
        <w:t xml:space="preserve"> Flash-GC (Barbieri </w:t>
      </w:r>
      <w:r w:rsidRPr="00522DCB">
        <w:rPr>
          <w:i/>
          <w:iCs/>
          <w:lang w:val="en-GB"/>
        </w:rPr>
        <w:t>et al</w:t>
      </w:r>
      <w:r w:rsidRPr="002D3F00">
        <w:rPr>
          <w:lang w:val="en-GB"/>
        </w:rPr>
        <w:t>., 2020</w:t>
      </w:r>
      <w:r>
        <w:rPr>
          <w:lang w:val="en-GB"/>
        </w:rPr>
        <w:t>a</w:t>
      </w:r>
      <w:r w:rsidRPr="002D3F00">
        <w:rPr>
          <w:lang w:val="en-GB"/>
        </w:rPr>
        <w:t xml:space="preserve">) and HS-GC-IMS (Valli </w:t>
      </w:r>
      <w:r w:rsidRPr="00522DCB">
        <w:rPr>
          <w:i/>
          <w:iCs/>
          <w:lang w:val="en-GB"/>
        </w:rPr>
        <w:t>et al</w:t>
      </w:r>
      <w:r w:rsidRPr="002D3F00">
        <w:rPr>
          <w:lang w:val="en-GB"/>
        </w:rPr>
        <w:t>., 2020)</w:t>
      </w:r>
      <w:r>
        <w:rPr>
          <w:lang w:val="en-GB"/>
        </w:rPr>
        <w:t xml:space="preserve">, were applied on a selection of these samples. In particular, the models combined to assign the commercial category and classify the samples with a certain probability </w:t>
      </w:r>
      <w:proofErr w:type="gramStart"/>
      <w:r>
        <w:rPr>
          <w:lang w:val="en-GB"/>
        </w:rPr>
        <w:t>were:</w:t>
      </w:r>
      <w:proofErr w:type="gramEnd"/>
      <w:r>
        <w:rPr>
          <w:lang w:val="en-GB"/>
        </w:rPr>
        <w:t xml:space="preserve"> </w:t>
      </w:r>
      <w:r w:rsidRPr="005A61FD">
        <w:rPr>
          <w:lang w:val="en-GB"/>
        </w:rPr>
        <w:t>E</w:t>
      </w:r>
      <w:r>
        <w:rPr>
          <w:lang w:val="en-GB"/>
        </w:rPr>
        <w:t>V</w:t>
      </w:r>
      <w:r w:rsidRPr="005A61FD">
        <w:rPr>
          <w:lang w:val="en-GB"/>
        </w:rPr>
        <w:t xml:space="preserve"> </w:t>
      </w:r>
      <w:r w:rsidRPr="005A61FD">
        <w:rPr>
          <w:i/>
          <w:iCs/>
          <w:lang w:val="en-GB"/>
        </w:rPr>
        <w:t>vs</w:t>
      </w:r>
      <w:r w:rsidRPr="005A61FD">
        <w:rPr>
          <w:lang w:val="en-GB"/>
        </w:rPr>
        <w:t xml:space="preserve"> </w:t>
      </w:r>
      <w:proofErr w:type="spellStart"/>
      <w:r w:rsidRPr="005A61FD">
        <w:rPr>
          <w:lang w:val="en-GB"/>
        </w:rPr>
        <w:t>noE</w:t>
      </w:r>
      <w:r>
        <w:rPr>
          <w:lang w:val="en-GB"/>
        </w:rPr>
        <w:t>V</w:t>
      </w:r>
      <w:proofErr w:type="spellEnd"/>
      <w:r w:rsidRPr="005A61FD">
        <w:rPr>
          <w:lang w:val="en-GB"/>
        </w:rPr>
        <w:t xml:space="preserve">; L </w:t>
      </w:r>
      <w:r w:rsidRPr="005A61FD">
        <w:rPr>
          <w:i/>
          <w:iCs/>
          <w:lang w:val="en-GB"/>
        </w:rPr>
        <w:t>vs</w:t>
      </w:r>
      <w:r w:rsidRPr="005A61FD">
        <w:rPr>
          <w:lang w:val="en-GB"/>
        </w:rPr>
        <w:t xml:space="preserve"> </w:t>
      </w:r>
      <w:proofErr w:type="spellStart"/>
      <w:r w:rsidRPr="005A61FD">
        <w:rPr>
          <w:lang w:val="en-GB"/>
        </w:rPr>
        <w:t>noL</w:t>
      </w:r>
      <w:proofErr w:type="spellEnd"/>
      <w:r w:rsidRPr="005A61FD">
        <w:rPr>
          <w:lang w:val="en-GB"/>
        </w:rPr>
        <w:t xml:space="preserve">; EV </w:t>
      </w:r>
      <w:r w:rsidRPr="005A61FD">
        <w:rPr>
          <w:i/>
          <w:iCs/>
          <w:lang w:val="en-GB"/>
        </w:rPr>
        <w:t>vs</w:t>
      </w:r>
      <w:r w:rsidRPr="005A61FD">
        <w:rPr>
          <w:lang w:val="en-GB"/>
        </w:rPr>
        <w:t xml:space="preserve"> V; L </w:t>
      </w:r>
      <w:r w:rsidRPr="005A61FD">
        <w:rPr>
          <w:i/>
          <w:iCs/>
          <w:lang w:val="en-GB"/>
        </w:rPr>
        <w:t>vs</w:t>
      </w:r>
      <w:r w:rsidRPr="005A61FD">
        <w:rPr>
          <w:lang w:val="en-GB"/>
        </w:rPr>
        <w:t xml:space="preserve"> V</w:t>
      </w:r>
      <w:r>
        <w:rPr>
          <w:lang w:val="en-GB"/>
        </w:rPr>
        <w:t>.</w:t>
      </w:r>
    </w:p>
    <w:p w14:paraId="58E3691D" w14:textId="77777777" w:rsidR="00934E93" w:rsidRDefault="00934E93" w:rsidP="00934E93">
      <w:pPr>
        <w:jc w:val="both"/>
        <w:rPr>
          <w:lang w:val="en-GB"/>
        </w:rPr>
      </w:pPr>
      <w:r>
        <w:rPr>
          <w:lang w:val="en-GB"/>
        </w:rPr>
        <w:t>In addition, regarding the HS-GC-IMS, the whole sample set was analysed also using improved analytical conditions with respect to the published ones (</w:t>
      </w:r>
      <w:r w:rsidRPr="00D82A05">
        <w:rPr>
          <w:lang w:val="en-GB"/>
        </w:rPr>
        <w:t xml:space="preserve">Valli </w:t>
      </w:r>
      <w:r w:rsidRPr="00522DCB">
        <w:rPr>
          <w:i/>
          <w:iCs/>
          <w:lang w:val="en-GB"/>
        </w:rPr>
        <w:t>et al</w:t>
      </w:r>
      <w:r w:rsidRPr="00D82A05">
        <w:rPr>
          <w:lang w:val="en-GB"/>
        </w:rPr>
        <w:t>., 2020</w:t>
      </w:r>
      <w:r>
        <w:rPr>
          <w:lang w:val="en-GB"/>
        </w:rPr>
        <w:t xml:space="preserve">), in which </w:t>
      </w:r>
      <w:r w:rsidRPr="00A457C7">
        <w:rPr>
          <w:lang w:val="en-GB"/>
        </w:rPr>
        <w:t>sample</w:t>
      </w:r>
      <w:r>
        <w:rPr>
          <w:lang w:val="en-GB"/>
        </w:rPr>
        <w:t xml:space="preserve"> conditioning and other analytical parameters were modified to improve the resolution and sensitivity of the method.</w:t>
      </w:r>
    </w:p>
    <w:p w14:paraId="27446D8E" w14:textId="77777777" w:rsidR="00934E93" w:rsidRPr="007358BD" w:rsidRDefault="00934E93" w:rsidP="00934E93">
      <w:pPr>
        <w:jc w:val="both"/>
        <w:rPr>
          <w:lang w:val="en-GB"/>
        </w:rPr>
      </w:pPr>
      <w:r>
        <w:rPr>
          <w:lang w:val="en-GB"/>
        </w:rPr>
        <w:t xml:space="preserve">One hundred out of 120 total </w:t>
      </w:r>
      <w:proofErr w:type="gramStart"/>
      <w:r>
        <w:rPr>
          <w:lang w:val="en-GB"/>
        </w:rPr>
        <w:t>samples</w:t>
      </w:r>
      <w:proofErr w:type="gramEnd"/>
      <w:r>
        <w:rPr>
          <w:lang w:val="en-GB"/>
        </w:rPr>
        <w:t xml:space="preserve"> were </w:t>
      </w:r>
      <w:proofErr w:type="spellStart"/>
      <w:r>
        <w:rPr>
          <w:lang w:val="en-GB"/>
        </w:rPr>
        <w:t>analyzed</w:t>
      </w:r>
      <w:proofErr w:type="spellEnd"/>
      <w:r>
        <w:rPr>
          <w:lang w:val="en-GB"/>
        </w:rPr>
        <w:t xml:space="preserve"> also by spectroscopic techniques, namely NIR, FT-IR and Raman, with the aim to</w:t>
      </w:r>
      <w:r w:rsidRPr="00273AAF">
        <w:rPr>
          <w:lang w:val="en-GB"/>
        </w:rPr>
        <w:t xml:space="preserve"> support sensory analysis</w:t>
      </w:r>
      <w:r>
        <w:rPr>
          <w:lang w:val="en-GB"/>
        </w:rPr>
        <w:t xml:space="preserve"> and</w:t>
      </w:r>
      <w:r w:rsidRPr="00273AAF">
        <w:rPr>
          <w:lang w:val="en-GB"/>
        </w:rPr>
        <w:t xml:space="preserve"> with a specific focus on rancid</w:t>
      </w:r>
      <w:r>
        <w:rPr>
          <w:lang w:val="en-GB"/>
        </w:rPr>
        <w:t xml:space="preserve"> defect. NIR spectra were acquired by </w:t>
      </w:r>
      <w:r w:rsidRPr="007358BD">
        <w:rPr>
          <w:lang w:val="en-GB"/>
        </w:rPr>
        <w:t>FT-NIR diffuse reflectance module</w:t>
      </w:r>
      <w:r>
        <w:rPr>
          <w:lang w:val="en-GB"/>
        </w:rPr>
        <w:t xml:space="preserve"> (</w:t>
      </w:r>
      <w:r w:rsidRPr="00B73F41">
        <w:rPr>
          <w:lang w:val="en-GB"/>
        </w:rPr>
        <w:t>Nicolet iS50</w:t>
      </w:r>
      <w:r>
        <w:rPr>
          <w:lang w:val="en-GB"/>
        </w:rPr>
        <w:t xml:space="preserve">, </w:t>
      </w:r>
      <w:proofErr w:type="spellStart"/>
      <w:r w:rsidRPr="00B73F41">
        <w:rPr>
          <w:lang w:val="en-GB"/>
        </w:rPr>
        <w:t>Thermo</w:t>
      </w:r>
      <w:proofErr w:type="spellEnd"/>
      <w:r w:rsidRPr="00B73F41">
        <w:rPr>
          <w:lang w:val="en-GB"/>
        </w:rPr>
        <w:t xml:space="preserve"> Scientific, Waltham, Massachusetts, USA</w:t>
      </w:r>
      <w:r>
        <w:rPr>
          <w:lang w:val="en-GB"/>
        </w:rPr>
        <w:t>)</w:t>
      </w:r>
      <w:r w:rsidRPr="007358BD">
        <w:rPr>
          <w:lang w:val="en-GB"/>
        </w:rPr>
        <w:t>, equipped with Ge coated KBr beam</w:t>
      </w:r>
      <w:r>
        <w:rPr>
          <w:lang w:val="en-GB"/>
        </w:rPr>
        <w:t xml:space="preserve"> </w:t>
      </w:r>
      <w:r w:rsidRPr="007358BD">
        <w:rPr>
          <w:lang w:val="en-GB"/>
        </w:rPr>
        <w:t xml:space="preserve">splitter and </w:t>
      </w:r>
      <w:proofErr w:type="spellStart"/>
      <w:r w:rsidRPr="007358BD">
        <w:rPr>
          <w:lang w:val="en-GB"/>
        </w:rPr>
        <w:t>InGaAs</w:t>
      </w:r>
      <w:proofErr w:type="spellEnd"/>
      <w:r w:rsidRPr="007358BD">
        <w:rPr>
          <w:lang w:val="en-GB"/>
        </w:rPr>
        <w:t xml:space="preserve"> (Indium Gallium Arsenide) detector</w:t>
      </w:r>
      <w:r>
        <w:rPr>
          <w:lang w:val="en-GB"/>
        </w:rPr>
        <w:t xml:space="preserve">. FT-IR analysis was conducted using </w:t>
      </w:r>
      <w:r w:rsidRPr="007358BD">
        <w:rPr>
          <w:lang w:val="en-GB"/>
        </w:rPr>
        <w:t>FT-IR module</w:t>
      </w:r>
      <w:r>
        <w:rPr>
          <w:lang w:val="en-GB"/>
        </w:rPr>
        <w:t xml:space="preserve"> (</w:t>
      </w:r>
      <w:r w:rsidRPr="00B73F41">
        <w:rPr>
          <w:lang w:val="en-GB"/>
        </w:rPr>
        <w:t>Nicolet iS50</w:t>
      </w:r>
      <w:r>
        <w:rPr>
          <w:lang w:val="en-GB"/>
        </w:rPr>
        <w:t xml:space="preserve">, </w:t>
      </w:r>
      <w:proofErr w:type="spellStart"/>
      <w:r w:rsidRPr="00B73F41">
        <w:rPr>
          <w:lang w:val="en-GB"/>
        </w:rPr>
        <w:t>Thermo</w:t>
      </w:r>
      <w:proofErr w:type="spellEnd"/>
      <w:r w:rsidRPr="00B73F41">
        <w:rPr>
          <w:lang w:val="en-GB"/>
        </w:rPr>
        <w:t xml:space="preserve"> Scientific, Waltham, Massachusetts, USA)</w:t>
      </w:r>
      <w:r w:rsidRPr="007358BD">
        <w:rPr>
          <w:lang w:val="en-GB"/>
        </w:rPr>
        <w:t>, equipped with a DTGS detector and KBr beam splitter</w:t>
      </w:r>
      <w:r>
        <w:rPr>
          <w:lang w:val="en-GB"/>
        </w:rPr>
        <w:t xml:space="preserve">. Finally, </w:t>
      </w:r>
      <w:r w:rsidRPr="007358BD">
        <w:rPr>
          <w:lang w:val="en-GB"/>
        </w:rPr>
        <w:t xml:space="preserve">FT-Raman measurements were </w:t>
      </w:r>
      <w:r>
        <w:rPr>
          <w:lang w:val="en-GB"/>
        </w:rPr>
        <w:t>performed</w:t>
      </w:r>
      <w:r w:rsidRPr="007358BD">
        <w:rPr>
          <w:lang w:val="en-GB"/>
        </w:rPr>
        <w:t xml:space="preserve"> using a Raman Microscope</w:t>
      </w:r>
      <w:r>
        <w:rPr>
          <w:lang w:val="en-GB"/>
        </w:rPr>
        <w:t xml:space="preserve"> (</w:t>
      </w:r>
      <w:r w:rsidRPr="00B73F41">
        <w:rPr>
          <w:lang w:val="en-GB"/>
        </w:rPr>
        <w:t>DXR2 Raman Microscope</w:t>
      </w:r>
      <w:r>
        <w:rPr>
          <w:lang w:val="en-GB"/>
        </w:rPr>
        <w:t xml:space="preserve">, </w:t>
      </w:r>
      <w:proofErr w:type="spellStart"/>
      <w:r w:rsidRPr="00B73F41">
        <w:rPr>
          <w:lang w:val="en-GB"/>
        </w:rPr>
        <w:t>Thermo</w:t>
      </w:r>
      <w:proofErr w:type="spellEnd"/>
      <w:r w:rsidRPr="00B73F41">
        <w:rPr>
          <w:lang w:val="en-GB"/>
        </w:rPr>
        <w:t xml:space="preserve"> Scientific, Waltham, Massachusetts, USA</w:t>
      </w:r>
      <w:r>
        <w:rPr>
          <w:lang w:val="en-GB"/>
        </w:rPr>
        <w:t>)</w:t>
      </w:r>
      <w:r w:rsidRPr="007358BD">
        <w:rPr>
          <w:lang w:val="en-GB"/>
        </w:rPr>
        <w:t xml:space="preserve"> operated with an excitation laser light of 785 nm</w:t>
      </w:r>
      <w:r>
        <w:rPr>
          <w:lang w:val="en-GB"/>
        </w:rPr>
        <w:t>.</w:t>
      </w:r>
    </w:p>
    <w:p w14:paraId="072BA945" w14:textId="77777777" w:rsidR="00934E93" w:rsidRPr="002D3F00" w:rsidRDefault="00934E93" w:rsidP="00934E93">
      <w:pPr>
        <w:jc w:val="both"/>
        <w:rPr>
          <w:b/>
          <w:bCs/>
          <w:lang w:val="en-GB"/>
        </w:rPr>
      </w:pPr>
    </w:p>
    <w:p w14:paraId="310976E3" w14:textId="77777777" w:rsidR="00934E93" w:rsidRPr="00581223" w:rsidRDefault="00934E93" w:rsidP="00581223">
      <w:pPr>
        <w:pStyle w:val="Titolo2"/>
        <w:jc w:val="both"/>
        <w:rPr>
          <w:b/>
          <w:bCs/>
          <w:sz w:val="20"/>
          <w:lang w:val="en-GB"/>
        </w:rPr>
      </w:pPr>
      <w:r w:rsidRPr="00581223">
        <w:rPr>
          <w:b/>
          <w:bCs/>
          <w:sz w:val="20"/>
          <w:lang w:val="en-GB"/>
        </w:rPr>
        <w:t xml:space="preserve">4.2 Olive pomace </w:t>
      </w:r>
      <w:proofErr w:type="spellStart"/>
      <w:r w:rsidRPr="00581223">
        <w:rPr>
          <w:b/>
          <w:bCs/>
          <w:sz w:val="20"/>
          <w:lang w:val="en-GB"/>
        </w:rPr>
        <w:t>valorization</w:t>
      </w:r>
      <w:proofErr w:type="spellEnd"/>
    </w:p>
    <w:p w14:paraId="5322AC7E" w14:textId="77777777" w:rsidR="00934E93" w:rsidRDefault="00934E93" w:rsidP="00934E93">
      <w:pPr>
        <w:jc w:val="both"/>
        <w:rPr>
          <w:iCs/>
          <w:lang w:val="en-GB"/>
        </w:rPr>
      </w:pPr>
      <w:r w:rsidRPr="00810A7B">
        <w:rPr>
          <w:iCs/>
          <w:lang w:val="en-GB"/>
        </w:rPr>
        <w:t xml:space="preserve">After the set-up of a sustainable method for the extraction of phenolic compounds </w:t>
      </w:r>
      <w:r>
        <w:rPr>
          <w:iCs/>
          <w:lang w:val="en-GB"/>
        </w:rPr>
        <w:t>without</w:t>
      </w:r>
      <w:r w:rsidRPr="00810A7B">
        <w:rPr>
          <w:iCs/>
          <w:lang w:val="en-GB"/>
        </w:rPr>
        <w:t xml:space="preserve"> the use of toxic solvent</w:t>
      </w:r>
      <w:r>
        <w:rPr>
          <w:iCs/>
          <w:lang w:val="en-GB"/>
        </w:rPr>
        <w:t>s</w:t>
      </w:r>
      <w:r w:rsidRPr="00810A7B">
        <w:rPr>
          <w:iCs/>
          <w:lang w:val="en-GB"/>
        </w:rPr>
        <w:t>, a mechanical approach (using a lab scale screw-press) was applied on the olive pomace by adding a mixture of water and food grade ethanol (80:20 % v/v) and two types of samples were obtained</w:t>
      </w:r>
      <w:r>
        <w:rPr>
          <w:iCs/>
          <w:lang w:val="en-GB"/>
        </w:rPr>
        <w:t>:</w:t>
      </w:r>
      <w:r w:rsidRPr="00810A7B">
        <w:rPr>
          <w:iCs/>
          <w:lang w:val="en-GB"/>
        </w:rPr>
        <w:t xml:space="preserve"> one more liquid drained from the lower part of the mill</w:t>
      </w:r>
      <w:r>
        <w:rPr>
          <w:iCs/>
          <w:lang w:val="en-GB"/>
        </w:rPr>
        <w:t xml:space="preserve"> (named </w:t>
      </w:r>
      <w:r w:rsidRPr="002373D4">
        <w:rPr>
          <w:i/>
          <w:lang w:val="en-GB"/>
        </w:rPr>
        <w:t>SI</w:t>
      </w:r>
      <w:r>
        <w:rPr>
          <w:iCs/>
          <w:lang w:val="en-GB"/>
        </w:rPr>
        <w:t>)</w:t>
      </w:r>
      <w:r w:rsidRPr="00810A7B">
        <w:rPr>
          <w:iCs/>
          <w:lang w:val="en-GB"/>
        </w:rPr>
        <w:t xml:space="preserve"> and one drier from the frontal part</w:t>
      </w:r>
      <w:r>
        <w:rPr>
          <w:iCs/>
          <w:lang w:val="en-GB"/>
        </w:rPr>
        <w:t xml:space="preserve"> (named </w:t>
      </w:r>
      <w:r w:rsidRPr="002373D4">
        <w:rPr>
          <w:i/>
          <w:lang w:val="en-GB"/>
        </w:rPr>
        <w:t>SF</w:t>
      </w:r>
      <w:r>
        <w:rPr>
          <w:iCs/>
          <w:lang w:val="en-GB"/>
        </w:rPr>
        <w:t>)</w:t>
      </w:r>
      <w:r w:rsidRPr="00810A7B">
        <w:rPr>
          <w:iCs/>
          <w:lang w:val="en-GB"/>
        </w:rPr>
        <w:t>. On the</w:t>
      </w:r>
      <w:r>
        <w:rPr>
          <w:iCs/>
          <w:lang w:val="en-GB"/>
        </w:rPr>
        <w:t>se</w:t>
      </w:r>
      <w:r w:rsidRPr="00810A7B">
        <w:rPr>
          <w:iCs/>
          <w:lang w:val="en-GB"/>
        </w:rPr>
        <w:t xml:space="preserve"> samples, including olive pomace as it is</w:t>
      </w:r>
      <w:r>
        <w:rPr>
          <w:iCs/>
          <w:lang w:val="en-GB"/>
        </w:rPr>
        <w:t xml:space="preserve"> (named </w:t>
      </w:r>
      <w:r w:rsidRPr="002373D4">
        <w:rPr>
          <w:i/>
          <w:lang w:val="en-GB"/>
        </w:rPr>
        <w:t>TQ</w:t>
      </w:r>
      <w:r>
        <w:rPr>
          <w:iCs/>
          <w:lang w:val="en-GB"/>
        </w:rPr>
        <w:t>)</w:t>
      </w:r>
      <w:r w:rsidRPr="00810A7B">
        <w:rPr>
          <w:iCs/>
          <w:lang w:val="en-GB"/>
        </w:rPr>
        <w:t xml:space="preserve">, a study </w:t>
      </w:r>
      <w:r>
        <w:rPr>
          <w:iCs/>
          <w:lang w:val="en-GB"/>
        </w:rPr>
        <w:t>focused on</w:t>
      </w:r>
      <w:r w:rsidRPr="00810A7B">
        <w:rPr>
          <w:iCs/>
          <w:lang w:val="en-GB"/>
        </w:rPr>
        <w:t xml:space="preserve"> the phenolic fraction was carried out. </w:t>
      </w:r>
    </w:p>
    <w:p w14:paraId="7440494B" w14:textId="77777777" w:rsidR="00934E93" w:rsidRDefault="00934E93" w:rsidP="00934E93">
      <w:pPr>
        <w:jc w:val="both"/>
        <w:rPr>
          <w:iCs/>
          <w:lang w:val="en-GB"/>
        </w:rPr>
      </w:pPr>
      <w:r>
        <w:rPr>
          <w:iCs/>
          <w:lang w:val="en-GB"/>
        </w:rPr>
        <w:t>The more liquid samples drained from the lower part of the mill (</w:t>
      </w:r>
      <w:r w:rsidRPr="00B94BF0">
        <w:rPr>
          <w:i/>
          <w:iCs/>
          <w:lang w:val="en-GB"/>
        </w:rPr>
        <w:t>SI</w:t>
      </w:r>
      <w:r>
        <w:rPr>
          <w:iCs/>
          <w:lang w:val="en-GB"/>
        </w:rPr>
        <w:t>)</w:t>
      </w:r>
      <w:r>
        <w:rPr>
          <w:iCs/>
          <w:lang w:val="en-US"/>
        </w:rPr>
        <w:t xml:space="preserve"> has been selected as more suitable to obtain </w:t>
      </w:r>
      <w:r w:rsidRPr="00810A7B">
        <w:rPr>
          <w:iCs/>
          <w:lang w:val="en-GB"/>
        </w:rPr>
        <w:t>stable hydroalcoholic phenolic extract</w:t>
      </w:r>
      <w:r>
        <w:rPr>
          <w:iCs/>
          <w:lang w:val="en-GB"/>
        </w:rPr>
        <w:t>s</w:t>
      </w:r>
      <w:r>
        <w:rPr>
          <w:iCs/>
          <w:lang w:val="en-US"/>
        </w:rPr>
        <w:t xml:space="preserve">. </w:t>
      </w:r>
      <w:r w:rsidRPr="00810A7B">
        <w:rPr>
          <w:iCs/>
          <w:lang w:val="en-GB"/>
        </w:rPr>
        <w:t xml:space="preserve">Subsequently, the technological conditions </w:t>
      </w:r>
      <w:r>
        <w:rPr>
          <w:iCs/>
          <w:lang w:val="en-GB"/>
        </w:rPr>
        <w:t xml:space="preserve">to obtain this extract were </w:t>
      </w:r>
      <w:r w:rsidRPr="004B1937">
        <w:rPr>
          <w:iCs/>
          <w:lang w:val="en-GB"/>
        </w:rPr>
        <w:t>developed</w:t>
      </w:r>
      <w:r>
        <w:rPr>
          <w:iCs/>
          <w:lang w:val="en-GB"/>
        </w:rPr>
        <w:t>: the procedure included filtration of the olive pomace, evaporation, and addition of food grade ethanol. On</w:t>
      </w:r>
      <w:r w:rsidRPr="00810A7B">
        <w:rPr>
          <w:iCs/>
          <w:lang w:val="en-GB"/>
        </w:rPr>
        <w:t xml:space="preserve"> the</w:t>
      </w:r>
      <w:r>
        <w:rPr>
          <w:iCs/>
          <w:lang w:val="en-GB"/>
        </w:rPr>
        <w:t xml:space="preserve"> selected extract, the</w:t>
      </w:r>
      <w:r w:rsidRPr="00810A7B">
        <w:rPr>
          <w:iCs/>
          <w:lang w:val="en-GB"/>
        </w:rPr>
        <w:t xml:space="preserve"> </w:t>
      </w:r>
      <w:r>
        <w:rPr>
          <w:iCs/>
          <w:lang w:val="en-GB"/>
        </w:rPr>
        <w:t xml:space="preserve">phenolic compounds </w:t>
      </w:r>
      <w:r w:rsidRPr="00810A7B">
        <w:rPr>
          <w:iCs/>
          <w:lang w:val="en-GB"/>
        </w:rPr>
        <w:t xml:space="preserve">characterization and the assessment of </w:t>
      </w:r>
      <w:r>
        <w:rPr>
          <w:iCs/>
          <w:lang w:val="en-GB"/>
        </w:rPr>
        <w:t>its</w:t>
      </w:r>
      <w:r w:rsidRPr="00810A7B">
        <w:rPr>
          <w:iCs/>
          <w:lang w:val="en-GB"/>
        </w:rPr>
        <w:t xml:space="preserve"> stability during a shelf-life study w</w:t>
      </w:r>
      <w:r>
        <w:rPr>
          <w:iCs/>
          <w:lang w:val="en-GB"/>
        </w:rPr>
        <w:t>ere</w:t>
      </w:r>
      <w:r w:rsidRPr="00810A7B">
        <w:rPr>
          <w:iCs/>
          <w:lang w:val="en-GB"/>
        </w:rPr>
        <w:t xml:space="preserve"> performed, </w:t>
      </w:r>
      <w:r w:rsidRPr="00095C49">
        <w:rPr>
          <w:iCs/>
          <w:lang w:val="en-GB"/>
        </w:rPr>
        <w:t>including both sensory and instrumental evaluation</w:t>
      </w:r>
      <w:r>
        <w:rPr>
          <w:iCs/>
          <w:lang w:val="en-GB"/>
        </w:rPr>
        <w:t>s</w:t>
      </w:r>
      <w:r w:rsidRPr="00095C49">
        <w:rPr>
          <w:iCs/>
          <w:lang w:val="en-GB"/>
        </w:rPr>
        <w:t>.</w:t>
      </w:r>
      <w:r>
        <w:rPr>
          <w:iCs/>
          <w:lang w:val="en-GB"/>
        </w:rPr>
        <w:t xml:space="preserve"> </w:t>
      </w:r>
      <w:r w:rsidRPr="004B1937">
        <w:rPr>
          <w:iCs/>
          <w:lang w:val="en-US"/>
        </w:rPr>
        <w:t>The latter concerned</w:t>
      </w:r>
      <w:r w:rsidRPr="004B1937" w:rsidDel="004B1937">
        <w:rPr>
          <w:iCs/>
          <w:lang w:val="en-US"/>
        </w:rPr>
        <w:t xml:space="preserve"> </w:t>
      </w:r>
      <w:r w:rsidRPr="005D0326">
        <w:rPr>
          <w:iCs/>
          <w:lang w:val="en-US"/>
        </w:rPr>
        <w:t>the characterization of the phenolic fraction b</w:t>
      </w:r>
      <w:r w:rsidRPr="00095C49">
        <w:rPr>
          <w:iCs/>
          <w:lang w:val="en-US"/>
        </w:rPr>
        <w:t>y</w:t>
      </w:r>
      <w:r w:rsidRPr="00095C49">
        <w:rPr>
          <w:iCs/>
          <w:lang w:val="en-GB"/>
        </w:rPr>
        <w:t xml:space="preserve"> UHPLC-MS/MS</w:t>
      </w:r>
      <w:r>
        <w:rPr>
          <w:iCs/>
          <w:lang w:val="en-GB"/>
        </w:rPr>
        <w:t>, the determination of the sum of simple phenolic molecules after acid hydrolysis (by UHPLC-DAD)</w:t>
      </w:r>
      <w:r w:rsidRPr="00095C49">
        <w:rPr>
          <w:iCs/>
          <w:lang w:val="en-GB"/>
        </w:rPr>
        <w:t xml:space="preserve"> </w:t>
      </w:r>
      <w:r w:rsidRPr="005D0326">
        <w:rPr>
          <w:iCs/>
          <w:lang w:val="en-US"/>
        </w:rPr>
        <w:t>and the determination of the total reducing molecules content</w:t>
      </w:r>
      <w:r w:rsidRPr="00095C49">
        <w:rPr>
          <w:iCs/>
          <w:lang w:val="en-US"/>
        </w:rPr>
        <w:t xml:space="preserve"> through the </w:t>
      </w:r>
      <w:r w:rsidRPr="00095C49">
        <w:rPr>
          <w:iCs/>
          <w:lang w:val="en-GB"/>
        </w:rPr>
        <w:t>Folin-</w:t>
      </w:r>
      <w:proofErr w:type="spellStart"/>
      <w:r w:rsidRPr="00095C49">
        <w:rPr>
          <w:iCs/>
          <w:lang w:val="en-GB"/>
        </w:rPr>
        <w:t>Ciocalteu</w:t>
      </w:r>
      <w:proofErr w:type="spellEnd"/>
      <w:r w:rsidRPr="00095C49">
        <w:rPr>
          <w:iCs/>
          <w:lang w:val="en-GB"/>
        </w:rPr>
        <w:t xml:space="preserve"> method</w:t>
      </w:r>
      <w:r w:rsidRPr="005D0326">
        <w:rPr>
          <w:iCs/>
          <w:lang w:val="en-US"/>
        </w:rPr>
        <w:t xml:space="preserve">. On the other side, </w:t>
      </w:r>
      <w:r>
        <w:rPr>
          <w:iCs/>
          <w:lang w:val="en-US"/>
        </w:rPr>
        <w:t xml:space="preserve">a </w:t>
      </w:r>
      <w:r w:rsidRPr="005D0326">
        <w:rPr>
          <w:iCs/>
          <w:lang w:val="en-US"/>
        </w:rPr>
        <w:t>sensory</w:t>
      </w:r>
      <w:r>
        <w:rPr>
          <w:iCs/>
          <w:lang w:val="en-US"/>
        </w:rPr>
        <w:t xml:space="preserve"> descriptive</w:t>
      </w:r>
      <w:r w:rsidRPr="005D0326">
        <w:rPr>
          <w:iCs/>
          <w:lang w:val="en-US"/>
        </w:rPr>
        <w:t xml:space="preserve"> analysis</w:t>
      </w:r>
      <w:r>
        <w:rPr>
          <w:iCs/>
          <w:lang w:val="en-US"/>
        </w:rPr>
        <w:t xml:space="preserve"> </w:t>
      </w:r>
      <w:r w:rsidRPr="005D0326">
        <w:rPr>
          <w:iCs/>
          <w:lang w:val="en-US"/>
        </w:rPr>
        <w:t xml:space="preserve">was carried out by 8 panelists trained for </w:t>
      </w:r>
      <w:r>
        <w:rPr>
          <w:iCs/>
          <w:lang w:val="en-US"/>
        </w:rPr>
        <w:t>VOO</w:t>
      </w:r>
      <w:r w:rsidRPr="005D0326">
        <w:rPr>
          <w:iCs/>
          <w:lang w:val="en-US"/>
        </w:rPr>
        <w:t xml:space="preserve"> assessment, through an olfactory evaluation,</w:t>
      </w:r>
      <w:r>
        <w:rPr>
          <w:iCs/>
          <w:lang w:val="en-US"/>
        </w:rPr>
        <w:t xml:space="preserve"> and</w:t>
      </w:r>
      <w:r w:rsidRPr="005D0326">
        <w:rPr>
          <w:iCs/>
          <w:lang w:val="en-US"/>
        </w:rPr>
        <w:t xml:space="preserve"> excluding the perception of ethanol. </w:t>
      </w:r>
    </w:p>
    <w:p w14:paraId="6148B52F" w14:textId="77777777" w:rsidR="00934E93" w:rsidRPr="00DC3CEC" w:rsidRDefault="00934E93" w:rsidP="00934E93">
      <w:pPr>
        <w:jc w:val="both"/>
        <w:rPr>
          <w:lang w:val="en-US"/>
        </w:rPr>
      </w:pPr>
      <w:r>
        <w:rPr>
          <w:iCs/>
          <w:lang w:val="en-GB"/>
        </w:rPr>
        <w:t xml:space="preserve">In particular, </w:t>
      </w:r>
      <w:r>
        <w:rPr>
          <w:lang w:val="en-US"/>
        </w:rPr>
        <w:t xml:space="preserve">the </w:t>
      </w:r>
      <w:r w:rsidRPr="00414C9C">
        <w:rPr>
          <w:lang w:val="en-US"/>
        </w:rPr>
        <w:t>shelf</w:t>
      </w:r>
      <w:r>
        <w:rPr>
          <w:lang w:val="en-US"/>
        </w:rPr>
        <w:t>-</w:t>
      </w:r>
      <w:r w:rsidRPr="00414C9C">
        <w:rPr>
          <w:lang w:val="en-US"/>
        </w:rPr>
        <w:t>life study</w:t>
      </w:r>
      <w:r>
        <w:rPr>
          <w:lang w:val="en-US"/>
        </w:rPr>
        <w:t xml:space="preserve"> was performed </w:t>
      </w:r>
      <w:proofErr w:type="gramStart"/>
      <w:r>
        <w:rPr>
          <w:lang w:val="en-US"/>
        </w:rPr>
        <w:t>on a</w:t>
      </w:r>
      <w:r w:rsidRPr="00414C9C">
        <w:rPr>
          <w:lang w:val="en-US"/>
        </w:rPr>
        <w:t xml:space="preserve"> </w:t>
      </w:r>
      <w:r>
        <w:rPr>
          <w:lang w:val="en-US"/>
        </w:rPr>
        <w:t>monthly basis</w:t>
      </w:r>
      <w:proofErr w:type="gramEnd"/>
      <w:r>
        <w:rPr>
          <w:lang w:val="en-US"/>
        </w:rPr>
        <w:t xml:space="preserve"> and</w:t>
      </w:r>
      <w:r w:rsidRPr="00414C9C">
        <w:rPr>
          <w:lang w:val="en-US"/>
        </w:rPr>
        <w:t xml:space="preserve"> for t</w:t>
      </w:r>
      <w:r>
        <w:rPr>
          <w:lang w:val="en-US"/>
        </w:rPr>
        <w:t>wo</w:t>
      </w:r>
      <w:r w:rsidRPr="00414C9C">
        <w:rPr>
          <w:lang w:val="en-US"/>
        </w:rPr>
        <w:t xml:space="preserve"> months</w:t>
      </w:r>
      <w:r>
        <w:rPr>
          <w:lang w:val="en-US"/>
        </w:rPr>
        <w:t xml:space="preserve"> (T0, T1 and T2) on the extract</w:t>
      </w:r>
      <w:r w:rsidRPr="00182410">
        <w:rPr>
          <w:lang w:val="en-US"/>
        </w:rPr>
        <w:t xml:space="preserve"> </w:t>
      </w:r>
      <w:r w:rsidRPr="00414C9C">
        <w:rPr>
          <w:lang w:val="en-US"/>
        </w:rPr>
        <w:t>stored</w:t>
      </w:r>
      <w:r>
        <w:rPr>
          <w:lang w:val="en-US"/>
        </w:rPr>
        <w:t xml:space="preserve"> </w:t>
      </w:r>
      <w:r w:rsidRPr="00414C9C">
        <w:rPr>
          <w:lang w:val="en-US"/>
        </w:rPr>
        <w:t>at room temperature and</w:t>
      </w:r>
      <w:r>
        <w:rPr>
          <w:lang w:val="en-US"/>
        </w:rPr>
        <w:t xml:space="preserve"> in</w:t>
      </w:r>
      <w:r w:rsidRPr="00414C9C">
        <w:rPr>
          <w:lang w:val="en-US"/>
        </w:rPr>
        <w:t xml:space="preserve"> dark conditions</w:t>
      </w:r>
      <w:r>
        <w:rPr>
          <w:lang w:val="en-US"/>
        </w:rPr>
        <w:t>.</w:t>
      </w:r>
    </w:p>
    <w:p w14:paraId="5837B98F" w14:textId="038A068F" w:rsidR="007D40F9" w:rsidRDefault="00E90063" w:rsidP="007D40F9">
      <w:pPr>
        <w:pStyle w:val="Titolo1"/>
        <w:tabs>
          <w:tab w:val="left" w:pos="567"/>
        </w:tabs>
        <w:spacing w:before="240" w:after="120"/>
        <w:ind w:right="0"/>
        <w:jc w:val="both"/>
        <w:rPr>
          <w:b/>
          <w:bCs/>
          <w:color w:val="000000"/>
          <w:sz w:val="24"/>
          <w:lang w:val="en-GB"/>
        </w:rPr>
      </w:pPr>
      <w:r>
        <w:rPr>
          <w:b/>
          <w:bCs/>
          <w:color w:val="000000"/>
          <w:sz w:val="24"/>
          <w:lang w:val="en-GB"/>
        </w:rPr>
        <w:t>5</w:t>
      </w:r>
      <w:r w:rsidR="007D40F9">
        <w:rPr>
          <w:b/>
          <w:bCs/>
          <w:color w:val="000000"/>
          <w:sz w:val="24"/>
          <w:lang w:val="en-GB"/>
        </w:rPr>
        <w:t>. Results and Discussion</w:t>
      </w:r>
    </w:p>
    <w:p w14:paraId="2F094BBB" w14:textId="686CDCB8" w:rsidR="00934E93" w:rsidRPr="00934E93" w:rsidRDefault="007D40F9" w:rsidP="00934E93">
      <w:pPr>
        <w:pStyle w:val="Titolo2"/>
        <w:jc w:val="both"/>
        <w:rPr>
          <w:b/>
          <w:bCs/>
          <w:sz w:val="20"/>
          <w:lang w:val="en-GB"/>
        </w:rPr>
      </w:pPr>
      <w:r>
        <w:rPr>
          <w:b/>
          <w:bCs/>
          <w:sz w:val="20"/>
          <w:lang w:val="en-GB"/>
        </w:rPr>
        <w:t xml:space="preserve">5.1 </w:t>
      </w:r>
      <w:r w:rsidR="00934E93" w:rsidRPr="00934E93">
        <w:rPr>
          <w:b/>
          <w:bCs/>
          <w:sz w:val="20"/>
          <w:lang w:val="en-GB"/>
        </w:rPr>
        <w:t xml:space="preserve">Rapid and sustainable instrumental analytical methods to support the sensory </w:t>
      </w:r>
      <w:proofErr w:type="gramStart"/>
      <w:r w:rsidR="00934E93" w:rsidRPr="00934E93">
        <w:rPr>
          <w:b/>
          <w:bCs/>
          <w:sz w:val="20"/>
          <w:lang w:val="en-GB"/>
        </w:rPr>
        <w:t>analysis</w:t>
      </w:r>
      <w:proofErr w:type="gramEnd"/>
    </w:p>
    <w:p w14:paraId="12AB0A06" w14:textId="77777777" w:rsidR="00934E93" w:rsidRDefault="00934E93" w:rsidP="00934E93">
      <w:pPr>
        <w:jc w:val="both"/>
        <w:rPr>
          <w:lang w:val="en-GB"/>
        </w:rPr>
      </w:pPr>
      <w:r>
        <w:rPr>
          <w:lang w:val="en-GB"/>
        </w:rPr>
        <w:t xml:space="preserve">At now the data elaboration was completed on a set composed of 52 VOOs samples </w:t>
      </w:r>
      <w:r w:rsidRPr="00FE38D2">
        <w:rPr>
          <w:lang w:val="en-GB"/>
        </w:rPr>
        <w:t>classified in</w:t>
      </w:r>
      <w:r>
        <w:rPr>
          <w:lang w:val="en-GB"/>
        </w:rPr>
        <w:t>to</w:t>
      </w:r>
      <w:r w:rsidRPr="00FE38D2">
        <w:rPr>
          <w:lang w:val="en-GB"/>
        </w:rPr>
        <w:t xml:space="preserve"> the commercial category</w:t>
      </w:r>
      <w:r>
        <w:rPr>
          <w:lang w:val="en-GB"/>
        </w:rPr>
        <w:t xml:space="preserve"> (EV, V and L),</w:t>
      </w:r>
      <w:r w:rsidRPr="00FE38D2">
        <w:rPr>
          <w:lang w:val="en-GB"/>
        </w:rPr>
        <w:t xml:space="preserve"> using</w:t>
      </w:r>
      <w:r>
        <w:rPr>
          <w:lang w:val="en-GB"/>
        </w:rPr>
        <w:t xml:space="preserve"> </w:t>
      </w:r>
      <w:r w:rsidRPr="00FE38D2">
        <w:rPr>
          <w:lang w:val="en-GB"/>
        </w:rPr>
        <w:t>previously developed prediction</w:t>
      </w:r>
      <w:r>
        <w:rPr>
          <w:lang w:val="en-GB"/>
        </w:rPr>
        <w:t xml:space="preserve"> approaches based on</w:t>
      </w:r>
      <w:r w:rsidRPr="00D202EF">
        <w:rPr>
          <w:lang w:val="en-GB"/>
        </w:rPr>
        <w:t xml:space="preserve"> PLS-DA model</w:t>
      </w:r>
      <w:r>
        <w:rPr>
          <w:lang w:val="en-GB"/>
        </w:rPr>
        <w:t xml:space="preserve">s, both for Flash-GC (Barbieri </w:t>
      </w:r>
      <w:r w:rsidRPr="00522DCB">
        <w:rPr>
          <w:i/>
          <w:lang w:val="en-GB"/>
        </w:rPr>
        <w:t>et al.</w:t>
      </w:r>
      <w:r>
        <w:rPr>
          <w:lang w:val="en-GB"/>
        </w:rPr>
        <w:t xml:space="preserve">, 2020a) and HS-GC-IMS </w:t>
      </w:r>
      <w:r w:rsidRPr="00D82A05">
        <w:rPr>
          <w:lang w:val="en-GB"/>
        </w:rPr>
        <w:t xml:space="preserve">(Valli </w:t>
      </w:r>
      <w:r w:rsidRPr="00522DCB">
        <w:rPr>
          <w:i/>
          <w:lang w:val="en-GB"/>
        </w:rPr>
        <w:t>et al.</w:t>
      </w:r>
      <w:r w:rsidRPr="00D82A05">
        <w:rPr>
          <w:lang w:val="en-GB"/>
        </w:rPr>
        <w:t>, 2020</w:t>
      </w:r>
      <w:r>
        <w:rPr>
          <w:lang w:val="en-GB"/>
        </w:rPr>
        <w:t xml:space="preserve">) data. The commercial category was assigned with a certain probability combining the 4 models: </w:t>
      </w:r>
      <w:r w:rsidRPr="005A61FD">
        <w:rPr>
          <w:lang w:val="en-GB"/>
        </w:rPr>
        <w:t>E</w:t>
      </w:r>
      <w:r>
        <w:rPr>
          <w:lang w:val="en-GB"/>
        </w:rPr>
        <w:t>V</w:t>
      </w:r>
      <w:r w:rsidRPr="005A61FD">
        <w:rPr>
          <w:lang w:val="en-GB"/>
        </w:rPr>
        <w:t xml:space="preserve"> </w:t>
      </w:r>
      <w:r w:rsidRPr="005A61FD">
        <w:rPr>
          <w:i/>
          <w:iCs/>
          <w:lang w:val="en-GB"/>
        </w:rPr>
        <w:t>vs</w:t>
      </w:r>
      <w:r w:rsidRPr="005A61FD">
        <w:rPr>
          <w:lang w:val="en-GB"/>
        </w:rPr>
        <w:t xml:space="preserve"> </w:t>
      </w:r>
      <w:proofErr w:type="spellStart"/>
      <w:r w:rsidRPr="005A61FD">
        <w:rPr>
          <w:lang w:val="en-GB"/>
        </w:rPr>
        <w:t>noE</w:t>
      </w:r>
      <w:r>
        <w:rPr>
          <w:lang w:val="en-GB"/>
        </w:rPr>
        <w:t>V</w:t>
      </w:r>
      <w:proofErr w:type="spellEnd"/>
      <w:r>
        <w:rPr>
          <w:lang w:val="en-GB"/>
        </w:rPr>
        <w:t xml:space="preserve"> (Fig. 1)</w:t>
      </w:r>
      <w:r w:rsidRPr="005A61FD">
        <w:rPr>
          <w:lang w:val="en-GB"/>
        </w:rPr>
        <w:t xml:space="preserve">; L </w:t>
      </w:r>
      <w:r w:rsidRPr="005A61FD">
        <w:rPr>
          <w:i/>
          <w:iCs/>
          <w:lang w:val="en-GB"/>
        </w:rPr>
        <w:t>vs</w:t>
      </w:r>
      <w:r w:rsidRPr="005A61FD">
        <w:rPr>
          <w:lang w:val="en-GB"/>
        </w:rPr>
        <w:t xml:space="preserve"> </w:t>
      </w:r>
      <w:proofErr w:type="spellStart"/>
      <w:r w:rsidRPr="005A61FD">
        <w:rPr>
          <w:lang w:val="en-GB"/>
        </w:rPr>
        <w:t>noL</w:t>
      </w:r>
      <w:proofErr w:type="spellEnd"/>
      <w:r w:rsidRPr="005A61FD">
        <w:rPr>
          <w:lang w:val="en-GB"/>
        </w:rPr>
        <w:t xml:space="preserve">; EV </w:t>
      </w:r>
      <w:r w:rsidRPr="005A61FD">
        <w:rPr>
          <w:i/>
          <w:iCs/>
          <w:lang w:val="en-GB"/>
        </w:rPr>
        <w:t>vs</w:t>
      </w:r>
      <w:r w:rsidRPr="005A61FD">
        <w:rPr>
          <w:lang w:val="en-GB"/>
        </w:rPr>
        <w:t xml:space="preserve"> V; L </w:t>
      </w:r>
      <w:r w:rsidRPr="005A61FD">
        <w:rPr>
          <w:i/>
          <w:iCs/>
          <w:lang w:val="en-GB"/>
        </w:rPr>
        <w:t>vs</w:t>
      </w:r>
      <w:r w:rsidRPr="005A61FD">
        <w:rPr>
          <w:lang w:val="en-GB"/>
        </w:rPr>
        <w:t xml:space="preserve"> V</w:t>
      </w:r>
      <w:r>
        <w:rPr>
          <w:lang w:val="en-GB"/>
        </w:rPr>
        <w:t>.</w:t>
      </w:r>
    </w:p>
    <w:p w14:paraId="00C8B661" w14:textId="1E8C9CE1" w:rsidR="00934E93" w:rsidRPr="00934E93" w:rsidRDefault="00934E93" w:rsidP="004A7430">
      <w:pPr>
        <w:jc w:val="both"/>
        <w:rPr>
          <w:lang w:val="en-GB"/>
        </w:rPr>
      </w:pPr>
      <w:r>
        <w:rPr>
          <w:lang w:val="en-GB"/>
        </w:rPr>
        <w:t>The results show comparable effectiveness between these two techniques, and they are satisfactory</w:t>
      </w:r>
      <w:r w:rsidRPr="00D202EF">
        <w:rPr>
          <w:lang w:val="en-GB"/>
        </w:rPr>
        <w:t xml:space="preserve"> in terms of percentage of</w:t>
      </w:r>
      <w:r>
        <w:rPr>
          <w:lang w:val="en-GB"/>
        </w:rPr>
        <w:t xml:space="preserve"> </w:t>
      </w:r>
      <w:r w:rsidRPr="00D202EF">
        <w:rPr>
          <w:lang w:val="en-GB"/>
        </w:rPr>
        <w:t>correctly classified samples</w:t>
      </w:r>
      <w:r>
        <w:rPr>
          <w:lang w:val="en-GB"/>
        </w:rPr>
        <w:t xml:space="preserve"> for the different commercial categories (</w:t>
      </w:r>
      <w:r w:rsidRPr="00851652">
        <w:rPr>
          <w:bCs/>
          <w:lang w:val="en-GB"/>
        </w:rPr>
        <w:t xml:space="preserve">Table </w:t>
      </w:r>
      <w:r>
        <w:rPr>
          <w:bCs/>
          <w:lang w:val="en-GB"/>
        </w:rPr>
        <w:t>1</w:t>
      </w:r>
      <w:r w:rsidRPr="00522DCB">
        <w:rPr>
          <w:bCs/>
          <w:lang w:val="en-GB"/>
        </w:rPr>
        <w:t>)</w:t>
      </w:r>
      <w:r>
        <w:rPr>
          <w:b/>
          <w:bCs/>
          <w:lang w:val="en-GB"/>
        </w:rPr>
        <w:t xml:space="preserve"> </w:t>
      </w:r>
      <w:r w:rsidRPr="00851652">
        <w:rPr>
          <w:bCs/>
          <w:lang w:val="en-GB"/>
        </w:rPr>
        <w:t>with respect to</w:t>
      </w:r>
      <w:r>
        <w:rPr>
          <w:lang w:val="en-GB"/>
        </w:rPr>
        <w:t xml:space="preserve"> that established by </w:t>
      </w:r>
      <w:r w:rsidR="00546EC4">
        <w:rPr>
          <w:lang w:val="en-GB"/>
        </w:rPr>
        <w:t>Panel test</w:t>
      </w:r>
      <w:r>
        <w:rPr>
          <w:lang w:val="en-GB"/>
        </w:rPr>
        <w:t xml:space="preserve"> through the decision tree (Barbieri </w:t>
      </w:r>
      <w:r w:rsidRPr="0028440F">
        <w:rPr>
          <w:i/>
          <w:iCs/>
          <w:lang w:val="en-GB"/>
        </w:rPr>
        <w:t>et al</w:t>
      </w:r>
      <w:r>
        <w:rPr>
          <w:lang w:val="en-GB"/>
        </w:rPr>
        <w:t>., 2020b), confirming the robustness and capabilities of such developed models.</w:t>
      </w:r>
    </w:p>
    <w:p w14:paraId="0B1E07BD" w14:textId="6C1D556B" w:rsidR="007D40F9" w:rsidRDefault="007D40F9" w:rsidP="00E90063">
      <w:pPr>
        <w:tabs>
          <w:tab w:val="left" w:pos="851"/>
        </w:tabs>
        <w:spacing w:before="300" w:after="120"/>
        <w:ind w:left="851" w:hanging="851"/>
        <w:jc w:val="both"/>
        <w:rPr>
          <w:i/>
          <w:iCs/>
          <w:sz w:val="18"/>
          <w:szCs w:val="18"/>
          <w:lang w:val="en-GB"/>
        </w:rPr>
      </w:pPr>
      <w:r>
        <w:rPr>
          <w:b/>
          <w:iCs/>
          <w:sz w:val="18"/>
          <w:lang w:val="en-GB"/>
        </w:rPr>
        <w:t xml:space="preserve">Table </w:t>
      </w:r>
      <w:r w:rsidR="00934E93">
        <w:rPr>
          <w:b/>
          <w:iCs/>
          <w:sz w:val="18"/>
          <w:lang w:val="en-GB"/>
        </w:rPr>
        <w:t>1</w:t>
      </w:r>
      <w:r>
        <w:rPr>
          <w:b/>
          <w:iCs/>
          <w:sz w:val="18"/>
          <w:lang w:val="en-GB"/>
        </w:rPr>
        <w:t xml:space="preserve"> </w:t>
      </w:r>
      <w:r>
        <w:rPr>
          <w:b/>
          <w:iCs/>
          <w:sz w:val="18"/>
          <w:lang w:val="en-GB"/>
        </w:rPr>
        <w:tab/>
      </w:r>
      <w:r w:rsidR="00934E93" w:rsidRPr="003B68A0">
        <w:rPr>
          <w:i/>
          <w:iCs/>
          <w:sz w:val="18"/>
          <w:szCs w:val="18"/>
          <w:lang w:val="en-GB"/>
        </w:rPr>
        <w:t>Flash-GC and HS-GC-IMS outcomes, in terms of samples correctly classified compared to the sensory assessment, by the prediction models.</w:t>
      </w:r>
    </w:p>
    <w:tbl>
      <w:tblPr>
        <w:tblStyle w:val="Tabellasemplice-2"/>
        <w:tblpPr w:leftFromText="141" w:rightFromText="141" w:vertAnchor="text" w:horzAnchor="margin" w:tblpXSpec="center" w:tblpY="118"/>
        <w:tblW w:w="6911" w:type="dxa"/>
        <w:tblBorders>
          <w:top w:val="none" w:sz="0" w:space="0" w:color="auto"/>
          <w:bottom w:val="none" w:sz="0" w:space="0" w:color="auto"/>
        </w:tblBorders>
        <w:tblLook w:val="04A0" w:firstRow="1" w:lastRow="0" w:firstColumn="1" w:lastColumn="0" w:noHBand="0" w:noVBand="1"/>
      </w:tblPr>
      <w:tblGrid>
        <w:gridCol w:w="1526"/>
        <w:gridCol w:w="2268"/>
        <w:gridCol w:w="531"/>
        <w:gridCol w:w="2338"/>
        <w:gridCol w:w="531"/>
      </w:tblGrid>
      <w:tr w:rsidR="003517B6" w:rsidRPr="003517B6" w14:paraId="1A7134D1" w14:textId="77777777" w:rsidTr="003517B6">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uto"/>
            </w:tcBorders>
            <w:noWrap/>
            <w:hideMark/>
          </w:tcPr>
          <w:p w14:paraId="4BDD2D4B" w14:textId="77777777" w:rsidR="00934E93" w:rsidRPr="003517B6" w:rsidRDefault="00934E93" w:rsidP="001A7800">
            <w:pPr>
              <w:rPr>
                <w:sz w:val="18"/>
                <w:szCs w:val="18"/>
                <w:lang w:val="en-US"/>
              </w:rPr>
            </w:pPr>
            <w:bookmarkStart w:id="0" w:name="_Hlk138858018"/>
          </w:p>
        </w:tc>
        <w:tc>
          <w:tcPr>
            <w:tcW w:w="2799" w:type="dxa"/>
            <w:gridSpan w:val="2"/>
            <w:tcBorders>
              <w:bottom w:val="single" w:sz="4" w:space="0" w:color="auto"/>
            </w:tcBorders>
            <w:noWrap/>
            <w:hideMark/>
          </w:tcPr>
          <w:p w14:paraId="7F1F82D0" w14:textId="77777777" w:rsidR="00934E93" w:rsidRPr="003517B6" w:rsidRDefault="00934E93" w:rsidP="001A7800">
            <w:pPr>
              <w:jc w:val="center"/>
              <w:cnfStyle w:val="100000000000" w:firstRow="1" w:lastRow="0" w:firstColumn="0" w:lastColumn="0" w:oddVBand="0" w:evenVBand="0" w:oddHBand="0" w:evenHBand="0" w:firstRowFirstColumn="0" w:firstRowLastColumn="0" w:lastRowFirstColumn="0" w:lastRowLastColumn="0"/>
              <w:rPr>
                <w:b w:val="0"/>
                <w:bCs w:val="0"/>
                <w:i/>
                <w:iCs/>
                <w:color w:val="000000"/>
                <w:sz w:val="18"/>
                <w:szCs w:val="18"/>
              </w:rPr>
            </w:pPr>
            <w:r w:rsidRPr="003517B6">
              <w:rPr>
                <w:i/>
                <w:iCs/>
                <w:color w:val="000000"/>
                <w:sz w:val="18"/>
                <w:szCs w:val="18"/>
              </w:rPr>
              <w:t>Flash-GC</w:t>
            </w:r>
          </w:p>
        </w:tc>
        <w:tc>
          <w:tcPr>
            <w:tcW w:w="2586" w:type="dxa"/>
            <w:gridSpan w:val="2"/>
            <w:tcBorders>
              <w:bottom w:val="single" w:sz="4" w:space="0" w:color="auto"/>
            </w:tcBorders>
            <w:noWrap/>
            <w:hideMark/>
          </w:tcPr>
          <w:p w14:paraId="76EA6D54" w14:textId="77777777" w:rsidR="00934E93" w:rsidRPr="003517B6" w:rsidRDefault="00934E93" w:rsidP="001A7800">
            <w:pPr>
              <w:jc w:val="center"/>
              <w:cnfStyle w:val="100000000000" w:firstRow="1" w:lastRow="0" w:firstColumn="0" w:lastColumn="0" w:oddVBand="0" w:evenVBand="0" w:oddHBand="0" w:evenHBand="0" w:firstRowFirstColumn="0" w:firstRowLastColumn="0" w:lastRowFirstColumn="0" w:lastRowLastColumn="0"/>
              <w:rPr>
                <w:b w:val="0"/>
                <w:bCs w:val="0"/>
                <w:i/>
                <w:iCs/>
                <w:color w:val="000000"/>
                <w:sz w:val="18"/>
                <w:szCs w:val="18"/>
              </w:rPr>
            </w:pPr>
            <w:r w:rsidRPr="003517B6">
              <w:rPr>
                <w:i/>
                <w:iCs/>
                <w:color w:val="000000"/>
                <w:sz w:val="18"/>
                <w:szCs w:val="18"/>
              </w:rPr>
              <w:t>HS-GC-IMS</w:t>
            </w:r>
          </w:p>
        </w:tc>
      </w:tr>
      <w:tr w:rsidR="00934E93" w:rsidRPr="003517B6" w14:paraId="1C277EA0" w14:textId="77777777" w:rsidTr="003517B6">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bottom w:val="single" w:sz="4" w:space="0" w:color="auto"/>
            </w:tcBorders>
            <w:noWrap/>
            <w:hideMark/>
          </w:tcPr>
          <w:p w14:paraId="0403EECD" w14:textId="77777777" w:rsidR="00934E93" w:rsidRPr="003517B6" w:rsidRDefault="00934E93" w:rsidP="001A7800">
            <w:pPr>
              <w:jc w:val="center"/>
              <w:rPr>
                <w:b w:val="0"/>
                <w:bCs w:val="0"/>
                <w:color w:val="000000"/>
                <w:sz w:val="18"/>
                <w:szCs w:val="18"/>
              </w:rPr>
            </w:pPr>
            <w:r w:rsidRPr="003517B6">
              <w:rPr>
                <w:color w:val="000000"/>
                <w:sz w:val="18"/>
                <w:szCs w:val="18"/>
              </w:rPr>
              <w:t>COMMERCIAL CATEGORY</w:t>
            </w:r>
          </w:p>
        </w:tc>
        <w:tc>
          <w:tcPr>
            <w:tcW w:w="2268" w:type="dxa"/>
            <w:tcBorders>
              <w:top w:val="single" w:sz="4" w:space="0" w:color="auto"/>
              <w:bottom w:val="single" w:sz="4" w:space="0" w:color="auto"/>
            </w:tcBorders>
            <w:noWrap/>
            <w:hideMark/>
          </w:tcPr>
          <w:p w14:paraId="25ECDCC8" w14:textId="77777777" w:rsidR="00934E93" w:rsidRPr="003517B6" w:rsidRDefault="00934E93" w:rsidP="001A7800">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val="en-US"/>
              </w:rPr>
            </w:pPr>
            <w:r w:rsidRPr="003517B6">
              <w:rPr>
                <w:b/>
                <w:bCs/>
                <w:color w:val="000000"/>
                <w:sz w:val="18"/>
                <w:szCs w:val="18"/>
                <w:lang w:val="en-US"/>
              </w:rPr>
              <w:t>SAMPLES CORRECTLY CLASSIFIED</w:t>
            </w:r>
          </w:p>
        </w:tc>
        <w:tc>
          <w:tcPr>
            <w:tcW w:w="531" w:type="dxa"/>
            <w:tcBorders>
              <w:top w:val="single" w:sz="4" w:space="0" w:color="auto"/>
              <w:bottom w:val="single" w:sz="4" w:space="0" w:color="auto"/>
            </w:tcBorders>
            <w:noWrap/>
            <w:hideMark/>
          </w:tcPr>
          <w:p w14:paraId="0ADEA1E0" w14:textId="77777777" w:rsidR="00934E93" w:rsidRPr="003517B6" w:rsidRDefault="00934E93" w:rsidP="001A7800">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3517B6">
              <w:rPr>
                <w:b/>
                <w:bCs/>
                <w:color w:val="000000"/>
                <w:sz w:val="18"/>
                <w:szCs w:val="18"/>
              </w:rPr>
              <w:t>%</w:t>
            </w:r>
          </w:p>
        </w:tc>
        <w:tc>
          <w:tcPr>
            <w:tcW w:w="2338" w:type="dxa"/>
            <w:tcBorders>
              <w:top w:val="single" w:sz="4" w:space="0" w:color="auto"/>
              <w:bottom w:val="single" w:sz="4" w:space="0" w:color="auto"/>
            </w:tcBorders>
            <w:noWrap/>
            <w:hideMark/>
          </w:tcPr>
          <w:p w14:paraId="19F4D137" w14:textId="77777777" w:rsidR="00934E93" w:rsidRPr="003517B6" w:rsidRDefault="00934E93" w:rsidP="001A7800">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val="en-US"/>
              </w:rPr>
            </w:pPr>
            <w:r w:rsidRPr="003517B6">
              <w:rPr>
                <w:b/>
                <w:bCs/>
                <w:color w:val="000000"/>
                <w:sz w:val="18"/>
                <w:szCs w:val="18"/>
                <w:lang w:val="en-US"/>
              </w:rPr>
              <w:t>SAMPLES CORRECTLY CLASSIFIED</w:t>
            </w:r>
          </w:p>
        </w:tc>
        <w:tc>
          <w:tcPr>
            <w:tcW w:w="248" w:type="dxa"/>
            <w:tcBorders>
              <w:top w:val="single" w:sz="4" w:space="0" w:color="auto"/>
              <w:bottom w:val="single" w:sz="4" w:space="0" w:color="auto"/>
            </w:tcBorders>
            <w:noWrap/>
            <w:hideMark/>
          </w:tcPr>
          <w:p w14:paraId="600ADF5B" w14:textId="77777777" w:rsidR="00934E93" w:rsidRPr="003517B6" w:rsidRDefault="00934E93" w:rsidP="001A7800">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3517B6">
              <w:rPr>
                <w:b/>
                <w:bCs/>
                <w:color w:val="000000"/>
                <w:sz w:val="18"/>
                <w:szCs w:val="18"/>
              </w:rPr>
              <w:t>%</w:t>
            </w:r>
          </w:p>
        </w:tc>
      </w:tr>
      <w:tr w:rsidR="00934E93" w:rsidRPr="003517B6" w14:paraId="11B6A315" w14:textId="77777777" w:rsidTr="003517B6">
        <w:trPr>
          <w:trHeight w:val="135"/>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tcBorders>
            <w:noWrap/>
            <w:hideMark/>
          </w:tcPr>
          <w:p w14:paraId="32318E6D" w14:textId="77777777" w:rsidR="00934E93" w:rsidRPr="003517B6" w:rsidRDefault="00934E93" w:rsidP="001A7800">
            <w:pPr>
              <w:jc w:val="center"/>
              <w:rPr>
                <w:color w:val="000000"/>
                <w:sz w:val="18"/>
                <w:szCs w:val="18"/>
              </w:rPr>
            </w:pPr>
            <w:r w:rsidRPr="003517B6">
              <w:rPr>
                <w:color w:val="000000"/>
                <w:sz w:val="18"/>
                <w:szCs w:val="18"/>
              </w:rPr>
              <w:t>EV</w:t>
            </w:r>
          </w:p>
        </w:tc>
        <w:tc>
          <w:tcPr>
            <w:tcW w:w="2268" w:type="dxa"/>
            <w:tcBorders>
              <w:top w:val="single" w:sz="4" w:space="0" w:color="auto"/>
            </w:tcBorders>
            <w:noWrap/>
            <w:hideMark/>
          </w:tcPr>
          <w:p w14:paraId="3231BE52" w14:textId="77777777" w:rsidR="00934E93" w:rsidRPr="003517B6" w:rsidRDefault="00934E93" w:rsidP="001A780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3517B6">
              <w:rPr>
                <w:color w:val="000000"/>
                <w:sz w:val="18"/>
                <w:szCs w:val="18"/>
              </w:rPr>
              <w:t>16/17</w:t>
            </w:r>
          </w:p>
        </w:tc>
        <w:tc>
          <w:tcPr>
            <w:tcW w:w="531" w:type="dxa"/>
            <w:tcBorders>
              <w:top w:val="single" w:sz="4" w:space="0" w:color="auto"/>
            </w:tcBorders>
            <w:noWrap/>
            <w:hideMark/>
          </w:tcPr>
          <w:p w14:paraId="395F17A5" w14:textId="77777777" w:rsidR="00934E93" w:rsidRPr="003517B6" w:rsidRDefault="00934E93" w:rsidP="001A780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3517B6">
              <w:rPr>
                <w:color w:val="000000"/>
                <w:sz w:val="18"/>
                <w:szCs w:val="18"/>
              </w:rPr>
              <w:t>94.1</w:t>
            </w:r>
          </w:p>
        </w:tc>
        <w:tc>
          <w:tcPr>
            <w:tcW w:w="2338" w:type="dxa"/>
            <w:tcBorders>
              <w:top w:val="single" w:sz="4" w:space="0" w:color="auto"/>
            </w:tcBorders>
            <w:noWrap/>
            <w:hideMark/>
          </w:tcPr>
          <w:p w14:paraId="101AF634" w14:textId="77777777" w:rsidR="00934E93" w:rsidRPr="003517B6" w:rsidRDefault="00934E93" w:rsidP="001A780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3517B6">
              <w:rPr>
                <w:color w:val="000000"/>
                <w:sz w:val="18"/>
                <w:szCs w:val="18"/>
              </w:rPr>
              <w:t>15/17</w:t>
            </w:r>
          </w:p>
        </w:tc>
        <w:tc>
          <w:tcPr>
            <w:tcW w:w="248" w:type="dxa"/>
            <w:tcBorders>
              <w:top w:val="single" w:sz="4" w:space="0" w:color="auto"/>
            </w:tcBorders>
            <w:noWrap/>
            <w:hideMark/>
          </w:tcPr>
          <w:p w14:paraId="7563D386" w14:textId="77777777" w:rsidR="00934E93" w:rsidRPr="003517B6" w:rsidRDefault="00934E93" w:rsidP="001A780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3517B6">
              <w:rPr>
                <w:color w:val="000000"/>
                <w:sz w:val="18"/>
                <w:szCs w:val="18"/>
              </w:rPr>
              <w:t>88.2</w:t>
            </w:r>
          </w:p>
        </w:tc>
      </w:tr>
      <w:tr w:rsidR="00934E93" w:rsidRPr="003517B6" w14:paraId="6FE88E30" w14:textId="77777777" w:rsidTr="003517B6">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bottom w:val="none" w:sz="0" w:space="0" w:color="auto"/>
            </w:tcBorders>
            <w:noWrap/>
            <w:hideMark/>
          </w:tcPr>
          <w:p w14:paraId="269B2995" w14:textId="77777777" w:rsidR="00934E93" w:rsidRPr="003517B6" w:rsidRDefault="00934E93" w:rsidP="001A7800">
            <w:pPr>
              <w:jc w:val="center"/>
              <w:rPr>
                <w:color w:val="000000"/>
                <w:sz w:val="18"/>
                <w:szCs w:val="18"/>
              </w:rPr>
            </w:pPr>
            <w:r w:rsidRPr="003517B6">
              <w:rPr>
                <w:color w:val="000000"/>
                <w:sz w:val="18"/>
                <w:szCs w:val="18"/>
              </w:rPr>
              <w:t>V</w:t>
            </w:r>
          </w:p>
        </w:tc>
        <w:tc>
          <w:tcPr>
            <w:tcW w:w="2268" w:type="dxa"/>
            <w:tcBorders>
              <w:top w:val="none" w:sz="0" w:space="0" w:color="auto"/>
              <w:bottom w:val="none" w:sz="0" w:space="0" w:color="auto"/>
            </w:tcBorders>
            <w:noWrap/>
            <w:hideMark/>
          </w:tcPr>
          <w:p w14:paraId="29970183" w14:textId="77777777" w:rsidR="00934E93" w:rsidRPr="003517B6" w:rsidRDefault="00934E93" w:rsidP="001A780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3517B6">
              <w:rPr>
                <w:color w:val="000000"/>
                <w:sz w:val="18"/>
                <w:szCs w:val="18"/>
              </w:rPr>
              <w:t>17/19</w:t>
            </w:r>
          </w:p>
        </w:tc>
        <w:tc>
          <w:tcPr>
            <w:tcW w:w="531" w:type="dxa"/>
            <w:tcBorders>
              <w:top w:val="none" w:sz="0" w:space="0" w:color="auto"/>
              <w:bottom w:val="none" w:sz="0" w:space="0" w:color="auto"/>
            </w:tcBorders>
            <w:noWrap/>
            <w:hideMark/>
          </w:tcPr>
          <w:p w14:paraId="2121C3E7" w14:textId="77777777" w:rsidR="00934E93" w:rsidRPr="003517B6" w:rsidRDefault="00934E93" w:rsidP="001A780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3517B6">
              <w:rPr>
                <w:color w:val="000000"/>
                <w:sz w:val="18"/>
                <w:szCs w:val="18"/>
              </w:rPr>
              <w:t>89.5</w:t>
            </w:r>
          </w:p>
        </w:tc>
        <w:tc>
          <w:tcPr>
            <w:tcW w:w="2338" w:type="dxa"/>
            <w:tcBorders>
              <w:top w:val="none" w:sz="0" w:space="0" w:color="auto"/>
              <w:bottom w:val="none" w:sz="0" w:space="0" w:color="auto"/>
            </w:tcBorders>
            <w:noWrap/>
            <w:hideMark/>
          </w:tcPr>
          <w:p w14:paraId="27652912" w14:textId="77777777" w:rsidR="00934E93" w:rsidRPr="003517B6" w:rsidRDefault="00934E93" w:rsidP="001A780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3517B6">
              <w:rPr>
                <w:color w:val="000000"/>
                <w:sz w:val="18"/>
                <w:szCs w:val="18"/>
              </w:rPr>
              <w:t>17/19</w:t>
            </w:r>
          </w:p>
        </w:tc>
        <w:tc>
          <w:tcPr>
            <w:tcW w:w="248" w:type="dxa"/>
            <w:tcBorders>
              <w:top w:val="none" w:sz="0" w:space="0" w:color="auto"/>
              <w:bottom w:val="none" w:sz="0" w:space="0" w:color="auto"/>
            </w:tcBorders>
            <w:noWrap/>
            <w:hideMark/>
          </w:tcPr>
          <w:p w14:paraId="6EE55B32" w14:textId="77777777" w:rsidR="00934E93" w:rsidRPr="003517B6" w:rsidRDefault="00934E93" w:rsidP="001A780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3517B6">
              <w:rPr>
                <w:color w:val="000000"/>
                <w:sz w:val="18"/>
                <w:szCs w:val="18"/>
              </w:rPr>
              <w:t>84.2</w:t>
            </w:r>
          </w:p>
        </w:tc>
      </w:tr>
      <w:tr w:rsidR="00934E93" w:rsidRPr="003517B6" w14:paraId="2419A93D" w14:textId="77777777" w:rsidTr="003517B6">
        <w:trPr>
          <w:trHeight w:val="204"/>
        </w:trPr>
        <w:tc>
          <w:tcPr>
            <w:cnfStyle w:val="001000000000" w:firstRow="0" w:lastRow="0" w:firstColumn="1" w:lastColumn="0" w:oddVBand="0" w:evenVBand="0" w:oddHBand="0" w:evenHBand="0" w:firstRowFirstColumn="0" w:firstRowLastColumn="0" w:lastRowFirstColumn="0" w:lastRowLastColumn="0"/>
            <w:tcW w:w="1526" w:type="dxa"/>
            <w:noWrap/>
            <w:hideMark/>
          </w:tcPr>
          <w:p w14:paraId="47A3BF8C" w14:textId="77777777" w:rsidR="00934E93" w:rsidRPr="003517B6" w:rsidRDefault="00934E93" w:rsidP="001A7800">
            <w:pPr>
              <w:jc w:val="center"/>
              <w:rPr>
                <w:color w:val="000000"/>
                <w:sz w:val="18"/>
                <w:szCs w:val="18"/>
              </w:rPr>
            </w:pPr>
            <w:r w:rsidRPr="003517B6">
              <w:rPr>
                <w:color w:val="000000"/>
                <w:sz w:val="18"/>
                <w:szCs w:val="18"/>
              </w:rPr>
              <w:t>L</w:t>
            </w:r>
          </w:p>
        </w:tc>
        <w:tc>
          <w:tcPr>
            <w:tcW w:w="2268" w:type="dxa"/>
            <w:noWrap/>
            <w:hideMark/>
          </w:tcPr>
          <w:p w14:paraId="6FF83E4A" w14:textId="77777777" w:rsidR="00934E93" w:rsidRPr="003517B6" w:rsidRDefault="00934E93" w:rsidP="001A780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3517B6">
              <w:rPr>
                <w:color w:val="000000"/>
                <w:sz w:val="18"/>
                <w:szCs w:val="18"/>
              </w:rPr>
              <w:t>13/16</w:t>
            </w:r>
          </w:p>
        </w:tc>
        <w:tc>
          <w:tcPr>
            <w:tcW w:w="531" w:type="dxa"/>
            <w:noWrap/>
            <w:hideMark/>
          </w:tcPr>
          <w:p w14:paraId="217A9452" w14:textId="77777777" w:rsidR="00934E93" w:rsidRPr="003517B6" w:rsidRDefault="00934E93" w:rsidP="001A780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3517B6">
              <w:rPr>
                <w:color w:val="000000"/>
                <w:sz w:val="18"/>
                <w:szCs w:val="18"/>
              </w:rPr>
              <w:t>81.3</w:t>
            </w:r>
          </w:p>
        </w:tc>
        <w:tc>
          <w:tcPr>
            <w:tcW w:w="2338" w:type="dxa"/>
            <w:noWrap/>
            <w:hideMark/>
          </w:tcPr>
          <w:p w14:paraId="7698D5F1" w14:textId="77777777" w:rsidR="00934E93" w:rsidRPr="003517B6" w:rsidRDefault="00934E93" w:rsidP="001A780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3517B6">
              <w:rPr>
                <w:color w:val="000000"/>
                <w:sz w:val="18"/>
                <w:szCs w:val="18"/>
              </w:rPr>
              <w:t>15/16</w:t>
            </w:r>
          </w:p>
        </w:tc>
        <w:tc>
          <w:tcPr>
            <w:tcW w:w="248" w:type="dxa"/>
            <w:noWrap/>
            <w:hideMark/>
          </w:tcPr>
          <w:p w14:paraId="60547BAE" w14:textId="77777777" w:rsidR="00934E93" w:rsidRPr="003517B6" w:rsidRDefault="00934E93" w:rsidP="001A7800">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3517B6">
              <w:rPr>
                <w:color w:val="000000"/>
                <w:sz w:val="18"/>
                <w:szCs w:val="18"/>
              </w:rPr>
              <w:t>93.8</w:t>
            </w:r>
          </w:p>
        </w:tc>
      </w:tr>
      <w:tr w:rsidR="00934E93" w:rsidRPr="003517B6" w14:paraId="0E22F0B4" w14:textId="77777777" w:rsidTr="003517B6">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bottom w:val="single" w:sz="4" w:space="0" w:color="auto"/>
            </w:tcBorders>
            <w:noWrap/>
            <w:hideMark/>
          </w:tcPr>
          <w:p w14:paraId="077E59A3" w14:textId="77777777" w:rsidR="00934E93" w:rsidRPr="003517B6" w:rsidRDefault="00934E93" w:rsidP="001A7800">
            <w:pPr>
              <w:jc w:val="center"/>
              <w:rPr>
                <w:color w:val="000000"/>
                <w:sz w:val="18"/>
                <w:szCs w:val="18"/>
              </w:rPr>
            </w:pPr>
            <w:r w:rsidRPr="003517B6">
              <w:rPr>
                <w:color w:val="000000"/>
                <w:sz w:val="18"/>
                <w:szCs w:val="18"/>
              </w:rPr>
              <w:t>TOTAL</w:t>
            </w:r>
          </w:p>
        </w:tc>
        <w:tc>
          <w:tcPr>
            <w:tcW w:w="2268" w:type="dxa"/>
            <w:tcBorders>
              <w:top w:val="none" w:sz="0" w:space="0" w:color="auto"/>
              <w:bottom w:val="single" w:sz="4" w:space="0" w:color="auto"/>
            </w:tcBorders>
            <w:noWrap/>
            <w:hideMark/>
          </w:tcPr>
          <w:p w14:paraId="154178D7" w14:textId="77777777" w:rsidR="00934E93" w:rsidRPr="003517B6" w:rsidRDefault="00934E93" w:rsidP="001A780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3517B6">
              <w:rPr>
                <w:color w:val="000000"/>
                <w:sz w:val="18"/>
                <w:szCs w:val="18"/>
              </w:rPr>
              <w:t>46/52</w:t>
            </w:r>
          </w:p>
        </w:tc>
        <w:tc>
          <w:tcPr>
            <w:tcW w:w="531" w:type="dxa"/>
            <w:tcBorders>
              <w:top w:val="none" w:sz="0" w:space="0" w:color="auto"/>
              <w:bottom w:val="single" w:sz="4" w:space="0" w:color="auto"/>
            </w:tcBorders>
            <w:noWrap/>
            <w:hideMark/>
          </w:tcPr>
          <w:p w14:paraId="0BC5938B" w14:textId="77777777" w:rsidR="00934E93" w:rsidRPr="003517B6" w:rsidRDefault="00934E93" w:rsidP="001A780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3517B6">
              <w:rPr>
                <w:color w:val="000000"/>
                <w:sz w:val="18"/>
                <w:szCs w:val="18"/>
              </w:rPr>
              <w:t>88.5</w:t>
            </w:r>
          </w:p>
        </w:tc>
        <w:tc>
          <w:tcPr>
            <w:tcW w:w="2338" w:type="dxa"/>
            <w:tcBorders>
              <w:top w:val="none" w:sz="0" w:space="0" w:color="auto"/>
              <w:bottom w:val="single" w:sz="4" w:space="0" w:color="auto"/>
            </w:tcBorders>
            <w:noWrap/>
            <w:hideMark/>
          </w:tcPr>
          <w:p w14:paraId="35BA0141" w14:textId="77777777" w:rsidR="00934E93" w:rsidRPr="003517B6" w:rsidRDefault="00934E93" w:rsidP="001A780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3517B6">
              <w:rPr>
                <w:color w:val="000000"/>
                <w:sz w:val="18"/>
                <w:szCs w:val="18"/>
              </w:rPr>
              <w:t>47/52</w:t>
            </w:r>
          </w:p>
        </w:tc>
        <w:tc>
          <w:tcPr>
            <w:tcW w:w="248" w:type="dxa"/>
            <w:tcBorders>
              <w:top w:val="none" w:sz="0" w:space="0" w:color="auto"/>
              <w:bottom w:val="single" w:sz="4" w:space="0" w:color="auto"/>
            </w:tcBorders>
            <w:noWrap/>
            <w:hideMark/>
          </w:tcPr>
          <w:p w14:paraId="3BCEF893" w14:textId="77777777" w:rsidR="00934E93" w:rsidRPr="003517B6" w:rsidRDefault="00934E93" w:rsidP="001A7800">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3517B6">
              <w:rPr>
                <w:color w:val="000000"/>
                <w:sz w:val="18"/>
                <w:szCs w:val="18"/>
              </w:rPr>
              <w:t>90.4</w:t>
            </w:r>
          </w:p>
        </w:tc>
      </w:tr>
      <w:bookmarkEnd w:id="0"/>
    </w:tbl>
    <w:p w14:paraId="757B3500" w14:textId="77777777" w:rsidR="007D40F9" w:rsidRDefault="007D40F9" w:rsidP="007D40F9">
      <w:pPr>
        <w:pStyle w:val="Titolo2"/>
        <w:rPr>
          <w:sz w:val="20"/>
          <w:lang w:val="en-GB"/>
        </w:rPr>
      </w:pPr>
    </w:p>
    <w:p w14:paraId="364D875B" w14:textId="77777777" w:rsidR="003517B6" w:rsidRDefault="003517B6" w:rsidP="003517B6">
      <w:pPr>
        <w:rPr>
          <w:lang w:val="en-GB"/>
        </w:rPr>
      </w:pPr>
    </w:p>
    <w:p w14:paraId="7C38E348" w14:textId="77777777" w:rsidR="003517B6" w:rsidRDefault="003517B6" w:rsidP="003517B6">
      <w:pPr>
        <w:rPr>
          <w:lang w:val="en-GB"/>
        </w:rPr>
      </w:pPr>
    </w:p>
    <w:p w14:paraId="5F809DA7" w14:textId="77777777" w:rsidR="003517B6" w:rsidRDefault="003517B6" w:rsidP="003517B6">
      <w:pPr>
        <w:rPr>
          <w:lang w:val="en-GB"/>
        </w:rPr>
      </w:pPr>
    </w:p>
    <w:p w14:paraId="2D84E9AE" w14:textId="77777777" w:rsidR="003517B6" w:rsidRPr="003517B6" w:rsidRDefault="003517B6" w:rsidP="003517B6">
      <w:pPr>
        <w:rPr>
          <w:lang w:val="en-GB"/>
        </w:rPr>
      </w:pPr>
    </w:p>
    <w:p w14:paraId="0DFF5791" w14:textId="77777777" w:rsidR="003517B6" w:rsidRDefault="003517B6" w:rsidP="003517B6">
      <w:pPr>
        <w:rPr>
          <w:lang w:val="en-GB"/>
        </w:rPr>
      </w:pPr>
    </w:p>
    <w:p w14:paraId="7AFB41B8" w14:textId="77777777" w:rsidR="003517B6" w:rsidRDefault="003517B6" w:rsidP="003517B6">
      <w:pPr>
        <w:rPr>
          <w:lang w:val="en-GB"/>
        </w:rPr>
      </w:pPr>
    </w:p>
    <w:p w14:paraId="5EF51AB6" w14:textId="77777777" w:rsidR="003517B6" w:rsidRDefault="003517B6" w:rsidP="003517B6">
      <w:pPr>
        <w:rPr>
          <w:lang w:val="en-GB"/>
        </w:rPr>
      </w:pPr>
    </w:p>
    <w:p w14:paraId="2B2E345D" w14:textId="77777777" w:rsidR="003517B6" w:rsidRDefault="003517B6" w:rsidP="003517B6">
      <w:pPr>
        <w:rPr>
          <w:lang w:val="en-GB"/>
        </w:rPr>
      </w:pPr>
    </w:p>
    <w:p w14:paraId="58131DE1" w14:textId="472D731C" w:rsidR="003517B6" w:rsidRPr="003822D0" w:rsidRDefault="003517B6" w:rsidP="003822D0">
      <w:pPr>
        <w:jc w:val="center"/>
        <w:rPr>
          <w:rFonts w:cstheme="minorHAnsi"/>
          <w:b/>
          <w:sz w:val="18"/>
          <w:szCs w:val="18"/>
          <w:lang w:val="en-US"/>
        </w:rPr>
      </w:pPr>
      <w:r w:rsidRPr="007925AA">
        <w:rPr>
          <w:rFonts w:cstheme="minorHAnsi"/>
          <w:b/>
          <w:noProof/>
          <w:sz w:val="18"/>
          <w:szCs w:val="18"/>
        </w:rPr>
        <w:drawing>
          <wp:inline distT="0" distB="0" distL="0" distR="0" wp14:anchorId="4C4BE26F" wp14:editId="1F602B0D">
            <wp:extent cx="2857871" cy="1689100"/>
            <wp:effectExtent l="0" t="0" r="0" b="6350"/>
            <wp:docPr id="629873497" name="Immagine 629873497" descr="Immagine che contiene testo, schermata, diagramma, linea&#10;&#10;Descrizione generata automaticamente">
              <a:extLst xmlns:a="http://schemas.openxmlformats.org/drawingml/2006/main">
                <a:ext uri="{FF2B5EF4-FFF2-40B4-BE49-F238E27FC236}">
                  <a16:creationId xmlns:a16="http://schemas.microsoft.com/office/drawing/2014/main" id="{F96EA4DC-C2AB-7103-0536-BB921F8F91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descr="Immagine che contiene testo, schermata, diagramma, linea&#10;&#10;Descrizione generata automaticamente">
                      <a:extLst>
                        <a:ext uri="{FF2B5EF4-FFF2-40B4-BE49-F238E27FC236}">
                          <a16:creationId xmlns:a16="http://schemas.microsoft.com/office/drawing/2014/main" id="{F96EA4DC-C2AB-7103-0536-BB921F8F9129}"/>
                        </a:ext>
                      </a:extLst>
                    </pic:cNvPr>
                    <pic:cNvPicPr>
                      <a:picLocks noChangeAspect="1"/>
                    </pic:cNvPicPr>
                  </pic:nvPicPr>
                  <pic:blipFill rotWithShape="1">
                    <a:blip r:embed="rId7"/>
                    <a:srcRect t="1153" r="7407"/>
                    <a:stretch/>
                  </pic:blipFill>
                  <pic:spPr bwMode="auto">
                    <a:xfrm>
                      <a:off x="0" y="0"/>
                      <a:ext cx="3046009" cy="1800296"/>
                    </a:xfrm>
                    <a:prstGeom prst="rect">
                      <a:avLst/>
                    </a:prstGeom>
                    <a:ln>
                      <a:noFill/>
                    </a:ln>
                    <a:extLst>
                      <a:ext uri="{53640926-AAD7-44D8-BBD7-CCE9431645EC}">
                        <a14:shadowObscured xmlns:a14="http://schemas.microsoft.com/office/drawing/2010/main"/>
                      </a:ext>
                    </a:extLst>
                  </pic:spPr>
                </pic:pic>
              </a:graphicData>
            </a:graphic>
          </wp:inline>
        </w:drawing>
      </w:r>
      <w:r w:rsidRPr="007925AA">
        <w:rPr>
          <w:rFonts w:cstheme="minorHAnsi"/>
          <w:b/>
          <w:noProof/>
          <w:sz w:val="18"/>
          <w:szCs w:val="18"/>
        </w:rPr>
        <w:drawing>
          <wp:inline distT="0" distB="0" distL="0" distR="0" wp14:anchorId="63AD77C0" wp14:editId="5B182D68">
            <wp:extent cx="2851150" cy="1689060"/>
            <wp:effectExtent l="0" t="0" r="6350" b="6985"/>
            <wp:docPr id="908254841" name="Immagine 908254841" descr="Immagine che contiene testo, schermata, diagramma, linea&#10;&#10;Descrizione generata automaticamente">
              <a:extLst xmlns:a="http://schemas.openxmlformats.org/drawingml/2006/main">
                <a:ext uri="{FF2B5EF4-FFF2-40B4-BE49-F238E27FC236}">
                  <a16:creationId xmlns:a16="http://schemas.microsoft.com/office/drawing/2014/main" id="{DB8C0802-130C-A80E-23B2-D3A26140EE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descr="Immagine che contiene testo, schermata, diagramma, linea&#10;&#10;Descrizione generata automaticamente">
                      <a:extLst>
                        <a:ext uri="{FF2B5EF4-FFF2-40B4-BE49-F238E27FC236}">
                          <a16:creationId xmlns:a16="http://schemas.microsoft.com/office/drawing/2014/main" id="{DB8C0802-130C-A80E-23B2-D3A26140EEBB}"/>
                        </a:ext>
                      </a:extLst>
                    </pic:cNvPr>
                    <pic:cNvPicPr>
                      <a:picLocks noChangeAspect="1"/>
                    </pic:cNvPicPr>
                  </pic:nvPicPr>
                  <pic:blipFill rotWithShape="1">
                    <a:blip r:embed="rId8"/>
                    <a:srcRect r="7315"/>
                    <a:stretch/>
                  </pic:blipFill>
                  <pic:spPr bwMode="auto">
                    <a:xfrm>
                      <a:off x="0" y="0"/>
                      <a:ext cx="2916035" cy="1727499"/>
                    </a:xfrm>
                    <a:prstGeom prst="rect">
                      <a:avLst/>
                    </a:prstGeom>
                    <a:ln>
                      <a:noFill/>
                    </a:ln>
                    <a:extLst>
                      <a:ext uri="{53640926-AAD7-44D8-BBD7-CCE9431645EC}">
                        <a14:shadowObscured xmlns:a14="http://schemas.microsoft.com/office/drawing/2010/main"/>
                      </a:ext>
                    </a:extLst>
                  </pic:spPr>
                </pic:pic>
              </a:graphicData>
            </a:graphic>
          </wp:inline>
        </w:drawing>
      </w:r>
    </w:p>
    <w:p w14:paraId="5DBFF14C" w14:textId="3FA06D2E" w:rsidR="003517B6" w:rsidRPr="00746B7D" w:rsidRDefault="003517B6" w:rsidP="003517B6">
      <w:pPr>
        <w:tabs>
          <w:tab w:val="left" w:pos="851"/>
        </w:tabs>
        <w:spacing w:before="300" w:after="300"/>
        <w:ind w:left="851" w:hanging="851"/>
        <w:jc w:val="both"/>
        <w:rPr>
          <w:lang w:val="en-US"/>
        </w:rPr>
      </w:pPr>
      <w:r>
        <w:rPr>
          <w:b/>
          <w:color w:val="000000"/>
          <w:sz w:val="18"/>
          <w:lang w:val="en-GB"/>
        </w:rPr>
        <w:t xml:space="preserve">Figure 1 </w:t>
      </w:r>
      <w:r>
        <w:rPr>
          <w:b/>
          <w:color w:val="000000"/>
          <w:sz w:val="18"/>
          <w:lang w:val="en-GB"/>
        </w:rPr>
        <w:tab/>
      </w:r>
      <w:r w:rsidRPr="003517B6">
        <w:rPr>
          <w:bCs/>
          <w:i/>
          <w:iCs/>
          <w:color w:val="000000"/>
          <w:sz w:val="18"/>
          <w:lang w:val="en-GB"/>
        </w:rPr>
        <w:t xml:space="preserve">Graphical results regarding the values of the class prediction probability by the single model EV vs. </w:t>
      </w:r>
      <w:proofErr w:type="spellStart"/>
      <w:r w:rsidRPr="003517B6">
        <w:rPr>
          <w:bCs/>
          <w:i/>
          <w:iCs/>
          <w:color w:val="000000"/>
          <w:sz w:val="18"/>
          <w:lang w:val="en-GB"/>
        </w:rPr>
        <w:t>noEV</w:t>
      </w:r>
      <w:proofErr w:type="spellEnd"/>
      <w:r w:rsidRPr="003517B6">
        <w:rPr>
          <w:bCs/>
          <w:i/>
          <w:iCs/>
          <w:color w:val="000000"/>
          <w:sz w:val="18"/>
          <w:lang w:val="en-GB"/>
        </w:rPr>
        <w:t xml:space="preserve">, for both Flash-GC (on the left) and HS-GC-IMS (on the right). EV samples: grey circles; </w:t>
      </w:r>
      <w:proofErr w:type="spellStart"/>
      <w:r w:rsidRPr="003517B6">
        <w:rPr>
          <w:bCs/>
          <w:i/>
          <w:iCs/>
          <w:color w:val="000000"/>
          <w:sz w:val="18"/>
          <w:lang w:val="en-GB"/>
        </w:rPr>
        <w:t>noEV</w:t>
      </w:r>
      <w:proofErr w:type="spellEnd"/>
      <w:r w:rsidRPr="003517B6">
        <w:rPr>
          <w:bCs/>
          <w:i/>
          <w:iCs/>
          <w:color w:val="000000"/>
          <w:sz w:val="18"/>
          <w:lang w:val="en-GB"/>
        </w:rPr>
        <w:t xml:space="preserve"> samples: black triangles.</w:t>
      </w:r>
    </w:p>
    <w:p w14:paraId="0F2C9AE3" w14:textId="32CAC6FD" w:rsidR="003517B6" w:rsidRDefault="003517B6" w:rsidP="003517B6">
      <w:pPr>
        <w:tabs>
          <w:tab w:val="left" w:pos="567"/>
          <w:tab w:val="left" w:pos="7371"/>
        </w:tabs>
        <w:jc w:val="both"/>
        <w:rPr>
          <w:color w:val="000000"/>
          <w:lang w:val="en-GB"/>
        </w:rPr>
      </w:pPr>
      <w:r>
        <w:rPr>
          <w:color w:val="000000"/>
          <w:lang w:val="en-GB"/>
        </w:rPr>
        <w:t xml:space="preserve">The other 68 VOOs samples were also </w:t>
      </w:r>
      <w:proofErr w:type="spellStart"/>
      <w:r>
        <w:rPr>
          <w:color w:val="000000"/>
          <w:lang w:val="en-GB"/>
        </w:rPr>
        <w:t>analyzed</w:t>
      </w:r>
      <w:proofErr w:type="spellEnd"/>
      <w:r>
        <w:rPr>
          <w:color w:val="000000"/>
          <w:lang w:val="en-GB"/>
        </w:rPr>
        <w:t xml:space="preserve"> by sensory analysis (</w:t>
      </w:r>
      <w:r w:rsidR="00546EC4">
        <w:rPr>
          <w:color w:val="000000"/>
          <w:lang w:val="en-GB"/>
        </w:rPr>
        <w:t>Panel test</w:t>
      </w:r>
      <w:r>
        <w:rPr>
          <w:color w:val="000000"/>
          <w:lang w:val="en-GB"/>
        </w:rPr>
        <w:t>) and by both the abovementioned instrumental techniques, and the data elaboration is still ongoing.</w:t>
      </w:r>
    </w:p>
    <w:p w14:paraId="298E62C4" w14:textId="711D437F" w:rsidR="003517B6" w:rsidRDefault="003517B6" w:rsidP="00A52F85">
      <w:pPr>
        <w:jc w:val="both"/>
        <w:rPr>
          <w:lang w:val="en-GB"/>
        </w:rPr>
      </w:pPr>
      <w:r>
        <w:rPr>
          <w:lang w:val="en-GB"/>
        </w:rPr>
        <w:t>In addition, regarding</w:t>
      </w:r>
      <w:r w:rsidRPr="004B1937">
        <w:rPr>
          <w:lang w:val="en-GB"/>
        </w:rPr>
        <w:t xml:space="preserve"> HS-GC-IMS technique</w:t>
      </w:r>
      <w:r>
        <w:rPr>
          <w:lang w:val="en-GB"/>
        </w:rPr>
        <w:t>, data elaboration on the results obtained using the improved analytical conditions with respect to the published ones (</w:t>
      </w:r>
      <w:r w:rsidRPr="00D82A05">
        <w:rPr>
          <w:lang w:val="en-GB"/>
        </w:rPr>
        <w:t xml:space="preserve">Valli </w:t>
      </w:r>
      <w:r w:rsidRPr="0028440F">
        <w:rPr>
          <w:i/>
          <w:iCs/>
          <w:lang w:val="en-GB"/>
        </w:rPr>
        <w:t>et al</w:t>
      </w:r>
      <w:r w:rsidRPr="00D82A05">
        <w:rPr>
          <w:lang w:val="en-GB"/>
        </w:rPr>
        <w:t>., 2020</w:t>
      </w:r>
      <w:r>
        <w:rPr>
          <w:lang w:val="en-GB"/>
        </w:rPr>
        <w:t xml:space="preserve">) for the 120 VOOs is also at now </w:t>
      </w:r>
      <w:r>
        <w:rPr>
          <w:lang w:val="en-GB"/>
        </w:rPr>
        <w:lastRenderedPageBreak/>
        <w:t xml:space="preserve">ongoing. </w:t>
      </w:r>
    </w:p>
    <w:p w14:paraId="09FE23D6" w14:textId="77777777" w:rsidR="003517B6" w:rsidRPr="003517B6" w:rsidRDefault="003517B6" w:rsidP="003517B6">
      <w:pPr>
        <w:rPr>
          <w:lang w:val="en-GB"/>
        </w:rPr>
      </w:pPr>
    </w:p>
    <w:p w14:paraId="12AD3BBD" w14:textId="3E82FBDD" w:rsidR="007D40F9" w:rsidRDefault="007D40F9" w:rsidP="007D40F9">
      <w:pPr>
        <w:pStyle w:val="Titolo2"/>
        <w:rPr>
          <w:b/>
          <w:bCs/>
          <w:sz w:val="20"/>
          <w:lang w:val="en-GB"/>
        </w:rPr>
      </w:pPr>
      <w:r>
        <w:rPr>
          <w:b/>
          <w:bCs/>
          <w:sz w:val="20"/>
          <w:lang w:val="en-GB"/>
        </w:rPr>
        <w:t xml:space="preserve">5.2 </w:t>
      </w:r>
      <w:r w:rsidR="003517B6">
        <w:rPr>
          <w:b/>
          <w:bCs/>
          <w:sz w:val="20"/>
          <w:lang w:val="en-GB"/>
        </w:rPr>
        <w:t xml:space="preserve">Olive pomace </w:t>
      </w:r>
      <w:proofErr w:type="spellStart"/>
      <w:r w:rsidR="003517B6">
        <w:rPr>
          <w:b/>
          <w:bCs/>
          <w:sz w:val="20"/>
          <w:lang w:val="en-GB"/>
        </w:rPr>
        <w:t>valorization</w:t>
      </w:r>
      <w:proofErr w:type="spellEnd"/>
    </w:p>
    <w:p w14:paraId="22DFD7DB" w14:textId="0B4977FD" w:rsidR="007D40F9" w:rsidRPr="004A7430" w:rsidRDefault="003517B6" w:rsidP="004A7430">
      <w:pPr>
        <w:jc w:val="both"/>
        <w:rPr>
          <w:lang w:val="en-US"/>
        </w:rPr>
      </w:pPr>
      <w:r w:rsidRPr="003517B6">
        <w:rPr>
          <w:color w:val="000000"/>
          <w:lang w:val="en-GB"/>
        </w:rPr>
        <w:t xml:space="preserve">The results show that the extract obtained from the olive pomace drained from the central part of the lab-scale mill, </w:t>
      </w:r>
      <w:r w:rsidRPr="003517B6">
        <w:rPr>
          <w:i/>
          <w:iCs/>
          <w:color w:val="000000"/>
          <w:lang w:val="en-GB"/>
        </w:rPr>
        <w:t>SI</w:t>
      </w:r>
      <w:r w:rsidRPr="003517B6">
        <w:rPr>
          <w:color w:val="000000"/>
          <w:lang w:val="en-GB"/>
        </w:rPr>
        <w:t xml:space="preserve">, is the richest in the concentration of both total reducing molecules, including the phenolic compounds, and detected simple phenolic molecules after hydrolysis (Table </w:t>
      </w:r>
      <w:r>
        <w:rPr>
          <w:color w:val="000000"/>
          <w:lang w:val="en-GB"/>
        </w:rPr>
        <w:t>2</w:t>
      </w:r>
      <w:r w:rsidRPr="003517B6">
        <w:rPr>
          <w:color w:val="000000"/>
          <w:lang w:val="en-GB"/>
        </w:rPr>
        <w:t>). For this reason, it has been selected as the most suitable sample as phenolic hydroalcoholic extract.</w:t>
      </w:r>
    </w:p>
    <w:p w14:paraId="213053BF" w14:textId="402299DC" w:rsidR="003517B6" w:rsidRDefault="003517B6" w:rsidP="003517B6">
      <w:pPr>
        <w:tabs>
          <w:tab w:val="left" w:pos="851"/>
        </w:tabs>
        <w:spacing w:before="300" w:after="120"/>
        <w:ind w:left="851" w:hanging="851"/>
        <w:jc w:val="both"/>
        <w:rPr>
          <w:i/>
          <w:iCs/>
          <w:sz w:val="18"/>
          <w:szCs w:val="18"/>
          <w:lang w:val="en-GB"/>
        </w:rPr>
      </w:pPr>
      <w:r>
        <w:rPr>
          <w:b/>
          <w:iCs/>
          <w:sz w:val="18"/>
          <w:lang w:val="en-GB"/>
        </w:rPr>
        <w:t xml:space="preserve">Table 2 </w:t>
      </w:r>
      <w:r>
        <w:rPr>
          <w:b/>
          <w:iCs/>
          <w:sz w:val="18"/>
          <w:lang w:val="en-GB"/>
        </w:rPr>
        <w:tab/>
      </w:r>
      <w:r w:rsidRPr="003517B6">
        <w:rPr>
          <w:i/>
          <w:iCs/>
          <w:sz w:val="18"/>
          <w:szCs w:val="18"/>
          <w:lang w:val="en-GB"/>
        </w:rPr>
        <w:t>Average concentrations and relative standard deviations in the extracts obtained from the sample TQ, SI, SF (see the description of these samples in the paragraph 4.2). In the first column the total concentrations of the sum of unknown compounds (</w:t>
      </w:r>
      <w:proofErr w:type="spellStart"/>
      <w:r w:rsidRPr="003517B6">
        <w:rPr>
          <w:i/>
          <w:iCs/>
          <w:sz w:val="18"/>
          <w:szCs w:val="18"/>
          <w:lang w:val="en-GB"/>
        </w:rPr>
        <w:t>Unk</w:t>
      </w:r>
      <w:proofErr w:type="spellEnd"/>
      <w:r w:rsidRPr="003517B6">
        <w:rPr>
          <w:i/>
          <w:iCs/>
          <w:sz w:val="18"/>
          <w:szCs w:val="18"/>
          <w:lang w:val="en-GB"/>
        </w:rPr>
        <w:t xml:space="preserve">), </w:t>
      </w:r>
      <w:proofErr w:type="spellStart"/>
      <w:r w:rsidRPr="003517B6">
        <w:rPr>
          <w:i/>
          <w:iCs/>
          <w:sz w:val="18"/>
          <w:szCs w:val="18"/>
          <w:lang w:val="en-GB"/>
        </w:rPr>
        <w:t>hydroxytyrosol</w:t>
      </w:r>
      <w:proofErr w:type="spellEnd"/>
      <w:r w:rsidRPr="003517B6">
        <w:rPr>
          <w:i/>
          <w:iCs/>
          <w:sz w:val="18"/>
          <w:szCs w:val="18"/>
          <w:lang w:val="en-GB"/>
        </w:rPr>
        <w:t xml:space="preserve"> (</w:t>
      </w:r>
      <w:proofErr w:type="spellStart"/>
      <w:r w:rsidRPr="003517B6">
        <w:rPr>
          <w:i/>
          <w:iCs/>
          <w:sz w:val="18"/>
          <w:szCs w:val="18"/>
          <w:lang w:val="en-GB"/>
        </w:rPr>
        <w:t>HTyr</w:t>
      </w:r>
      <w:proofErr w:type="spellEnd"/>
      <w:r w:rsidRPr="003517B6">
        <w:rPr>
          <w:i/>
          <w:iCs/>
          <w:sz w:val="18"/>
          <w:szCs w:val="18"/>
          <w:lang w:val="en-GB"/>
        </w:rPr>
        <w:t xml:space="preserve">), and </w:t>
      </w:r>
      <w:proofErr w:type="spellStart"/>
      <w:r w:rsidRPr="003517B6">
        <w:rPr>
          <w:i/>
          <w:iCs/>
          <w:sz w:val="18"/>
          <w:szCs w:val="18"/>
          <w:lang w:val="en-GB"/>
        </w:rPr>
        <w:t>tyrosol</w:t>
      </w:r>
      <w:proofErr w:type="spellEnd"/>
      <w:r w:rsidRPr="003517B6">
        <w:rPr>
          <w:i/>
          <w:iCs/>
          <w:sz w:val="18"/>
          <w:szCs w:val="18"/>
          <w:lang w:val="en-GB"/>
        </w:rPr>
        <w:t xml:space="preserve"> (Tyr), obtained after acid hydrolysis of the extracts, are reported. In the third column, the concentrations in total reducing molecules contents by Folin-</w:t>
      </w:r>
      <w:proofErr w:type="spellStart"/>
      <w:r w:rsidRPr="003517B6">
        <w:rPr>
          <w:i/>
          <w:iCs/>
          <w:sz w:val="18"/>
          <w:szCs w:val="18"/>
          <w:lang w:val="en-GB"/>
        </w:rPr>
        <w:t>Ciocalteu</w:t>
      </w:r>
      <w:proofErr w:type="spellEnd"/>
      <w:r w:rsidRPr="003517B6">
        <w:rPr>
          <w:i/>
          <w:iCs/>
          <w:sz w:val="18"/>
          <w:szCs w:val="18"/>
          <w:lang w:val="en-GB"/>
        </w:rPr>
        <w:t xml:space="preserve"> method are reported. Statistical analysis: ANOVA, HSD Tukey, p &lt;0.05.</w:t>
      </w:r>
    </w:p>
    <w:p w14:paraId="4AE13325" w14:textId="77777777" w:rsidR="007D40F9" w:rsidRPr="003517B6" w:rsidRDefault="007D40F9" w:rsidP="007D40F9">
      <w:pPr>
        <w:rPr>
          <w:lang w:val="en-GB"/>
        </w:rPr>
      </w:pPr>
    </w:p>
    <w:tbl>
      <w:tblPr>
        <w:tblW w:w="7938" w:type="dxa"/>
        <w:jc w:val="center"/>
        <w:tblBorders>
          <w:top w:val="single" w:sz="4" w:space="0" w:color="auto"/>
          <w:bottom w:val="single" w:sz="4" w:space="0" w:color="auto"/>
        </w:tblBorders>
        <w:tblLook w:val="0600" w:firstRow="0" w:lastRow="0" w:firstColumn="0" w:lastColumn="0" w:noHBand="1" w:noVBand="1"/>
      </w:tblPr>
      <w:tblGrid>
        <w:gridCol w:w="798"/>
        <w:gridCol w:w="3171"/>
        <w:gridCol w:w="567"/>
        <w:gridCol w:w="2835"/>
        <w:gridCol w:w="567"/>
      </w:tblGrid>
      <w:tr w:rsidR="003517B6" w14:paraId="5D2DEF7C" w14:textId="77777777" w:rsidTr="003517B6">
        <w:trPr>
          <w:trHeight w:val="273"/>
          <w:jc w:val="center"/>
        </w:trPr>
        <w:tc>
          <w:tcPr>
            <w:tcW w:w="798" w:type="dxa"/>
            <w:tcBorders>
              <w:top w:val="single" w:sz="4" w:space="0" w:color="auto"/>
              <w:bottom w:val="single" w:sz="4" w:space="0" w:color="auto"/>
            </w:tcBorders>
            <w:shd w:val="clear" w:color="auto" w:fill="auto"/>
            <w:hideMark/>
          </w:tcPr>
          <w:p w14:paraId="64BF09C2" w14:textId="77777777" w:rsidR="003517B6" w:rsidRDefault="003517B6" w:rsidP="001A7800">
            <w:pPr>
              <w:jc w:val="center"/>
              <w:rPr>
                <w:sz w:val="18"/>
                <w:szCs w:val="18"/>
              </w:rPr>
            </w:pPr>
            <w:r>
              <w:rPr>
                <w:b/>
                <w:bCs/>
                <w:sz w:val="18"/>
                <w:szCs w:val="18"/>
              </w:rPr>
              <w:t>Sample</w:t>
            </w:r>
          </w:p>
        </w:tc>
        <w:tc>
          <w:tcPr>
            <w:tcW w:w="3171" w:type="dxa"/>
            <w:tcBorders>
              <w:top w:val="single" w:sz="4" w:space="0" w:color="auto"/>
              <w:bottom w:val="single" w:sz="4" w:space="0" w:color="auto"/>
            </w:tcBorders>
            <w:shd w:val="clear" w:color="auto" w:fill="auto"/>
            <w:hideMark/>
          </w:tcPr>
          <w:p w14:paraId="7D738A79" w14:textId="17A735FE" w:rsidR="003517B6" w:rsidRDefault="003517B6" w:rsidP="003517B6">
            <w:pPr>
              <w:jc w:val="center"/>
              <w:rPr>
                <w:b/>
                <w:bCs/>
                <w:sz w:val="18"/>
                <w:szCs w:val="18"/>
                <w:lang w:val="en-US"/>
              </w:rPr>
            </w:pPr>
            <w:r>
              <w:rPr>
                <w:b/>
                <w:bCs/>
                <w:sz w:val="18"/>
                <w:szCs w:val="18"/>
                <w:lang w:val="en-US"/>
              </w:rPr>
              <w:t>Concentration</w:t>
            </w:r>
          </w:p>
          <w:p w14:paraId="0FE64759" w14:textId="2BD74B61" w:rsidR="003517B6" w:rsidRPr="00DC6042" w:rsidRDefault="003517B6" w:rsidP="003517B6">
            <w:pPr>
              <w:jc w:val="center"/>
              <w:rPr>
                <w:sz w:val="18"/>
                <w:szCs w:val="18"/>
                <w:lang w:val="en-US"/>
              </w:rPr>
            </w:pPr>
            <w:r w:rsidRPr="00DC6042">
              <w:rPr>
                <w:sz w:val="18"/>
                <w:szCs w:val="18"/>
                <w:lang w:val="en-US"/>
              </w:rPr>
              <w:t xml:space="preserve">(g Tyr + </w:t>
            </w:r>
            <w:proofErr w:type="spellStart"/>
            <w:r w:rsidRPr="00DC6042">
              <w:rPr>
                <w:sz w:val="18"/>
                <w:szCs w:val="18"/>
                <w:lang w:val="en-US"/>
              </w:rPr>
              <w:t>HTyr</w:t>
            </w:r>
            <w:proofErr w:type="spellEnd"/>
            <w:r w:rsidRPr="00DC6042">
              <w:rPr>
                <w:sz w:val="18"/>
                <w:szCs w:val="18"/>
                <w:lang w:val="en-US"/>
              </w:rPr>
              <w:t xml:space="preserve"> + </w:t>
            </w:r>
            <w:proofErr w:type="spellStart"/>
            <w:r w:rsidRPr="00DC6042">
              <w:rPr>
                <w:sz w:val="18"/>
                <w:szCs w:val="18"/>
                <w:lang w:val="en-US"/>
              </w:rPr>
              <w:t>Unk</w:t>
            </w:r>
            <w:proofErr w:type="spellEnd"/>
            <w:r w:rsidRPr="00DC6042">
              <w:rPr>
                <w:sz w:val="18"/>
                <w:szCs w:val="18"/>
                <w:lang w:val="en-US"/>
              </w:rPr>
              <w:t>/kg olive pomace)</w:t>
            </w:r>
          </w:p>
          <w:p w14:paraId="104BDC14" w14:textId="77777777" w:rsidR="003517B6" w:rsidRDefault="003517B6" w:rsidP="003517B6">
            <w:pPr>
              <w:jc w:val="center"/>
              <w:rPr>
                <w:sz w:val="18"/>
                <w:szCs w:val="18"/>
                <w:lang w:val="en-US"/>
              </w:rPr>
            </w:pPr>
          </w:p>
        </w:tc>
        <w:tc>
          <w:tcPr>
            <w:tcW w:w="567" w:type="dxa"/>
            <w:tcBorders>
              <w:top w:val="single" w:sz="4" w:space="0" w:color="auto"/>
              <w:bottom w:val="single" w:sz="4" w:space="0" w:color="auto"/>
            </w:tcBorders>
            <w:shd w:val="clear" w:color="auto" w:fill="auto"/>
            <w:hideMark/>
          </w:tcPr>
          <w:p w14:paraId="4946AE54" w14:textId="77777777" w:rsidR="003517B6" w:rsidRDefault="003517B6" w:rsidP="001A7800">
            <w:pPr>
              <w:jc w:val="center"/>
              <w:rPr>
                <w:sz w:val="18"/>
                <w:szCs w:val="18"/>
              </w:rPr>
            </w:pPr>
            <w:r>
              <w:rPr>
                <w:b/>
                <w:bCs/>
                <w:sz w:val="18"/>
                <w:szCs w:val="18"/>
              </w:rPr>
              <w:t>SD</w:t>
            </w:r>
          </w:p>
        </w:tc>
        <w:tc>
          <w:tcPr>
            <w:tcW w:w="2835" w:type="dxa"/>
            <w:tcBorders>
              <w:top w:val="single" w:sz="4" w:space="0" w:color="auto"/>
              <w:bottom w:val="single" w:sz="4" w:space="0" w:color="auto"/>
            </w:tcBorders>
            <w:shd w:val="clear" w:color="auto" w:fill="auto"/>
          </w:tcPr>
          <w:p w14:paraId="548F4718" w14:textId="04CF15B0" w:rsidR="003517B6" w:rsidRDefault="003517B6" w:rsidP="003517B6">
            <w:pPr>
              <w:jc w:val="center"/>
              <w:rPr>
                <w:b/>
                <w:bCs/>
                <w:sz w:val="18"/>
                <w:szCs w:val="18"/>
                <w:lang w:val="en-US"/>
              </w:rPr>
            </w:pPr>
            <w:r>
              <w:rPr>
                <w:b/>
                <w:bCs/>
                <w:sz w:val="18"/>
                <w:szCs w:val="18"/>
                <w:lang w:val="en-US"/>
              </w:rPr>
              <w:t>Concentration</w:t>
            </w:r>
          </w:p>
          <w:p w14:paraId="379A95CC" w14:textId="549433AD" w:rsidR="003517B6" w:rsidRDefault="003517B6" w:rsidP="003517B6">
            <w:pPr>
              <w:jc w:val="center"/>
              <w:rPr>
                <w:sz w:val="18"/>
                <w:szCs w:val="18"/>
                <w:lang w:val="en-US"/>
              </w:rPr>
            </w:pPr>
            <w:r w:rsidRPr="00DC6042">
              <w:rPr>
                <w:sz w:val="18"/>
                <w:szCs w:val="18"/>
                <w:lang w:val="en-US"/>
              </w:rPr>
              <w:t>(g gallic acid/kg olive pomace)</w:t>
            </w:r>
          </w:p>
        </w:tc>
        <w:tc>
          <w:tcPr>
            <w:tcW w:w="567" w:type="dxa"/>
            <w:tcBorders>
              <w:top w:val="single" w:sz="4" w:space="0" w:color="auto"/>
              <w:bottom w:val="single" w:sz="4" w:space="0" w:color="auto"/>
            </w:tcBorders>
            <w:shd w:val="clear" w:color="auto" w:fill="auto"/>
          </w:tcPr>
          <w:p w14:paraId="40717F50" w14:textId="77777777" w:rsidR="003517B6" w:rsidRDefault="003517B6" w:rsidP="001A7800">
            <w:pPr>
              <w:jc w:val="center"/>
              <w:rPr>
                <w:b/>
                <w:bCs/>
                <w:sz w:val="18"/>
                <w:szCs w:val="18"/>
              </w:rPr>
            </w:pPr>
            <w:r>
              <w:rPr>
                <w:b/>
                <w:bCs/>
                <w:sz w:val="18"/>
                <w:szCs w:val="18"/>
              </w:rPr>
              <w:t>SD</w:t>
            </w:r>
          </w:p>
        </w:tc>
      </w:tr>
      <w:tr w:rsidR="003517B6" w14:paraId="351ACA69" w14:textId="77777777" w:rsidTr="003517B6">
        <w:trPr>
          <w:trHeight w:val="154"/>
          <w:jc w:val="center"/>
        </w:trPr>
        <w:tc>
          <w:tcPr>
            <w:tcW w:w="798" w:type="dxa"/>
            <w:tcBorders>
              <w:top w:val="single" w:sz="4" w:space="0" w:color="auto"/>
            </w:tcBorders>
            <w:shd w:val="clear" w:color="auto" w:fill="auto"/>
            <w:hideMark/>
          </w:tcPr>
          <w:p w14:paraId="46495691" w14:textId="77777777" w:rsidR="003517B6" w:rsidRPr="00DC6042" w:rsidRDefault="003517B6" w:rsidP="001A7800">
            <w:pPr>
              <w:jc w:val="center"/>
              <w:rPr>
                <w:sz w:val="18"/>
                <w:szCs w:val="18"/>
              </w:rPr>
            </w:pPr>
            <w:r w:rsidRPr="00DC6042">
              <w:rPr>
                <w:sz w:val="18"/>
                <w:szCs w:val="18"/>
              </w:rPr>
              <w:t>TQ</w:t>
            </w:r>
          </w:p>
        </w:tc>
        <w:tc>
          <w:tcPr>
            <w:tcW w:w="3171" w:type="dxa"/>
            <w:tcBorders>
              <w:top w:val="single" w:sz="4" w:space="0" w:color="auto"/>
            </w:tcBorders>
            <w:shd w:val="clear" w:color="auto" w:fill="auto"/>
          </w:tcPr>
          <w:p w14:paraId="068ACF72" w14:textId="77777777" w:rsidR="003517B6" w:rsidRDefault="003517B6" w:rsidP="001A7800">
            <w:pPr>
              <w:jc w:val="center"/>
              <w:rPr>
                <w:sz w:val="18"/>
                <w:szCs w:val="18"/>
              </w:rPr>
            </w:pPr>
            <w:r>
              <w:rPr>
                <w:sz w:val="18"/>
                <w:szCs w:val="18"/>
              </w:rPr>
              <w:t>1.12</w:t>
            </w:r>
            <w:r>
              <w:rPr>
                <w:sz w:val="18"/>
                <w:szCs w:val="18"/>
                <w:vertAlign w:val="superscript"/>
              </w:rPr>
              <w:t>b</w:t>
            </w:r>
          </w:p>
        </w:tc>
        <w:tc>
          <w:tcPr>
            <w:tcW w:w="567" w:type="dxa"/>
            <w:tcBorders>
              <w:top w:val="single" w:sz="4" w:space="0" w:color="auto"/>
            </w:tcBorders>
            <w:shd w:val="clear" w:color="auto" w:fill="auto"/>
          </w:tcPr>
          <w:p w14:paraId="164508EE" w14:textId="77777777" w:rsidR="003517B6" w:rsidRDefault="003517B6" w:rsidP="001A7800">
            <w:pPr>
              <w:jc w:val="center"/>
              <w:rPr>
                <w:sz w:val="18"/>
                <w:szCs w:val="18"/>
              </w:rPr>
            </w:pPr>
            <w:r>
              <w:rPr>
                <w:sz w:val="18"/>
                <w:szCs w:val="18"/>
              </w:rPr>
              <w:t>0.25</w:t>
            </w:r>
          </w:p>
        </w:tc>
        <w:tc>
          <w:tcPr>
            <w:tcW w:w="2835" w:type="dxa"/>
            <w:tcBorders>
              <w:top w:val="single" w:sz="4" w:space="0" w:color="auto"/>
            </w:tcBorders>
            <w:shd w:val="clear" w:color="auto" w:fill="auto"/>
          </w:tcPr>
          <w:p w14:paraId="717454FF" w14:textId="77777777" w:rsidR="003517B6" w:rsidRDefault="003517B6" w:rsidP="001A7800">
            <w:pPr>
              <w:jc w:val="center"/>
              <w:rPr>
                <w:sz w:val="18"/>
                <w:szCs w:val="18"/>
              </w:rPr>
            </w:pPr>
            <w:r>
              <w:rPr>
                <w:sz w:val="18"/>
                <w:szCs w:val="18"/>
              </w:rPr>
              <w:t>3.29</w:t>
            </w:r>
            <w:r>
              <w:rPr>
                <w:sz w:val="18"/>
                <w:szCs w:val="18"/>
                <w:vertAlign w:val="superscript"/>
              </w:rPr>
              <w:t>b</w:t>
            </w:r>
          </w:p>
        </w:tc>
        <w:tc>
          <w:tcPr>
            <w:tcW w:w="567" w:type="dxa"/>
            <w:tcBorders>
              <w:top w:val="single" w:sz="4" w:space="0" w:color="auto"/>
            </w:tcBorders>
            <w:shd w:val="clear" w:color="auto" w:fill="auto"/>
          </w:tcPr>
          <w:p w14:paraId="16ED9FDE" w14:textId="77777777" w:rsidR="003517B6" w:rsidRDefault="003517B6" w:rsidP="001A7800">
            <w:pPr>
              <w:jc w:val="center"/>
              <w:rPr>
                <w:sz w:val="18"/>
                <w:szCs w:val="18"/>
              </w:rPr>
            </w:pPr>
            <w:r>
              <w:rPr>
                <w:sz w:val="18"/>
                <w:szCs w:val="18"/>
              </w:rPr>
              <w:t>0.38</w:t>
            </w:r>
          </w:p>
        </w:tc>
      </w:tr>
      <w:tr w:rsidR="003517B6" w14:paraId="5FA26E07" w14:textId="77777777" w:rsidTr="003517B6">
        <w:trPr>
          <w:trHeight w:val="94"/>
          <w:jc w:val="center"/>
        </w:trPr>
        <w:tc>
          <w:tcPr>
            <w:tcW w:w="798" w:type="dxa"/>
            <w:shd w:val="clear" w:color="auto" w:fill="auto"/>
            <w:hideMark/>
          </w:tcPr>
          <w:p w14:paraId="5FD3F1EA" w14:textId="77777777" w:rsidR="003517B6" w:rsidRPr="00DC6042" w:rsidRDefault="003517B6" w:rsidP="001A7800">
            <w:pPr>
              <w:jc w:val="center"/>
              <w:rPr>
                <w:sz w:val="18"/>
                <w:szCs w:val="18"/>
              </w:rPr>
            </w:pPr>
            <w:r w:rsidRPr="00DC6042">
              <w:rPr>
                <w:sz w:val="18"/>
                <w:szCs w:val="18"/>
              </w:rPr>
              <w:t>SI</w:t>
            </w:r>
          </w:p>
        </w:tc>
        <w:tc>
          <w:tcPr>
            <w:tcW w:w="3171" w:type="dxa"/>
            <w:shd w:val="clear" w:color="auto" w:fill="auto"/>
          </w:tcPr>
          <w:p w14:paraId="60F47AB1" w14:textId="77777777" w:rsidR="003517B6" w:rsidRDefault="003517B6" w:rsidP="001A7800">
            <w:pPr>
              <w:pStyle w:val="Default"/>
              <w:jc w:val="center"/>
              <w:rPr>
                <w:sz w:val="18"/>
                <w:szCs w:val="18"/>
              </w:rPr>
            </w:pPr>
            <w:r>
              <w:rPr>
                <w:sz w:val="18"/>
                <w:szCs w:val="18"/>
              </w:rPr>
              <w:t>1.54</w:t>
            </w:r>
            <w:r>
              <w:rPr>
                <w:sz w:val="18"/>
                <w:szCs w:val="18"/>
                <w:vertAlign w:val="superscript"/>
              </w:rPr>
              <w:t>a</w:t>
            </w:r>
          </w:p>
        </w:tc>
        <w:tc>
          <w:tcPr>
            <w:tcW w:w="567" w:type="dxa"/>
            <w:shd w:val="clear" w:color="auto" w:fill="auto"/>
          </w:tcPr>
          <w:p w14:paraId="1E13CC98" w14:textId="77777777" w:rsidR="003517B6" w:rsidRDefault="003517B6" w:rsidP="001A7800">
            <w:pPr>
              <w:jc w:val="center"/>
              <w:rPr>
                <w:sz w:val="18"/>
                <w:szCs w:val="18"/>
              </w:rPr>
            </w:pPr>
            <w:r>
              <w:rPr>
                <w:sz w:val="18"/>
                <w:szCs w:val="18"/>
              </w:rPr>
              <w:t>0.14</w:t>
            </w:r>
          </w:p>
        </w:tc>
        <w:tc>
          <w:tcPr>
            <w:tcW w:w="2835" w:type="dxa"/>
            <w:shd w:val="clear" w:color="auto" w:fill="auto"/>
          </w:tcPr>
          <w:p w14:paraId="789C9318" w14:textId="77777777" w:rsidR="003517B6" w:rsidRDefault="003517B6" w:rsidP="001A7800">
            <w:pPr>
              <w:jc w:val="center"/>
              <w:rPr>
                <w:sz w:val="18"/>
                <w:szCs w:val="18"/>
              </w:rPr>
            </w:pPr>
            <w:r>
              <w:rPr>
                <w:sz w:val="18"/>
                <w:szCs w:val="18"/>
              </w:rPr>
              <w:t>7.10</w:t>
            </w:r>
            <w:r>
              <w:rPr>
                <w:sz w:val="18"/>
                <w:szCs w:val="18"/>
                <w:vertAlign w:val="superscript"/>
              </w:rPr>
              <w:t>a</w:t>
            </w:r>
            <w:r>
              <w:rPr>
                <w:sz w:val="18"/>
                <w:szCs w:val="18"/>
              </w:rPr>
              <w:t xml:space="preserve"> </w:t>
            </w:r>
          </w:p>
        </w:tc>
        <w:tc>
          <w:tcPr>
            <w:tcW w:w="567" w:type="dxa"/>
            <w:shd w:val="clear" w:color="auto" w:fill="auto"/>
          </w:tcPr>
          <w:p w14:paraId="29C4028C" w14:textId="77777777" w:rsidR="003517B6" w:rsidRDefault="003517B6" w:rsidP="001A7800">
            <w:pPr>
              <w:jc w:val="center"/>
              <w:rPr>
                <w:sz w:val="18"/>
                <w:szCs w:val="18"/>
              </w:rPr>
            </w:pPr>
            <w:r>
              <w:rPr>
                <w:sz w:val="18"/>
                <w:szCs w:val="18"/>
              </w:rPr>
              <w:t>0.42</w:t>
            </w:r>
          </w:p>
        </w:tc>
      </w:tr>
      <w:tr w:rsidR="003517B6" w14:paraId="41987496" w14:textId="77777777" w:rsidTr="003517B6">
        <w:trPr>
          <w:trHeight w:val="129"/>
          <w:jc w:val="center"/>
        </w:trPr>
        <w:tc>
          <w:tcPr>
            <w:tcW w:w="798" w:type="dxa"/>
            <w:shd w:val="clear" w:color="auto" w:fill="auto"/>
            <w:hideMark/>
          </w:tcPr>
          <w:p w14:paraId="7563F315" w14:textId="77777777" w:rsidR="003517B6" w:rsidRPr="00DC6042" w:rsidRDefault="003517B6" w:rsidP="001A7800">
            <w:pPr>
              <w:jc w:val="center"/>
              <w:rPr>
                <w:sz w:val="18"/>
                <w:szCs w:val="18"/>
              </w:rPr>
            </w:pPr>
            <w:r w:rsidRPr="00DC6042">
              <w:rPr>
                <w:sz w:val="18"/>
                <w:szCs w:val="18"/>
              </w:rPr>
              <w:t>SF</w:t>
            </w:r>
          </w:p>
        </w:tc>
        <w:tc>
          <w:tcPr>
            <w:tcW w:w="3171" w:type="dxa"/>
            <w:shd w:val="clear" w:color="auto" w:fill="auto"/>
          </w:tcPr>
          <w:p w14:paraId="16716617" w14:textId="77777777" w:rsidR="003517B6" w:rsidRDefault="003517B6" w:rsidP="001A7800">
            <w:pPr>
              <w:pStyle w:val="Default"/>
              <w:jc w:val="center"/>
              <w:rPr>
                <w:sz w:val="18"/>
                <w:szCs w:val="18"/>
              </w:rPr>
            </w:pPr>
            <w:r>
              <w:rPr>
                <w:sz w:val="18"/>
                <w:szCs w:val="18"/>
              </w:rPr>
              <w:t>0.64</w:t>
            </w:r>
            <w:r w:rsidRPr="00305F79">
              <w:rPr>
                <w:sz w:val="18"/>
                <w:szCs w:val="18"/>
                <w:vertAlign w:val="superscript"/>
              </w:rPr>
              <w:t>c</w:t>
            </w:r>
          </w:p>
        </w:tc>
        <w:tc>
          <w:tcPr>
            <w:tcW w:w="567" w:type="dxa"/>
            <w:shd w:val="clear" w:color="auto" w:fill="auto"/>
          </w:tcPr>
          <w:p w14:paraId="176644C5" w14:textId="77777777" w:rsidR="003517B6" w:rsidRDefault="003517B6" w:rsidP="001A7800">
            <w:pPr>
              <w:jc w:val="center"/>
              <w:rPr>
                <w:sz w:val="18"/>
                <w:szCs w:val="18"/>
              </w:rPr>
            </w:pPr>
            <w:r>
              <w:rPr>
                <w:sz w:val="18"/>
                <w:szCs w:val="18"/>
              </w:rPr>
              <w:t>0.02</w:t>
            </w:r>
          </w:p>
        </w:tc>
        <w:tc>
          <w:tcPr>
            <w:tcW w:w="2835" w:type="dxa"/>
            <w:shd w:val="clear" w:color="auto" w:fill="auto"/>
          </w:tcPr>
          <w:p w14:paraId="4968E6D3" w14:textId="77777777" w:rsidR="003517B6" w:rsidRDefault="003517B6" w:rsidP="001A7800">
            <w:pPr>
              <w:jc w:val="center"/>
              <w:rPr>
                <w:sz w:val="18"/>
                <w:szCs w:val="18"/>
              </w:rPr>
            </w:pPr>
            <w:r>
              <w:rPr>
                <w:sz w:val="18"/>
                <w:szCs w:val="18"/>
              </w:rPr>
              <w:t>3.09</w:t>
            </w:r>
            <w:r>
              <w:rPr>
                <w:sz w:val="18"/>
                <w:szCs w:val="18"/>
                <w:vertAlign w:val="superscript"/>
              </w:rPr>
              <w:t xml:space="preserve">b </w:t>
            </w:r>
          </w:p>
        </w:tc>
        <w:tc>
          <w:tcPr>
            <w:tcW w:w="567" w:type="dxa"/>
            <w:shd w:val="clear" w:color="auto" w:fill="auto"/>
          </w:tcPr>
          <w:p w14:paraId="586BFB67" w14:textId="77777777" w:rsidR="003517B6" w:rsidRDefault="003517B6" w:rsidP="001A7800">
            <w:pPr>
              <w:jc w:val="center"/>
              <w:rPr>
                <w:sz w:val="18"/>
                <w:szCs w:val="18"/>
              </w:rPr>
            </w:pPr>
            <w:r>
              <w:rPr>
                <w:sz w:val="18"/>
                <w:szCs w:val="18"/>
              </w:rPr>
              <w:t>0.39</w:t>
            </w:r>
          </w:p>
        </w:tc>
      </w:tr>
    </w:tbl>
    <w:p w14:paraId="77D5C96E" w14:textId="77777777" w:rsidR="00E90063" w:rsidRDefault="00E90063" w:rsidP="00E90063">
      <w:pPr>
        <w:jc w:val="both"/>
        <w:rPr>
          <w:iCs/>
          <w:lang w:val="en-GB"/>
        </w:rPr>
      </w:pPr>
    </w:p>
    <w:p w14:paraId="79C42D4E" w14:textId="2E27B3C9" w:rsidR="00546EC4" w:rsidRDefault="00546EC4" w:rsidP="00546EC4">
      <w:pPr>
        <w:jc w:val="both"/>
        <w:rPr>
          <w:iCs/>
          <w:lang w:val="en-US"/>
        </w:rPr>
      </w:pPr>
      <w:r w:rsidRPr="005D0326">
        <w:rPr>
          <w:iCs/>
          <w:lang w:val="en-US"/>
        </w:rPr>
        <w:t xml:space="preserve">Despite the statistic shows </w:t>
      </w:r>
      <w:r>
        <w:rPr>
          <w:iCs/>
          <w:lang w:val="en-US"/>
        </w:rPr>
        <w:t>some significant</w:t>
      </w:r>
      <w:r w:rsidRPr="005D0326">
        <w:rPr>
          <w:iCs/>
          <w:lang w:val="en-US"/>
        </w:rPr>
        <w:t xml:space="preserve"> difference</w:t>
      </w:r>
      <w:r>
        <w:rPr>
          <w:iCs/>
          <w:lang w:val="en-US"/>
        </w:rPr>
        <w:t>s</w:t>
      </w:r>
      <w:r w:rsidRPr="005D0326">
        <w:rPr>
          <w:iCs/>
          <w:lang w:val="en-US"/>
        </w:rPr>
        <w:t xml:space="preserve"> among the three samples</w:t>
      </w:r>
      <w:r>
        <w:rPr>
          <w:iCs/>
          <w:lang w:val="en-US"/>
        </w:rPr>
        <w:t xml:space="preserve"> T0</w:t>
      </w:r>
      <w:r w:rsidRPr="005D0326">
        <w:rPr>
          <w:iCs/>
          <w:lang w:val="en-US"/>
        </w:rPr>
        <w:t>,</w:t>
      </w:r>
      <w:r>
        <w:rPr>
          <w:iCs/>
          <w:lang w:val="en-US"/>
        </w:rPr>
        <w:t xml:space="preserve"> T1, and T2,</w:t>
      </w:r>
      <w:r w:rsidRPr="005D0326">
        <w:rPr>
          <w:iCs/>
          <w:lang w:val="en-US"/>
        </w:rPr>
        <w:t xml:space="preserve"> a clear </w:t>
      </w:r>
      <w:r>
        <w:rPr>
          <w:iCs/>
          <w:lang w:val="en-US"/>
        </w:rPr>
        <w:t>reduction</w:t>
      </w:r>
      <w:r w:rsidRPr="005D0326">
        <w:rPr>
          <w:iCs/>
          <w:lang w:val="en-US"/>
        </w:rPr>
        <w:t xml:space="preserve"> in the phenolic content</w:t>
      </w:r>
      <w:r>
        <w:rPr>
          <w:iCs/>
          <w:lang w:val="en-US"/>
        </w:rPr>
        <w:t>s</w:t>
      </w:r>
      <w:r w:rsidRPr="005D0326">
        <w:rPr>
          <w:iCs/>
          <w:lang w:val="en-US"/>
        </w:rPr>
        <w:t xml:space="preserve"> </w:t>
      </w:r>
      <w:r>
        <w:rPr>
          <w:iCs/>
          <w:lang w:val="en-US"/>
        </w:rPr>
        <w:t>during the two months of the shelf-life is not observed</w:t>
      </w:r>
      <w:r w:rsidRPr="005A61FD">
        <w:rPr>
          <w:iCs/>
          <w:lang w:val="en-US"/>
        </w:rPr>
        <w:t xml:space="preserve"> </w:t>
      </w:r>
      <w:r w:rsidRPr="005A61FD">
        <w:rPr>
          <w:lang w:val="en-US"/>
        </w:rPr>
        <w:t>(</w:t>
      </w:r>
      <w:r w:rsidRPr="00851652">
        <w:rPr>
          <w:bCs/>
          <w:lang w:val="en-US"/>
        </w:rPr>
        <w:t xml:space="preserve">Table </w:t>
      </w:r>
      <w:r w:rsidR="00C87A56">
        <w:rPr>
          <w:bCs/>
          <w:lang w:val="en-US"/>
        </w:rPr>
        <w:t>3</w:t>
      </w:r>
      <w:r w:rsidRPr="005A61FD">
        <w:rPr>
          <w:lang w:val="en-US"/>
        </w:rPr>
        <w:t>).</w:t>
      </w:r>
    </w:p>
    <w:p w14:paraId="760AF4EE" w14:textId="77777777" w:rsidR="00546EC4" w:rsidRDefault="00546EC4" w:rsidP="00546EC4">
      <w:pPr>
        <w:jc w:val="both"/>
        <w:rPr>
          <w:iCs/>
          <w:lang w:val="en-GB"/>
        </w:rPr>
      </w:pPr>
    </w:p>
    <w:p w14:paraId="1D63485F" w14:textId="7331DF63" w:rsidR="00546EC4" w:rsidRPr="003C0D10" w:rsidRDefault="00546EC4" w:rsidP="00546EC4">
      <w:pPr>
        <w:ind w:left="851" w:hanging="851"/>
        <w:jc w:val="both"/>
        <w:rPr>
          <w:i/>
          <w:lang w:val="en-GB"/>
        </w:rPr>
      </w:pPr>
      <w:r w:rsidRPr="004A4080">
        <w:rPr>
          <w:b/>
          <w:bCs/>
          <w:iCs/>
          <w:sz w:val="18"/>
          <w:szCs w:val="18"/>
          <w:lang w:val="en-GB"/>
        </w:rPr>
        <w:t xml:space="preserve">Table </w:t>
      </w:r>
      <w:r>
        <w:rPr>
          <w:b/>
          <w:bCs/>
          <w:iCs/>
          <w:sz w:val="18"/>
          <w:szCs w:val="18"/>
          <w:lang w:val="en-GB"/>
        </w:rPr>
        <w:t xml:space="preserve">3    </w:t>
      </w:r>
      <w:r w:rsidRPr="003C0D10">
        <w:rPr>
          <w:i/>
          <w:sz w:val="18"/>
          <w:szCs w:val="18"/>
          <w:lang w:val="en-GB"/>
        </w:rPr>
        <w:t>Average concentrations and relative standard deviations of the extracts from the sample T</w:t>
      </w:r>
      <w:r>
        <w:rPr>
          <w:i/>
          <w:sz w:val="18"/>
          <w:szCs w:val="18"/>
          <w:lang w:val="en-GB"/>
        </w:rPr>
        <w:t>0</w:t>
      </w:r>
      <w:r w:rsidRPr="003C0D10">
        <w:rPr>
          <w:i/>
          <w:sz w:val="18"/>
          <w:szCs w:val="18"/>
          <w:lang w:val="en-GB"/>
        </w:rPr>
        <w:t>, T</w:t>
      </w:r>
      <w:r>
        <w:rPr>
          <w:i/>
          <w:sz w:val="18"/>
          <w:szCs w:val="18"/>
          <w:lang w:val="en-GB"/>
        </w:rPr>
        <w:t>1</w:t>
      </w:r>
      <w:r w:rsidRPr="003C0D10">
        <w:rPr>
          <w:i/>
          <w:sz w:val="18"/>
          <w:szCs w:val="18"/>
          <w:lang w:val="en-GB"/>
        </w:rPr>
        <w:t>, T</w:t>
      </w:r>
      <w:r>
        <w:rPr>
          <w:i/>
          <w:sz w:val="18"/>
          <w:szCs w:val="18"/>
          <w:lang w:val="en-GB"/>
        </w:rPr>
        <w:t>2</w:t>
      </w:r>
      <w:r w:rsidRPr="003C0D10">
        <w:rPr>
          <w:i/>
          <w:sz w:val="18"/>
          <w:szCs w:val="18"/>
          <w:lang w:val="en-GB"/>
        </w:rPr>
        <w:t xml:space="preserve"> (see the description of these samples in the </w:t>
      </w:r>
      <w:r>
        <w:rPr>
          <w:i/>
          <w:sz w:val="18"/>
          <w:szCs w:val="18"/>
          <w:lang w:val="en-GB"/>
        </w:rPr>
        <w:t>paragraph 4.2</w:t>
      </w:r>
      <w:r w:rsidRPr="003C0D10">
        <w:rPr>
          <w:i/>
          <w:sz w:val="18"/>
          <w:szCs w:val="18"/>
          <w:lang w:val="en-GB"/>
        </w:rPr>
        <w:t>). In the first column the total concentrations of the sum of unknown compounds (</w:t>
      </w:r>
      <w:proofErr w:type="spellStart"/>
      <w:r w:rsidRPr="003C0D10">
        <w:rPr>
          <w:i/>
          <w:sz w:val="18"/>
          <w:szCs w:val="18"/>
          <w:lang w:val="en-GB"/>
        </w:rPr>
        <w:t>Unk</w:t>
      </w:r>
      <w:proofErr w:type="spellEnd"/>
      <w:r w:rsidRPr="003C0D10">
        <w:rPr>
          <w:i/>
          <w:sz w:val="18"/>
          <w:szCs w:val="18"/>
          <w:lang w:val="en-GB"/>
        </w:rPr>
        <w:t xml:space="preserve">), </w:t>
      </w:r>
      <w:proofErr w:type="spellStart"/>
      <w:r w:rsidRPr="003C0D10">
        <w:rPr>
          <w:i/>
          <w:sz w:val="18"/>
          <w:szCs w:val="18"/>
          <w:lang w:val="en-GB"/>
        </w:rPr>
        <w:t>hydroxytyrosol</w:t>
      </w:r>
      <w:proofErr w:type="spellEnd"/>
      <w:r w:rsidRPr="003C0D10">
        <w:rPr>
          <w:i/>
          <w:sz w:val="18"/>
          <w:szCs w:val="18"/>
          <w:lang w:val="en-GB"/>
        </w:rPr>
        <w:t xml:space="preserve"> (</w:t>
      </w:r>
      <w:proofErr w:type="spellStart"/>
      <w:r w:rsidRPr="003C0D10">
        <w:rPr>
          <w:i/>
          <w:sz w:val="18"/>
          <w:szCs w:val="18"/>
          <w:lang w:val="en-GB"/>
        </w:rPr>
        <w:t>HTyr</w:t>
      </w:r>
      <w:proofErr w:type="spellEnd"/>
      <w:r w:rsidRPr="003C0D10">
        <w:rPr>
          <w:i/>
          <w:sz w:val="18"/>
          <w:szCs w:val="18"/>
          <w:lang w:val="en-GB"/>
        </w:rPr>
        <w:t xml:space="preserve">), and </w:t>
      </w:r>
      <w:proofErr w:type="spellStart"/>
      <w:r w:rsidRPr="003C0D10">
        <w:rPr>
          <w:i/>
          <w:sz w:val="18"/>
          <w:szCs w:val="18"/>
          <w:lang w:val="en-GB"/>
        </w:rPr>
        <w:t>tyrosol</w:t>
      </w:r>
      <w:proofErr w:type="spellEnd"/>
      <w:r w:rsidRPr="003C0D10">
        <w:rPr>
          <w:i/>
          <w:sz w:val="18"/>
          <w:szCs w:val="18"/>
          <w:lang w:val="en-GB"/>
        </w:rPr>
        <w:t xml:space="preserve"> (Tyr), obtained after </w:t>
      </w:r>
      <w:r>
        <w:rPr>
          <w:i/>
          <w:sz w:val="18"/>
          <w:szCs w:val="18"/>
          <w:lang w:val="en-GB"/>
        </w:rPr>
        <w:t xml:space="preserve">acid </w:t>
      </w:r>
      <w:r w:rsidRPr="003C0D10">
        <w:rPr>
          <w:i/>
          <w:sz w:val="18"/>
          <w:szCs w:val="18"/>
          <w:lang w:val="en-GB"/>
        </w:rPr>
        <w:t xml:space="preserve">hydrolysis of the extracts, are reported. In the </w:t>
      </w:r>
      <w:r>
        <w:rPr>
          <w:i/>
          <w:sz w:val="18"/>
          <w:szCs w:val="18"/>
          <w:lang w:val="en-GB"/>
        </w:rPr>
        <w:t>third</w:t>
      </w:r>
      <w:r w:rsidRPr="003C0D10">
        <w:rPr>
          <w:i/>
          <w:sz w:val="18"/>
          <w:szCs w:val="18"/>
          <w:lang w:val="en-GB"/>
        </w:rPr>
        <w:t xml:space="preserve"> column, the concentration in total </w:t>
      </w:r>
      <w:r w:rsidRPr="003C0D10">
        <w:rPr>
          <w:i/>
          <w:sz w:val="18"/>
          <w:szCs w:val="18"/>
          <w:lang w:val="en-US"/>
        </w:rPr>
        <w:t>reducing molecules contents by Folin-</w:t>
      </w:r>
      <w:proofErr w:type="spellStart"/>
      <w:r w:rsidRPr="003C0D10">
        <w:rPr>
          <w:i/>
          <w:sz w:val="18"/>
          <w:szCs w:val="18"/>
          <w:lang w:val="en-US"/>
        </w:rPr>
        <w:t>Ciocalteu</w:t>
      </w:r>
      <w:proofErr w:type="spellEnd"/>
      <w:r w:rsidRPr="003C0D10">
        <w:rPr>
          <w:i/>
          <w:sz w:val="18"/>
          <w:szCs w:val="18"/>
          <w:lang w:val="en-US"/>
        </w:rPr>
        <w:t xml:space="preserve"> method are reported. S</w:t>
      </w:r>
      <w:proofErr w:type="spellStart"/>
      <w:r w:rsidRPr="003C0D10">
        <w:rPr>
          <w:i/>
          <w:sz w:val="18"/>
          <w:szCs w:val="18"/>
          <w:lang w:val="en-GB"/>
        </w:rPr>
        <w:t>tatistical</w:t>
      </w:r>
      <w:proofErr w:type="spellEnd"/>
      <w:r w:rsidRPr="003C0D10">
        <w:rPr>
          <w:i/>
          <w:sz w:val="18"/>
          <w:szCs w:val="18"/>
          <w:lang w:val="en-GB"/>
        </w:rPr>
        <w:t xml:space="preserve"> analysis: ANOVA, HSD Tukey, p &lt;0</w:t>
      </w:r>
      <w:r>
        <w:rPr>
          <w:i/>
          <w:sz w:val="18"/>
          <w:szCs w:val="18"/>
          <w:lang w:val="en-GB"/>
        </w:rPr>
        <w:t>.</w:t>
      </w:r>
      <w:r w:rsidRPr="003C0D10">
        <w:rPr>
          <w:i/>
          <w:sz w:val="18"/>
          <w:szCs w:val="18"/>
          <w:lang w:val="en-GB"/>
        </w:rPr>
        <w:t>05.</w:t>
      </w:r>
    </w:p>
    <w:p w14:paraId="04DC2C5F" w14:textId="77777777" w:rsidR="00546EC4" w:rsidRPr="00414C9C" w:rsidRDefault="00546EC4" w:rsidP="00546EC4">
      <w:pPr>
        <w:jc w:val="both"/>
        <w:rPr>
          <w:i/>
          <w:lang w:val="en-GB"/>
        </w:rPr>
      </w:pPr>
      <w:r>
        <w:rPr>
          <w:i/>
          <w:lang w:val="en-GB"/>
        </w:rPr>
        <w:t xml:space="preserve"> </w:t>
      </w:r>
    </w:p>
    <w:tbl>
      <w:tblPr>
        <w:tblW w:w="7371" w:type="dxa"/>
        <w:jc w:val="center"/>
        <w:tblBorders>
          <w:top w:val="single" w:sz="4" w:space="0" w:color="auto"/>
          <w:bottom w:val="single" w:sz="4" w:space="0" w:color="auto"/>
        </w:tblBorders>
        <w:tblLook w:val="0600" w:firstRow="0" w:lastRow="0" w:firstColumn="0" w:lastColumn="0" w:noHBand="1" w:noVBand="1"/>
      </w:tblPr>
      <w:tblGrid>
        <w:gridCol w:w="817"/>
        <w:gridCol w:w="3010"/>
        <w:gridCol w:w="568"/>
        <w:gridCol w:w="2409"/>
        <w:gridCol w:w="567"/>
      </w:tblGrid>
      <w:tr w:rsidR="00546EC4" w14:paraId="514C19F7" w14:textId="77777777" w:rsidTr="00546EC4">
        <w:trPr>
          <w:trHeight w:val="141"/>
          <w:jc w:val="center"/>
        </w:trPr>
        <w:tc>
          <w:tcPr>
            <w:tcW w:w="817" w:type="dxa"/>
            <w:tcBorders>
              <w:top w:val="single" w:sz="4" w:space="0" w:color="auto"/>
              <w:bottom w:val="single" w:sz="4" w:space="0" w:color="auto"/>
            </w:tcBorders>
            <w:shd w:val="clear" w:color="auto" w:fill="auto"/>
            <w:hideMark/>
          </w:tcPr>
          <w:p w14:paraId="0D9EF369" w14:textId="77777777" w:rsidR="00546EC4" w:rsidRDefault="00546EC4" w:rsidP="001A7800">
            <w:pPr>
              <w:jc w:val="center"/>
              <w:rPr>
                <w:sz w:val="18"/>
                <w:szCs w:val="18"/>
              </w:rPr>
            </w:pPr>
            <w:r>
              <w:rPr>
                <w:b/>
                <w:bCs/>
                <w:sz w:val="18"/>
                <w:szCs w:val="18"/>
              </w:rPr>
              <w:t>Sample</w:t>
            </w:r>
          </w:p>
        </w:tc>
        <w:tc>
          <w:tcPr>
            <w:tcW w:w="3010" w:type="dxa"/>
            <w:tcBorders>
              <w:top w:val="single" w:sz="4" w:space="0" w:color="auto"/>
              <w:bottom w:val="single" w:sz="4" w:space="0" w:color="auto"/>
            </w:tcBorders>
            <w:shd w:val="clear" w:color="auto" w:fill="auto"/>
            <w:hideMark/>
          </w:tcPr>
          <w:p w14:paraId="2855FA3F" w14:textId="6B64A145" w:rsidR="00546EC4" w:rsidRDefault="00546EC4" w:rsidP="00546EC4">
            <w:pPr>
              <w:jc w:val="center"/>
              <w:rPr>
                <w:b/>
                <w:bCs/>
                <w:sz w:val="18"/>
                <w:szCs w:val="18"/>
                <w:lang w:val="en-US"/>
              </w:rPr>
            </w:pPr>
            <w:r>
              <w:rPr>
                <w:b/>
                <w:bCs/>
                <w:sz w:val="18"/>
                <w:szCs w:val="18"/>
                <w:lang w:val="en-US"/>
              </w:rPr>
              <w:t>Concentration</w:t>
            </w:r>
          </w:p>
          <w:p w14:paraId="25ECADC8" w14:textId="13AE7F4A" w:rsidR="00546EC4" w:rsidRDefault="00546EC4" w:rsidP="00546EC4">
            <w:pPr>
              <w:jc w:val="center"/>
              <w:rPr>
                <w:b/>
                <w:bCs/>
                <w:sz w:val="18"/>
                <w:szCs w:val="18"/>
                <w:lang w:val="en-US"/>
              </w:rPr>
            </w:pPr>
            <w:r w:rsidRPr="003010E2">
              <w:rPr>
                <w:sz w:val="18"/>
                <w:szCs w:val="18"/>
                <w:lang w:val="en-US"/>
              </w:rPr>
              <w:t>(</w:t>
            </w:r>
            <w:proofErr w:type="gramStart"/>
            <w:r w:rsidRPr="003010E2">
              <w:rPr>
                <w:sz w:val="18"/>
                <w:szCs w:val="18"/>
                <w:lang w:val="en-US"/>
              </w:rPr>
              <w:t>mg</w:t>
            </w:r>
            <w:proofErr w:type="gramEnd"/>
            <w:r w:rsidRPr="003010E2">
              <w:rPr>
                <w:sz w:val="18"/>
                <w:szCs w:val="18"/>
                <w:lang w:val="en-US"/>
              </w:rPr>
              <w:t xml:space="preserve"> Tyr + </w:t>
            </w:r>
            <w:proofErr w:type="spellStart"/>
            <w:r w:rsidRPr="003010E2">
              <w:rPr>
                <w:sz w:val="18"/>
                <w:szCs w:val="18"/>
                <w:lang w:val="en-US"/>
              </w:rPr>
              <w:t>HTyr</w:t>
            </w:r>
            <w:proofErr w:type="spellEnd"/>
            <w:r w:rsidRPr="003010E2">
              <w:rPr>
                <w:sz w:val="18"/>
                <w:szCs w:val="18"/>
                <w:lang w:val="en-US"/>
              </w:rPr>
              <w:t xml:space="preserve"> + </w:t>
            </w:r>
            <w:proofErr w:type="spellStart"/>
            <w:r w:rsidRPr="003010E2">
              <w:rPr>
                <w:sz w:val="18"/>
                <w:szCs w:val="18"/>
                <w:lang w:val="en-US"/>
              </w:rPr>
              <w:t>Unk</w:t>
            </w:r>
            <w:proofErr w:type="spellEnd"/>
            <w:r w:rsidRPr="003010E2">
              <w:rPr>
                <w:sz w:val="18"/>
                <w:szCs w:val="18"/>
                <w:lang w:val="en-US"/>
              </w:rPr>
              <w:t>/mL extract)</w:t>
            </w:r>
          </w:p>
        </w:tc>
        <w:tc>
          <w:tcPr>
            <w:tcW w:w="568" w:type="dxa"/>
            <w:tcBorders>
              <w:top w:val="single" w:sz="4" w:space="0" w:color="auto"/>
              <w:bottom w:val="single" w:sz="4" w:space="0" w:color="auto"/>
            </w:tcBorders>
            <w:shd w:val="clear" w:color="auto" w:fill="auto"/>
            <w:hideMark/>
          </w:tcPr>
          <w:p w14:paraId="03D392B3" w14:textId="77777777" w:rsidR="00546EC4" w:rsidRDefault="00546EC4" w:rsidP="001A7800">
            <w:pPr>
              <w:jc w:val="center"/>
              <w:rPr>
                <w:sz w:val="18"/>
                <w:szCs w:val="18"/>
              </w:rPr>
            </w:pPr>
            <w:r>
              <w:rPr>
                <w:b/>
                <w:bCs/>
                <w:sz w:val="18"/>
                <w:szCs w:val="18"/>
              </w:rPr>
              <w:t>SD</w:t>
            </w:r>
          </w:p>
        </w:tc>
        <w:tc>
          <w:tcPr>
            <w:tcW w:w="2409" w:type="dxa"/>
            <w:tcBorders>
              <w:top w:val="single" w:sz="4" w:space="0" w:color="auto"/>
              <w:bottom w:val="single" w:sz="4" w:space="0" w:color="auto"/>
            </w:tcBorders>
            <w:shd w:val="clear" w:color="auto" w:fill="auto"/>
          </w:tcPr>
          <w:p w14:paraId="6C7BFB4D" w14:textId="0E8BCE47" w:rsidR="00546EC4" w:rsidRDefault="00546EC4" w:rsidP="00546EC4">
            <w:pPr>
              <w:jc w:val="center"/>
              <w:rPr>
                <w:b/>
                <w:bCs/>
                <w:sz w:val="18"/>
                <w:szCs w:val="18"/>
                <w:lang w:val="en-US"/>
              </w:rPr>
            </w:pPr>
            <w:r>
              <w:rPr>
                <w:b/>
                <w:bCs/>
                <w:sz w:val="18"/>
                <w:szCs w:val="18"/>
                <w:lang w:val="en-US"/>
              </w:rPr>
              <w:t>Concentration</w:t>
            </w:r>
          </w:p>
          <w:p w14:paraId="66AF839D" w14:textId="056E1DDB" w:rsidR="00546EC4" w:rsidRDefault="00546EC4" w:rsidP="00546EC4">
            <w:pPr>
              <w:jc w:val="center"/>
              <w:rPr>
                <w:sz w:val="18"/>
                <w:szCs w:val="18"/>
                <w:lang w:val="en-US"/>
              </w:rPr>
            </w:pPr>
            <w:r w:rsidRPr="003010E2">
              <w:rPr>
                <w:sz w:val="18"/>
                <w:szCs w:val="18"/>
                <w:lang w:val="en-US"/>
              </w:rPr>
              <w:t>(</w:t>
            </w:r>
            <w:proofErr w:type="gramStart"/>
            <w:r w:rsidRPr="003010E2">
              <w:rPr>
                <w:sz w:val="18"/>
                <w:szCs w:val="18"/>
                <w:lang w:val="en-US"/>
              </w:rPr>
              <w:t>mg</w:t>
            </w:r>
            <w:proofErr w:type="gramEnd"/>
            <w:r w:rsidRPr="003010E2">
              <w:rPr>
                <w:sz w:val="18"/>
                <w:szCs w:val="18"/>
                <w:lang w:val="en-US"/>
              </w:rPr>
              <w:t xml:space="preserve"> gallic acid/mL extract)</w:t>
            </w:r>
          </w:p>
        </w:tc>
        <w:tc>
          <w:tcPr>
            <w:tcW w:w="567" w:type="dxa"/>
            <w:tcBorders>
              <w:top w:val="single" w:sz="4" w:space="0" w:color="auto"/>
              <w:bottom w:val="single" w:sz="4" w:space="0" w:color="auto"/>
            </w:tcBorders>
            <w:shd w:val="clear" w:color="auto" w:fill="auto"/>
          </w:tcPr>
          <w:p w14:paraId="76590CC7" w14:textId="77777777" w:rsidR="00546EC4" w:rsidRDefault="00546EC4" w:rsidP="001A7800">
            <w:pPr>
              <w:jc w:val="center"/>
              <w:rPr>
                <w:b/>
                <w:bCs/>
                <w:sz w:val="18"/>
                <w:szCs w:val="18"/>
              </w:rPr>
            </w:pPr>
            <w:r>
              <w:rPr>
                <w:b/>
                <w:bCs/>
                <w:sz w:val="18"/>
                <w:szCs w:val="18"/>
              </w:rPr>
              <w:t>SD</w:t>
            </w:r>
          </w:p>
        </w:tc>
      </w:tr>
      <w:tr w:rsidR="00546EC4" w14:paraId="6A365B3B" w14:textId="77777777" w:rsidTr="00546EC4">
        <w:trPr>
          <w:trHeight w:val="216"/>
          <w:jc w:val="center"/>
        </w:trPr>
        <w:tc>
          <w:tcPr>
            <w:tcW w:w="817" w:type="dxa"/>
            <w:tcBorders>
              <w:top w:val="single" w:sz="4" w:space="0" w:color="auto"/>
            </w:tcBorders>
            <w:shd w:val="clear" w:color="auto" w:fill="auto"/>
            <w:hideMark/>
          </w:tcPr>
          <w:p w14:paraId="6F8CF351" w14:textId="77777777" w:rsidR="00546EC4" w:rsidRPr="005A61FD" w:rsidRDefault="00546EC4" w:rsidP="001A7800">
            <w:pPr>
              <w:jc w:val="center"/>
              <w:rPr>
                <w:sz w:val="18"/>
                <w:szCs w:val="18"/>
              </w:rPr>
            </w:pPr>
            <w:r w:rsidRPr="005A61FD">
              <w:rPr>
                <w:sz w:val="18"/>
                <w:szCs w:val="18"/>
              </w:rPr>
              <w:t>T0</w:t>
            </w:r>
          </w:p>
        </w:tc>
        <w:tc>
          <w:tcPr>
            <w:tcW w:w="3010" w:type="dxa"/>
            <w:tcBorders>
              <w:top w:val="single" w:sz="4" w:space="0" w:color="auto"/>
            </w:tcBorders>
            <w:shd w:val="clear" w:color="auto" w:fill="auto"/>
          </w:tcPr>
          <w:p w14:paraId="0D5F5B6C" w14:textId="77777777" w:rsidR="00546EC4" w:rsidRDefault="00546EC4" w:rsidP="001A7800">
            <w:pPr>
              <w:jc w:val="center"/>
              <w:rPr>
                <w:sz w:val="18"/>
                <w:szCs w:val="18"/>
              </w:rPr>
            </w:pPr>
            <w:r>
              <w:rPr>
                <w:sz w:val="18"/>
                <w:szCs w:val="18"/>
              </w:rPr>
              <w:t>0.23</w:t>
            </w:r>
            <w:r>
              <w:rPr>
                <w:sz w:val="18"/>
                <w:szCs w:val="18"/>
                <w:vertAlign w:val="superscript"/>
              </w:rPr>
              <w:t>b</w:t>
            </w:r>
          </w:p>
        </w:tc>
        <w:tc>
          <w:tcPr>
            <w:tcW w:w="568" w:type="dxa"/>
            <w:tcBorders>
              <w:top w:val="single" w:sz="4" w:space="0" w:color="auto"/>
            </w:tcBorders>
            <w:shd w:val="clear" w:color="auto" w:fill="auto"/>
          </w:tcPr>
          <w:p w14:paraId="1E42EE6A" w14:textId="77777777" w:rsidR="00546EC4" w:rsidRDefault="00546EC4" w:rsidP="001A7800">
            <w:pPr>
              <w:jc w:val="center"/>
              <w:rPr>
                <w:sz w:val="18"/>
                <w:szCs w:val="18"/>
              </w:rPr>
            </w:pPr>
            <w:r>
              <w:rPr>
                <w:sz w:val="18"/>
                <w:szCs w:val="18"/>
              </w:rPr>
              <w:t>0.00</w:t>
            </w:r>
          </w:p>
        </w:tc>
        <w:tc>
          <w:tcPr>
            <w:tcW w:w="2409" w:type="dxa"/>
            <w:tcBorders>
              <w:top w:val="single" w:sz="4" w:space="0" w:color="auto"/>
            </w:tcBorders>
            <w:shd w:val="clear" w:color="auto" w:fill="auto"/>
          </w:tcPr>
          <w:p w14:paraId="08C12A7C" w14:textId="77777777" w:rsidR="00546EC4" w:rsidRDefault="00546EC4" w:rsidP="001A7800">
            <w:pPr>
              <w:jc w:val="center"/>
              <w:rPr>
                <w:sz w:val="18"/>
                <w:szCs w:val="18"/>
              </w:rPr>
            </w:pPr>
            <w:r>
              <w:rPr>
                <w:sz w:val="18"/>
                <w:szCs w:val="18"/>
              </w:rPr>
              <w:t>0.55</w:t>
            </w:r>
            <w:r>
              <w:rPr>
                <w:sz w:val="18"/>
                <w:szCs w:val="18"/>
                <w:vertAlign w:val="superscript"/>
              </w:rPr>
              <w:t>c</w:t>
            </w:r>
          </w:p>
        </w:tc>
        <w:tc>
          <w:tcPr>
            <w:tcW w:w="567" w:type="dxa"/>
            <w:tcBorders>
              <w:top w:val="single" w:sz="4" w:space="0" w:color="auto"/>
            </w:tcBorders>
            <w:shd w:val="clear" w:color="auto" w:fill="auto"/>
          </w:tcPr>
          <w:p w14:paraId="75877F95" w14:textId="77777777" w:rsidR="00546EC4" w:rsidRDefault="00546EC4" w:rsidP="001A7800">
            <w:pPr>
              <w:jc w:val="center"/>
              <w:rPr>
                <w:sz w:val="18"/>
                <w:szCs w:val="18"/>
              </w:rPr>
            </w:pPr>
            <w:r>
              <w:rPr>
                <w:sz w:val="18"/>
                <w:szCs w:val="18"/>
              </w:rPr>
              <w:t>0.01</w:t>
            </w:r>
          </w:p>
        </w:tc>
      </w:tr>
      <w:tr w:rsidR="00546EC4" w14:paraId="3BDD45A0" w14:textId="77777777" w:rsidTr="00546EC4">
        <w:trPr>
          <w:trHeight w:val="119"/>
          <w:jc w:val="center"/>
        </w:trPr>
        <w:tc>
          <w:tcPr>
            <w:tcW w:w="817" w:type="dxa"/>
            <w:shd w:val="clear" w:color="auto" w:fill="auto"/>
            <w:hideMark/>
          </w:tcPr>
          <w:p w14:paraId="4256DA0C" w14:textId="77777777" w:rsidR="00546EC4" w:rsidRPr="005A61FD" w:rsidRDefault="00546EC4" w:rsidP="001A7800">
            <w:pPr>
              <w:jc w:val="center"/>
              <w:rPr>
                <w:sz w:val="18"/>
                <w:szCs w:val="18"/>
              </w:rPr>
            </w:pPr>
            <w:r w:rsidRPr="005A61FD">
              <w:rPr>
                <w:sz w:val="18"/>
                <w:szCs w:val="18"/>
              </w:rPr>
              <w:t>T1</w:t>
            </w:r>
          </w:p>
        </w:tc>
        <w:tc>
          <w:tcPr>
            <w:tcW w:w="3010" w:type="dxa"/>
            <w:shd w:val="clear" w:color="auto" w:fill="auto"/>
          </w:tcPr>
          <w:p w14:paraId="18F7E29E" w14:textId="77777777" w:rsidR="00546EC4" w:rsidRDefault="00546EC4" w:rsidP="001A7800">
            <w:pPr>
              <w:pStyle w:val="Default"/>
              <w:jc w:val="center"/>
              <w:rPr>
                <w:sz w:val="18"/>
                <w:szCs w:val="18"/>
              </w:rPr>
            </w:pPr>
            <w:r>
              <w:rPr>
                <w:sz w:val="18"/>
                <w:szCs w:val="18"/>
              </w:rPr>
              <w:t>0.25</w:t>
            </w:r>
            <w:r>
              <w:rPr>
                <w:sz w:val="18"/>
                <w:szCs w:val="18"/>
                <w:vertAlign w:val="superscript"/>
              </w:rPr>
              <w:t>a</w:t>
            </w:r>
          </w:p>
        </w:tc>
        <w:tc>
          <w:tcPr>
            <w:tcW w:w="568" w:type="dxa"/>
            <w:shd w:val="clear" w:color="auto" w:fill="auto"/>
          </w:tcPr>
          <w:p w14:paraId="78BD7C38" w14:textId="77777777" w:rsidR="00546EC4" w:rsidRDefault="00546EC4" w:rsidP="001A7800">
            <w:pPr>
              <w:jc w:val="center"/>
              <w:rPr>
                <w:sz w:val="18"/>
                <w:szCs w:val="18"/>
              </w:rPr>
            </w:pPr>
            <w:r>
              <w:rPr>
                <w:sz w:val="18"/>
                <w:szCs w:val="18"/>
              </w:rPr>
              <w:t>0.00</w:t>
            </w:r>
          </w:p>
        </w:tc>
        <w:tc>
          <w:tcPr>
            <w:tcW w:w="2409" w:type="dxa"/>
            <w:shd w:val="clear" w:color="auto" w:fill="auto"/>
          </w:tcPr>
          <w:p w14:paraId="185372B9" w14:textId="77777777" w:rsidR="00546EC4" w:rsidRDefault="00546EC4" w:rsidP="001A7800">
            <w:pPr>
              <w:jc w:val="center"/>
              <w:rPr>
                <w:sz w:val="18"/>
                <w:szCs w:val="18"/>
              </w:rPr>
            </w:pPr>
            <w:r>
              <w:rPr>
                <w:sz w:val="18"/>
                <w:szCs w:val="18"/>
              </w:rPr>
              <w:t>0.63</w:t>
            </w:r>
            <w:r>
              <w:rPr>
                <w:sz w:val="18"/>
                <w:szCs w:val="18"/>
                <w:vertAlign w:val="superscript"/>
              </w:rPr>
              <w:t>a</w:t>
            </w:r>
          </w:p>
        </w:tc>
        <w:tc>
          <w:tcPr>
            <w:tcW w:w="567" w:type="dxa"/>
            <w:shd w:val="clear" w:color="auto" w:fill="auto"/>
          </w:tcPr>
          <w:p w14:paraId="5464D8C8" w14:textId="77777777" w:rsidR="00546EC4" w:rsidRDefault="00546EC4" w:rsidP="001A7800">
            <w:pPr>
              <w:jc w:val="center"/>
              <w:rPr>
                <w:sz w:val="18"/>
                <w:szCs w:val="18"/>
              </w:rPr>
            </w:pPr>
            <w:r>
              <w:rPr>
                <w:sz w:val="18"/>
                <w:szCs w:val="18"/>
              </w:rPr>
              <w:t>0.02</w:t>
            </w:r>
          </w:p>
        </w:tc>
      </w:tr>
      <w:tr w:rsidR="00546EC4" w14:paraId="78ACB49B" w14:textId="77777777" w:rsidTr="00546EC4">
        <w:trPr>
          <w:trHeight w:val="194"/>
          <w:jc w:val="center"/>
        </w:trPr>
        <w:tc>
          <w:tcPr>
            <w:tcW w:w="817" w:type="dxa"/>
            <w:shd w:val="clear" w:color="auto" w:fill="auto"/>
            <w:hideMark/>
          </w:tcPr>
          <w:p w14:paraId="32C4E437" w14:textId="77777777" w:rsidR="00546EC4" w:rsidRPr="005A61FD" w:rsidRDefault="00546EC4" w:rsidP="001A7800">
            <w:pPr>
              <w:jc w:val="center"/>
              <w:rPr>
                <w:sz w:val="18"/>
                <w:szCs w:val="18"/>
              </w:rPr>
            </w:pPr>
            <w:r w:rsidRPr="005A61FD">
              <w:rPr>
                <w:sz w:val="18"/>
                <w:szCs w:val="18"/>
              </w:rPr>
              <w:t>T2</w:t>
            </w:r>
          </w:p>
        </w:tc>
        <w:tc>
          <w:tcPr>
            <w:tcW w:w="3010" w:type="dxa"/>
            <w:shd w:val="clear" w:color="auto" w:fill="auto"/>
          </w:tcPr>
          <w:p w14:paraId="4673EAB2" w14:textId="77777777" w:rsidR="00546EC4" w:rsidRDefault="00546EC4" w:rsidP="003822D0">
            <w:pPr>
              <w:pStyle w:val="Default"/>
              <w:jc w:val="center"/>
              <w:rPr>
                <w:sz w:val="18"/>
                <w:szCs w:val="18"/>
              </w:rPr>
            </w:pPr>
            <w:proofErr w:type="gramStart"/>
            <w:r>
              <w:rPr>
                <w:sz w:val="18"/>
                <w:szCs w:val="18"/>
              </w:rPr>
              <w:t>0.24</w:t>
            </w:r>
            <w:r>
              <w:rPr>
                <w:sz w:val="18"/>
                <w:szCs w:val="18"/>
                <w:vertAlign w:val="superscript"/>
              </w:rPr>
              <w:t>a,b</w:t>
            </w:r>
            <w:proofErr w:type="gramEnd"/>
          </w:p>
        </w:tc>
        <w:tc>
          <w:tcPr>
            <w:tcW w:w="568" w:type="dxa"/>
            <w:shd w:val="clear" w:color="auto" w:fill="auto"/>
          </w:tcPr>
          <w:p w14:paraId="67FF8AE6" w14:textId="77777777" w:rsidR="00546EC4" w:rsidRDefault="00546EC4" w:rsidP="001A7800">
            <w:pPr>
              <w:jc w:val="center"/>
              <w:rPr>
                <w:sz w:val="18"/>
                <w:szCs w:val="18"/>
              </w:rPr>
            </w:pPr>
            <w:r>
              <w:rPr>
                <w:sz w:val="18"/>
                <w:szCs w:val="18"/>
              </w:rPr>
              <w:t>0.00</w:t>
            </w:r>
          </w:p>
        </w:tc>
        <w:tc>
          <w:tcPr>
            <w:tcW w:w="2409" w:type="dxa"/>
            <w:shd w:val="clear" w:color="auto" w:fill="auto"/>
          </w:tcPr>
          <w:p w14:paraId="51808A65" w14:textId="77777777" w:rsidR="00546EC4" w:rsidRDefault="00546EC4" w:rsidP="001A7800">
            <w:pPr>
              <w:jc w:val="center"/>
              <w:rPr>
                <w:sz w:val="18"/>
                <w:szCs w:val="18"/>
              </w:rPr>
            </w:pPr>
            <w:r>
              <w:rPr>
                <w:sz w:val="18"/>
                <w:szCs w:val="18"/>
              </w:rPr>
              <w:t>0.60</w:t>
            </w:r>
            <w:r>
              <w:rPr>
                <w:sz w:val="18"/>
                <w:szCs w:val="18"/>
                <w:vertAlign w:val="superscript"/>
              </w:rPr>
              <w:t>b</w:t>
            </w:r>
          </w:p>
        </w:tc>
        <w:tc>
          <w:tcPr>
            <w:tcW w:w="567" w:type="dxa"/>
            <w:shd w:val="clear" w:color="auto" w:fill="auto"/>
          </w:tcPr>
          <w:p w14:paraId="4B4A33A9" w14:textId="77777777" w:rsidR="00546EC4" w:rsidRDefault="00546EC4" w:rsidP="001A7800">
            <w:pPr>
              <w:jc w:val="center"/>
              <w:rPr>
                <w:sz w:val="18"/>
                <w:szCs w:val="18"/>
              </w:rPr>
            </w:pPr>
            <w:r>
              <w:rPr>
                <w:sz w:val="18"/>
                <w:szCs w:val="18"/>
              </w:rPr>
              <w:t>0.01</w:t>
            </w:r>
          </w:p>
        </w:tc>
      </w:tr>
    </w:tbl>
    <w:p w14:paraId="6CAA0AD1" w14:textId="77777777" w:rsidR="00E90063" w:rsidRDefault="00E90063" w:rsidP="00E90063">
      <w:pPr>
        <w:jc w:val="both"/>
        <w:rPr>
          <w:iCs/>
          <w:lang w:val="en-GB"/>
        </w:rPr>
      </w:pPr>
    </w:p>
    <w:p w14:paraId="60144B12" w14:textId="5F48684A" w:rsidR="00E90063" w:rsidRDefault="00E90063" w:rsidP="00E90063">
      <w:pPr>
        <w:jc w:val="both"/>
        <w:rPr>
          <w:lang w:val="en-US"/>
        </w:rPr>
      </w:pPr>
      <w:r>
        <w:rPr>
          <w:iCs/>
          <w:lang w:val="en-GB"/>
        </w:rPr>
        <w:t>Regarding t</w:t>
      </w:r>
      <w:r w:rsidRPr="00810A7B">
        <w:rPr>
          <w:iCs/>
          <w:lang w:val="en-GB"/>
        </w:rPr>
        <w:t>he UHPLC-MS/MS</w:t>
      </w:r>
      <w:r>
        <w:rPr>
          <w:iCs/>
          <w:lang w:val="en-GB"/>
        </w:rPr>
        <w:t xml:space="preserve"> analytical approach,</w:t>
      </w:r>
      <w:r w:rsidRPr="00810A7B">
        <w:rPr>
          <w:iCs/>
          <w:lang w:val="en-GB"/>
        </w:rPr>
        <w:t xml:space="preserve"> data elaboration is </w:t>
      </w:r>
      <w:r>
        <w:rPr>
          <w:iCs/>
          <w:lang w:val="en-GB"/>
        </w:rPr>
        <w:t>still</w:t>
      </w:r>
      <w:r w:rsidRPr="00810A7B">
        <w:rPr>
          <w:iCs/>
          <w:lang w:val="en-GB"/>
        </w:rPr>
        <w:t xml:space="preserve"> ongoing</w:t>
      </w:r>
      <w:r w:rsidRPr="00CF19F9">
        <w:rPr>
          <w:iCs/>
          <w:lang w:val="en-GB"/>
        </w:rPr>
        <w:t xml:space="preserve"> </w:t>
      </w:r>
      <w:r>
        <w:rPr>
          <w:iCs/>
          <w:lang w:val="en-GB"/>
        </w:rPr>
        <w:t>to investigate the phenolic profile of the extracts</w:t>
      </w:r>
      <w:r w:rsidRPr="00810A7B">
        <w:rPr>
          <w:iCs/>
          <w:lang w:val="en-GB"/>
        </w:rPr>
        <w:t>.</w:t>
      </w:r>
    </w:p>
    <w:p w14:paraId="07850A22" w14:textId="04E5D0D7" w:rsidR="007D40F9" w:rsidRPr="00746B7D" w:rsidRDefault="00E90063" w:rsidP="00E90063">
      <w:pPr>
        <w:jc w:val="both"/>
        <w:rPr>
          <w:lang w:val="en-US"/>
        </w:rPr>
      </w:pPr>
      <w:r>
        <w:rPr>
          <w:lang w:val="en-US"/>
        </w:rPr>
        <w:t xml:space="preserve">Moreover, a </w:t>
      </w:r>
      <w:r w:rsidRPr="00BD4941">
        <w:rPr>
          <w:lang w:val="en-US"/>
        </w:rPr>
        <w:t>sensory</w:t>
      </w:r>
      <w:r>
        <w:rPr>
          <w:lang w:val="en-US"/>
        </w:rPr>
        <w:t xml:space="preserve"> descriptive</w:t>
      </w:r>
      <w:r w:rsidRPr="00BD4941">
        <w:rPr>
          <w:lang w:val="en-US"/>
        </w:rPr>
        <w:t xml:space="preserve"> analysis was carried out by 8 panelists trained for olive oil assessment, through</w:t>
      </w:r>
      <w:r>
        <w:rPr>
          <w:lang w:val="en-US"/>
        </w:rPr>
        <w:t xml:space="preserve"> only</w:t>
      </w:r>
      <w:r w:rsidRPr="00BD4941">
        <w:rPr>
          <w:lang w:val="en-US"/>
        </w:rPr>
        <w:t xml:space="preserve"> an olfactory evaluation, </w:t>
      </w:r>
      <w:r>
        <w:rPr>
          <w:lang w:val="en-US"/>
        </w:rPr>
        <w:t>and they were asked to</w:t>
      </w:r>
      <w:r w:rsidRPr="00BD4941">
        <w:rPr>
          <w:lang w:val="en-US"/>
        </w:rPr>
        <w:t xml:space="preserve"> </w:t>
      </w:r>
      <w:r>
        <w:rPr>
          <w:lang w:val="en-US"/>
        </w:rPr>
        <w:t xml:space="preserve">exclude </w:t>
      </w:r>
      <w:r w:rsidRPr="00BD4941">
        <w:rPr>
          <w:lang w:val="en-US"/>
        </w:rPr>
        <w:t>the perception of ethanol</w:t>
      </w:r>
      <w:r>
        <w:rPr>
          <w:lang w:val="en-US"/>
        </w:rPr>
        <w:t xml:space="preserve"> in their assessment</w:t>
      </w:r>
      <w:r w:rsidRPr="00BD4941">
        <w:rPr>
          <w:lang w:val="en-US"/>
        </w:rPr>
        <w:t>.</w:t>
      </w:r>
      <w:r>
        <w:rPr>
          <w:lang w:val="en-US"/>
        </w:rPr>
        <w:t xml:space="preserve"> D</w:t>
      </w:r>
      <w:r w:rsidRPr="00BD4941">
        <w:rPr>
          <w:lang w:val="en-US"/>
        </w:rPr>
        <w:t xml:space="preserve">efects </w:t>
      </w:r>
      <w:r>
        <w:rPr>
          <w:lang w:val="en-US"/>
        </w:rPr>
        <w:t>or</w:t>
      </w:r>
      <w:r w:rsidRPr="00BD4941">
        <w:rPr>
          <w:lang w:val="en-US"/>
        </w:rPr>
        <w:t xml:space="preserve"> other negative attributes were not perceived. The attributes were </w:t>
      </w:r>
      <w:r>
        <w:rPr>
          <w:lang w:val="en-US"/>
        </w:rPr>
        <w:t xml:space="preserve">all considered as </w:t>
      </w:r>
      <w:r w:rsidRPr="00BD4941">
        <w:rPr>
          <w:lang w:val="en-US"/>
        </w:rPr>
        <w:t xml:space="preserve">positive and related mostly to </w:t>
      </w:r>
      <w:r>
        <w:rPr>
          <w:lang w:val="en-US"/>
        </w:rPr>
        <w:t>specific notes resembling</w:t>
      </w:r>
      <w:r w:rsidRPr="00BD4941">
        <w:rPr>
          <w:lang w:val="en-US"/>
        </w:rPr>
        <w:t xml:space="preserve"> vanilla, caramel, red fruits, and olive fruit</w:t>
      </w:r>
      <w:r>
        <w:rPr>
          <w:lang w:val="en-US"/>
        </w:rPr>
        <w:t>s</w:t>
      </w:r>
      <w:r w:rsidRPr="00BD4941">
        <w:rPr>
          <w:lang w:val="en-US"/>
        </w:rPr>
        <w:t>.</w:t>
      </w:r>
    </w:p>
    <w:p w14:paraId="19E51C6B" w14:textId="77777777" w:rsidR="007D40F9" w:rsidRDefault="007D40F9" w:rsidP="007D40F9">
      <w:pPr>
        <w:pStyle w:val="Titolo1"/>
        <w:tabs>
          <w:tab w:val="left" w:pos="567"/>
        </w:tabs>
        <w:spacing w:before="240" w:after="120"/>
        <w:ind w:right="0"/>
        <w:jc w:val="both"/>
        <w:rPr>
          <w:b/>
          <w:bCs/>
          <w:color w:val="000000"/>
          <w:sz w:val="24"/>
          <w:lang w:val="en-GB"/>
        </w:rPr>
      </w:pPr>
      <w:r>
        <w:rPr>
          <w:b/>
          <w:bCs/>
          <w:color w:val="000000"/>
          <w:sz w:val="24"/>
          <w:lang w:val="en-GB"/>
        </w:rPr>
        <w:t>6. Conclusions and Future Perspectives</w:t>
      </w:r>
    </w:p>
    <w:p w14:paraId="06E04237" w14:textId="4B496690" w:rsidR="00E90063" w:rsidRPr="00E90063" w:rsidRDefault="00E90063" w:rsidP="00E90063">
      <w:pPr>
        <w:jc w:val="both"/>
        <w:rPr>
          <w:lang w:val="en-GB"/>
        </w:rPr>
      </w:pPr>
      <w:r w:rsidRPr="00E90063">
        <w:rPr>
          <w:lang w:val="en-GB"/>
        </w:rPr>
        <w:t xml:space="preserve">Most of the VOOs were correctly classified by the predictive models, according to the commercial category obtained by the application of a decision tree on the sensory results of four different panels. The two analytical approaches (HS-GC-IMS and Flash GC) both showed effectiveness as potential instrumental screening methods to support the </w:t>
      </w:r>
      <w:r w:rsidR="00546EC4">
        <w:rPr>
          <w:lang w:val="en-GB"/>
        </w:rPr>
        <w:t>Panel test</w:t>
      </w:r>
      <w:r w:rsidRPr="00E90063">
        <w:rPr>
          <w:lang w:val="en-GB"/>
        </w:rPr>
        <w:t xml:space="preserve">: this is confirmed also by the comparison of the satisfactory percentages of samples herein correctly classified with those obtained in external validations from the previous studies conducted by Barbieri </w:t>
      </w:r>
      <w:r w:rsidRPr="00DE4E36">
        <w:rPr>
          <w:i/>
          <w:iCs/>
          <w:lang w:val="en-GB"/>
        </w:rPr>
        <w:t>et al.</w:t>
      </w:r>
      <w:r w:rsidRPr="00E90063">
        <w:rPr>
          <w:lang w:val="en-GB"/>
        </w:rPr>
        <w:t xml:space="preserve"> (2020) and Valli </w:t>
      </w:r>
      <w:r w:rsidRPr="00DE4E36">
        <w:rPr>
          <w:i/>
          <w:iCs/>
          <w:lang w:val="en-GB"/>
        </w:rPr>
        <w:t>et al</w:t>
      </w:r>
      <w:r w:rsidRPr="00E90063">
        <w:rPr>
          <w:lang w:val="en-GB"/>
        </w:rPr>
        <w:t xml:space="preserve">. (2020). For this reason, the adoption of such rapid and innovative gas chromatographic techniques could represent a potential useful tool to support the sensory analysis for the determination of the commercial category of VOOs, thus pre-classifying some samples, and simplifying the quality control work of the laboratories and companies in the olive oil sector. In fact, the concrete applicability of such rapid screening methods to predict the commercial category of VOOs could reduce the number of samples to be assessed by </w:t>
      </w:r>
      <w:r w:rsidR="00546EC4">
        <w:rPr>
          <w:lang w:val="en-GB"/>
        </w:rPr>
        <w:t>Panel test</w:t>
      </w:r>
      <w:r w:rsidRPr="00E90063">
        <w:rPr>
          <w:lang w:val="en-GB"/>
        </w:rPr>
        <w:t xml:space="preserve">. Although these encouraging results, further efforts to improve the robustness of the models, </w:t>
      </w:r>
      <w:proofErr w:type="gramStart"/>
      <w:r w:rsidRPr="00E90063">
        <w:rPr>
          <w:lang w:val="en-GB"/>
        </w:rPr>
        <w:t>i.e.</w:t>
      </w:r>
      <w:proofErr w:type="gramEnd"/>
      <w:r w:rsidRPr="00E90063">
        <w:rPr>
          <w:lang w:val="en-GB"/>
        </w:rPr>
        <w:t xml:space="preserve"> by increasing the dataset, are needed.  Moreover, the elaboration of the obtained results by a new HS-GC-IMS method with improved analytical conditions is now ongoing. In addition, also rapid spectroscopic techniques (FT-IR, NIR and Raman) were applied to a selection of the same sample set to investigate their ability to support the sensory analysis as well, and the results are now under investigation. Finally, further studies are considering innovative chemometric approaches, such as the "data fusion" between the results obtained with the different analytical techniques adopted during this PhD project. </w:t>
      </w:r>
    </w:p>
    <w:p w14:paraId="6458FE1D" w14:textId="77777777" w:rsidR="00E90063" w:rsidRPr="00E90063" w:rsidRDefault="00E90063" w:rsidP="00E90063">
      <w:pPr>
        <w:jc w:val="both"/>
        <w:rPr>
          <w:lang w:val="en-GB"/>
        </w:rPr>
      </w:pPr>
      <w:r w:rsidRPr="00E90063">
        <w:rPr>
          <w:lang w:val="en-GB"/>
        </w:rPr>
        <w:t xml:space="preserve">The second activity, related to the olive pomace </w:t>
      </w:r>
      <w:proofErr w:type="spellStart"/>
      <w:r w:rsidRPr="00E90063">
        <w:rPr>
          <w:lang w:val="en-GB"/>
        </w:rPr>
        <w:t>valorization</w:t>
      </w:r>
      <w:proofErr w:type="spellEnd"/>
      <w:r w:rsidRPr="00E90063">
        <w:rPr>
          <w:lang w:val="en-GB"/>
        </w:rPr>
        <w:t xml:space="preserve">, was aimed to obtain phenolic hydroalcoholic extracts.  Researchers, food industries and stakeholders are paying more and more attention to waste and by-products especially when they represent a source of bioactive molecules, such as olive pomace. Within this PhD research </w:t>
      </w:r>
      <w:r w:rsidRPr="00E90063">
        <w:rPr>
          <w:lang w:val="en-GB"/>
        </w:rPr>
        <w:lastRenderedPageBreak/>
        <w:t>work it has been developed a sustainable phenolic extraction procedure (</w:t>
      </w:r>
      <w:proofErr w:type="gramStart"/>
      <w:r w:rsidRPr="00E90063">
        <w:rPr>
          <w:lang w:val="en-GB"/>
        </w:rPr>
        <w:t>i.e.</w:t>
      </w:r>
      <w:proofErr w:type="gramEnd"/>
      <w:r w:rsidRPr="00E90063">
        <w:rPr>
          <w:lang w:val="en-GB"/>
        </w:rPr>
        <w:t xml:space="preserve"> by a mechanical approach), using less toxic solvents, such as food grade ethanol. The obtained extract, during the shelf-life study, demonstrates stability over time, since a relevant reduction of the phenolic content was not observed, nor sensory defects or other negative sensory attributes were perceived. Thus, this research could contribute to improve the </w:t>
      </w:r>
      <w:proofErr w:type="spellStart"/>
      <w:r w:rsidRPr="00E90063">
        <w:rPr>
          <w:lang w:val="en-GB"/>
        </w:rPr>
        <w:t>valorization</w:t>
      </w:r>
      <w:proofErr w:type="spellEnd"/>
      <w:r w:rsidRPr="00E90063">
        <w:rPr>
          <w:lang w:val="en-GB"/>
        </w:rPr>
        <w:t xml:space="preserve"> of olive oil pomace, well-known for its high content of phenolic compounds, known for their beneficial properties, such as the antioxidant activity; in fact, extracts potentially usable in different industrial sectors, such as pharmaceutical, food and cosmetic, were obtained and the phenolic fraction will be soon completely characterized. </w:t>
      </w:r>
    </w:p>
    <w:p w14:paraId="6049E25B" w14:textId="451978F9" w:rsidR="007D40F9" w:rsidRDefault="00E90063" w:rsidP="00E90063">
      <w:pPr>
        <w:jc w:val="both"/>
        <w:rPr>
          <w:lang w:val="en-GB"/>
        </w:rPr>
      </w:pPr>
      <w:r w:rsidRPr="00E90063">
        <w:rPr>
          <w:lang w:val="en-GB"/>
        </w:rPr>
        <w:t>In conclusion, the research activities in this PhD project are providing sustainable solutions in relation to technology and quality control of olive oils.</w:t>
      </w:r>
    </w:p>
    <w:p w14:paraId="0E8F2EF7" w14:textId="03822796" w:rsidR="007D40F9" w:rsidRPr="00E90063" w:rsidRDefault="00E90063" w:rsidP="00E90063">
      <w:pPr>
        <w:pStyle w:val="Titolo1"/>
        <w:tabs>
          <w:tab w:val="left" w:pos="567"/>
        </w:tabs>
        <w:spacing w:before="240" w:after="120"/>
        <w:ind w:right="0"/>
        <w:jc w:val="both"/>
        <w:rPr>
          <w:b/>
          <w:bCs/>
          <w:color w:val="000000"/>
          <w:sz w:val="24"/>
          <w:lang w:val="en-GB"/>
        </w:rPr>
      </w:pPr>
      <w:r>
        <w:rPr>
          <w:b/>
          <w:bCs/>
          <w:color w:val="000000"/>
          <w:sz w:val="24"/>
          <w:lang w:val="en-GB"/>
        </w:rPr>
        <w:t>7</w:t>
      </w:r>
      <w:r w:rsidR="007D40F9">
        <w:rPr>
          <w:b/>
          <w:bCs/>
          <w:color w:val="000000"/>
          <w:sz w:val="24"/>
          <w:lang w:val="en-GB"/>
        </w:rPr>
        <w:t>. References</w:t>
      </w:r>
    </w:p>
    <w:p w14:paraId="32BB92E0" w14:textId="77777777" w:rsidR="00E90063" w:rsidRDefault="00E90063" w:rsidP="00E90063">
      <w:pPr>
        <w:ind w:left="426" w:hanging="426"/>
        <w:jc w:val="both"/>
        <w:rPr>
          <w:sz w:val="18"/>
          <w:szCs w:val="18"/>
          <w:lang w:val="en-GB"/>
        </w:rPr>
      </w:pPr>
      <w:bookmarkStart w:id="1" w:name="_Hlk138859340"/>
      <w:r w:rsidRPr="00095C49">
        <w:rPr>
          <w:sz w:val="18"/>
          <w:szCs w:val="18"/>
          <w:lang w:val="en-GB"/>
        </w:rPr>
        <w:t xml:space="preserve">Barbieri S, </w:t>
      </w:r>
      <w:proofErr w:type="spellStart"/>
      <w:r w:rsidRPr="00095C49">
        <w:rPr>
          <w:sz w:val="18"/>
          <w:szCs w:val="18"/>
          <w:lang w:val="en-GB"/>
        </w:rPr>
        <w:t>Brkić</w:t>
      </w:r>
      <w:proofErr w:type="spellEnd"/>
      <w:r w:rsidRPr="00095C49">
        <w:rPr>
          <w:sz w:val="18"/>
          <w:szCs w:val="18"/>
          <w:lang w:val="en-GB"/>
        </w:rPr>
        <w:t xml:space="preserve"> </w:t>
      </w:r>
      <w:proofErr w:type="spellStart"/>
      <w:r w:rsidRPr="00095C49">
        <w:rPr>
          <w:sz w:val="18"/>
          <w:szCs w:val="18"/>
          <w:lang w:val="en-GB"/>
        </w:rPr>
        <w:t>Bubola</w:t>
      </w:r>
      <w:proofErr w:type="spellEnd"/>
      <w:r w:rsidRPr="00095C49">
        <w:rPr>
          <w:sz w:val="18"/>
          <w:szCs w:val="18"/>
          <w:lang w:val="en-GB"/>
        </w:rPr>
        <w:t xml:space="preserve"> K, Bendini A, </w:t>
      </w:r>
      <w:proofErr w:type="spellStart"/>
      <w:r w:rsidRPr="00095C49">
        <w:rPr>
          <w:sz w:val="18"/>
          <w:szCs w:val="18"/>
          <w:lang w:val="en-GB"/>
        </w:rPr>
        <w:t>Bučar-Miklavčič</w:t>
      </w:r>
      <w:proofErr w:type="spellEnd"/>
      <w:r w:rsidRPr="00095C49">
        <w:rPr>
          <w:sz w:val="18"/>
          <w:szCs w:val="18"/>
          <w:lang w:val="en-GB"/>
        </w:rPr>
        <w:t xml:space="preserve"> M, Lacoste F, Tibet U, Winkelmann O, García-González DL, Gallina Toschi T </w:t>
      </w:r>
      <w:r>
        <w:rPr>
          <w:sz w:val="18"/>
          <w:szCs w:val="18"/>
          <w:lang w:val="en-GB"/>
        </w:rPr>
        <w:t xml:space="preserve">(2020b) </w:t>
      </w:r>
      <w:r w:rsidRPr="00095C49">
        <w:rPr>
          <w:sz w:val="18"/>
          <w:szCs w:val="18"/>
          <w:lang w:val="en-GB"/>
        </w:rPr>
        <w:t xml:space="preserve">Alignment and Proficiency of Virgin Olive Oil Sensory Panels: The OLEUM Approach. </w:t>
      </w:r>
      <w:r w:rsidRPr="00095C49">
        <w:rPr>
          <w:i/>
          <w:iCs/>
          <w:sz w:val="18"/>
          <w:szCs w:val="18"/>
          <w:lang w:val="en-GB"/>
        </w:rPr>
        <w:t>Foods</w:t>
      </w:r>
      <w:r w:rsidRPr="00095C49">
        <w:rPr>
          <w:sz w:val="18"/>
          <w:szCs w:val="18"/>
          <w:lang w:val="en-GB"/>
        </w:rPr>
        <w:t xml:space="preserve"> </w:t>
      </w:r>
      <w:r w:rsidRPr="00095C49">
        <w:rPr>
          <w:b/>
          <w:bCs/>
          <w:sz w:val="18"/>
          <w:szCs w:val="18"/>
          <w:lang w:val="en-GB"/>
        </w:rPr>
        <w:t>9</w:t>
      </w:r>
      <w:r w:rsidRPr="00095C49">
        <w:rPr>
          <w:sz w:val="18"/>
          <w:szCs w:val="18"/>
          <w:lang w:val="en-GB"/>
        </w:rPr>
        <w:t>:</w:t>
      </w:r>
      <w:r>
        <w:rPr>
          <w:sz w:val="18"/>
          <w:szCs w:val="18"/>
          <w:lang w:val="en-GB"/>
        </w:rPr>
        <w:t xml:space="preserve"> </w:t>
      </w:r>
      <w:r w:rsidRPr="00095C49">
        <w:rPr>
          <w:sz w:val="18"/>
          <w:szCs w:val="18"/>
          <w:lang w:val="en-GB"/>
        </w:rPr>
        <w:t>355.</w:t>
      </w:r>
    </w:p>
    <w:p w14:paraId="60FE5AEA" w14:textId="77777777" w:rsidR="00E90063" w:rsidRDefault="00E90063" w:rsidP="00E90063">
      <w:pPr>
        <w:ind w:left="426" w:hanging="426"/>
        <w:jc w:val="both"/>
        <w:rPr>
          <w:sz w:val="18"/>
          <w:szCs w:val="18"/>
          <w:lang w:val="en-GB"/>
        </w:rPr>
      </w:pPr>
      <w:r w:rsidRPr="00DC6042">
        <w:rPr>
          <w:sz w:val="18"/>
          <w:szCs w:val="18"/>
          <w:lang w:val="en-GB"/>
        </w:rPr>
        <w:t>Barbieri S, Cevoli C, Bendini A, Quintanilla-Casas B, García-González DL, Gallina Toschi T (2020</w:t>
      </w:r>
      <w:r>
        <w:rPr>
          <w:sz w:val="18"/>
          <w:szCs w:val="18"/>
          <w:lang w:val="en-GB"/>
        </w:rPr>
        <w:t>a</w:t>
      </w:r>
      <w:r w:rsidRPr="00DC6042">
        <w:rPr>
          <w:sz w:val="18"/>
          <w:szCs w:val="18"/>
          <w:lang w:val="en-GB"/>
        </w:rPr>
        <w:t xml:space="preserve">) </w:t>
      </w:r>
      <w:r w:rsidRPr="00D83F52">
        <w:rPr>
          <w:sz w:val="18"/>
          <w:szCs w:val="18"/>
          <w:lang w:val="en-GB"/>
        </w:rPr>
        <w:t xml:space="preserve">Flash Gas Chromatography in tandem with chemometrics: a rapid screening tool for quality grades of virgin olive oils. </w:t>
      </w:r>
      <w:r w:rsidRPr="00D83F52">
        <w:rPr>
          <w:i/>
          <w:iCs/>
          <w:sz w:val="18"/>
          <w:szCs w:val="18"/>
          <w:lang w:val="en-GB"/>
        </w:rPr>
        <w:t>Foods</w:t>
      </w:r>
      <w:r w:rsidRPr="00D83F52">
        <w:rPr>
          <w:sz w:val="18"/>
          <w:szCs w:val="18"/>
          <w:lang w:val="en-GB"/>
        </w:rPr>
        <w:t xml:space="preserve"> </w:t>
      </w:r>
      <w:r w:rsidRPr="00D83F52">
        <w:rPr>
          <w:b/>
          <w:bCs/>
          <w:sz w:val="18"/>
          <w:szCs w:val="18"/>
          <w:lang w:val="en-GB"/>
        </w:rPr>
        <w:t>9</w:t>
      </w:r>
      <w:r w:rsidRPr="00D83F52">
        <w:rPr>
          <w:sz w:val="18"/>
          <w:szCs w:val="18"/>
          <w:lang w:val="en-GB"/>
        </w:rPr>
        <w:t>: 862.</w:t>
      </w:r>
    </w:p>
    <w:p w14:paraId="18F29E0C" w14:textId="77777777" w:rsidR="00E90063" w:rsidRPr="00E6315F" w:rsidRDefault="00E90063" w:rsidP="00E90063">
      <w:pPr>
        <w:ind w:left="426" w:hanging="426"/>
        <w:jc w:val="both"/>
        <w:rPr>
          <w:sz w:val="18"/>
          <w:szCs w:val="18"/>
          <w:lang w:val="en-GB"/>
        </w:rPr>
      </w:pPr>
      <w:r w:rsidRPr="00E6315F">
        <w:rPr>
          <w:sz w:val="18"/>
          <w:szCs w:val="18"/>
          <w:lang w:val="en-GB"/>
        </w:rPr>
        <w:t xml:space="preserve">Delfino I, </w:t>
      </w:r>
      <w:proofErr w:type="spellStart"/>
      <w:r w:rsidRPr="00E6315F">
        <w:rPr>
          <w:sz w:val="18"/>
          <w:szCs w:val="18"/>
          <w:lang w:val="en-GB"/>
        </w:rPr>
        <w:t>Cavella</w:t>
      </w:r>
      <w:proofErr w:type="spellEnd"/>
      <w:r w:rsidRPr="00E6315F">
        <w:rPr>
          <w:sz w:val="18"/>
          <w:szCs w:val="18"/>
          <w:lang w:val="en-GB"/>
        </w:rPr>
        <w:t xml:space="preserve"> S, Le</w:t>
      </w:r>
      <w:r w:rsidRPr="00522DCB">
        <w:rPr>
          <w:sz w:val="18"/>
          <w:szCs w:val="18"/>
          <w:lang w:val="en-GB"/>
        </w:rPr>
        <w:t>pore M (2018) Scattering-based optical techniques for olive oil characterization and quality control</w:t>
      </w:r>
      <w:r>
        <w:rPr>
          <w:sz w:val="18"/>
          <w:szCs w:val="18"/>
          <w:lang w:val="en-GB"/>
        </w:rPr>
        <w:t xml:space="preserve">. </w:t>
      </w:r>
      <w:r w:rsidRPr="00522DCB">
        <w:rPr>
          <w:i/>
          <w:iCs/>
          <w:sz w:val="18"/>
          <w:szCs w:val="18"/>
          <w:lang w:val="en-GB"/>
        </w:rPr>
        <w:t>Food Measure</w:t>
      </w:r>
      <w:r w:rsidRPr="00E6315F">
        <w:rPr>
          <w:sz w:val="18"/>
          <w:szCs w:val="18"/>
          <w:lang w:val="en-GB"/>
        </w:rPr>
        <w:t xml:space="preserve"> </w:t>
      </w:r>
      <w:r w:rsidRPr="00522DCB">
        <w:rPr>
          <w:b/>
          <w:bCs/>
          <w:sz w:val="18"/>
          <w:szCs w:val="18"/>
          <w:lang w:val="en-GB"/>
        </w:rPr>
        <w:t>13</w:t>
      </w:r>
      <w:r>
        <w:rPr>
          <w:sz w:val="18"/>
          <w:szCs w:val="18"/>
          <w:lang w:val="en-GB"/>
        </w:rPr>
        <w:t xml:space="preserve">: </w:t>
      </w:r>
      <w:r w:rsidRPr="00E6315F">
        <w:rPr>
          <w:sz w:val="18"/>
          <w:szCs w:val="18"/>
          <w:lang w:val="en-GB"/>
        </w:rPr>
        <w:t>196–212</w:t>
      </w:r>
      <w:r>
        <w:rPr>
          <w:sz w:val="18"/>
          <w:szCs w:val="18"/>
          <w:lang w:val="en-GB"/>
        </w:rPr>
        <w:t>.</w:t>
      </w:r>
    </w:p>
    <w:p w14:paraId="2EA60070" w14:textId="77777777" w:rsidR="00E90063" w:rsidRPr="00D83F52" w:rsidRDefault="00E90063" w:rsidP="00E90063">
      <w:pPr>
        <w:ind w:left="426" w:hanging="426"/>
        <w:jc w:val="both"/>
        <w:rPr>
          <w:sz w:val="18"/>
          <w:szCs w:val="18"/>
          <w:lang w:val="en-GB"/>
        </w:rPr>
      </w:pPr>
      <w:proofErr w:type="spellStart"/>
      <w:r w:rsidRPr="00D83F52">
        <w:rPr>
          <w:sz w:val="18"/>
          <w:szCs w:val="18"/>
          <w:lang w:val="en-GB"/>
        </w:rPr>
        <w:t>Dermeche</w:t>
      </w:r>
      <w:proofErr w:type="spellEnd"/>
      <w:r w:rsidRPr="00D83F52">
        <w:rPr>
          <w:sz w:val="18"/>
          <w:szCs w:val="18"/>
          <w:lang w:val="en-GB"/>
        </w:rPr>
        <w:t xml:space="preserve"> S, </w:t>
      </w:r>
      <w:proofErr w:type="spellStart"/>
      <w:r w:rsidRPr="00D83F52">
        <w:rPr>
          <w:sz w:val="18"/>
          <w:szCs w:val="18"/>
          <w:lang w:val="en-GB"/>
        </w:rPr>
        <w:t>Nadour</w:t>
      </w:r>
      <w:proofErr w:type="spellEnd"/>
      <w:r w:rsidRPr="00D83F52">
        <w:rPr>
          <w:sz w:val="18"/>
          <w:szCs w:val="18"/>
          <w:lang w:val="en-GB"/>
        </w:rPr>
        <w:t xml:space="preserve"> M, </w:t>
      </w:r>
      <w:proofErr w:type="spellStart"/>
      <w:r w:rsidRPr="00D83F52">
        <w:rPr>
          <w:sz w:val="18"/>
          <w:szCs w:val="18"/>
          <w:lang w:val="en-GB"/>
        </w:rPr>
        <w:t>Larroche</w:t>
      </w:r>
      <w:proofErr w:type="spellEnd"/>
      <w:r w:rsidRPr="00D83F52">
        <w:rPr>
          <w:sz w:val="18"/>
          <w:szCs w:val="18"/>
          <w:lang w:val="en-GB"/>
        </w:rPr>
        <w:t xml:space="preserve"> C, </w:t>
      </w:r>
      <w:proofErr w:type="spellStart"/>
      <w:r w:rsidRPr="00D83F52">
        <w:rPr>
          <w:sz w:val="18"/>
          <w:szCs w:val="18"/>
          <w:lang w:val="en-GB"/>
        </w:rPr>
        <w:t>Moulti</w:t>
      </w:r>
      <w:proofErr w:type="spellEnd"/>
      <w:r w:rsidRPr="00D83F52">
        <w:rPr>
          <w:sz w:val="18"/>
          <w:szCs w:val="18"/>
          <w:lang w:val="en-GB"/>
        </w:rPr>
        <w:t xml:space="preserve">-Mati F, Michaud P (2013) Olive mill wastes: </w:t>
      </w:r>
      <w:r>
        <w:rPr>
          <w:sz w:val="18"/>
          <w:szCs w:val="18"/>
          <w:lang w:val="en-GB"/>
        </w:rPr>
        <w:t>b</w:t>
      </w:r>
      <w:r w:rsidRPr="00D83F52">
        <w:rPr>
          <w:sz w:val="18"/>
          <w:szCs w:val="18"/>
          <w:lang w:val="en-GB"/>
        </w:rPr>
        <w:t xml:space="preserve">iochemical characterizations and </w:t>
      </w:r>
      <w:proofErr w:type="spellStart"/>
      <w:r w:rsidRPr="00D83F52">
        <w:rPr>
          <w:sz w:val="18"/>
          <w:szCs w:val="18"/>
          <w:lang w:val="en-GB"/>
        </w:rPr>
        <w:t>valorization</w:t>
      </w:r>
      <w:proofErr w:type="spellEnd"/>
      <w:r w:rsidRPr="00D83F52">
        <w:rPr>
          <w:sz w:val="18"/>
          <w:szCs w:val="18"/>
          <w:lang w:val="en-GB"/>
        </w:rPr>
        <w:t xml:space="preserve"> strategies. </w:t>
      </w:r>
      <w:r w:rsidRPr="00D83F52">
        <w:rPr>
          <w:i/>
          <w:iCs/>
          <w:sz w:val="18"/>
          <w:szCs w:val="18"/>
          <w:lang w:val="en-GB"/>
        </w:rPr>
        <w:t xml:space="preserve">Process </w:t>
      </w:r>
      <w:proofErr w:type="spellStart"/>
      <w:r w:rsidRPr="00D83F52">
        <w:rPr>
          <w:i/>
          <w:iCs/>
          <w:sz w:val="18"/>
          <w:szCs w:val="18"/>
          <w:lang w:val="en-GB"/>
        </w:rPr>
        <w:t>Biochem</w:t>
      </w:r>
      <w:proofErr w:type="spellEnd"/>
      <w:r w:rsidRPr="00D83F52">
        <w:rPr>
          <w:sz w:val="18"/>
          <w:szCs w:val="18"/>
          <w:lang w:val="en-GB"/>
        </w:rPr>
        <w:t xml:space="preserve"> </w:t>
      </w:r>
      <w:r w:rsidRPr="00D83F52">
        <w:rPr>
          <w:b/>
          <w:bCs/>
          <w:sz w:val="18"/>
          <w:szCs w:val="18"/>
          <w:lang w:val="en-GB"/>
        </w:rPr>
        <w:t>48</w:t>
      </w:r>
      <w:r w:rsidRPr="00D83F52">
        <w:rPr>
          <w:sz w:val="18"/>
          <w:szCs w:val="18"/>
          <w:lang w:val="en-GB"/>
        </w:rPr>
        <w:t>: 1532–1552.</w:t>
      </w:r>
    </w:p>
    <w:p w14:paraId="316B8681" w14:textId="77777777" w:rsidR="00E90063" w:rsidRDefault="00E90063" w:rsidP="00E90063">
      <w:pPr>
        <w:ind w:left="426" w:hanging="426"/>
        <w:jc w:val="both"/>
        <w:rPr>
          <w:sz w:val="18"/>
          <w:szCs w:val="18"/>
          <w:lang w:val="en-US"/>
        </w:rPr>
      </w:pPr>
      <w:r w:rsidRPr="00D83F52">
        <w:rPr>
          <w:sz w:val="18"/>
          <w:szCs w:val="18"/>
          <w:lang w:val="en-GB"/>
        </w:rPr>
        <w:t xml:space="preserve">European Commission. Reg. (EU) n. 2022/2104 </w:t>
      </w:r>
      <w:r w:rsidRPr="00D83F52">
        <w:rPr>
          <w:sz w:val="18"/>
          <w:szCs w:val="18"/>
          <w:lang w:val="en-US"/>
        </w:rPr>
        <w:t>supplementing Regulation (EU) No 1308/2013 of the European Parliament and of the Council as regards marketing standards for olive oil, and repealing Commission Regulation (EEC) No 2568/91 and Commission Implementing Regulation (EU) No 29/2012.</w:t>
      </w:r>
    </w:p>
    <w:p w14:paraId="0513D716" w14:textId="77777777" w:rsidR="00E90063" w:rsidRDefault="00E90063" w:rsidP="00E90063">
      <w:pPr>
        <w:ind w:left="426" w:hanging="426"/>
        <w:jc w:val="both"/>
        <w:rPr>
          <w:sz w:val="18"/>
          <w:szCs w:val="18"/>
          <w:lang w:val="en-GB"/>
        </w:rPr>
      </w:pPr>
      <w:r w:rsidRPr="00B258E3">
        <w:rPr>
          <w:sz w:val="18"/>
          <w:szCs w:val="18"/>
          <w:lang w:val="en-GB"/>
        </w:rPr>
        <w:t>European Commission</w:t>
      </w:r>
      <w:r>
        <w:rPr>
          <w:sz w:val="18"/>
          <w:szCs w:val="18"/>
          <w:lang w:val="en-GB"/>
        </w:rPr>
        <w:t xml:space="preserve"> (2023) </w:t>
      </w:r>
      <w:r w:rsidRPr="00B258E3">
        <w:rPr>
          <w:sz w:val="18"/>
          <w:szCs w:val="18"/>
          <w:lang w:val="en-GB"/>
        </w:rPr>
        <w:t>Market situation in the olive oil and table olives sectors.</w:t>
      </w:r>
      <w:r>
        <w:rPr>
          <w:sz w:val="18"/>
          <w:szCs w:val="18"/>
          <w:lang w:val="en-GB"/>
        </w:rPr>
        <w:t xml:space="preserve"> </w:t>
      </w:r>
    </w:p>
    <w:p w14:paraId="652F20C3" w14:textId="451D1ECA" w:rsidR="00E90063" w:rsidRPr="00EA4F38" w:rsidRDefault="00E90063" w:rsidP="00E90063">
      <w:pPr>
        <w:ind w:left="426" w:hanging="426"/>
        <w:jc w:val="both"/>
        <w:rPr>
          <w:sz w:val="18"/>
          <w:szCs w:val="18"/>
          <w:lang w:val="en-GB"/>
        </w:rPr>
      </w:pPr>
      <w:r w:rsidRPr="00867C03">
        <w:rPr>
          <w:sz w:val="18"/>
          <w:szCs w:val="18"/>
          <w:lang w:val="en-GB"/>
        </w:rPr>
        <w:t>Frankel EN (1983). Volatile lipid oxidation products.</w:t>
      </w:r>
      <w:r w:rsidRPr="00867C03">
        <w:rPr>
          <w:lang w:val="en-GB"/>
        </w:rPr>
        <w:t xml:space="preserve"> </w:t>
      </w:r>
      <w:r w:rsidRPr="00867C03">
        <w:rPr>
          <w:i/>
          <w:iCs/>
          <w:sz w:val="18"/>
          <w:szCs w:val="18"/>
          <w:lang w:val="en-GB"/>
        </w:rPr>
        <w:t>Prog Lipid Res</w:t>
      </w:r>
      <w:r>
        <w:rPr>
          <w:sz w:val="18"/>
          <w:szCs w:val="18"/>
          <w:lang w:val="en-GB"/>
        </w:rPr>
        <w:t xml:space="preserve"> </w:t>
      </w:r>
      <w:r w:rsidRPr="00867C03">
        <w:rPr>
          <w:b/>
          <w:bCs/>
          <w:sz w:val="18"/>
          <w:szCs w:val="18"/>
          <w:lang w:val="en-GB"/>
        </w:rPr>
        <w:t>22</w:t>
      </w:r>
      <w:r>
        <w:rPr>
          <w:sz w:val="18"/>
          <w:szCs w:val="18"/>
          <w:lang w:val="en-GB"/>
        </w:rPr>
        <w:t>:</w:t>
      </w:r>
      <w:r w:rsidRPr="00867C03">
        <w:rPr>
          <w:sz w:val="18"/>
          <w:szCs w:val="18"/>
          <w:lang w:val="en-GB"/>
        </w:rPr>
        <w:t xml:space="preserve"> 1-33. </w:t>
      </w:r>
    </w:p>
    <w:p w14:paraId="5C08B467" w14:textId="77777777" w:rsidR="00E90063" w:rsidRDefault="00E90063" w:rsidP="00E90063">
      <w:pPr>
        <w:ind w:left="426" w:hanging="426"/>
        <w:jc w:val="both"/>
        <w:rPr>
          <w:sz w:val="18"/>
          <w:szCs w:val="18"/>
          <w:lang w:val="en-GB"/>
        </w:rPr>
      </w:pPr>
      <w:r w:rsidRPr="00071899">
        <w:rPr>
          <w:sz w:val="18"/>
          <w:szCs w:val="18"/>
          <w:lang w:val="en-GB"/>
        </w:rPr>
        <w:t>Nunes A</w:t>
      </w:r>
      <w:r>
        <w:rPr>
          <w:sz w:val="18"/>
          <w:szCs w:val="18"/>
          <w:lang w:val="en-GB"/>
        </w:rPr>
        <w:t>,</w:t>
      </w:r>
      <w:r w:rsidRPr="00071899">
        <w:rPr>
          <w:sz w:val="18"/>
          <w:szCs w:val="18"/>
          <w:lang w:val="en-GB"/>
        </w:rPr>
        <w:t xml:space="preserve"> Goncalves L</w:t>
      </w:r>
      <w:r>
        <w:rPr>
          <w:sz w:val="18"/>
          <w:szCs w:val="18"/>
          <w:lang w:val="en-GB"/>
        </w:rPr>
        <w:t>,</w:t>
      </w:r>
      <w:r w:rsidRPr="00071899">
        <w:rPr>
          <w:sz w:val="18"/>
          <w:szCs w:val="18"/>
          <w:lang w:val="en-GB"/>
        </w:rPr>
        <w:t xml:space="preserve"> </w:t>
      </w:r>
      <w:proofErr w:type="spellStart"/>
      <w:r w:rsidRPr="00071899">
        <w:rPr>
          <w:sz w:val="18"/>
          <w:szCs w:val="18"/>
          <w:lang w:val="en-GB"/>
        </w:rPr>
        <w:t>Marto</w:t>
      </w:r>
      <w:proofErr w:type="spellEnd"/>
      <w:r w:rsidRPr="00071899">
        <w:rPr>
          <w:sz w:val="18"/>
          <w:szCs w:val="18"/>
          <w:lang w:val="en-GB"/>
        </w:rPr>
        <w:t xml:space="preserve"> J</w:t>
      </w:r>
      <w:r>
        <w:rPr>
          <w:sz w:val="18"/>
          <w:szCs w:val="18"/>
          <w:lang w:val="en-GB"/>
        </w:rPr>
        <w:t>,</w:t>
      </w:r>
      <w:r w:rsidRPr="00071899">
        <w:rPr>
          <w:sz w:val="18"/>
          <w:szCs w:val="18"/>
          <w:lang w:val="en-GB"/>
        </w:rPr>
        <w:t xml:space="preserve"> Martins AM</w:t>
      </w:r>
      <w:r>
        <w:rPr>
          <w:sz w:val="18"/>
          <w:szCs w:val="18"/>
          <w:lang w:val="en-GB"/>
        </w:rPr>
        <w:t>,</w:t>
      </w:r>
      <w:r w:rsidRPr="00071899">
        <w:rPr>
          <w:sz w:val="18"/>
          <w:szCs w:val="18"/>
          <w:lang w:val="en-GB"/>
        </w:rPr>
        <w:t xml:space="preserve"> Silva AN</w:t>
      </w:r>
      <w:r>
        <w:rPr>
          <w:sz w:val="18"/>
          <w:szCs w:val="18"/>
          <w:lang w:val="en-GB"/>
        </w:rPr>
        <w:t>,</w:t>
      </w:r>
      <w:r w:rsidRPr="00071899">
        <w:rPr>
          <w:sz w:val="18"/>
          <w:szCs w:val="18"/>
          <w:lang w:val="en-GB"/>
        </w:rPr>
        <w:t xml:space="preserve"> Pinto P</w:t>
      </w:r>
      <w:r>
        <w:rPr>
          <w:sz w:val="18"/>
          <w:szCs w:val="18"/>
          <w:lang w:val="en-GB"/>
        </w:rPr>
        <w:t>,</w:t>
      </w:r>
      <w:r w:rsidRPr="00071899">
        <w:rPr>
          <w:sz w:val="18"/>
          <w:szCs w:val="18"/>
          <w:lang w:val="en-GB"/>
        </w:rPr>
        <w:t xml:space="preserve"> Martins M</w:t>
      </w:r>
      <w:r>
        <w:rPr>
          <w:sz w:val="18"/>
          <w:szCs w:val="18"/>
          <w:lang w:val="en-GB"/>
        </w:rPr>
        <w:t>,</w:t>
      </w:r>
      <w:r w:rsidRPr="00071899">
        <w:rPr>
          <w:sz w:val="18"/>
          <w:szCs w:val="18"/>
          <w:lang w:val="en-GB"/>
        </w:rPr>
        <w:t xml:space="preserve"> Fraga C</w:t>
      </w:r>
      <w:r>
        <w:rPr>
          <w:sz w:val="18"/>
          <w:szCs w:val="18"/>
          <w:lang w:val="en-GB"/>
        </w:rPr>
        <w:t>,</w:t>
      </w:r>
      <w:r w:rsidRPr="00071899">
        <w:rPr>
          <w:sz w:val="18"/>
          <w:szCs w:val="18"/>
          <w:lang w:val="en-GB"/>
        </w:rPr>
        <w:t xml:space="preserve"> Ribeiro HM</w:t>
      </w:r>
      <w:r>
        <w:rPr>
          <w:sz w:val="18"/>
          <w:szCs w:val="18"/>
          <w:lang w:val="en-GB"/>
        </w:rPr>
        <w:t xml:space="preserve"> (2021)</w:t>
      </w:r>
      <w:r w:rsidRPr="00071899">
        <w:rPr>
          <w:sz w:val="18"/>
          <w:szCs w:val="18"/>
          <w:lang w:val="en-GB"/>
        </w:rPr>
        <w:t xml:space="preserve"> Investigations of Olive Oil Industry By-Products Extracts with Potential Skin Benefits in Topical Formulations. </w:t>
      </w:r>
      <w:r w:rsidRPr="00522DCB">
        <w:rPr>
          <w:i/>
          <w:iCs/>
          <w:sz w:val="18"/>
          <w:szCs w:val="18"/>
          <w:lang w:val="en-GB"/>
        </w:rPr>
        <w:t>Pharmaceutics</w:t>
      </w:r>
      <w:r w:rsidRPr="00071899">
        <w:rPr>
          <w:sz w:val="18"/>
          <w:szCs w:val="18"/>
          <w:lang w:val="en-GB"/>
        </w:rPr>
        <w:t xml:space="preserve"> </w:t>
      </w:r>
      <w:r w:rsidRPr="00522DCB">
        <w:rPr>
          <w:b/>
          <w:bCs/>
          <w:sz w:val="18"/>
          <w:szCs w:val="18"/>
          <w:lang w:val="en-GB"/>
        </w:rPr>
        <w:t>13</w:t>
      </w:r>
      <w:r>
        <w:rPr>
          <w:sz w:val="18"/>
          <w:szCs w:val="18"/>
          <w:lang w:val="en-GB"/>
        </w:rPr>
        <w:t>:</w:t>
      </w:r>
      <w:r w:rsidRPr="00071899">
        <w:rPr>
          <w:sz w:val="18"/>
          <w:szCs w:val="18"/>
          <w:lang w:val="en-GB"/>
        </w:rPr>
        <w:t xml:space="preserve"> 465.</w:t>
      </w:r>
    </w:p>
    <w:p w14:paraId="54FDABE8" w14:textId="53F90D9A" w:rsidR="00E90063" w:rsidRPr="00D83F52" w:rsidRDefault="00E90063" w:rsidP="00E90063">
      <w:pPr>
        <w:ind w:left="426" w:hanging="426"/>
        <w:jc w:val="both"/>
        <w:rPr>
          <w:sz w:val="18"/>
          <w:szCs w:val="18"/>
          <w:lang w:val="en-US"/>
        </w:rPr>
      </w:pPr>
      <w:r w:rsidRPr="00DC6042">
        <w:rPr>
          <w:sz w:val="18"/>
          <w:szCs w:val="18"/>
          <w:lang w:val="en-GB"/>
        </w:rPr>
        <w:t>Nunes MA, Pimentel FB, Costa ASG, Alves RC, Oliveira MBPP (2016)</w:t>
      </w:r>
      <w:r>
        <w:rPr>
          <w:sz w:val="18"/>
          <w:szCs w:val="18"/>
          <w:lang w:val="en-GB"/>
        </w:rPr>
        <w:t xml:space="preserve"> </w:t>
      </w:r>
      <w:r w:rsidRPr="00D83F52">
        <w:rPr>
          <w:sz w:val="18"/>
          <w:szCs w:val="18"/>
          <w:lang w:val="en-GB"/>
        </w:rPr>
        <w:t>Olive by-products for functional and food applications: challenging opportunities to face environmental constraints.</w:t>
      </w:r>
      <w:r>
        <w:rPr>
          <w:sz w:val="18"/>
          <w:szCs w:val="18"/>
          <w:lang w:val="en-GB"/>
        </w:rPr>
        <w:t xml:space="preserve"> </w:t>
      </w:r>
      <w:proofErr w:type="spellStart"/>
      <w:r w:rsidRPr="00522DCB">
        <w:rPr>
          <w:i/>
          <w:iCs/>
          <w:sz w:val="18"/>
          <w:szCs w:val="18"/>
          <w:lang w:val="en-GB"/>
        </w:rPr>
        <w:t>Inno</w:t>
      </w:r>
      <w:r>
        <w:rPr>
          <w:i/>
          <w:iCs/>
          <w:sz w:val="18"/>
          <w:szCs w:val="18"/>
          <w:lang w:val="en-GB"/>
        </w:rPr>
        <w:t>v</w:t>
      </w:r>
      <w:proofErr w:type="spellEnd"/>
      <w:r w:rsidRPr="00522DCB">
        <w:rPr>
          <w:i/>
          <w:iCs/>
          <w:sz w:val="18"/>
          <w:szCs w:val="18"/>
          <w:lang w:val="en-GB"/>
        </w:rPr>
        <w:t xml:space="preserve"> Food Sci </w:t>
      </w:r>
      <w:proofErr w:type="spellStart"/>
      <w:r w:rsidRPr="00522DCB">
        <w:rPr>
          <w:i/>
          <w:iCs/>
          <w:sz w:val="18"/>
          <w:szCs w:val="18"/>
          <w:lang w:val="en-GB"/>
        </w:rPr>
        <w:t>Emerg</w:t>
      </w:r>
      <w:proofErr w:type="spellEnd"/>
      <w:r w:rsidRPr="00522DCB">
        <w:rPr>
          <w:i/>
          <w:iCs/>
          <w:sz w:val="18"/>
          <w:szCs w:val="18"/>
          <w:lang w:val="en-GB"/>
        </w:rPr>
        <w:t xml:space="preserve"> </w:t>
      </w:r>
      <w:proofErr w:type="spellStart"/>
      <w:r w:rsidRPr="00522DCB">
        <w:rPr>
          <w:i/>
          <w:iCs/>
          <w:sz w:val="18"/>
          <w:szCs w:val="18"/>
          <w:lang w:val="en-GB"/>
        </w:rPr>
        <w:t>Technol</w:t>
      </w:r>
      <w:proofErr w:type="spellEnd"/>
      <w:r w:rsidRPr="00D83F52">
        <w:rPr>
          <w:sz w:val="18"/>
          <w:szCs w:val="18"/>
          <w:lang w:val="en-GB"/>
        </w:rPr>
        <w:t xml:space="preserve"> </w:t>
      </w:r>
      <w:r w:rsidRPr="00D83F52">
        <w:rPr>
          <w:b/>
          <w:bCs/>
          <w:sz w:val="18"/>
          <w:szCs w:val="18"/>
          <w:lang w:val="en-US"/>
        </w:rPr>
        <w:t>35</w:t>
      </w:r>
      <w:r w:rsidRPr="00D83F52">
        <w:rPr>
          <w:sz w:val="18"/>
          <w:szCs w:val="18"/>
          <w:lang w:val="en-US"/>
        </w:rPr>
        <w:t>: 139–148.</w:t>
      </w:r>
    </w:p>
    <w:p w14:paraId="22B8D0FA" w14:textId="77777777" w:rsidR="00E90063" w:rsidRDefault="00E90063" w:rsidP="00E90063">
      <w:pPr>
        <w:ind w:left="425" w:hanging="425"/>
        <w:jc w:val="both"/>
        <w:rPr>
          <w:sz w:val="18"/>
          <w:szCs w:val="18"/>
          <w:lang w:val="en-US"/>
        </w:rPr>
      </w:pPr>
      <w:r w:rsidRPr="00D83F52">
        <w:rPr>
          <w:sz w:val="18"/>
          <w:szCs w:val="18"/>
          <w:lang w:val="en-GB"/>
        </w:rPr>
        <w:t xml:space="preserve">Quintanilla-Casas B, Bustamante J, Guardiola F, García-González DL, Barbieri S, Bendini A, Gallina Toschi T, </w:t>
      </w:r>
      <w:proofErr w:type="spellStart"/>
      <w:r w:rsidRPr="00D83F52">
        <w:rPr>
          <w:sz w:val="18"/>
          <w:szCs w:val="18"/>
          <w:lang w:val="en-GB"/>
        </w:rPr>
        <w:t>Vichi</w:t>
      </w:r>
      <w:proofErr w:type="spellEnd"/>
      <w:r w:rsidRPr="00D83F52">
        <w:rPr>
          <w:sz w:val="18"/>
          <w:szCs w:val="18"/>
          <w:lang w:val="en-GB"/>
        </w:rPr>
        <w:t xml:space="preserve"> S, Tres A (2020) Virgin olive oil volatile fingerprint and chemometrics: </w:t>
      </w:r>
      <w:r>
        <w:rPr>
          <w:sz w:val="18"/>
          <w:szCs w:val="18"/>
          <w:lang w:val="en-GB"/>
        </w:rPr>
        <w:t>t</w:t>
      </w:r>
      <w:r w:rsidRPr="00D83F52">
        <w:rPr>
          <w:sz w:val="18"/>
          <w:szCs w:val="18"/>
          <w:lang w:val="en-GB"/>
        </w:rPr>
        <w:t>owards an instrumental screening tool to grade the sensory quality</w:t>
      </w:r>
      <w:r w:rsidRPr="00D83F52">
        <w:rPr>
          <w:i/>
          <w:iCs/>
          <w:sz w:val="18"/>
          <w:szCs w:val="18"/>
          <w:lang w:val="en-GB"/>
        </w:rPr>
        <w:t xml:space="preserve">. </w:t>
      </w:r>
      <w:r w:rsidRPr="00D83F52">
        <w:rPr>
          <w:i/>
          <w:iCs/>
          <w:sz w:val="18"/>
          <w:szCs w:val="18"/>
          <w:lang w:val="en-US"/>
        </w:rPr>
        <w:t xml:space="preserve"> </w:t>
      </w:r>
      <w:r w:rsidRPr="00B94BF0">
        <w:rPr>
          <w:i/>
          <w:iCs/>
          <w:sz w:val="18"/>
          <w:szCs w:val="18"/>
          <w:lang w:val="en-US"/>
        </w:rPr>
        <w:t>LWT - Food Sci Technol</w:t>
      </w:r>
      <w:r w:rsidRPr="00B94BF0">
        <w:rPr>
          <w:sz w:val="18"/>
          <w:szCs w:val="18"/>
          <w:lang w:val="en-US"/>
        </w:rPr>
        <w:t xml:space="preserve"> </w:t>
      </w:r>
      <w:r w:rsidRPr="00B94BF0">
        <w:rPr>
          <w:b/>
          <w:bCs/>
          <w:sz w:val="18"/>
          <w:szCs w:val="18"/>
          <w:lang w:val="en-US"/>
        </w:rPr>
        <w:t>121</w:t>
      </w:r>
      <w:r w:rsidRPr="00B94BF0">
        <w:rPr>
          <w:sz w:val="18"/>
          <w:szCs w:val="18"/>
          <w:lang w:val="en-US"/>
        </w:rPr>
        <w:t>: 108936.</w:t>
      </w:r>
    </w:p>
    <w:p w14:paraId="2735DDAA" w14:textId="791FBE1D" w:rsidR="00E90063" w:rsidRDefault="00E90063" w:rsidP="00E90063">
      <w:pPr>
        <w:ind w:left="425" w:hanging="425"/>
        <w:jc w:val="both"/>
        <w:rPr>
          <w:sz w:val="18"/>
          <w:szCs w:val="18"/>
          <w:lang w:val="en-GB"/>
        </w:rPr>
      </w:pPr>
      <w:r w:rsidRPr="00695503">
        <w:rPr>
          <w:sz w:val="18"/>
          <w:szCs w:val="18"/>
          <w:lang w:val="en-US"/>
        </w:rPr>
        <w:t xml:space="preserve">Valli E, Panni F, Casadei E, Barbieri S, Cevoli C, Bendini A, García-González DL, Gallina Toschi T (2020) </w:t>
      </w:r>
      <w:r w:rsidRPr="002D6F95">
        <w:rPr>
          <w:sz w:val="18"/>
          <w:szCs w:val="18"/>
          <w:lang w:val="en-GB"/>
        </w:rPr>
        <w:t xml:space="preserve">An HS-GC-IMS Method for the Quality Classification of Virgin Olive Oils as Screening Support for the </w:t>
      </w:r>
      <w:r w:rsidR="00546EC4">
        <w:rPr>
          <w:sz w:val="18"/>
          <w:szCs w:val="18"/>
          <w:lang w:val="en-GB"/>
        </w:rPr>
        <w:t>Panel test</w:t>
      </w:r>
      <w:r w:rsidRPr="002D6F95">
        <w:rPr>
          <w:sz w:val="18"/>
          <w:szCs w:val="18"/>
          <w:lang w:val="en-GB"/>
        </w:rPr>
        <w:t xml:space="preserve">. </w:t>
      </w:r>
      <w:r w:rsidRPr="00695503">
        <w:rPr>
          <w:i/>
          <w:iCs/>
          <w:sz w:val="18"/>
          <w:szCs w:val="18"/>
          <w:lang w:val="en-GB"/>
        </w:rPr>
        <w:t>Foods</w:t>
      </w:r>
      <w:r w:rsidRPr="002D6F95">
        <w:rPr>
          <w:sz w:val="18"/>
          <w:szCs w:val="18"/>
          <w:lang w:val="en-GB"/>
        </w:rPr>
        <w:t xml:space="preserve"> </w:t>
      </w:r>
      <w:r w:rsidRPr="00695503">
        <w:rPr>
          <w:b/>
          <w:bCs/>
          <w:sz w:val="18"/>
          <w:szCs w:val="18"/>
          <w:lang w:val="en-GB"/>
        </w:rPr>
        <w:t>9</w:t>
      </w:r>
      <w:r>
        <w:rPr>
          <w:sz w:val="18"/>
          <w:szCs w:val="18"/>
          <w:lang w:val="en-GB"/>
        </w:rPr>
        <w:t xml:space="preserve">: </w:t>
      </w:r>
      <w:r w:rsidRPr="002D6F95">
        <w:rPr>
          <w:sz w:val="18"/>
          <w:szCs w:val="18"/>
          <w:lang w:val="en-GB"/>
        </w:rPr>
        <w:t>657.</w:t>
      </w:r>
    </w:p>
    <w:bookmarkEnd w:id="1"/>
    <w:p w14:paraId="523308C9" w14:textId="77777777" w:rsidR="008604A1" w:rsidRPr="00546EC4" w:rsidRDefault="00B4181D">
      <w:pPr>
        <w:rPr>
          <w:lang w:val="en-GB"/>
        </w:rPr>
      </w:pPr>
    </w:p>
    <w:sectPr w:rsidR="008604A1" w:rsidRPr="00546EC4" w:rsidSect="00D07C8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E4DCC" w14:textId="77777777" w:rsidR="00607689" w:rsidRDefault="00607689">
      <w:r>
        <w:separator/>
      </w:r>
    </w:p>
  </w:endnote>
  <w:endnote w:type="continuationSeparator" w:id="0">
    <w:p w14:paraId="3FFE34D9" w14:textId="77777777" w:rsidR="00607689" w:rsidRDefault="0060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192A" w14:textId="77777777" w:rsidR="00746B7D" w:rsidRDefault="00B418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D8BA" w14:textId="77777777" w:rsidR="00746B7D" w:rsidRDefault="00B4181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5AF2" w14:textId="77777777" w:rsidR="00746B7D" w:rsidRDefault="00B418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C4B5" w14:textId="77777777" w:rsidR="00607689" w:rsidRDefault="00607689">
      <w:r>
        <w:separator/>
      </w:r>
    </w:p>
  </w:footnote>
  <w:footnote w:type="continuationSeparator" w:id="0">
    <w:p w14:paraId="78E1FD45" w14:textId="77777777" w:rsidR="00607689" w:rsidRDefault="00607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B5A6" w14:textId="77777777" w:rsidR="00746B7D" w:rsidRDefault="00B4181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C4AC" w14:textId="77777777" w:rsidR="00746B7D" w:rsidRDefault="00B4181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97DC" w14:textId="77777777" w:rsidR="00746B7D" w:rsidRDefault="00B4181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F9"/>
    <w:rsid w:val="0009321E"/>
    <w:rsid w:val="001C2202"/>
    <w:rsid w:val="0028440F"/>
    <w:rsid w:val="003517B6"/>
    <w:rsid w:val="003822D0"/>
    <w:rsid w:val="003B301B"/>
    <w:rsid w:val="003D72C9"/>
    <w:rsid w:val="004A7430"/>
    <w:rsid w:val="00546EC4"/>
    <w:rsid w:val="00581223"/>
    <w:rsid w:val="005D5344"/>
    <w:rsid w:val="005D6E1F"/>
    <w:rsid w:val="00607689"/>
    <w:rsid w:val="00645545"/>
    <w:rsid w:val="007B128D"/>
    <w:rsid w:val="007D40F9"/>
    <w:rsid w:val="00903D38"/>
    <w:rsid w:val="00934E93"/>
    <w:rsid w:val="009E19EB"/>
    <w:rsid w:val="00A52F85"/>
    <w:rsid w:val="00C87A56"/>
    <w:rsid w:val="00D07C89"/>
    <w:rsid w:val="00DE4E36"/>
    <w:rsid w:val="00E017E5"/>
    <w:rsid w:val="00E900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8C1C"/>
  <w15:chartTrackingRefBased/>
  <w15:docId w15:val="{42A0A952-55AD-D640-898B-CF973B9E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40F9"/>
    <w:pPr>
      <w:widowControl w:val="0"/>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uiPriority w:val="9"/>
    <w:qFormat/>
    <w:rsid w:val="007D40F9"/>
    <w:pPr>
      <w:keepNext/>
      <w:shd w:val="clear" w:color="auto" w:fill="FFFFFF"/>
      <w:spacing w:before="820"/>
      <w:ind w:right="320"/>
      <w:jc w:val="center"/>
      <w:outlineLvl w:val="0"/>
    </w:pPr>
    <w:rPr>
      <w:color w:val="850C13"/>
      <w:spacing w:val="-2"/>
      <w:sz w:val="52"/>
      <w:szCs w:val="52"/>
      <w:lang w:val="en-US"/>
    </w:rPr>
  </w:style>
  <w:style w:type="paragraph" w:styleId="Titolo2">
    <w:name w:val="heading 2"/>
    <w:basedOn w:val="Normale"/>
    <w:next w:val="Normale"/>
    <w:link w:val="Titolo2Carattere"/>
    <w:uiPriority w:val="9"/>
    <w:unhideWhenUsed/>
    <w:qFormat/>
    <w:rsid w:val="007D40F9"/>
    <w:pPr>
      <w:keepNext/>
      <w:outlineLvl w:val="1"/>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D40F9"/>
    <w:rPr>
      <w:rFonts w:ascii="Times New Roman" w:eastAsia="Times New Roman" w:hAnsi="Times New Roman" w:cs="Times New Roman"/>
      <w:color w:val="850C13"/>
      <w:spacing w:val="-2"/>
      <w:sz w:val="52"/>
      <w:szCs w:val="52"/>
      <w:shd w:val="clear" w:color="auto" w:fill="FFFFFF"/>
      <w:lang w:val="en-US" w:eastAsia="zh-CN"/>
    </w:rPr>
  </w:style>
  <w:style w:type="character" w:customStyle="1" w:styleId="Titolo2Carattere">
    <w:name w:val="Titolo 2 Carattere"/>
    <w:basedOn w:val="Carpredefinitoparagrafo"/>
    <w:link w:val="Titolo2"/>
    <w:uiPriority w:val="9"/>
    <w:rsid w:val="007D40F9"/>
    <w:rPr>
      <w:rFonts w:ascii="Times New Roman" w:eastAsia="Times New Roman" w:hAnsi="Times New Roman" w:cs="Times New Roman"/>
      <w:sz w:val="32"/>
      <w:szCs w:val="20"/>
      <w:lang w:eastAsia="zh-CN"/>
    </w:rPr>
  </w:style>
  <w:style w:type="paragraph" w:styleId="Titolo">
    <w:name w:val="Title"/>
    <w:basedOn w:val="Normale"/>
    <w:next w:val="Normale"/>
    <w:link w:val="TitoloCarattere"/>
    <w:uiPriority w:val="10"/>
    <w:qFormat/>
    <w:rsid w:val="007D40F9"/>
    <w:pPr>
      <w:widowControl/>
      <w:spacing w:before="720" w:after="120" w:line="264" w:lineRule="auto"/>
      <w:jc w:val="center"/>
    </w:pPr>
    <w:rPr>
      <w:b/>
      <w:kern w:val="2"/>
      <w:sz w:val="28"/>
      <w:lang w:val="nl-NL"/>
    </w:rPr>
  </w:style>
  <w:style w:type="character" w:customStyle="1" w:styleId="TitoloCarattere">
    <w:name w:val="Titolo Carattere"/>
    <w:basedOn w:val="Carpredefinitoparagrafo"/>
    <w:link w:val="Titolo"/>
    <w:uiPriority w:val="10"/>
    <w:rsid w:val="007D40F9"/>
    <w:rPr>
      <w:rFonts w:ascii="Times New Roman" w:eastAsia="Times New Roman" w:hAnsi="Times New Roman" w:cs="Times New Roman"/>
      <w:b/>
      <w:kern w:val="2"/>
      <w:sz w:val="28"/>
      <w:szCs w:val="20"/>
      <w:lang w:val="nl-NL" w:eastAsia="zh-CN"/>
    </w:rPr>
  </w:style>
  <w:style w:type="paragraph" w:styleId="Corpodeltesto2">
    <w:name w:val="Body Text 2"/>
    <w:basedOn w:val="Normale"/>
    <w:link w:val="Corpodeltesto2Carattere"/>
    <w:qFormat/>
    <w:rsid w:val="007D40F9"/>
    <w:pPr>
      <w:shd w:val="clear" w:color="auto" w:fill="FFFFFF"/>
    </w:pPr>
    <w:rPr>
      <w:b/>
      <w:bCs/>
      <w:i/>
      <w:iCs/>
      <w:sz w:val="28"/>
    </w:rPr>
  </w:style>
  <w:style w:type="character" w:customStyle="1" w:styleId="Corpodeltesto2Carattere">
    <w:name w:val="Corpo del testo 2 Carattere"/>
    <w:basedOn w:val="Carpredefinitoparagrafo"/>
    <w:link w:val="Corpodeltesto2"/>
    <w:rsid w:val="007D40F9"/>
    <w:rPr>
      <w:rFonts w:ascii="Times New Roman" w:eastAsia="Times New Roman" w:hAnsi="Times New Roman" w:cs="Times New Roman"/>
      <w:b/>
      <w:bCs/>
      <w:i/>
      <w:iCs/>
      <w:sz w:val="28"/>
      <w:szCs w:val="20"/>
      <w:shd w:val="clear" w:color="auto" w:fill="FFFFFF"/>
      <w:lang w:eastAsia="zh-CN"/>
    </w:rPr>
  </w:style>
  <w:style w:type="paragraph" w:styleId="Intestazione">
    <w:name w:val="header"/>
    <w:basedOn w:val="Normale"/>
    <w:link w:val="IntestazioneCarattere"/>
    <w:rsid w:val="007D40F9"/>
    <w:pPr>
      <w:widowControl/>
      <w:tabs>
        <w:tab w:val="center" w:pos="4819"/>
        <w:tab w:val="right" w:pos="9638"/>
      </w:tabs>
      <w:spacing w:line="264" w:lineRule="auto"/>
      <w:jc w:val="both"/>
    </w:pPr>
    <w:rPr>
      <w:kern w:val="2"/>
      <w:lang w:val="nl-NL"/>
    </w:rPr>
  </w:style>
  <w:style w:type="character" w:customStyle="1" w:styleId="IntestazioneCarattere">
    <w:name w:val="Intestazione Carattere"/>
    <w:basedOn w:val="Carpredefinitoparagrafo"/>
    <w:link w:val="Intestazione"/>
    <w:rsid w:val="007D40F9"/>
    <w:rPr>
      <w:rFonts w:ascii="Times New Roman" w:eastAsia="Times New Roman" w:hAnsi="Times New Roman" w:cs="Times New Roman"/>
      <w:kern w:val="2"/>
      <w:sz w:val="20"/>
      <w:szCs w:val="20"/>
      <w:lang w:val="nl-NL" w:eastAsia="zh-CN"/>
    </w:rPr>
  </w:style>
  <w:style w:type="paragraph" w:styleId="Rientrocorpodeltesto2">
    <w:name w:val="Body Text Indent 2"/>
    <w:basedOn w:val="Normale"/>
    <w:link w:val="Rientrocorpodeltesto2Carattere"/>
    <w:qFormat/>
    <w:rsid w:val="007D40F9"/>
    <w:pPr>
      <w:widowControl/>
      <w:ind w:firstLine="426"/>
      <w:jc w:val="both"/>
      <w:textAlignment w:val="baseline"/>
    </w:pPr>
    <w:rPr>
      <w:bCs/>
      <w:sz w:val="24"/>
      <w:lang w:val="en-GB"/>
    </w:rPr>
  </w:style>
  <w:style w:type="character" w:customStyle="1" w:styleId="Rientrocorpodeltesto2Carattere">
    <w:name w:val="Rientro corpo del testo 2 Carattere"/>
    <w:basedOn w:val="Carpredefinitoparagrafo"/>
    <w:link w:val="Rientrocorpodeltesto2"/>
    <w:rsid w:val="007D40F9"/>
    <w:rPr>
      <w:rFonts w:ascii="Times New Roman" w:eastAsia="Times New Roman" w:hAnsi="Times New Roman" w:cs="Times New Roman"/>
      <w:bCs/>
      <w:szCs w:val="20"/>
      <w:lang w:val="en-GB" w:eastAsia="zh-CN"/>
    </w:rPr>
  </w:style>
  <w:style w:type="paragraph" w:styleId="Pidipagina">
    <w:name w:val="footer"/>
    <w:basedOn w:val="Normale"/>
    <w:link w:val="PidipaginaCarattere"/>
    <w:rsid w:val="007D40F9"/>
    <w:pPr>
      <w:tabs>
        <w:tab w:val="center" w:pos="4153"/>
        <w:tab w:val="right" w:pos="8306"/>
      </w:tabs>
    </w:pPr>
  </w:style>
  <w:style w:type="character" w:customStyle="1" w:styleId="PidipaginaCarattere">
    <w:name w:val="Piè di pagina Carattere"/>
    <w:basedOn w:val="Carpredefinitoparagrafo"/>
    <w:link w:val="Pidipagina"/>
    <w:rsid w:val="007D40F9"/>
    <w:rPr>
      <w:rFonts w:ascii="Times New Roman" w:eastAsia="Times New Roman" w:hAnsi="Times New Roman" w:cs="Times New Roman"/>
      <w:sz w:val="20"/>
      <w:szCs w:val="20"/>
      <w:lang w:eastAsia="zh-CN"/>
    </w:rPr>
  </w:style>
  <w:style w:type="table" w:styleId="Grigliatabella">
    <w:name w:val="Table Grid"/>
    <w:basedOn w:val="Tabellanormale"/>
    <w:uiPriority w:val="39"/>
    <w:rsid w:val="00934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40"/>
    <w:rsid w:val="00934E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semplice-2">
    <w:name w:val="Plain Table 2"/>
    <w:basedOn w:val="Tabellanormale"/>
    <w:uiPriority w:val="42"/>
    <w:rsid w:val="00934E9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3517B6"/>
    <w:pPr>
      <w:autoSpaceDE w:val="0"/>
      <w:autoSpaceDN w:val="0"/>
      <w:adjustRightInd w:val="0"/>
    </w:pPr>
    <w:rPr>
      <w:rFonts w:ascii="Times New Roman" w:eastAsia="Times New Roman" w:hAnsi="Times New Roman" w:cs="Times New Roman"/>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F75A0-8074-4AB5-90A8-133014AD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3339</Words>
  <Characters>19034</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GIANLUIGI MAURIELLO</dc:creator>
  <cp:keywords/>
  <dc:description/>
  <cp:lastModifiedBy>Ilaria Grigoletto</cp:lastModifiedBy>
  <cp:revision>2</cp:revision>
  <dcterms:created xsi:type="dcterms:W3CDTF">2023-06-30T08:54:00Z</dcterms:created>
  <dcterms:modified xsi:type="dcterms:W3CDTF">2023-06-30T08:54:00Z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5aa71c2b658ab401b8894b701990a8d144e2959d57c66e8c9b43d2c745ad6680</vt:lpwstr>
  </property>
</Properties>
</file>