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6D0FE6" w14:textId="6BEC8FB2" w:rsidR="00512D9B" w:rsidRDefault="0035105E">
      <w:pPr>
        <w:pStyle w:val="Title"/>
        <w:spacing w:before="600" w:line="240" w:lineRule="auto"/>
        <w:rPr>
          <w:lang w:val="en-GB"/>
        </w:rPr>
      </w:pPr>
      <w:r w:rsidRPr="0035105E">
        <w:rPr>
          <w:lang w:val="en-GB"/>
        </w:rPr>
        <w:t>Olive Vinegar as Functional Ingredient and Antioxidant Agent in Vegetable Sauce</w:t>
      </w:r>
    </w:p>
    <w:p w14:paraId="3607B32A" w14:textId="36A41D8B" w:rsidR="00512D9B" w:rsidRDefault="0035105E">
      <w:pPr>
        <w:jc w:val="center"/>
        <w:rPr>
          <w:lang w:val="en-GB"/>
        </w:rPr>
      </w:pPr>
      <w:r w:rsidRPr="0077529F">
        <w:rPr>
          <w:lang w:val="en-GB"/>
        </w:rPr>
        <w:t>Ayesha Iftikhar (</w:t>
      </w:r>
      <w:hyperlink r:id="rId8" w:history="1">
        <w:r w:rsidRPr="001063E4">
          <w:rPr>
            <w:rStyle w:val="Hyperlink"/>
            <w:color w:val="auto"/>
            <w:u w:val="none"/>
            <w:lang w:val="en-GB"/>
          </w:rPr>
          <w:t>a.iftikhar@studenti.unimol.it</w:t>
        </w:r>
      </w:hyperlink>
      <w:r w:rsidR="002D43FE" w:rsidRPr="0077529F">
        <w:rPr>
          <w:lang w:val="en-GB"/>
        </w:rPr>
        <w:t>)</w:t>
      </w:r>
    </w:p>
    <w:p w14:paraId="6071147E" w14:textId="0C53CEFF" w:rsidR="00512D9B" w:rsidRDefault="00FB589C">
      <w:pPr>
        <w:jc w:val="center"/>
        <w:rPr>
          <w:lang w:val="en-GB"/>
        </w:rPr>
      </w:pPr>
      <w:r>
        <w:rPr>
          <w:lang w:val="en-GB"/>
        </w:rPr>
        <w:t xml:space="preserve">Dept. </w:t>
      </w:r>
      <w:r w:rsidR="0035105E" w:rsidRPr="0035105E">
        <w:rPr>
          <w:lang w:val="en-GB"/>
        </w:rPr>
        <w:t>of Agricultural, Environmental and Food Sciences (DiAAA), University of Molise, Via De Sanctis, 86100 Campobasso, Italy</w:t>
      </w:r>
    </w:p>
    <w:p w14:paraId="4F4155F1" w14:textId="0638B6D3" w:rsidR="00512D9B" w:rsidRPr="0077529F" w:rsidRDefault="00FB589C" w:rsidP="0035105E">
      <w:pPr>
        <w:jc w:val="center"/>
        <w:rPr>
          <w:lang w:val="en-GB"/>
        </w:rPr>
      </w:pPr>
      <w:r>
        <w:rPr>
          <w:lang w:val="en-GB"/>
        </w:rPr>
        <w:t xml:space="preserve">Tutor: Prof. </w:t>
      </w:r>
      <w:r w:rsidR="0035105E" w:rsidRPr="0077529F">
        <w:rPr>
          <w:lang w:val="en-GB"/>
        </w:rPr>
        <w:t>Antonella De Leonardis</w:t>
      </w:r>
    </w:p>
    <w:p w14:paraId="24A28888" w14:textId="77777777" w:rsidR="0018143E" w:rsidRDefault="0018143E" w:rsidP="0035105E">
      <w:pPr>
        <w:jc w:val="center"/>
        <w:rPr>
          <w:lang w:val="en-GB"/>
        </w:rPr>
      </w:pPr>
    </w:p>
    <w:p w14:paraId="188AF05F" w14:textId="2401E826" w:rsidR="00512D9B" w:rsidRPr="00C024D7" w:rsidRDefault="0035105E">
      <w:pPr>
        <w:tabs>
          <w:tab w:val="left" w:pos="0"/>
        </w:tabs>
        <w:jc w:val="both"/>
        <w:rPr>
          <w:lang w:val="en-US"/>
        </w:rPr>
      </w:pPr>
      <w:r w:rsidRPr="00C024D7">
        <w:rPr>
          <w:lang w:val="en-US"/>
        </w:rPr>
        <w:t xml:space="preserve">This study explores the potential of olive leaf vinegar (OLV) in vegetable sauce (VS). OLV-VS exhibited a total phenolic and oleuropein content of 0.68 mg/g GAE and 0.18 mg/g Hydroxytyrosol equivalent respectively confirming the functional potential of VS. The strong antioxidant activity of OLV was reflected by </w:t>
      </w:r>
      <w:r w:rsidR="00C024D7" w:rsidRPr="00C024D7">
        <w:rPr>
          <w:lang w:val="en-US"/>
        </w:rPr>
        <w:t>incredibly low</w:t>
      </w:r>
      <w:r w:rsidRPr="00C024D7">
        <w:rPr>
          <w:lang w:val="en-US"/>
        </w:rPr>
        <w:t xml:space="preserve"> value of DPPH IC50 (0.10 mg/g). The minimal changes in peroxide value (PV) were observed during the oven test at 40 °C up to 60 days, which also signifies the role of OLV as strong antioxidant agent in sauce. Ultimately, functional and antioxidant role of OLV was proven in the VS formulation.</w:t>
      </w:r>
    </w:p>
    <w:p w14:paraId="25341C9E" w14:textId="604CDA7B" w:rsidR="00512D9B" w:rsidRDefault="00A75009">
      <w:pPr>
        <w:pStyle w:val="Title"/>
        <w:spacing w:before="240" w:line="240" w:lineRule="auto"/>
        <w:rPr>
          <w:sz w:val="24"/>
          <w:lang w:val="it-IT"/>
        </w:rPr>
      </w:pPr>
      <w:r w:rsidRPr="00A75009">
        <w:rPr>
          <w:sz w:val="24"/>
          <w:lang w:val="it-IT"/>
        </w:rPr>
        <w:t>Aceto di oliva nella salsa di vegetali in qualità di Ingrediente Functionale e di Attivo Antiossidante</w:t>
      </w:r>
    </w:p>
    <w:p w14:paraId="5B3AA466" w14:textId="2420A61E" w:rsidR="00512D9B" w:rsidRDefault="00A75009" w:rsidP="00A75009">
      <w:pPr>
        <w:tabs>
          <w:tab w:val="left" w:pos="0"/>
        </w:tabs>
        <w:jc w:val="both"/>
      </w:pPr>
      <w:r>
        <w:t>Il presente studio esplora il potenziale dell'aceto di foglie di olivo (OLV) nella salsa di vegetali (VS). L'OLV-VS ha mostrato un contenuto di fenoli totali e di oleuropeina rispettivamente di 0,68 mg/g di GAE e 0,18 mg/g di Idrossitirosolo equivalente, confermando il potenziale funzionale della VS. La forte attività antiossidante dell'OLV è stata riflessa dal valore molto basso dell'IC50 del DPPH (0,10 mg/g). Le variazioni minime del valore di perossido (PV) sono state osservate durante il test in forno a 40 °C fino a 60 giorni, il che indica anche il ruolo dell'OLV come forte agente antiossidante nella salsa. Infine, è stato dimostrato il ruolo funzionale e antiossidante dell'OLV nella formulazione VS.</w:t>
      </w:r>
    </w:p>
    <w:p w14:paraId="73C1D670" w14:textId="77777777" w:rsidR="00512D9B" w:rsidRDefault="00512D9B">
      <w:pPr>
        <w:tabs>
          <w:tab w:val="left" w:pos="0"/>
        </w:tabs>
        <w:jc w:val="both"/>
      </w:pPr>
    </w:p>
    <w:p w14:paraId="6E4C6A6A" w14:textId="5F4F5341" w:rsidR="00512D9B" w:rsidRPr="00746B7D" w:rsidRDefault="00FB589C">
      <w:pPr>
        <w:ind w:left="567" w:hanging="567"/>
        <w:jc w:val="both"/>
        <w:rPr>
          <w:lang w:val="en-US"/>
        </w:rPr>
      </w:pPr>
      <w:r>
        <w:rPr>
          <w:b/>
          <w:bCs/>
          <w:lang w:val="en-GB"/>
        </w:rPr>
        <w:t>Key words</w:t>
      </w:r>
      <w:r>
        <w:rPr>
          <w:lang w:val="en-GB"/>
        </w:rPr>
        <w:t xml:space="preserve">: </w:t>
      </w:r>
      <w:r w:rsidR="00262CCB" w:rsidRPr="00262CCB">
        <w:rPr>
          <w:lang w:val="en-GB"/>
        </w:rPr>
        <w:t>olive leaf vinegar</w:t>
      </w:r>
      <w:r w:rsidR="00262CCB">
        <w:rPr>
          <w:lang w:val="en-GB"/>
        </w:rPr>
        <w:t xml:space="preserve">, </w:t>
      </w:r>
      <w:r w:rsidR="00262CCB" w:rsidRPr="00262CCB">
        <w:rPr>
          <w:lang w:val="en-GB"/>
        </w:rPr>
        <w:t>vegetable sauce</w:t>
      </w:r>
      <w:r w:rsidR="00262CCB">
        <w:rPr>
          <w:lang w:val="en-GB"/>
        </w:rPr>
        <w:t>,</w:t>
      </w:r>
      <w:r w:rsidR="00262CCB" w:rsidRPr="00262CCB">
        <w:rPr>
          <w:lang w:val="en-GB"/>
        </w:rPr>
        <w:t xml:space="preserve"> </w:t>
      </w:r>
      <w:r w:rsidR="001A024F">
        <w:rPr>
          <w:lang w:val="en-GB"/>
        </w:rPr>
        <w:t xml:space="preserve">functional, </w:t>
      </w:r>
      <w:r w:rsidR="00262CCB" w:rsidRPr="00262CCB">
        <w:rPr>
          <w:lang w:val="en-GB"/>
        </w:rPr>
        <w:t>oleuropein</w:t>
      </w:r>
      <w:r w:rsidR="00262CCB">
        <w:rPr>
          <w:lang w:val="en-GB"/>
        </w:rPr>
        <w:t>,</w:t>
      </w:r>
      <w:r w:rsidR="00262CCB" w:rsidRPr="00262CCB">
        <w:rPr>
          <w:lang w:val="en-GB"/>
        </w:rPr>
        <w:t xml:space="preserve"> antioxidant DPPH</w:t>
      </w:r>
      <w:r w:rsidR="00262CCB">
        <w:rPr>
          <w:lang w:val="en-GB"/>
        </w:rPr>
        <w:t xml:space="preserve"> </w:t>
      </w:r>
      <w:r w:rsidR="00262CCB" w:rsidRPr="0077529F">
        <w:rPr>
          <w:lang w:val="en-GB"/>
        </w:rPr>
        <w:t>test, oven test</w:t>
      </w:r>
      <w:r w:rsidR="00567DD6">
        <w:rPr>
          <w:lang w:val="en-GB"/>
        </w:rPr>
        <w:t>.</w:t>
      </w:r>
    </w:p>
    <w:p w14:paraId="049B5BB9" w14:textId="77777777" w:rsidR="00512D9B" w:rsidRPr="00C024D7" w:rsidRDefault="00FB589C">
      <w:pPr>
        <w:pStyle w:val="Heading1"/>
        <w:spacing w:before="240" w:after="120"/>
        <w:ind w:right="0"/>
        <w:jc w:val="both"/>
        <w:rPr>
          <w:b/>
          <w:bCs/>
          <w:color w:val="000000"/>
          <w:sz w:val="24"/>
        </w:rPr>
      </w:pPr>
      <w:r>
        <w:rPr>
          <w:b/>
          <w:bCs/>
          <w:color w:val="000000"/>
          <w:sz w:val="24"/>
          <w:lang w:val="en-GB"/>
        </w:rPr>
        <w:t>1</w:t>
      </w:r>
      <w:r w:rsidRPr="00C024D7">
        <w:rPr>
          <w:b/>
          <w:bCs/>
          <w:color w:val="000000"/>
          <w:sz w:val="24"/>
        </w:rPr>
        <w:t>. Introduction</w:t>
      </w:r>
    </w:p>
    <w:p w14:paraId="096CFAD8" w14:textId="4D0E3D45" w:rsidR="003E5B12" w:rsidRPr="00C024D7" w:rsidRDefault="008A6350" w:rsidP="008A6350">
      <w:pPr>
        <w:jc w:val="both"/>
        <w:rPr>
          <w:lang w:val="en-US"/>
        </w:rPr>
      </w:pPr>
      <w:r w:rsidRPr="00C024D7">
        <w:rPr>
          <w:lang w:val="en-US"/>
        </w:rPr>
        <w:t xml:space="preserve">Food industries are paying great attention to </w:t>
      </w:r>
      <w:r w:rsidR="00C024D7" w:rsidRPr="00C024D7">
        <w:rPr>
          <w:lang w:val="en-US"/>
        </w:rPr>
        <w:t>producing</w:t>
      </w:r>
      <w:r w:rsidRPr="00C024D7">
        <w:rPr>
          <w:lang w:val="en-US"/>
        </w:rPr>
        <w:t xml:space="preserve"> healthier products endowed with high nutritional value and therapeutic benefits.</w:t>
      </w:r>
      <w:r w:rsidR="0009475E" w:rsidRPr="00C024D7">
        <w:rPr>
          <w:rFonts w:ascii="Segoe UI" w:hAnsi="Segoe UI" w:cs="Segoe UI"/>
          <w:color w:val="374151"/>
          <w:shd w:val="clear" w:color="auto" w:fill="F7F7F8"/>
          <w:lang w:val="en-US"/>
        </w:rPr>
        <w:t xml:space="preserve"> </w:t>
      </w:r>
      <w:r w:rsidR="0009475E" w:rsidRPr="00C024D7">
        <w:rPr>
          <w:lang w:val="en-US"/>
        </w:rPr>
        <w:t>Several studies have been conducted with the specific aim of replacing some conventional ingredients in the preparation of vegetable sauce.</w:t>
      </w:r>
      <w:r w:rsidR="0013589F" w:rsidRPr="00C024D7">
        <w:rPr>
          <w:lang w:val="en-US"/>
        </w:rPr>
        <w:t xml:space="preserve"> </w:t>
      </w:r>
    </w:p>
    <w:p w14:paraId="406734B7" w14:textId="710D3D5A" w:rsidR="00512D9B" w:rsidRPr="00C024D7" w:rsidRDefault="003E5B12" w:rsidP="008A6350">
      <w:pPr>
        <w:jc w:val="both"/>
        <w:rPr>
          <w:lang w:val="en-US"/>
        </w:rPr>
      </w:pPr>
      <w:r w:rsidRPr="00C024D7">
        <w:rPr>
          <w:lang w:val="en-US"/>
        </w:rPr>
        <w:t xml:space="preserve">In a previous study </w:t>
      </w:r>
      <w:r w:rsidR="00906F8C">
        <w:rPr>
          <w:lang w:val="en-US"/>
        </w:rPr>
        <w:t>De Leonardis et al (2022</w:t>
      </w:r>
      <w:r w:rsidR="00B07A83">
        <w:rPr>
          <w:lang w:val="en-US"/>
        </w:rPr>
        <w:t>a</w:t>
      </w:r>
      <w:r w:rsidR="00906F8C">
        <w:rPr>
          <w:lang w:val="en-US"/>
        </w:rPr>
        <w:t>)</w:t>
      </w:r>
      <w:r w:rsidR="00B07A83">
        <w:rPr>
          <w:lang w:val="en-US"/>
        </w:rPr>
        <w:t>,</w:t>
      </w:r>
      <w:r w:rsidRPr="00C024D7">
        <w:rPr>
          <w:lang w:val="en-US"/>
        </w:rPr>
        <w:t xml:space="preserve"> olive leaf vinegar (OLV) was </w:t>
      </w:r>
      <w:r w:rsidR="00C024D7" w:rsidRPr="00C024D7">
        <w:rPr>
          <w:lang w:val="en-US"/>
        </w:rPr>
        <w:t>produced,</w:t>
      </w:r>
      <w:r w:rsidRPr="00C024D7">
        <w:rPr>
          <w:lang w:val="en-US"/>
        </w:rPr>
        <w:t xml:space="preserve"> and its functional potential was assayed in an oil/vinegar dressing-based formulation. In addition, the feasibility of the use of OLV in vegetable</w:t>
      </w:r>
      <w:r w:rsidR="00C024D7">
        <w:rPr>
          <w:lang w:val="en-US"/>
        </w:rPr>
        <w:t xml:space="preserve"> </w:t>
      </w:r>
      <w:r w:rsidRPr="00C024D7">
        <w:rPr>
          <w:lang w:val="en-US"/>
        </w:rPr>
        <w:t xml:space="preserve">sauce (VS) was investigated in </w:t>
      </w:r>
      <w:r w:rsidR="00C024D7" w:rsidRPr="00C024D7">
        <w:rPr>
          <w:lang w:val="en-US"/>
        </w:rPr>
        <w:t>current</w:t>
      </w:r>
      <w:r w:rsidRPr="00C024D7">
        <w:rPr>
          <w:lang w:val="en-US"/>
        </w:rPr>
        <w:t xml:space="preserve"> research. Chemical characterization of the VS was performed through moisture, fat, pH, total phenols, and </w:t>
      </w:r>
      <w:r w:rsidR="00354096">
        <w:rPr>
          <w:lang w:val="en-US"/>
        </w:rPr>
        <w:t>peroxide value (PV)</w:t>
      </w:r>
      <w:r w:rsidRPr="00C024D7">
        <w:rPr>
          <w:lang w:val="en-US"/>
        </w:rPr>
        <w:t xml:space="preserve"> determination. Finally, the oxidative stability of VS was evaluated by PV evolution during an accelerated storage test (oven test). Study unveils </w:t>
      </w:r>
      <w:r w:rsidR="00C024D7" w:rsidRPr="00C024D7">
        <w:rPr>
          <w:lang w:val="en-US"/>
        </w:rPr>
        <w:t>an</w:t>
      </w:r>
      <w:r w:rsidRPr="00C024D7">
        <w:rPr>
          <w:lang w:val="en-US"/>
        </w:rPr>
        <w:t xml:space="preserve"> intriguing exploration into the exceptional properties of OLV within culinary applications.</w:t>
      </w:r>
    </w:p>
    <w:p w14:paraId="525E1D35" w14:textId="77777777" w:rsidR="00512D9B" w:rsidRPr="00C024D7" w:rsidRDefault="00FB589C">
      <w:pPr>
        <w:pStyle w:val="Heading1"/>
        <w:spacing w:before="240" w:after="120"/>
        <w:ind w:right="0"/>
        <w:jc w:val="both"/>
        <w:rPr>
          <w:b/>
          <w:bCs/>
          <w:color w:val="000000"/>
          <w:sz w:val="24"/>
        </w:rPr>
      </w:pPr>
      <w:r w:rsidRPr="00C024D7">
        <w:rPr>
          <w:b/>
          <w:bCs/>
          <w:color w:val="000000"/>
          <w:sz w:val="24"/>
        </w:rPr>
        <w:t>2. Materials and Methods</w:t>
      </w:r>
    </w:p>
    <w:p w14:paraId="10C9CB07" w14:textId="3C74BA36" w:rsidR="000A3874" w:rsidRPr="000A3874" w:rsidRDefault="000A3874" w:rsidP="000A3874">
      <w:pPr>
        <w:jc w:val="both"/>
        <w:rPr>
          <w:lang w:val="en-US"/>
        </w:rPr>
      </w:pPr>
      <w:r w:rsidRPr="000A3874">
        <w:rPr>
          <w:lang w:val="en-US"/>
        </w:rPr>
        <w:t xml:space="preserve">OLV was prepared by maceration of dried olive leaves in 18% acetic acid vinegar (AV) following the procedure described in </w:t>
      </w:r>
      <w:bookmarkStart w:id="0" w:name="_Hlk136897362"/>
      <w:r w:rsidR="00B07A83">
        <w:rPr>
          <w:lang w:val="en-US"/>
        </w:rPr>
        <w:t xml:space="preserve">De Leonardis et al </w:t>
      </w:r>
      <w:r w:rsidRPr="000A3874">
        <w:rPr>
          <w:lang w:val="en-US"/>
        </w:rPr>
        <w:t>(2</w:t>
      </w:r>
      <w:r w:rsidR="00B07A83">
        <w:rPr>
          <w:lang w:val="en-US"/>
        </w:rPr>
        <w:t>022a</w:t>
      </w:r>
      <w:r w:rsidRPr="000A3874">
        <w:rPr>
          <w:lang w:val="en-US"/>
        </w:rPr>
        <w:t>)</w:t>
      </w:r>
      <w:bookmarkEnd w:id="0"/>
      <w:r w:rsidRPr="000A3874">
        <w:rPr>
          <w:lang w:val="en-US"/>
        </w:rPr>
        <w:t xml:space="preserve">. </w:t>
      </w:r>
      <w:r w:rsidR="009318EF" w:rsidRPr="000A3874">
        <w:rPr>
          <w:lang w:val="en-US"/>
        </w:rPr>
        <w:t xml:space="preserve">Sauce preparation was conducted according to the method described in </w:t>
      </w:r>
      <w:r w:rsidR="009318EF">
        <w:rPr>
          <w:lang w:val="en-US"/>
        </w:rPr>
        <w:t xml:space="preserve">De Leonardis </w:t>
      </w:r>
      <w:r w:rsidR="006F3C8C">
        <w:rPr>
          <w:lang w:val="en-US"/>
        </w:rPr>
        <w:t xml:space="preserve">et al </w:t>
      </w:r>
      <w:r w:rsidR="009318EF" w:rsidRPr="000A3874">
        <w:rPr>
          <w:lang w:val="en-US"/>
        </w:rPr>
        <w:t>(</w:t>
      </w:r>
      <w:r w:rsidR="009318EF">
        <w:rPr>
          <w:lang w:val="en-US"/>
        </w:rPr>
        <w:t>2022b</w:t>
      </w:r>
      <w:r w:rsidR="009318EF" w:rsidRPr="000A3874">
        <w:rPr>
          <w:lang w:val="en-US"/>
        </w:rPr>
        <w:t xml:space="preserve">) with </w:t>
      </w:r>
      <w:r w:rsidR="009318EF">
        <w:rPr>
          <w:lang w:val="en-US"/>
        </w:rPr>
        <w:t xml:space="preserve">slight </w:t>
      </w:r>
      <w:r w:rsidR="009318EF" w:rsidRPr="000A3874">
        <w:rPr>
          <w:lang w:val="en-US"/>
        </w:rPr>
        <w:t>modification</w:t>
      </w:r>
      <w:r w:rsidR="009318EF">
        <w:rPr>
          <w:lang w:val="en-US"/>
        </w:rPr>
        <w:t>.</w:t>
      </w:r>
      <w:r w:rsidR="009318EF" w:rsidRPr="000A3874">
        <w:rPr>
          <w:lang w:val="en-US"/>
        </w:rPr>
        <w:t xml:space="preserve"> </w:t>
      </w:r>
      <w:r w:rsidR="009318EF">
        <w:rPr>
          <w:lang w:val="en-US"/>
        </w:rPr>
        <w:t>By unlocking the potential of following</w:t>
      </w:r>
      <w:r w:rsidRPr="000A3874">
        <w:rPr>
          <w:lang w:val="en-US"/>
        </w:rPr>
        <w:t xml:space="preserve"> ingredients</w:t>
      </w:r>
      <w:r w:rsidR="009318EF">
        <w:rPr>
          <w:lang w:val="en-US"/>
        </w:rPr>
        <w:t xml:space="preserve"> in definite percentages</w:t>
      </w:r>
      <w:r w:rsidRPr="000A3874">
        <w:rPr>
          <w:lang w:val="en-US"/>
        </w:rPr>
        <w:t>: 56% soybean and sunflower seed oil blend (15:85, v/v), 35% commercial soymilk, 8% OLV as test ingredient while AV as control ingredient</w:t>
      </w:r>
      <w:r w:rsidR="009318EF">
        <w:rPr>
          <w:lang w:val="en-US"/>
        </w:rPr>
        <w:t xml:space="preserve"> and</w:t>
      </w:r>
      <w:r w:rsidRPr="000A3874">
        <w:rPr>
          <w:lang w:val="en-US"/>
        </w:rPr>
        <w:t xml:space="preserve"> 1% salt. </w:t>
      </w:r>
      <w:r w:rsidR="0098068D">
        <w:rPr>
          <w:lang w:val="en-US"/>
        </w:rPr>
        <w:t xml:space="preserve">Final packaging of  </w:t>
      </w:r>
      <w:r w:rsidRPr="000A3874">
        <w:rPr>
          <w:lang w:val="en-US"/>
        </w:rPr>
        <w:t xml:space="preserve">VS was </w:t>
      </w:r>
      <w:r w:rsidR="0098068D">
        <w:rPr>
          <w:lang w:val="en-US"/>
        </w:rPr>
        <w:t>performed</w:t>
      </w:r>
      <w:r w:rsidRPr="000A3874">
        <w:rPr>
          <w:lang w:val="en-US"/>
        </w:rPr>
        <w:t xml:space="preserve"> manually in </w:t>
      </w:r>
      <w:r w:rsidR="00C024D7" w:rsidRPr="000A3874">
        <w:rPr>
          <w:lang w:val="en-US"/>
        </w:rPr>
        <w:t>aluminum</w:t>
      </w:r>
      <w:r w:rsidRPr="000A3874">
        <w:rPr>
          <w:lang w:val="en-US"/>
        </w:rPr>
        <w:t xml:space="preserve"> sachets of 15 g capacity. </w:t>
      </w:r>
    </w:p>
    <w:p w14:paraId="287E8397" w14:textId="28EE2134" w:rsidR="000A3874" w:rsidRPr="000A3874" w:rsidRDefault="000A3874" w:rsidP="000A3874">
      <w:pPr>
        <w:jc w:val="both"/>
        <w:rPr>
          <w:lang w:val="en-US"/>
        </w:rPr>
      </w:pPr>
      <w:r w:rsidRPr="000A3874">
        <w:rPr>
          <w:lang w:val="en-US"/>
        </w:rPr>
        <w:t xml:space="preserve">Physicochemical parameters, such as moisture, fat, pH, peroxide value, phenols, and antioxidant potential were determined as described </w:t>
      </w:r>
      <w:r w:rsidR="0098068D">
        <w:rPr>
          <w:lang w:val="en-US"/>
        </w:rPr>
        <w:t xml:space="preserve">by </w:t>
      </w:r>
      <w:r w:rsidR="0098068D" w:rsidRPr="0098068D">
        <w:rPr>
          <w:lang w:val="en-US"/>
        </w:rPr>
        <w:t xml:space="preserve">De Leonardis et al </w:t>
      </w:r>
      <w:r w:rsidR="0098068D" w:rsidRPr="000A3874">
        <w:rPr>
          <w:lang w:val="en-US"/>
        </w:rPr>
        <w:t>(2</w:t>
      </w:r>
      <w:r w:rsidR="0098068D" w:rsidRPr="0098068D">
        <w:rPr>
          <w:lang w:val="en-US"/>
        </w:rPr>
        <w:t>022a</w:t>
      </w:r>
      <w:r w:rsidR="0098068D" w:rsidRPr="000A3874">
        <w:rPr>
          <w:lang w:val="en-US"/>
        </w:rPr>
        <w:t>)</w:t>
      </w:r>
      <w:r w:rsidRPr="000A3874">
        <w:rPr>
          <w:lang w:val="en-US"/>
        </w:rPr>
        <w:t>. Specifically, Total Phenols (TP) was determined by Folin–Ciocalteu spectrophotometric method expressing the results in gallic acid equivalent (GAE), while the oleuropein (OLE) was quantified by HPLC analysis in hydroxytyrosol equivalent (HYE). Antioxidant potential was evaluated by calculating IC50 dose (g of sauce) of DPPH inhibition percentage (I%) calculated with the following equation:</w:t>
      </w:r>
    </w:p>
    <w:p w14:paraId="188B0C9A" w14:textId="77777777" w:rsidR="000A3874" w:rsidRPr="000A3874" w:rsidRDefault="00000000" w:rsidP="000A3874">
      <w:pPr>
        <w:jc w:val="both"/>
        <w:rPr>
          <w:lang w:val="en-US"/>
        </w:rPr>
      </w:pPr>
      <w:sdt>
        <w:sdtPr>
          <w:rPr>
            <w:lang w:val="en-US"/>
          </w:rPr>
          <w:tag w:val="goog_rdk_0"/>
          <w:id w:val="138006457"/>
        </w:sdtPr>
        <w:sdtContent>
          <w:r w:rsidR="000A3874" w:rsidRPr="000A3874">
            <w:rPr>
              <w:lang w:val="en-US"/>
            </w:rPr>
            <w:t xml:space="preserve">                                    %I = ((Abs blank − Abs sample)/Abs blank) × 100</w:t>
          </w:r>
          <w:r w:rsidR="000A3874" w:rsidRPr="000A3874">
            <w:rPr>
              <w:lang w:val="en-US"/>
            </w:rPr>
            <w:tab/>
          </w:r>
          <w:r w:rsidR="000A3874" w:rsidRPr="000A3874">
            <w:rPr>
              <w:lang w:val="en-US"/>
            </w:rPr>
            <w:tab/>
          </w:r>
          <w:r w:rsidR="000A3874" w:rsidRPr="000A3874">
            <w:rPr>
              <w:lang w:val="en-US"/>
            </w:rPr>
            <w:tab/>
            <w:t>(1)</w:t>
          </w:r>
          <w:r w:rsidR="000A3874" w:rsidRPr="000A3874">
            <w:rPr>
              <w:lang w:val="en-US"/>
            </w:rPr>
            <w:tab/>
          </w:r>
        </w:sdtContent>
      </w:sdt>
    </w:p>
    <w:p w14:paraId="7F935417" w14:textId="69D5E744" w:rsidR="00512D9B" w:rsidRPr="00C024D7" w:rsidRDefault="000A3874">
      <w:pPr>
        <w:jc w:val="both"/>
        <w:rPr>
          <w:lang w:val="en-US"/>
        </w:rPr>
      </w:pPr>
      <w:r w:rsidRPr="000A3874">
        <w:rPr>
          <w:lang w:val="en-US"/>
        </w:rPr>
        <w:t>Finally, oven test was conducted placing the sauce sachets in a thermostat at 40 °C for 2 months</w:t>
      </w:r>
      <w:r w:rsidR="002C35EE">
        <w:rPr>
          <w:lang w:val="en-US"/>
        </w:rPr>
        <w:t>.</w:t>
      </w:r>
    </w:p>
    <w:p w14:paraId="520DEE64" w14:textId="77777777" w:rsidR="00512D9B" w:rsidRPr="00C024D7" w:rsidRDefault="00FB589C">
      <w:pPr>
        <w:pStyle w:val="Heading1"/>
        <w:spacing w:before="240" w:after="120"/>
        <w:ind w:right="0"/>
        <w:jc w:val="both"/>
        <w:rPr>
          <w:b/>
          <w:bCs/>
          <w:color w:val="000000"/>
          <w:sz w:val="24"/>
        </w:rPr>
      </w:pPr>
      <w:r w:rsidRPr="00C024D7">
        <w:rPr>
          <w:b/>
          <w:bCs/>
          <w:color w:val="000000"/>
          <w:sz w:val="24"/>
        </w:rPr>
        <w:t>3. Results and Discussion</w:t>
      </w:r>
    </w:p>
    <w:p w14:paraId="0FD0411D" w14:textId="7297A0E4" w:rsidR="00512D9B" w:rsidRPr="00C024D7" w:rsidRDefault="00FB589C" w:rsidP="00B10A52">
      <w:pPr>
        <w:pStyle w:val="Heading2"/>
        <w:jc w:val="both"/>
        <w:rPr>
          <w:b/>
          <w:bCs/>
          <w:sz w:val="20"/>
          <w:lang w:val="en-US"/>
        </w:rPr>
      </w:pPr>
      <w:r w:rsidRPr="00C024D7">
        <w:rPr>
          <w:b/>
          <w:bCs/>
          <w:sz w:val="20"/>
          <w:lang w:val="en-US"/>
        </w:rPr>
        <w:t xml:space="preserve">3.1 </w:t>
      </w:r>
      <w:r w:rsidR="002D43FE" w:rsidRPr="00C024D7">
        <w:rPr>
          <w:b/>
          <w:bCs/>
          <w:sz w:val="20"/>
          <w:lang w:val="en-US"/>
        </w:rPr>
        <w:t xml:space="preserve">Physicochemical properties </w:t>
      </w:r>
      <w:r w:rsidR="00A716A9" w:rsidRPr="00C024D7">
        <w:rPr>
          <w:b/>
          <w:sz w:val="20"/>
          <w:lang w:val="en-US"/>
        </w:rPr>
        <w:t>of formulated vegetable</w:t>
      </w:r>
      <w:r w:rsidR="00696A39">
        <w:rPr>
          <w:b/>
          <w:sz w:val="20"/>
          <w:lang w:val="en-US"/>
        </w:rPr>
        <w:t xml:space="preserve"> sauce</w:t>
      </w:r>
    </w:p>
    <w:p w14:paraId="35FEE85F" w14:textId="5CBDB7A9" w:rsidR="007E1A6E" w:rsidRPr="00C024D7" w:rsidRDefault="005601C5">
      <w:pPr>
        <w:tabs>
          <w:tab w:val="left" w:pos="567"/>
          <w:tab w:val="right" w:pos="7938"/>
        </w:tabs>
        <w:jc w:val="both"/>
        <w:rPr>
          <w:lang w:val="en-US"/>
        </w:rPr>
      </w:pPr>
      <w:r w:rsidRPr="00C024D7">
        <w:rPr>
          <w:lang w:val="en-US"/>
        </w:rPr>
        <w:t xml:space="preserve">The physicochemical characteristics of the vegetable sauce play a pivotal role in determining its quality, flavor, and stability, thereby ensuring an optimal taste experience and extended shelf-life. As indicated in Table 1, no </w:t>
      </w:r>
      <w:r w:rsidRPr="00C024D7">
        <w:rPr>
          <w:lang w:val="en-US"/>
        </w:rPr>
        <w:lastRenderedPageBreak/>
        <w:t xml:space="preserve">statistically significant differences were observed between the samples (AV-VS and OLV-VS) in terms of pH, </w:t>
      </w:r>
      <w:r w:rsidR="00C83C5C">
        <w:rPr>
          <w:lang w:val="en-US"/>
        </w:rPr>
        <w:t>moisture</w:t>
      </w:r>
      <w:r w:rsidR="00DA74E0">
        <w:rPr>
          <w:lang w:val="en-US"/>
        </w:rPr>
        <w:t xml:space="preserve"> and</w:t>
      </w:r>
      <w:r w:rsidRPr="00C024D7">
        <w:rPr>
          <w:lang w:val="en-US"/>
        </w:rPr>
        <w:t xml:space="preserve"> fat content. The remarkably low average pH value of 2.15 in both sauces serves as a robust safeguard against microbial spoilage. While AV-VS exhibited only trace amounts of total phenols, OLV-VS showcased a notable concentration of 0.68 mg/g GAE, with the presence of oleuropein as a predominant phenolic compound, supported by the HPLC chromatogram (Figure 1). These findings highlight the distinctive phenolic profile and potential health benefits associated with OLV-VS.</w:t>
      </w:r>
    </w:p>
    <w:p w14:paraId="2CD5D1DC" w14:textId="3BED1D37" w:rsidR="00B10A52" w:rsidRPr="00C024D7" w:rsidRDefault="00FB589C" w:rsidP="0018143E">
      <w:pPr>
        <w:tabs>
          <w:tab w:val="left" w:pos="1134"/>
        </w:tabs>
        <w:spacing w:before="300" w:after="120"/>
        <w:ind w:left="709" w:hanging="709"/>
        <w:jc w:val="both"/>
        <w:rPr>
          <w:i/>
          <w:sz w:val="18"/>
          <w:lang w:val="en-US"/>
        </w:rPr>
      </w:pPr>
      <w:r w:rsidRPr="00B6019D">
        <w:rPr>
          <w:b/>
          <w:i/>
          <w:sz w:val="18"/>
          <w:lang w:val="en-US"/>
        </w:rPr>
        <w:t>Table 1</w:t>
      </w:r>
      <w:r w:rsidRPr="00C024D7">
        <w:rPr>
          <w:i/>
          <w:sz w:val="18"/>
          <w:lang w:val="en-US"/>
        </w:rPr>
        <w:tab/>
      </w:r>
      <w:r w:rsidR="00D82DF9" w:rsidRPr="00C024D7">
        <w:rPr>
          <w:i/>
          <w:sz w:val="18"/>
          <w:lang w:val="en-US"/>
        </w:rPr>
        <w:t>Analytical determinations of the vegetable sauce samples. (AV-VS: 18% acetic acid vinegar sauce; OLV-VS: olive leaf vinegar sauce sample)</w:t>
      </w:r>
    </w:p>
    <w:tbl>
      <w:tblPr>
        <w:tblW w:w="8749" w:type="dxa"/>
        <w:tblInd w:w="182" w:type="dxa"/>
        <w:tblBorders>
          <w:top w:val="single" w:sz="6" w:space="0" w:color="000000"/>
          <w:bottom w:val="single" w:sz="4" w:space="0" w:color="auto"/>
        </w:tblBorders>
        <w:tblLayout w:type="fixed"/>
        <w:tblLook w:val="0400" w:firstRow="0" w:lastRow="0" w:firstColumn="0" w:lastColumn="0" w:noHBand="0" w:noVBand="1"/>
      </w:tblPr>
      <w:tblGrid>
        <w:gridCol w:w="952"/>
        <w:gridCol w:w="1276"/>
        <w:gridCol w:w="1134"/>
        <w:gridCol w:w="1276"/>
        <w:gridCol w:w="1417"/>
        <w:gridCol w:w="1418"/>
        <w:gridCol w:w="1276"/>
      </w:tblGrid>
      <w:tr w:rsidR="000B410B" w:rsidRPr="00C024D7" w14:paraId="262DBE93" w14:textId="79C5DE93" w:rsidTr="00993C3E">
        <w:trPr>
          <w:trHeight w:val="648"/>
        </w:trPr>
        <w:tc>
          <w:tcPr>
            <w:tcW w:w="952" w:type="dxa"/>
            <w:tcBorders>
              <w:top w:val="single" w:sz="6" w:space="0" w:color="000000"/>
              <w:bottom w:val="single" w:sz="4" w:space="0" w:color="auto"/>
            </w:tcBorders>
            <w:shd w:val="clear" w:color="auto" w:fill="auto"/>
          </w:tcPr>
          <w:p w14:paraId="43654EA5" w14:textId="77777777" w:rsidR="000B410B" w:rsidRPr="00C024D7" w:rsidRDefault="000B410B" w:rsidP="00AC720C">
            <w:pPr>
              <w:rPr>
                <w:b/>
                <w:bCs/>
                <w:sz w:val="18"/>
                <w:szCs w:val="18"/>
                <w:lang w:val="en-US"/>
              </w:rPr>
            </w:pPr>
            <w:r w:rsidRPr="00C024D7">
              <w:rPr>
                <w:b/>
                <w:bCs/>
                <w:sz w:val="18"/>
                <w:szCs w:val="18"/>
                <w:lang w:val="en-US"/>
              </w:rPr>
              <w:t>Sample</w:t>
            </w:r>
          </w:p>
        </w:tc>
        <w:tc>
          <w:tcPr>
            <w:tcW w:w="1276" w:type="dxa"/>
            <w:tcBorders>
              <w:top w:val="single" w:sz="6" w:space="0" w:color="000000"/>
              <w:bottom w:val="single" w:sz="4" w:space="0" w:color="auto"/>
            </w:tcBorders>
            <w:shd w:val="clear" w:color="auto" w:fill="auto"/>
          </w:tcPr>
          <w:p w14:paraId="2086EA75" w14:textId="77777777" w:rsidR="000B410B" w:rsidRPr="00C024D7" w:rsidRDefault="000B410B" w:rsidP="00AC720C">
            <w:pPr>
              <w:rPr>
                <w:b/>
                <w:bCs/>
                <w:sz w:val="18"/>
                <w:szCs w:val="18"/>
                <w:lang w:val="en-US"/>
              </w:rPr>
            </w:pPr>
            <w:r w:rsidRPr="00C024D7">
              <w:rPr>
                <w:b/>
                <w:bCs/>
                <w:sz w:val="18"/>
                <w:szCs w:val="18"/>
                <w:lang w:val="en-US"/>
              </w:rPr>
              <w:t>Moisture %</w:t>
            </w:r>
          </w:p>
        </w:tc>
        <w:tc>
          <w:tcPr>
            <w:tcW w:w="1134" w:type="dxa"/>
            <w:tcBorders>
              <w:top w:val="single" w:sz="6" w:space="0" w:color="000000"/>
              <w:bottom w:val="single" w:sz="4" w:space="0" w:color="auto"/>
            </w:tcBorders>
            <w:shd w:val="clear" w:color="auto" w:fill="auto"/>
          </w:tcPr>
          <w:p w14:paraId="2F0C7BEC" w14:textId="7FAB4C9C" w:rsidR="000B410B" w:rsidRPr="00C024D7" w:rsidRDefault="000B410B" w:rsidP="00AC720C">
            <w:pPr>
              <w:rPr>
                <w:b/>
                <w:bCs/>
                <w:sz w:val="18"/>
                <w:szCs w:val="18"/>
                <w:lang w:val="en-US"/>
              </w:rPr>
            </w:pPr>
            <w:r w:rsidRPr="00C024D7">
              <w:rPr>
                <w:b/>
                <w:bCs/>
                <w:sz w:val="18"/>
                <w:szCs w:val="18"/>
                <w:lang w:val="en-US"/>
              </w:rPr>
              <w:t>Fat %</w:t>
            </w:r>
          </w:p>
        </w:tc>
        <w:tc>
          <w:tcPr>
            <w:tcW w:w="1276" w:type="dxa"/>
            <w:tcBorders>
              <w:top w:val="single" w:sz="6" w:space="0" w:color="000000"/>
              <w:bottom w:val="single" w:sz="4" w:space="0" w:color="auto"/>
            </w:tcBorders>
            <w:shd w:val="clear" w:color="auto" w:fill="auto"/>
          </w:tcPr>
          <w:p w14:paraId="0CFADE7C" w14:textId="1BD2AAB6" w:rsidR="000B410B" w:rsidRPr="00C024D7" w:rsidRDefault="000B410B" w:rsidP="00AC720C">
            <w:pPr>
              <w:rPr>
                <w:b/>
                <w:bCs/>
                <w:sz w:val="18"/>
                <w:szCs w:val="18"/>
                <w:lang w:val="en-US"/>
              </w:rPr>
            </w:pPr>
            <w:r w:rsidRPr="00C024D7">
              <w:rPr>
                <w:b/>
                <w:bCs/>
                <w:sz w:val="18"/>
                <w:szCs w:val="18"/>
                <w:lang w:val="en-US"/>
              </w:rPr>
              <w:t>pH</w:t>
            </w:r>
          </w:p>
        </w:tc>
        <w:tc>
          <w:tcPr>
            <w:tcW w:w="1417" w:type="dxa"/>
            <w:tcBorders>
              <w:top w:val="single" w:sz="6" w:space="0" w:color="000000"/>
              <w:bottom w:val="single" w:sz="4" w:space="0" w:color="auto"/>
            </w:tcBorders>
            <w:shd w:val="clear" w:color="auto" w:fill="auto"/>
          </w:tcPr>
          <w:p w14:paraId="0F35F50B" w14:textId="0E5A1D17" w:rsidR="000B410B" w:rsidRPr="00C024D7" w:rsidRDefault="000B410B" w:rsidP="00AC720C">
            <w:pPr>
              <w:rPr>
                <w:b/>
                <w:bCs/>
                <w:sz w:val="18"/>
                <w:szCs w:val="18"/>
                <w:lang w:val="en-US"/>
              </w:rPr>
            </w:pPr>
            <w:r w:rsidRPr="00C024D7">
              <w:rPr>
                <w:b/>
                <w:bCs/>
                <w:sz w:val="18"/>
                <w:szCs w:val="18"/>
                <w:lang w:val="en-US"/>
              </w:rPr>
              <w:t>Peroxide value (meqO</w:t>
            </w:r>
            <w:r w:rsidRPr="00C024D7">
              <w:rPr>
                <w:b/>
                <w:bCs/>
                <w:sz w:val="18"/>
                <w:szCs w:val="18"/>
                <w:vertAlign w:val="subscript"/>
                <w:lang w:val="en-US"/>
              </w:rPr>
              <w:t>2</w:t>
            </w:r>
            <w:r w:rsidRPr="00C024D7">
              <w:rPr>
                <w:b/>
                <w:bCs/>
                <w:sz w:val="18"/>
                <w:szCs w:val="18"/>
                <w:lang w:val="en-US"/>
              </w:rPr>
              <w:t>/kg)</w:t>
            </w:r>
          </w:p>
        </w:tc>
        <w:tc>
          <w:tcPr>
            <w:tcW w:w="1418" w:type="dxa"/>
            <w:tcBorders>
              <w:top w:val="single" w:sz="6" w:space="0" w:color="000000"/>
              <w:bottom w:val="single" w:sz="4" w:space="0" w:color="auto"/>
            </w:tcBorders>
          </w:tcPr>
          <w:p w14:paraId="2406711A" w14:textId="769136B4" w:rsidR="000B410B" w:rsidRPr="00C024D7" w:rsidRDefault="000B410B" w:rsidP="00AC720C">
            <w:pPr>
              <w:rPr>
                <w:b/>
                <w:bCs/>
                <w:sz w:val="18"/>
                <w:szCs w:val="18"/>
                <w:lang w:val="en-US"/>
              </w:rPr>
            </w:pPr>
            <w:r w:rsidRPr="00C024D7">
              <w:rPr>
                <w:b/>
                <w:bCs/>
                <w:sz w:val="18"/>
                <w:szCs w:val="18"/>
                <w:lang w:val="en-US"/>
              </w:rPr>
              <w:t>Total phenols (mg/g GAE)</w:t>
            </w:r>
          </w:p>
        </w:tc>
        <w:tc>
          <w:tcPr>
            <w:tcW w:w="1276" w:type="dxa"/>
            <w:tcBorders>
              <w:top w:val="single" w:sz="6" w:space="0" w:color="000000"/>
              <w:bottom w:val="single" w:sz="4" w:space="0" w:color="auto"/>
            </w:tcBorders>
          </w:tcPr>
          <w:p w14:paraId="22E5C334" w14:textId="77777777" w:rsidR="000B410B" w:rsidRDefault="000B410B" w:rsidP="00AC720C">
            <w:pPr>
              <w:rPr>
                <w:b/>
                <w:bCs/>
                <w:sz w:val="18"/>
                <w:szCs w:val="18"/>
                <w:lang w:val="en-US"/>
              </w:rPr>
            </w:pPr>
            <w:r>
              <w:rPr>
                <w:b/>
                <w:bCs/>
                <w:sz w:val="18"/>
                <w:szCs w:val="18"/>
                <w:lang w:val="en-US"/>
              </w:rPr>
              <w:t xml:space="preserve">Oleuropein </w:t>
            </w:r>
          </w:p>
          <w:p w14:paraId="36F8AFB4" w14:textId="63F3632B" w:rsidR="000B410B" w:rsidRPr="00C024D7" w:rsidRDefault="000B410B" w:rsidP="00AC720C">
            <w:pPr>
              <w:rPr>
                <w:b/>
                <w:bCs/>
                <w:sz w:val="18"/>
                <w:szCs w:val="18"/>
                <w:lang w:val="en-US"/>
              </w:rPr>
            </w:pPr>
            <w:r>
              <w:rPr>
                <w:b/>
                <w:bCs/>
                <w:sz w:val="18"/>
                <w:szCs w:val="18"/>
                <w:lang w:val="en-US"/>
              </w:rPr>
              <w:t>(mg/g) HYE</w:t>
            </w:r>
          </w:p>
        </w:tc>
      </w:tr>
      <w:tr w:rsidR="000B410B" w:rsidRPr="00C024D7" w14:paraId="4B07E501" w14:textId="7D79616E" w:rsidTr="0018143E">
        <w:trPr>
          <w:trHeight w:val="206"/>
        </w:trPr>
        <w:tc>
          <w:tcPr>
            <w:tcW w:w="952" w:type="dxa"/>
            <w:tcBorders>
              <w:top w:val="single" w:sz="4" w:space="0" w:color="auto"/>
            </w:tcBorders>
            <w:shd w:val="clear" w:color="auto" w:fill="auto"/>
          </w:tcPr>
          <w:p w14:paraId="43F4D5DC" w14:textId="77777777" w:rsidR="000B410B" w:rsidRPr="00C024D7" w:rsidRDefault="000B410B" w:rsidP="00AC720C">
            <w:pPr>
              <w:jc w:val="both"/>
              <w:rPr>
                <w:sz w:val="18"/>
                <w:szCs w:val="18"/>
                <w:lang w:val="en-US"/>
              </w:rPr>
            </w:pPr>
            <w:r w:rsidRPr="00C024D7">
              <w:rPr>
                <w:sz w:val="18"/>
                <w:szCs w:val="18"/>
                <w:lang w:val="en-US"/>
              </w:rPr>
              <w:t xml:space="preserve">AV-VS </w:t>
            </w:r>
          </w:p>
        </w:tc>
        <w:tc>
          <w:tcPr>
            <w:tcW w:w="1276" w:type="dxa"/>
            <w:tcBorders>
              <w:top w:val="single" w:sz="4" w:space="0" w:color="auto"/>
            </w:tcBorders>
            <w:shd w:val="clear" w:color="auto" w:fill="auto"/>
          </w:tcPr>
          <w:p w14:paraId="22BD2533" w14:textId="77777777" w:rsidR="000B410B" w:rsidRPr="00C024D7" w:rsidRDefault="000B410B" w:rsidP="00AC720C">
            <w:pPr>
              <w:jc w:val="center"/>
              <w:rPr>
                <w:sz w:val="18"/>
                <w:szCs w:val="18"/>
                <w:lang w:val="en-US"/>
              </w:rPr>
            </w:pPr>
            <w:r w:rsidRPr="00C024D7">
              <w:rPr>
                <w:sz w:val="18"/>
                <w:szCs w:val="18"/>
                <w:lang w:val="en-US"/>
              </w:rPr>
              <w:t>31.6 ± 1.9</w:t>
            </w:r>
            <w:r w:rsidRPr="00C024D7">
              <w:rPr>
                <w:sz w:val="18"/>
                <w:szCs w:val="18"/>
                <w:vertAlign w:val="superscript"/>
                <w:lang w:val="en-US"/>
              </w:rPr>
              <w:t>a</w:t>
            </w:r>
          </w:p>
        </w:tc>
        <w:tc>
          <w:tcPr>
            <w:tcW w:w="1134" w:type="dxa"/>
            <w:tcBorders>
              <w:top w:val="single" w:sz="4" w:space="0" w:color="auto"/>
            </w:tcBorders>
            <w:shd w:val="clear" w:color="auto" w:fill="auto"/>
          </w:tcPr>
          <w:p w14:paraId="4D48EBEB" w14:textId="77777777" w:rsidR="000B410B" w:rsidRPr="00C024D7" w:rsidRDefault="000B410B" w:rsidP="00AC720C">
            <w:pPr>
              <w:jc w:val="center"/>
              <w:rPr>
                <w:color w:val="000000"/>
                <w:sz w:val="18"/>
                <w:szCs w:val="18"/>
                <w:lang w:val="en-US"/>
              </w:rPr>
            </w:pPr>
            <w:r w:rsidRPr="00C024D7">
              <w:rPr>
                <w:sz w:val="18"/>
                <w:szCs w:val="18"/>
                <w:lang w:val="en-US"/>
              </w:rPr>
              <w:t>58.2 ± 2.6</w:t>
            </w:r>
            <w:r w:rsidRPr="00C024D7">
              <w:rPr>
                <w:sz w:val="18"/>
                <w:szCs w:val="18"/>
                <w:vertAlign w:val="superscript"/>
                <w:lang w:val="en-US"/>
              </w:rPr>
              <w:t>a</w:t>
            </w:r>
          </w:p>
        </w:tc>
        <w:tc>
          <w:tcPr>
            <w:tcW w:w="1276" w:type="dxa"/>
            <w:tcBorders>
              <w:top w:val="single" w:sz="4" w:space="0" w:color="auto"/>
            </w:tcBorders>
            <w:shd w:val="clear" w:color="auto" w:fill="auto"/>
          </w:tcPr>
          <w:p w14:paraId="018F80C6" w14:textId="77777777" w:rsidR="000B410B" w:rsidRPr="00C024D7" w:rsidRDefault="000B410B" w:rsidP="00AC720C">
            <w:pPr>
              <w:jc w:val="center"/>
              <w:rPr>
                <w:color w:val="000000"/>
                <w:sz w:val="18"/>
                <w:szCs w:val="18"/>
                <w:lang w:val="en-US"/>
              </w:rPr>
            </w:pPr>
            <w:r w:rsidRPr="00C024D7">
              <w:rPr>
                <w:sz w:val="18"/>
                <w:szCs w:val="18"/>
                <w:lang w:val="en-US"/>
              </w:rPr>
              <w:t>2.16 ± 0.45</w:t>
            </w:r>
            <w:r w:rsidRPr="00C024D7">
              <w:rPr>
                <w:sz w:val="18"/>
                <w:szCs w:val="18"/>
                <w:vertAlign w:val="superscript"/>
                <w:lang w:val="en-US"/>
              </w:rPr>
              <w:t>a</w:t>
            </w:r>
          </w:p>
        </w:tc>
        <w:tc>
          <w:tcPr>
            <w:tcW w:w="1417" w:type="dxa"/>
            <w:tcBorders>
              <w:top w:val="single" w:sz="4" w:space="0" w:color="auto"/>
            </w:tcBorders>
            <w:shd w:val="clear" w:color="auto" w:fill="auto"/>
          </w:tcPr>
          <w:p w14:paraId="794BDCB4" w14:textId="742849C0" w:rsidR="000B410B" w:rsidRPr="00C024D7" w:rsidRDefault="000B410B" w:rsidP="00AC720C">
            <w:pPr>
              <w:jc w:val="center"/>
              <w:rPr>
                <w:color w:val="000000"/>
                <w:sz w:val="18"/>
                <w:szCs w:val="18"/>
                <w:lang w:val="en-US"/>
              </w:rPr>
            </w:pPr>
            <w:r w:rsidRPr="00C024D7">
              <w:rPr>
                <w:color w:val="000000"/>
                <w:sz w:val="18"/>
                <w:szCs w:val="18"/>
                <w:lang w:val="en-US"/>
              </w:rPr>
              <w:t>2.0 ± 0.1</w:t>
            </w:r>
            <w:r w:rsidRPr="00C024D7">
              <w:rPr>
                <w:color w:val="000000"/>
                <w:sz w:val="18"/>
                <w:szCs w:val="18"/>
                <w:vertAlign w:val="superscript"/>
                <w:lang w:val="en-US"/>
              </w:rPr>
              <w:t>a</w:t>
            </w:r>
          </w:p>
        </w:tc>
        <w:tc>
          <w:tcPr>
            <w:tcW w:w="1418" w:type="dxa"/>
            <w:tcBorders>
              <w:top w:val="single" w:sz="4" w:space="0" w:color="auto"/>
            </w:tcBorders>
          </w:tcPr>
          <w:p w14:paraId="6E5EEF1C" w14:textId="397B43D2" w:rsidR="000B410B" w:rsidRPr="00C024D7" w:rsidRDefault="000B410B" w:rsidP="00AC720C">
            <w:pPr>
              <w:jc w:val="center"/>
              <w:rPr>
                <w:color w:val="000000"/>
                <w:sz w:val="18"/>
                <w:szCs w:val="18"/>
                <w:lang w:val="en-US"/>
              </w:rPr>
            </w:pPr>
            <w:r w:rsidRPr="00C024D7">
              <w:rPr>
                <w:color w:val="000000"/>
                <w:sz w:val="18"/>
                <w:szCs w:val="18"/>
                <w:lang w:val="en-US"/>
              </w:rPr>
              <w:t>Traces</w:t>
            </w:r>
          </w:p>
        </w:tc>
        <w:tc>
          <w:tcPr>
            <w:tcW w:w="1276" w:type="dxa"/>
            <w:tcBorders>
              <w:top w:val="single" w:sz="4" w:space="0" w:color="auto"/>
            </w:tcBorders>
          </w:tcPr>
          <w:p w14:paraId="349BBF62" w14:textId="5CA3108C" w:rsidR="000B410B" w:rsidRPr="00C024D7" w:rsidRDefault="00B23466" w:rsidP="00AC720C">
            <w:pPr>
              <w:jc w:val="center"/>
              <w:rPr>
                <w:color w:val="000000"/>
                <w:sz w:val="18"/>
                <w:szCs w:val="18"/>
                <w:lang w:val="en-US"/>
              </w:rPr>
            </w:pPr>
            <w:r>
              <w:rPr>
                <w:bCs/>
                <w:color w:val="000000"/>
                <w:sz w:val="18"/>
                <w:szCs w:val="18"/>
              </w:rPr>
              <w:t>Traces</w:t>
            </w:r>
          </w:p>
        </w:tc>
      </w:tr>
      <w:tr w:rsidR="000B410B" w:rsidRPr="00C024D7" w14:paraId="5F2E7FDB" w14:textId="5609E758" w:rsidTr="00991545">
        <w:trPr>
          <w:trHeight w:val="290"/>
        </w:trPr>
        <w:tc>
          <w:tcPr>
            <w:tcW w:w="952" w:type="dxa"/>
            <w:shd w:val="clear" w:color="auto" w:fill="auto"/>
          </w:tcPr>
          <w:p w14:paraId="08E93D7F" w14:textId="77777777" w:rsidR="000B410B" w:rsidRPr="00C024D7" w:rsidRDefault="000B410B" w:rsidP="00AC720C">
            <w:pPr>
              <w:jc w:val="both"/>
              <w:rPr>
                <w:sz w:val="18"/>
                <w:szCs w:val="18"/>
                <w:lang w:val="en-US"/>
              </w:rPr>
            </w:pPr>
            <w:r w:rsidRPr="00C024D7">
              <w:rPr>
                <w:sz w:val="18"/>
                <w:szCs w:val="18"/>
                <w:lang w:val="en-US"/>
              </w:rPr>
              <w:t xml:space="preserve">OLV-VS </w:t>
            </w:r>
          </w:p>
        </w:tc>
        <w:tc>
          <w:tcPr>
            <w:tcW w:w="1276" w:type="dxa"/>
            <w:shd w:val="clear" w:color="auto" w:fill="auto"/>
          </w:tcPr>
          <w:p w14:paraId="76E8D45A" w14:textId="77777777" w:rsidR="000B410B" w:rsidRPr="00C024D7" w:rsidRDefault="000B410B" w:rsidP="00AC720C">
            <w:pPr>
              <w:jc w:val="center"/>
              <w:rPr>
                <w:sz w:val="18"/>
                <w:szCs w:val="18"/>
                <w:lang w:val="en-US"/>
              </w:rPr>
            </w:pPr>
            <w:r w:rsidRPr="00C024D7">
              <w:rPr>
                <w:sz w:val="18"/>
                <w:szCs w:val="18"/>
                <w:lang w:val="en-US"/>
              </w:rPr>
              <w:t>31.0 ± 1.7</w:t>
            </w:r>
            <w:r w:rsidRPr="00C024D7">
              <w:rPr>
                <w:sz w:val="18"/>
                <w:szCs w:val="18"/>
                <w:vertAlign w:val="superscript"/>
                <w:lang w:val="en-US"/>
              </w:rPr>
              <w:t>a</w:t>
            </w:r>
          </w:p>
        </w:tc>
        <w:tc>
          <w:tcPr>
            <w:tcW w:w="1134" w:type="dxa"/>
            <w:shd w:val="clear" w:color="auto" w:fill="auto"/>
          </w:tcPr>
          <w:p w14:paraId="5D2768C5" w14:textId="77777777" w:rsidR="000B410B" w:rsidRPr="00C024D7" w:rsidRDefault="000B410B" w:rsidP="00AC720C">
            <w:pPr>
              <w:jc w:val="center"/>
              <w:rPr>
                <w:color w:val="000000"/>
                <w:sz w:val="18"/>
                <w:szCs w:val="18"/>
                <w:lang w:val="en-US"/>
              </w:rPr>
            </w:pPr>
            <w:r w:rsidRPr="00C024D7">
              <w:rPr>
                <w:color w:val="000000"/>
                <w:sz w:val="18"/>
                <w:szCs w:val="18"/>
                <w:lang w:val="en-US"/>
              </w:rPr>
              <w:t>57.0 ± 2.4</w:t>
            </w:r>
            <w:r w:rsidRPr="00C024D7">
              <w:rPr>
                <w:color w:val="000000"/>
                <w:sz w:val="18"/>
                <w:szCs w:val="18"/>
                <w:vertAlign w:val="superscript"/>
                <w:lang w:val="en-US"/>
              </w:rPr>
              <w:t>a</w:t>
            </w:r>
          </w:p>
        </w:tc>
        <w:tc>
          <w:tcPr>
            <w:tcW w:w="1276" w:type="dxa"/>
            <w:shd w:val="clear" w:color="auto" w:fill="auto"/>
          </w:tcPr>
          <w:p w14:paraId="4BEB32F2" w14:textId="77777777" w:rsidR="000B410B" w:rsidRPr="00C024D7" w:rsidRDefault="000B410B" w:rsidP="00AC720C">
            <w:pPr>
              <w:jc w:val="center"/>
              <w:rPr>
                <w:color w:val="000000"/>
                <w:sz w:val="18"/>
                <w:szCs w:val="18"/>
                <w:lang w:val="en-US"/>
              </w:rPr>
            </w:pPr>
            <w:r w:rsidRPr="00C024D7">
              <w:rPr>
                <w:color w:val="000000"/>
                <w:sz w:val="18"/>
                <w:szCs w:val="18"/>
                <w:lang w:val="en-US"/>
              </w:rPr>
              <w:t>2.15 ± 0.38</w:t>
            </w:r>
            <w:r w:rsidRPr="00C024D7">
              <w:rPr>
                <w:color w:val="000000"/>
                <w:sz w:val="18"/>
                <w:szCs w:val="18"/>
                <w:vertAlign w:val="superscript"/>
                <w:lang w:val="en-US"/>
              </w:rPr>
              <w:t>a</w:t>
            </w:r>
          </w:p>
        </w:tc>
        <w:tc>
          <w:tcPr>
            <w:tcW w:w="1417" w:type="dxa"/>
            <w:shd w:val="clear" w:color="auto" w:fill="auto"/>
          </w:tcPr>
          <w:p w14:paraId="190E3E8A" w14:textId="1D71703C" w:rsidR="000B410B" w:rsidRPr="00C024D7" w:rsidRDefault="000B410B" w:rsidP="00AC720C">
            <w:pPr>
              <w:jc w:val="center"/>
              <w:rPr>
                <w:color w:val="000000"/>
                <w:sz w:val="18"/>
                <w:szCs w:val="18"/>
                <w:lang w:val="en-US"/>
              </w:rPr>
            </w:pPr>
            <w:r w:rsidRPr="00C024D7">
              <w:rPr>
                <w:color w:val="000000"/>
                <w:sz w:val="18"/>
                <w:szCs w:val="18"/>
                <w:lang w:val="en-US"/>
              </w:rPr>
              <w:t>1.9 ± 0.1</w:t>
            </w:r>
            <w:r w:rsidRPr="00C024D7">
              <w:rPr>
                <w:color w:val="000000"/>
                <w:sz w:val="18"/>
                <w:szCs w:val="18"/>
                <w:vertAlign w:val="superscript"/>
                <w:lang w:val="en-US"/>
              </w:rPr>
              <w:t>a</w:t>
            </w:r>
          </w:p>
        </w:tc>
        <w:tc>
          <w:tcPr>
            <w:tcW w:w="1418" w:type="dxa"/>
          </w:tcPr>
          <w:p w14:paraId="5281F8B1" w14:textId="1D67A747" w:rsidR="000B410B" w:rsidRPr="00C024D7" w:rsidRDefault="000B410B" w:rsidP="00AC720C">
            <w:pPr>
              <w:jc w:val="center"/>
              <w:rPr>
                <w:color w:val="000000"/>
                <w:sz w:val="18"/>
                <w:szCs w:val="18"/>
                <w:lang w:val="en-US"/>
              </w:rPr>
            </w:pPr>
            <w:r w:rsidRPr="00C024D7">
              <w:rPr>
                <w:sz w:val="18"/>
                <w:szCs w:val="18"/>
                <w:lang w:val="en-US"/>
              </w:rPr>
              <w:t>0.68 ± 0.08</w:t>
            </w:r>
            <w:r w:rsidRPr="00C024D7">
              <w:rPr>
                <w:sz w:val="18"/>
                <w:szCs w:val="18"/>
                <w:vertAlign w:val="superscript"/>
                <w:lang w:val="en-US"/>
              </w:rPr>
              <w:t>b</w:t>
            </w:r>
          </w:p>
        </w:tc>
        <w:tc>
          <w:tcPr>
            <w:tcW w:w="1276" w:type="dxa"/>
          </w:tcPr>
          <w:p w14:paraId="54FD0584" w14:textId="630DE598" w:rsidR="000B410B" w:rsidRPr="00C024D7" w:rsidRDefault="00B23466" w:rsidP="00AC720C">
            <w:pPr>
              <w:jc w:val="center"/>
              <w:rPr>
                <w:sz w:val="18"/>
                <w:szCs w:val="18"/>
                <w:lang w:val="en-US"/>
              </w:rPr>
            </w:pPr>
            <w:r>
              <w:rPr>
                <w:sz w:val="18"/>
                <w:szCs w:val="18"/>
                <w:lang w:val="en-US"/>
              </w:rPr>
              <w:t xml:space="preserve">0.18 </w:t>
            </w:r>
            <w:r w:rsidRPr="00C024D7">
              <w:rPr>
                <w:sz w:val="18"/>
                <w:szCs w:val="18"/>
                <w:lang w:val="en-US"/>
              </w:rPr>
              <w:t>± 0.0</w:t>
            </w:r>
            <w:r>
              <w:rPr>
                <w:sz w:val="18"/>
                <w:szCs w:val="18"/>
                <w:lang w:val="en-US"/>
              </w:rPr>
              <w:t>2</w:t>
            </w:r>
            <w:r w:rsidRPr="00C024D7">
              <w:rPr>
                <w:sz w:val="18"/>
                <w:szCs w:val="18"/>
                <w:vertAlign w:val="superscript"/>
                <w:lang w:val="en-US"/>
              </w:rPr>
              <w:t>b</w:t>
            </w:r>
          </w:p>
        </w:tc>
      </w:tr>
    </w:tbl>
    <w:p w14:paraId="72A8FD4D" w14:textId="0329073C" w:rsidR="00512D9B" w:rsidRPr="00C024D7" w:rsidRDefault="00FB589C">
      <w:pPr>
        <w:pStyle w:val="Heading2"/>
        <w:spacing w:before="240" w:after="120"/>
        <w:jc w:val="both"/>
        <w:rPr>
          <w:b/>
          <w:bCs/>
          <w:sz w:val="24"/>
          <w:lang w:val="en-US"/>
        </w:rPr>
      </w:pPr>
      <w:r w:rsidRPr="00C024D7">
        <w:rPr>
          <w:b/>
          <w:bCs/>
          <w:sz w:val="24"/>
          <w:lang w:val="en-US"/>
        </w:rPr>
        <w:t xml:space="preserve">3.2 </w:t>
      </w:r>
      <w:r w:rsidR="00733BCF" w:rsidRPr="00C024D7">
        <w:rPr>
          <w:b/>
          <w:color w:val="000000"/>
          <w:sz w:val="24"/>
          <w:szCs w:val="24"/>
          <w:lang w:val="en-US"/>
        </w:rPr>
        <w:t>Functional potential</w:t>
      </w:r>
    </w:p>
    <w:p w14:paraId="369C12AF" w14:textId="2D3EBF90" w:rsidR="00512D9B" w:rsidRPr="00C024D7" w:rsidRDefault="00733BCF">
      <w:pPr>
        <w:tabs>
          <w:tab w:val="left" w:pos="0"/>
        </w:tabs>
        <w:jc w:val="both"/>
        <w:rPr>
          <w:lang w:val="en-US"/>
        </w:rPr>
      </w:pPr>
      <w:r w:rsidRPr="00C024D7">
        <w:rPr>
          <w:lang w:val="en-US"/>
        </w:rPr>
        <w:t>In the domain of olive tree products, hydroxytyrosol and its derivatives (HY&amp;Der), including oleuropein, are prominent bioactive compounds known for their well-established antioxidant, antimicrobial, anti-inflammatory, and anticancer properties, as well as their potential in the prevention of cardiovascular diseases, metabolic syndromes, and neurodegenerative disorders</w:t>
      </w:r>
      <w:r w:rsidR="005D4A02">
        <w:rPr>
          <w:lang w:val="en-US"/>
        </w:rPr>
        <w:t xml:space="preserve"> </w:t>
      </w:r>
      <w:r w:rsidR="005D4A02" w:rsidRPr="00CE04BC">
        <w:rPr>
          <w:lang w:val="en-US"/>
        </w:rPr>
        <w:t>Hadrich et al (2022)</w:t>
      </w:r>
      <w:r w:rsidR="00A36C6D" w:rsidRPr="00CE04BC">
        <w:rPr>
          <w:lang w:val="en-US"/>
        </w:rPr>
        <w:t xml:space="preserve">. </w:t>
      </w:r>
      <w:r w:rsidRPr="00CE04BC">
        <w:rPr>
          <w:lang w:val="en-US"/>
        </w:rPr>
        <w:t>Notably</w:t>
      </w:r>
      <w:r w:rsidRPr="00C024D7">
        <w:rPr>
          <w:lang w:val="en-US"/>
        </w:rPr>
        <w:t>, the European Food Safety Authority (EFSA) permits the inclusion of a health claim on the labels of extra virgin olive oils, stating that the polyphenols naturally present in these oils contribute to the protection of blood lipids against oxidative stress. To attain this benefit, a daily intake of at least 5 mg of HY&amp;Der is recommended. The functional role of OLV in the formulated VS is demonstrated in Fi</w:t>
      </w:r>
      <w:r w:rsidRPr="00942B65">
        <w:rPr>
          <w:lang w:val="en-US"/>
        </w:rPr>
        <w:t>gure</w:t>
      </w:r>
      <w:r w:rsidRPr="00C024D7">
        <w:rPr>
          <w:lang w:val="en-US"/>
        </w:rPr>
        <w:t xml:space="preserve"> </w:t>
      </w:r>
      <w:r w:rsidR="00942B65">
        <w:rPr>
          <w:lang w:val="en-US"/>
        </w:rPr>
        <w:t>2</w:t>
      </w:r>
      <w:r w:rsidRPr="00C024D7">
        <w:rPr>
          <w:lang w:val="en-US"/>
        </w:rPr>
        <w:t xml:space="preserve">, wherein a 15 g portion of OLV-VS (one sachet) contained 2.5 mg </w:t>
      </w:r>
      <w:bookmarkStart w:id="1" w:name="_Hlk136937620"/>
      <w:r w:rsidRPr="00C024D7">
        <w:rPr>
          <w:lang w:val="en-US"/>
        </w:rPr>
        <w:t>HY&amp;Der</w:t>
      </w:r>
      <w:bookmarkEnd w:id="1"/>
      <w:r w:rsidRPr="00C024D7">
        <w:rPr>
          <w:lang w:val="en-US"/>
        </w:rPr>
        <w:t xml:space="preserve">, approximately 50% of the recommended daily dosage. Furthermore, the DPPH IC50 value determined in OLV-VS was 0.10 mg/g, affirming the functional potential of the formulated vegetable sauce. </w:t>
      </w:r>
    </w:p>
    <w:p w14:paraId="2395E48D" w14:textId="31527EAD" w:rsidR="00FD13B0" w:rsidRDefault="0068135B" w:rsidP="00ED2EE8">
      <w:pPr>
        <w:spacing w:before="300" w:after="300"/>
        <w:ind w:right="3969"/>
        <w:rPr>
          <w:bCs/>
          <w:sz w:val="18"/>
          <w:szCs w:val="18"/>
          <w:lang w:val="en-US"/>
        </w:rPr>
      </w:pPr>
      <w:r>
        <w:rPr>
          <w:bCs/>
          <w:i/>
          <w:iCs/>
          <w:noProof/>
          <w:sz w:val="18"/>
          <w:szCs w:val="18"/>
          <w:lang w:val="en-US"/>
        </w:rPr>
        <w:drawing>
          <wp:anchor distT="0" distB="0" distL="114300" distR="114300" simplePos="0" relativeHeight="251663360" behindDoc="0" locked="0" layoutInCell="1" allowOverlap="1" wp14:anchorId="2A01567B" wp14:editId="3B8E5AA4">
            <wp:simplePos x="0" y="0"/>
            <wp:positionH relativeFrom="margin">
              <wp:align>right</wp:align>
            </wp:positionH>
            <wp:positionV relativeFrom="margin">
              <wp:posOffset>4244975</wp:posOffset>
            </wp:positionV>
            <wp:extent cx="1772920" cy="1096010"/>
            <wp:effectExtent l="0" t="0" r="0" b="8890"/>
            <wp:wrapSquare wrapText="bothSides"/>
            <wp:docPr id="19118901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89018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72920" cy="1096010"/>
                    </a:xfrm>
                    <a:prstGeom prst="rect">
                      <a:avLst/>
                    </a:prstGeom>
                    <a:noFill/>
                  </pic:spPr>
                </pic:pic>
              </a:graphicData>
            </a:graphic>
            <wp14:sizeRelH relativeFrom="margin">
              <wp14:pctWidth>0</wp14:pctWidth>
            </wp14:sizeRelH>
            <wp14:sizeRelV relativeFrom="margin">
              <wp14:pctHeight>0</wp14:pctHeight>
            </wp14:sizeRelV>
          </wp:anchor>
        </w:drawing>
      </w:r>
      <w:r w:rsidR="0077529F" w:rsidRPr="00ED2EE8">
        <w:rPr>
          <w:b/>
          <w:noProof/>
          <w:sz w:val="18"/>
          <w:szCs w:val="18"/>
          <w:lang w:val="en-US"/>
        </w:rPr>
        <w:drawing>
          <wp:anchor distT="0" distB="0" distL="114300" distR="114300" simplePos="0" relativeHeight="251662336" behindDoc="0" locked="0" layoutInCell="1" allowOverlap="1" wp14:anchorId="7855FD50" wp14:editId="4BF90B6E">
            <wp:simplePos x="0" y="0"/>
            <wp:positionH relativeFrom="page">
              <wp:posOffset>3392170</wp:posOffset>
            </wp:positionH>
            <wp:positionV relativeFrom="margin">
              <wp:posOffset>4195813</wp:posOffset>
            </wp:positionV>
            <wp:extent cx="1670050" cy="1109980"/>
            <wp:effectExtent l="0" t="0" r="6350" b="0"/>
            <wp:wrapSquare wrapText="bothSides"/>
            <wp:docPr id="4770787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078720" name="Picture 1"/>
                    <pic:cNvPicPr/>
                  </pic:nvPicPr>
                  <pic:blipFill>
                    <a:blip r:embed="rId10" cstate="print">
                      <a:alphaModFix/>
                      <a:extLst>
                        <a:ext uri="{28A0092B-C50C-407E-A947-70E740481C1C}">
                          <a14:useLocalDpi xmlns:a14="http://schemas.microsoft.com/office/drawing/2010/main" val="0"/>
                        </a:ext>
                      </a:extLst>
                    </a:blip>
                    <a:stretch>
                      <a:fillRect/>
                    </a:stretch>
                  </pic:blipFill>
                  <pic:spPr>
                    <a:xfrm>
                      <a:off x="0" y="0"/>
                      <a:ext cx="1670050" cy="1109980"/>
                    </a:xfrm>
                    <a:prstGeom prst="rect">
                      <a:avLst/>
                    </a:prstGeom>
                  </pic:spPr>
                </pic:pic>
              </a:graphicData>
            </a:graphic>
            <wp14:sizeRelH relativeFrom="margin">
              <wp14:pctWidth>0</wp14:pctWidth>
            </wp14:sizeRelH>
            <wp14:sizeRelV relativeFrom="margin">
              <wp14:pctHeight>0</wp14:pctHeight>
            </wp14:sizeRelV>
          </wp:anchor>
        </w:drawing>
      </w:r>
      <w:r w:rsidR="00FB589C" w:rsidRPr="00C024D7">
        <w:rPr>
          <w:b/>
          <w:sz w:val="18"/>
          <w:szCs w:val="18"/>
          <w:lang w:val="en-US"/>
        </w:rPr>
        <w:t>Figure 1</w:t>
      </w:r>
      <w:r w:rsidR="00FB589C" w:rsidRPr="00ED2EE8">
        <w:rPr>
          <w:b/>
          <w:sz w:val="18"/>
          <w:szCs w:val="18"/>
          <w:lang w:val="en-US"/>
        </w:rPr>
        <w:t xml:space="preserve"> </w:t>
      </w:r>
      <w:r w:rsidR="00FB589C" w:rsidRPr="00ED2EE8">
        <w:rPr>
          <w:b/>
          <w:sz w:val="18"/>
          <w:szCs w:val="18"/>
          <w:lang w:val="en-US"/>
        </w:rPr>
        <w:tab/>
      </w:r>
      <w:r w:rsidR="00A42356" w:rsidRPr="00ED2EE8">
        <w:rPr>
          <w:bCs/>
          <w:i/>
          <w:iCs/>
          <w:sz w:val="18"/>
          <w:szCs w:val="18"/>
          <w:lang w:val="en-US"/>
        </w:rPr>
        <w:t>Chromatogram from</w:t>
      </w:r>
      <w:r w:rsidR="00ED2EE8">
        <w:rPr>
          <w:bCs/>
          <w:i/>
          <w:iCs/>
          <w:sz w:val="18"/>
          <w:szCs w:val="18"/>
          <w:lang w:val="en-US"/>
        </w:rPr>
        <w:t xml:space="preserve"> </w:t>
      </w:r>
      <w:r w:rsidR="00A42356" w:rsidRPr="00ED2EE8">
        <w:rPr>
          <w:bCs/>
          <w:i/>
          <w:iCs/>
          <w:sz w:val="18"/>
          <w:szCs w:val="18"/>
          <w:lang w:val="en-US"/>
        </w:rPr>
        <w:t>HPLC for Oleuropein</w:t>
      </w:r>
      <w:r w:rsidR="00ED2EE8">
        <w:rPr>
          <w:bCs/>
          <w:sz w:val="18"/>
          <w:szCs w:val="18"/>
          <w:lang w:val="en-US"/>
        </w:rPr>
        <w:t xml:space="preserve"> content in OLV-VS</w:t>
      </w:r>
      <w:r w:rsidR="00C72C3F">
        <w:rPr>
          <w:bCs/>
          <w:sz w:val="18"/>
          <w:szCs w:val="18"/>
          <w:lang w:val="en-US"/>
        </w:rPr>
        <w:t xml:space="preserve"> at 240 nm</w:t>
      </w:r>
    </w:p>
    <w:p w14:paraId="67DB1DCD" w14:textId="013282AB" w:rsidR="00170ECA" w:rsidRPr="00C63A8D" w:rsidRDefault="00ED2EE8" w:rsidP="00C63A8D">
      <w:pPr>
        <w:pStyle w:val="BodyTextIndent3"/>
        <w:ind w:left="0"/>
        <w:jc w:val="both"/>
        <w:rPr>
          <w:bCs/>
          <w:i/>
          <w:iCs/>
          <w:lang w:val="en-US"/>
        </w:rPr>
      </w:pPr>
      <w:r w:rsidRPr="00ED2EE8">
        <w:rPr>
          <w:b/>
          <w:sz w:val="18"/>
          <w:szCs w:val="18"/>
          <w:lang w:val="en-US"/>
        </w:rPr>
        <w:t xml:space="preserve">Figure 2 </w:t>
      </w:r>
      <w:r w:rsidRPr="00ED2EE8">
        <w:rPr>
          <w:bCs/>
          <w:i/>
          <w:iCs/>
          <w:sz w:val="18"/>
          <w:szCs w:val="18"/>
          <w:lang w:val="en-US"/>
        </w:rPr>
        <w:t>Relation between recommended daily dose of HY&amp;Der and provided by OLV-</w:t>
      </w:r>
      <w:r w:rsidRPr="00ED2EE8">
        <w:rPr>
          <w:bCs/>
          <w:i/>
          <w:iCs/>
          <w:lang w:val="en-US"/>
        </w:rPr>
        <w:t xml:space="preserve">VS  </w:t>
      </w:r>
    </w:p>
    <w:p w14:paraId="660866D7" w14:textId="77777777" w:rsidR="00170ECA" w:rsidRDefault="00170ECA" w:rsidP="001E7EAA">
      <w:pPr>
        <w:rPr>
          <w:b/>
          <w:bCs/>
          <w:sz w:val="24"/>
          <w:lang w:val="en-US"/>
        </w:rPr>
      </w:pPr>
    </w:p>
    <w:p w14:paraId="4DC933D4" w14:textId="77777777" w:rsidR="00993C3E" w:rsidRDefault="00993C3E" w:rsidP="001E7EAA">
      <w:pPr>
        <w:rPr>
          <w:b/>
          <w:bCs/>
          <w:sz w:val="24"/>
          <w:lang w:val="en-US"/>
        </w:rPr>
      </w:pPr>
    </w:p>
    <w:p w14:paraId="708019DA" w14:textId="1104FE14" w:rsidR="00733BCF" w:rsidRPr="00C024D7" w:rsidRDefault="001E7EAA" w:rsidP="000D2AD0">
      <w:pPr>
        <w:pStyle w:val="Heading2"/>
        <w:spacing w:before="240" w:after="120"/>
        <w:jc w:val="both"/>
        <w:rPr>
          <w:b/>
          <w:bCs/>
          <w:sz w:val="24"/>
          <w:lang w:val="en-US"/>
        </w:rPr>
      </w:pPr>
      <w:r w:rsidRPr="00C024D7">
        <w:rPr>
          <w:b/>
          <w:bCs/>
          <w:sz w:val="24"/>
          <w:lang w:val="en-US"/>
        </w:rPr>
        <w:t>3.3 Antioxidant effect on the vegetable sauce shelf life</w:t>
      </w:r>
    </w:p>
    <w:p w14:paraId="230CD222" w14:textId="7F865770" w:rsidR="001E7EAA" w:rsidRPr="00C024D7" w:rsidRDefault="001E7EAA" w:rsidP="001E7EAA">
      <w:pPr>
        <w:rPr>
          <w:lang w:val="en-US"/>
        </w:rPr>
      </w:pPr>
    </w:p>
    <w:p w14:paraId="41EB0067" w14:textId="5E50B5EF" w:rsidR="001E7EAA" w:rsidRPr="001E7EAA" w:rsidRDefault="00170ECA" w:rsidP="00AE36BC">
      <w:pPr>
        <w:jc w:val="both"/>
        <w:rPr>
          <w:lang w:val="en-US"/>
        </w:rPr>
      </w:pPr>
      <w:r>
        <w:rPr>
          <w:lang w:val="en-US"/>
        </w:rPr>
        <w:t>M</w:t>
      </w:r>
      <w:r w:rsidR="001E7EAA" w:rsidRPr="001E7EAA">
        <w:rPr>
          <w:lang w:val="en-US"/>
        </w:rPr>
        <w:t xml:space="preserve">easurement of the PV can help to estimate the oxidation stage. The oven test represents an accelerated method frequently used to test autoxidation in oils and fats under medium high temperatures. Results of the oven test </w:t>
      </w:r>
      <w:r w:rsidR="00B0538A" w:rsidRPr="00C024D7">
        <w:rPr>
          <w:lang w:val="en-US"/>
        </w:rPr>
        <w:t>conducted</w:t>
      </w:r>
      <w:r w:rsidR="001E7EAA" w:rsidRPr="001E7EAA">
        <w:rPr>
          <w:lang w:val="en-US"/>
        </w:rPr>
        <w:t xml:space="preserve"> in this research are shown in Figure 5.                                                                     </w:t>
      </w:r>
    </w:p>
    <w:p w14:paraId="63656397" w14:textId="32B62D1C" w:rsidR="00B2060B" w:rsidRPr="00C820EB" w:rsidRDefault="001E7EAA" w:rsidP="00C820EB">
      <w:pPr>
        <w:jc w:val="both"/>
        <w:rPr>
          <w:lang w:val="en-US"/>
        </w:rPr>
      </w:pPr>
      <w:r w:rsidRPr="001E7EAA">
        <w:rPr>
          <w:lang w:val="en-US"/>
        </w:rPr>
        <w:t xml:space="preserve">OLV-VS showed oxidation stability higher than the control. Specifically, </w:t>
      </w:r>
      <w:r w:rsidR="00B0538A" w:rsidRPr="00C024D7">
        <w:rPr>
          <w:lang w:val="en-US"/>
        </w:rPr>
        <w:t>extraordinarily slight change</w:t>
      </w:r>
      <w:r w:rsidRPr="001E7EAA">
        <w:rPr>
          <w:lang w:val="en-US"/>
        </w:rPr>
        <w:t xml:space="preserve"> in PV was observed for OLV-VS (from 1.9 to 4.7 meqO</w:t>
      </w:r>
      <w:r w:rsidRPr="001E7EAA">
        <w:rPr>
          <w:vertAlign w:val="subscript"/>
          <w:lang w:val="en-US"/>
        </w:rPr>
        <w:t>2</w:t>
      </w:r>
      <w:r w:rsidRPr="001E7EAA">
        <w:rPr>
          <w:lang w:val="en-US"/>
        </w:rPr>
        <w:t>/kg) in 60 days, against the PV increase (from 2.0 to 30.1 meqO</w:t>
      </w:r>
      <w:r w:rsidRPr="001E7EAA">
        <w:rPr>
          <w:vertAlign w:val="subscript"/>
          <w:lang w:val="en-US"/>
        </w:rPr>
        <w:t>2</w:t>
      </w:r>
      <w:r w:rsidRPr="001E7EAA">
        <w:rPr>
          <w:lang w:val="en-US"/>
        </w:rPr>
        <w:t>/</w:t>
      </w:r>
      <w:r w:rsidR="00906F8C">
        <w:rPr>
          <w:lang w:val="en-US"/>
        </w:rPr>
        <w:t>K</w:t>
      </w:r>
      <w:r w:rsidRPr="001E7EAA">
        <w:rPr>
          <w:lang w:val="en-US"/>
        </w:rPr>
        <w:t>g), observed in VS</w:t>
      </w:r>
      <w:r w:rsidR="00C024D7">
        <w:rPr>
          <w:lang w:val="en-US"/>
        </w:rPr>
        <w:t>-</w:t>
      </w:r>
      <w:r w:rsidRPr="001E7EAA">
        <w:rPr>
          <w:lang w:val="en-US"/>
        </w:rPr>
        <w:t xml:space="preserve">AV (control).Therefore, OLV, </w:t>
      </w:r>
      <w:r w:rsidR="00C024D7" w:rsidRPr="001E7EAA">
        <w:rPr>
          <w:lang w:val="en-US"/>
        </w:rPr>
        <w:t>thanks to</w:t>
      </w:r>
      <w:r w:rsidRPr="001E7EAA">
        <w:rPr>
          <w:lang w:val="en-US"/>
        </w:rPr>
        <w:t xml:space="preserve"> its phenolic component, </w:t>
      </w:r>
      <w:r w:rsidR="00C024D7" w:rsidRPr="001E7EAA">
        <w:rPr>
          <w:lang w:val="en-US"/>
        </w:rPr>
        <w:t>has proven</w:t>
      </w:r>
      <w:r w:rsidRPr="001E7EAA">
        <w:rPr>
          <w:lang w:val="en-US"/>
        </w:rPr>
        <w:t xml:space="preserve"> to be a good antioxidant agent for the sauce. </w:t>
      </w:r>
      <w:r w:rsidRPr="001E7EAA">
        <w:rPr>
          <w:b/>
          <w:bCs/>
          <w:lang w:val="en-US"/>
        </w:rPr>
        <w:t xml:space="preserve">                                      </w:t>
      </w:r>
    </w:p>
    <w:p w14:paraId="75C74BFE" w14:textId="36F9AEBB" w:rsidR="002C35EE" w:rsidRPr="00037B0D" w:rsidRDefault="008274AD" w:rsidP="00037B0D">
      <w:pPr>
        <w:spacing w:before="300" w:after="300"/>
        <w:ind w:right="3969"/>
        <w:jc w:val="both"/>
        <w:rPr>
          <w:bCs/>
          <w:i/>
          <w:iCs/>
          <w:sz w:val="18"/>
          <w:szCs w:val="18"/>
          <w:lang w:val="en-US"/>
        </w:rPr>
      </w:pPr>
      <w:r>
        <w:rPr>
          <w:bCs/>
          <w:i/>
          <w:iCs/>
          <w:noProof/>
          <w:sz w:val="18"/>
          <w:szCs w:val="18"/>
          <w:lang w:val="en-US"/>
        </w:rPr>
        <w:drawing>
          <wp:anchor distT="0" distB="0" distL="114300" distR="114300" simplePos="0" relativeHeight="251661312" behindDoc="0" locked="0" layoutInCell="1" allowOverlap="1" wp14:anchorId="229732F4" wp14:editId="053ED8C4">
            <wp:simplePos x="0" y="0"/>
            <wp:positionH relativeFrom="margin">
              <wp:posOffset>3529965</wp:posOffset>
            </wp:positionH>
            <wp:positionV relativeFrom="margin">
              <wp:posOffset>6985635</wp:posOffset>
            </wp:positionV>
            <wp:extent cx="998220" cy="642620"/>
            <wp:effectExtent l="0" t="0" r="0" b="5080"/>
            <wp:wrapSquare wrapText="bothSides"/>
            <wp:docPr id="14953193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8220" cy="642620"/>
                    </a:xfrm>
                    <a:prstGeom prst="rect">
                      <a:avLst/>
                    </a:prstGeom>
                    <a:noFill/>
                  </pic:spPr>
                </pic:pic>
              </a:graphicData>
            </a:graphic>
            <wp14:sizeRelH relativeFrom="margin">
              <wp14:pctWidth>0</wp14:pctWidth>
            </wp14:sizeRelH>
            <wp14:sizeRelV relativeFrom="margin">
              <wp14:pctHeight>0</wp14:pctHeight>
            </wp14:sizeRelV>
          </wp:anchor>
        </w:drawing>
      </w:r>
      <w:r w:rsidR="005E1F4A" w:rsidRPr="00AE36BC">
        <w:rPr>
          <w:b/>
          <w:sz w:val="18"/>
          <w:szCs w:val="18"/>
          <w:lang w:val="en-US"/>
        </w:rPr>
        <w:t xml:space="preserve">Figure 3 </w:t>
      </w:r>
      <w:r w:rsidR="00981FDA" w:rsidRPr="00AE36BC">
        <w:rPr>
          <w:bCs/>
          <w:i/>
          <w:iCs/>
          <w:sz w:val="18"/>
          <w:szCs w:val="18"/>
          <w:lang w:val="en-US"/>
        </w:rPr>
        <w:t xml:space="preserve">Variation of Peroxide value </w:t>
      </w:r>
      <w:r w:rsidR="00AE6CBB" w:rsidRPr="00AE36BC">
        <w:rPr>
          <w:bCs/>
          <w:i/>
          <w:iCs/>
          <w:sz w:val="18"/>
          <w:szCs w:val="18"/>
          <w:lang w:val="en-US"/>
        </w:rPr>
        <w:t xml:space="preserve">(PV) </w:t>
      </w:r>
      <w:r w:rsidR="00981FDA" w:rsidRPr="00AE36BC">
        <w:rPr>
          <w:bCs/>
          <w:i/>
          <w:iCs/>
          <w:sz w:val="18"/>
          <w:szCs w:val="18"/>
          <w:lang w:val="en-US"/>
        </w:rPr>
        <w:t xml:space="preserve">measured at 40 °C for 2 months </w:t>
      </w:r>
      <w:r w:rsidR="00AE6CBB" w:rsidRPr="00AE36BC">
        <w:rPr>
          <w:bCs/>
          <w:i/>
          <w:iCs/>
          <w:sz w:val="18"/>
          <w:szCs w:val="18"/>
          <w:lang w:val="en-US"/>
        </w:rPr>
        <w:t xml:space="preserve">in sauce samples prepared with olive leaf vinegar (OLV-VS) and alcoholic vinegar (AV-VS). </w:t>
      </w:r>
    </w:p>
    <w:p w14:paraId="4A28FD62" w14:textId="32580512" w:rsidR="00512D9B" w:rsidRPr="000D2AD0" w:rsidRDefault="00FB589C">
      <w:pPr>
        <w:pStyle w:val="Heading1"/>
        <w:spacing w:before="240" w:after="120"/>
        <w:ind w:right="0"/>
        <w:jc w:val="both"/>
        <w:rPr>
          <w:b/>
          <w:bCs/>
          <w:color w:val="000000"/>
          <w:sz w:val="24"/>
          <w:lang w:val="en-GB"/>
        </w:rPr>
      </w:pPr>
      <w:r w:rsidRPr="000D2AD0">
        <w:rPr>
          <w:b/>
          <w:bCs/>
          <w:color w:val="000000"/>
          <w:sz w:val="24"/>
          <w:lang w:val="en-GB"/>
        </w:rPr>
        <w:t>4. References</w:t>
      </w:r>
    </w:p>
    <w:p w14:paraId="3276C19C" w14:textId="52002CA0" w:rsidR="00B119B0" w:rsidRPr="00234A77" w:rsidRDefault="00B119B0" w:rsidP="00B119B0">
      <w:pPr>
        <w:ind w:left="425" w:hanging="425"/>
        <w:jc w:val="both"/>
        <w:rPr>
          <w:sz w:val="18"/>
          <w:szCs w:val="18"/>
          <w:lang w:val="en-GB"/>
        </w:rPr>
      </w:pPr>
      <w:r w:rsidRPr="00037B0D">
        <w:rPr>
          <w:sz w:val="18"/>
          <w:szCs w:val="18"/>
          <w:lang w:val="en-GB"/>
        </w:rPr>
        <w:t xml:space="preserve">De Leonardis A, Macciola V, Iftikhar A, Lopez F (2022b). </w:t>
      </w:r>
      <w:r w:rsidRPr="00234A77">
        <w:rPr>
          <w:sz w:val="18"/>
          <w:szCs w:val="18"/>
          <w:lang w:val="en-GB"/>
        </w:rPr>
        <w:t>Characterization, Sensory and Oxidative Stability Analysis of Vegetable Mayonnaise Formulated with Olive Leaf Vinegar as an Active Ingredient</w:t>
      </w:r>
      <w:r w:rsidR="00167EF1">
        <w:rPr>
          <w:sz w:val="18"/>
          <w:szCs w:val="18"/>
          <w:lang w:val="en-GB"/>
        </w:rPr>
        <w:t>.</w:t>
      </w:r>
      <w:r w:rsidRPr="00234A77">
        <w:rPr>
          <w:sz w:val="18"/>
          <w:szCs w:val="18"/>
          <w:lang w:val="en-GB"/>
        </w:rPr>
        <w:t xml:space="preserve"> </w:t>
      </w:r>
      <w:r w:rsidRPr="00167EF1">
        <w:rPr>
          <w:i/>
          <w:iCs/>
          <w:sz w:val="18"/>
          <w:szCs w:val="18"/>
          <w:lang w:val="en-GB"/>
        </w:rPr>
        <w:t>Foods</w:t>
      </w:r>
      <w:r w:rsidRPr="00234A77">
        <w:rPr>
          <w:sz w:val="18"/>
          <w:szCs w:val="18"/>
          <w:lang w:val="en-GB"/>
        </w:rPr>
        <w:t xml:space="preserve"> 11(24), 4006.</w:t>
      </w:r>
    </w:p>
    <w:p w14:paraId="10EE593D" w14:textId="22EEE263" w:rsidR="00B119B0" w:rsidRPr="00234A77" w:rsidRDefault="00B119B0" w:rsidP="00B119B0">
      <w:pPr>
        <w:ind w:left="425" w:hanging="425"/>
        <w:jc w:val="both"/>
        <w:rPr>
          <w:sz w:val="18"/>
          <w:szCs w:val="18"/>
          <w:lang w:val="en-GB"/>
        </w:rPr>
      </w:pPr>
      <w:r w:rsidRPr="00037B0D">
        <w:rPr>
          <w:sz w:val="18"/>
          <w:szCs w:val="18"/>
          <w:lang w:val="en-GB"/>
        </w:rPr>
        <w:t xml:space="preserve">De Leonardis A, Macciola V, Iftikhar A, Lopez F, (2022a). </w:t>
      </w:r>
      <w:r w:rsidRPr="00234A77">
        <w:rPr>
          <w:sz w:val="18"/>
          <w:szCs w:val="18"/>
          <w:lang w:val="en-GB"/>
        </w:rPr>
        <w:t>Antioxidant effect of traditional and new vinegars on functional oil/vinegar dressing-based formulations. </w:t>
      </w:r>
      <w:r w:rsidRPr="00167EF1">
        <w:rPr>
          <w:i/>
          <w:iCs/>
          <w:sz w:val="18"/>
          <w:szCs w:val="18"/>
          <w:lang w:val="en-GB"/>
        </w:rPr>
        <w:t>Eur Food Res Technol</w:t>
      </w:r>
      <w:r w:rsidRPr="00234A77">
        <w:rPr>
          <w:sz w:val="18"/>
          <w:szCs w:val="18"/>
          <w:lang w:val="en-GB"/>
        </w:rPr>
        <w:t> 248(6), pp.1573-1582.</w:t>
      </w:r>
    </w:p>
    <w:p w14:paraId="22E22B4A" w14:textId="1ED2E2D8" w:rsidR="00B119B0" w:rsidRPr="00B119B0" w:rsidRDefault="00B119B0" w:rsidP="00B119B0">
      <w:pPr>
        <w:ind w:left="425" w:hanging="425"/>
        <w:jc w:val="both"/>
        <w:rPr>
          <w:sz w:val="18"/>
          <w:szCs w:val="18"/>
          <w:lang w:val="en-GB"/>
        </w:rPr>
      </w:pPr>
      <w:r w:rsidRPr="00234A77">
        <w:rPr>
          <w:sz w:val="18"/>
          <w:szCs w:val="18"/>
          <w:lang w:val="en-GB"/>
        </w:rPr>
        <w:t>E.C. Regulation</w:t>
      </w:r>
      <w:r>
        <w:rPr>
          <w:sz w:val="18"/>
          <w:szCs w:val="18"/>
          <w:lang w:val="en-GB"/>
        </w:rPr>
        <w:t xml:space="preserve"> (</w:t>
      </w:r>
      <w:r w:rsidRPr="00234A77">
        <w:rPr>
          <w:sz w:val="18"/>
          <w:szCs w:val="18"/>
          <w:lang w:val="en-GB"/>
        </w:rPr>
        <w:t>2012</w:t>
      </w:r>
      <w:r>
        <w:rPr>
          <w:sz w:val="18"/>
          <w:szCs w:val="18"/>
          <w:lang w:val="en-GB"/>
        </w:rPr>
        <w:t>)</w:t>
      </w:r>
      <w:r w:rsidRPr="00234A77">
        <w:rPr>
          <w:sz w:val="18"/>
          <w:szCs w:val="18"/>
          <w:lang w:val="en-GB"/>
        </w:rPr>
        <w:t xml:space="preserve"> Establishing a list of permitted health claims made on foods, other than those referring to the reduction of disease risk and to children’s development and health</w:t>
      </w:r>
      <w:r>
        <w:rPr>
          <w:sz w:val="18"/>
          <w:szCs w:val="18"/>
          <w:lang w:val="en-GB"/>
        </w:rPr>
        <w:t xml:space="preserve">, </w:t>
      </w:r>
      <w:r w:rsidRPr="00234A77">
        <w:rPr>
          <w:sz w:val="18"/>
          <w:szCs w:val="18"/>
          <w:lang w:val="en-GB"/>
        </w:rPr>
        <w:t>E.C. No, 432</w:t>
      </w:r>
      <w:r w:rsidR="00F81C3B">
        <w:rPr>
          <w:sz w:val="18"/>
          <w:szCs w:val="18"/>
          <w:lang w:val="en-GB"/>
        </w:rPr>
        <w:t>.</w:t>
      </w:r>
      <w:r>
        <w:rPr>
          <w:sz w:val="18"/>
          <w:szCs w:val="18"/>
          <w:lang w:val="en-GB"/>
        </w:rPr>
        <w:t xml:space="preserve"> </w:t>
      </w:r>
      <w:r w:rsidRPr="00F81C3B">
        <w:rPr>
          <w:i/>
          <w:iCs/>
          <w:sz w:val="18"/>
          <w:szCs w:val="18"/>
          <w:lang w:val="en-GB"/>
        </w:rPr>
        <w:t>Official J. of the Eur. Union</w:t>
      </w:r>
      <w:r w:rsidR="00E2722A">
        <w:rPr>
          <w:sz w:val="18"/>
          <w:szCs w:val="18"/>
          <w:lang w:val="en-GB"/>
        </w:rPr>
        <w:t>,</w:t>
      </w:r>
      <w:r w:rsidRPr="00234A77">
        <w:rPr>
          <w:sz w:val="18"/>
          <w:szCs w:val="18"/>
          <w:lang w:val="en-GB"/>
        </w:rPr>
        <w:t xml:space="preserve"> L136, pp. 1-40</w:t>
      </w:r>
      <w:r>
        <w:rPr>
          <w:sz w:val="18"/>
          <w:szCs w:val="18"/>
          <w:lang w:val="en-GB"/>
        </w:rPr>
        <w:t>.</w:t>
      </w:r>
    </w:p>
    <w:p w14:paraId="013D51E8" w14:textId="34CAB44D" w:rsidR="000D2AD0" w:rsidRDefault="00B119B0" w:rsidP="00037B0D">
      <w:pPr>
        <w:ind w:left="425" w:hanging="425"/>
        <w:jc w:val="both"/>
        <w:rPr>
          <w:sz w:val="18"/>
          <w:szCs w:val="18"/>
          <w:lang w:val="en-GB"/>
        </w:rPr>
      </w:pPr>
      <w:r w:rsidRPr="00037B0D">
        <w:rPr>
          <w:sz w:val="18"/>
          <w:szCs w:val="18"/>
          <w:lang w:val="en-GB"/>
        </w:rPr>
        <w:t>Hadrich F, Chamkha M, Sayadi S (2022) Protective effect of olive leaves phenolic compounds against neurodegenerative disorders: Promising alternative for Alzheimer and Parkinson diseases modulation</w:t>
      </w:r>
      <w:r w:rsidR="00F81C3B">
        <w:rPr>
          <w:sz w:val="18"/>
          <w:szCs w:val="18"/>
          <w:lang w:val="en-GB"/>
        </w:rPr>
        <w:t>.</w:t>
      </w:r>
      <w:r w:rsidRPr="00037B0D">
        <w:rPr>
          <w:sz w:val="18"/>
          <w:szCs w:val="18"/>
          <w:lang w:val="en-GB"/>
        </w:rPr>
        <w:t> </w:t>
      </w:r>
      <w:r w:rsidRPr="00F81C3B">
        <w:rPr>
          <w:i/>
          <w:iCs/>
          <w:sz w:val="18"/>
          <w:szCs w:val="18"/>
          <w:lang w:val="en-GB"/>
        </w:rPr>
        <w:t>Food Chemical Toxicol</w:t>
      </w:r>
      <w:r w:rsidRPr="00037B0D">
        <w:rPr>
          <w:sz w:val="18"/>
          <w:szCs w:val="18"/>
          <w:lang w:val="en-GB"/>
        </w:rPr>
        <w:t> </w:t>
      </w:r>
      <w:r w:rsidRPr="00037B0D">
        <w:rPr>
          <w:b/>
          <w:bCs/>
          <w:sz w:val="18"/>
          <w:szCs w:val="18"/>
          <w:lang w:val="en-GB"/>
        </w:rPr>
        <w:t>159</w:t>
      </w:r>
      <w:r w:rsidRPr="00037B0D">
        <w:rPr>
          <w:sz w:val="18"/>
          <w:szCs w:val="18"/>
          <w:lang w:val="en-GB"/>
        </w:rPr>
        <w:t>, p.112752.</w:t>
      </w:r>
    </w:p>
    <w:p w14:paraId="7B81781B" w14:textId="77777777" w:rsidR="008274AD" w:rsidRPr="00037B0D" w:rsidRDefault="008274AD" w:rsidP="00037B0D">
      <w:pPr>
        <w:ind w:left="425" w:hanging="425"/>
        <w:jc w:val="both"/>
        <w:rPr>
          <w:sz w:val="18"/>
          <w:szCs w:val="18"/>
          <w:lang w:val="en-GB"/>
        </w:rPr>
      </w:pPr>
    </w:p>
    <w:sectPr w:rsidR="008274AD" w:rsidRPr="00037B0D">
      <w:type w:val="continuous"/>
      <w:pgSz w:w="11906" w:h="16838"/>
      <w:pgMar w:top="964" w:right="1134"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111A" w14:textId="77777777" w:rsidR="0059058A" w:rsidRDefault="0059058A">
      <w:r>
        <w:separator/>
      </w:r>
    </w:p>
  </w:endnote>
  <w:endnote w:type="continuationSeparator" w:id="0">
    <w:p w14:paraId="0A1DC595" w14:textId="77777777" w:rsidR="0059058A" w:rsidRDefault="0059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Bitstream Vera Sans">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37C84" w14:textId="77777777" w:rsidR="0059058A" w:rsidRDefault="0059058A">
      <w:r>
        <w:separator/>
      </w:r>
    </w:p>
  </w:footnote>
  <w:footnote w:type="continuationSeparator" w:id="0">
    <w:p w14:paraId="62ABA877" w14:textId="77777777" w:rsidR="0059058A" w:rsidRDefault="00590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52D83"/>
    <w:multiLevelType w:val="multilevel"/>
    <w:tmpl w:val="65365E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4376859"/>
    <w:multiLevelType w:val="multilevel"/>
    <w:tmpl w:val="DA849304"/>
    <w:lvl w:ilvl="0">
      <w:start w:val="1"/>
      <w:numFmt w:val="lowerLetter"/>
      <w:lvlText w:val="%1)"/>
      <w:lvlJc w:val="left"/>
      <w:pPr>
        <w:tabs>
          <w:tab w:val="num" w:pos="927"/>
        </w:tabs>
        <w:ind w:left="927"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6A17757"/>
    <w:multiLevelType w:val="multilevel"/>
    <w:tmpl w:val="166438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decimal"/>
      <w:pStyle w:val="Heading7"/>
      <w:lvlText w:val="%7"/>
      <w:lvlJc w:val="left"/>
      <w:pPr>
        <w:tabs>
          <w:tab w:val="num" w:pos="1296"/>
        </w:tabs>
        <w:ind w:left="1296" w:hanging="1296"/>
      </w:pPr>
    </w:lvl>
    <w:lvl w:ilvl="7">
      <w:start w:val="1"/>
      <w:numFmt w:val="decimal"/>
      <w:pStyle w:val="Heading8"/>
      <w:lvlText w:val="%7.%8"/>
      <w:lvlJc w:val="left"/>
      <w:pPr>
        <w:tabs>
          <w:tab w:val="num" w:pos="1440"/>
        </w:tabs>
        <w:ind w:left="1440" w:hanging="1440"/>
      </w:pPr>
    </w:lvl>
    <w:lvl w:ilvl="8">
      <w:start w:val="1"/>
      <w:numFmt w:val="decimal"/>
      <w:pStyle w:val="Heading9"/>
      <w:lvlText w:val="%7.%8.%9"/>
      <w:lvlJc w:val="left"/>
      <w:pPr>
        <w:tabs>
          <w:tab w:val="num" w:pos="1584"/>
        </w:tabs>
        <w:ind w:left="1584" w:hanging="1584"/>
      </w:pPr>
    </w:lvl>
  </w:abstractNum>
  <w:num w:numId="1" w16cid:durableId="208953193">
    <w:abstractNumId w:val="2"/>
  </w:num>
  <w:num w:numId="2" w16cid:durableId="94325258">
    <w:abstractNumId w:val="1"/>
  </w:num>
  <w:num w:numId="3" w16cid:durableId="550844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isplayBackgroundShape/>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D9B"/>
    <w:rsid w:val="000227E3"/>
    <w:rsid w:val="00037B0D"/>
    <w:rsid w:val="00054B46"/>
    <w:rsid w:val="00073FED"/>
    <w:rsid w:val="0009475E"/>
    <w:rsid w:val="000A3874"/>
    <w:rsid w:val="000B410B"/>
    <w:rsid w:val="000D2AD0"/>
    <w:rsid w:val="000F19E8"/>
    <w:rsid w:val="001063E4"/>
    <w:rsid w:val="0013589F"/>
    <w:rsid w:val="00167EF1"/>
    <w:rsid w:val="00170ECA"/>
    <w:rsid w:val="0018143E"/>
    <w:rsid w:val="001A024F"/>
    <w:rsid w:val="001B141C"/>
    <w:rsid w:val="001E04D1"/>
    <w:rsid w:val="001E7EAA"/>
    <w:rsid w:val="00234A77"/>
    <w:rsid w:val="00235FDE"/>
    <w:rsid w:val="00262CCB"/>
    <w:rsid w:val="002B60D3"/>
    <w:rsid w:val="002C35EE"/>
    <w:rsid w:val="002D43FE"/>
    <w:rsid w:val="00321717"/>
    <w:rsid w:val="0035105E"/>
    <w:rsid w:val="00354096"/>
    <w:rsid w:val="003642F2"/>
    <w:rsid w:val="00367017"/>
    <w:rsid w:val="003B32F8"/>
    <w:rsid w:val="003E511C"/>
    <w:rsid w:val="003E5B12"/>
    <w:rsid w:val="00423270"/>
    <w:rsid w:val="00432AC7"/>
    <w:rsid w:val="004D5CCE"/>
    <w:rsid w:val="004E5BF0"/>
    <w:rsid w:val="00512D9B"/>
    <w:rsid w:val="0055570A"/>
    <w:rsid w:val="005601C5"/>
    <w:rsid w:val="00567DD6"/>
    <w:rsid w:val="0059058A"/>
    <w:rsid w:val="005D4A02"/>
    <w:rsid w:val="005E1F4A"/>
    <w:rsid w:val="0068135B"/>
    <w:rsid w:val="00687DC7"/>
    <w:rsid w:val="00691F30"/>
    <w:rsid w:val="00694187"/>
    <w:rsid w:val="00696A39"/>
    <w:rsid w:val="006F3C8C"/>
    <w:rsid w:val="007254D6"/>
    <w:rsid w:val="00733BCF"/>
    <w:rsid w:val="00744070"/>
    <w:rsid w:val="00746B7D"/>
    <w:rsid w:val="0077529F"/>
    <w:rsid w:val="007C7714"/>
    <w:rsid w:val="007E1225"/>
    <w:rsid w:val="007E1A6E"/>
    <w:rsid w:val="008274AD"/>
    <w:rsid w:val="00827972"/>
    <w:rsid w:val="00866440"/>
    <w:rsid w:val="00880642"/>
    <w:rsid w:val="00894AFF"/>
    <w:rsid w:val="008A6350"/>
    <w:rsid w:val="00906F8C"/>
    <w:rsid w:val="009318EF"/>
    <w:rsid w:val="00942B65"/>
    <w:rsid w:val="0097774C"/>
    <w:rsid w:val="0098068D"/>
    <w:rsid w:val="00981FDA"/>
    <w:rsid w:val="009822CF"/>
    <w:rsid w:val="00983883"/>
    <w:rsid w:val="009854CA"/>
    <w:rsid w:val="00991545"/>
    <w:rsid w:val="00993C3E"/>
    <w:rsid w:val="00A17B4B"/>
    <w:rsid w:val="00A36C6D"/>
    <w:rsid w:val="00A42356"/>
    <w:rsid w:val="00A716A9"/>
    <w:rsid w:val="00A75009"/>
    <w:rsid w:val="00AE36BC"/>
    <w:rsid w:val="00AE4158"/>
    <w:rsid w:val="00AE6CBB"/>
    <w:rsid w:val="00B0538A"/>
    <w:rsid w:val="00B07A83"/>
    <w:rsid w:val="00B10A52"/>
    <w:rsid w:val="00B119B0"/>
    <w:rsid w:val="00B2060B"/>
    <w:rsid w:val="00B23466"/>
    <w:rsid w:val="00B57A40"/>
    <w:rsid w:val="00B6019D"/>
    <w:rsid w:val="00B77CE5"/>
    <w:rsid w:val="00B8655A"/>
    <w:rsid w:val="00BF3AD0"/>
    <w:rsid w:val="00C024D7"/>
    <w:rsid w:val="00C254DA"/>
    <w:rsid w:val="00C63A8D"/>
    <w:rsid w:val="00C72C3F"/>
    <w:rsid w:val="00C820EB"/>
    <w:rsid w:val="00C83C5C"/>
    <w:rsid w:val="00CB3CD9"/>
    <w:rsid w:val="00CE04BC"/>
    <w:rsid w:val="00D431EE"/>
    <w:rsid w:val="00D7554D"/>
    <w:rsid w:val="00D76006"/>
    <w:rsid w:val="00D82DF9"/>
    <w:rsid w:val="00DA74E0"/>
    <w:rsid w:val="00DB66C7"/>
    <w:rsid w:val="00DF460C"/>
    <w:rsid w:val="00E2722A"/>
    <w:rsid w:val="00ED2EE8"/>
    <w:rsid w:val="00EE445D"/>
    <w:rsid w:val="00F569FD"/>
    <w:rsid w:val="00F776B4"/>
    <w:rsid w:val="00F81C3B"/>
    <w:rsid w:val="00FB589C"/>
    <w:rsid w:val="00FD13B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12F75"/>
  <w15:docId w15:val="{DF97F53B-F3A8-D34D-B2D7-A644FC2A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Bitstream Vera Sans" w:hAnsi="Liberation Serif" w:cs="FreeSans"/>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Times New Roman" w:eastAsia="Times New Roman" w:hAnsi="Times New Roman" w:cs="Times New Roman"/>
      <w:sz w:val="20"/>
      <w:szCs w:val="20"/>
      <w:lang w:bidi="ar-SA"/>
    </w:rPr>
  </w:style>
  <w:style w:type="paragraph" w:styleId="Heading1">
    <w:name w:val="heading 1"/>
    <w:basedOn w:val="Normal"/>
    <w:next w:val="Normal"/>
    <w:link w:val="Heading1Char"/>
    <w:uiPriority w:val="9"/>
    <w:qFormat/>
    <w:pPr>
      <w:keepNext/>
      <w:shd w:val="clear" w:color="auto" w:fill="FFFFFF"/>
      <w:spacing w:before="820"/>
      <w:ind w:right="320"/>
      <w:jc w:val="center"/>
      <w:outlineLvl w:val="0"/>
    </w:pPr>
    <w:rPr>
      <w:color w:val="850C13"/>
      <w:spacing w:val="-2"/>
      <w:sz w:val="52"/>
      <w:szCs w:val="52"/>
      <w:lang w:val="en-US"/>
    </w:rPr>
  </w:style>
  <w:style w:type="paragraph" w:styleId="Heading2">
    <w:name w:val="heading 2"/>
    <w:basedOn w:val="Normal"/>
    <w:next w:val="Normal"/>
    <w:uiPriority w:val="9"/>
    <w:unhideWhenUsed/>
    <w:qFormat/>
    <w:pPr>
      <w:keepNext/>
      <w:outlineLvl w:val="1"/>
    </w:pPr>
    <w:rPr>
      <w:sz w:val="32"/>
    </w:rPr>
  </w:style>
  <w:style w:type="paragraph" w:styleId="Heading3">
    <w:name w:val="heading 3"/>
    <w:basedOn w:val="Normal"/>
    <w:next w:val="Normal"/>
    <w:uiPriority w:val="9"/>
    <w:unhideWhenUsed/>
    <w:qFormat/>
    <w:pPr>
      <w:keepNext/>
      <w:outlineLvl w:val="2"/>
    </w:pPr>
    <w:rPr>
      <w:sz w:val="28"/>
      <w:lang w:val="en-US"/>
    </w:rPr>
  </w:style>
  <w:style w:type="paragraph" w:styleId="Heading4">
    <w:name w:val="heading 4"/>
    <w:basedOn w:val="Normal"/>
    <w:next w:val="Normal"/>
    <w:uiPriority w:val="9"/>
    <w:semiHidden/>
    <w:unhideWhenUsed/>
    <w:qFormat/>
    <w:pPr>
      <w:keepNext/>
      <w:widowControl/>
      <w:outlineLvl w:val="3"/>
    </w:pPr>
    <w:rPr>
      <w:color w:val="000000"/>
      <w:sz w:val="24"/>
    </w:rPr>
  </w:style>
  <w:style w:type="paragraph" w:styleId="Heading5">
    <w:name w:val="heading 5"/>
    <w:basedOn w:val="Normal"/>
    <w:next w:val="Normal"/>
    <w:uiPriority w:val="9"/>
    <w:semiHidden/>
    <w:unhideWhenUsed/>
    <w:qFormat/>
    <w:pPr>
      <w:keepNext/>
      <w:spacing w:line="684" w:lineRule="exact"/>
      <w:textAlignment w:val="baseline"/>
      <w:outlineLvl w:val="4"/>
    </w:pPr>
    <w:rPr>
      <w:color w:val="000000"/>
      <w:sz w:val="72"/>
      <w:vertAlign w:val="subscript"/>
    </w:rPr>
  </w:style>
  <w:style w:type="paragraph" w:styleId="Heading6">
    <w:name w:val="heading 6"/>
    <w:basedOn w:val="Normal"/>
    <w:next w:val="Normal"/>
    <w:uiPriority w:val="9"/>
    <w:semiHidden/>
    <w:unhideWhenUsed/>
    <w:qFormat/>
    <w:pPr>
      <w:keepNext/>
      <w:spacing w:line="684" w:lineRule="exact"/>
      <w:textAlignment w:val="baseline"/>
      <w:outlineLvl w:val="5"/>
    </w:pPr>
    <w:rPr>
      <w:b/>
      <w:bCs/>
      <w:color w:val="4D4D4D"/>
      <w:sz w:val="72"/>
      <w:szCs w:val="40"/>
      <w:vertAlign w:val="subscript"/>
    </w:rPr>
  </w:style>
  <w:style w:type="paragraph" w:styleId="Heading7">
    <w:name w:val="heading 7"/>
    <w:basedOn w:val="Normal"/>
    <w:next w:val="Normal"/>
    <w:qFormat/>
    <w:pPr>
      <w:widowControl/>
      <w:numPr>
        <w:ilvl w:val="6"/>
        <w:numId w:val="1"/>
      </w:numPr>
      <w:spacing w:before="240" w:after="60" w:line="264" w:lineRule="auto"/>
      <w:jc w:val="both"/>
      <w:outlineLvl w:val="6"/>
    </w:pPr>
    <w:rPr>
      <w:rFonts w:ascii="Arial" w:hAnsi="Arial" w:cs="Arial"/>
      <w:kern w:val="2"/>
      <w:lang w:val="nl-NL"/>
    </w:rPr>
  </w:style>
  <w:style w:type="paragraph" w:styleId="Heading8">
    <w:name w:val="heading 8"/>
    <w:basedOn w:val="Normal"/>
    <w:next w:val="Normal"/>
    <w:qFormat/>
    <w:pPr>
      <w:widowControl/>
      <w:numPr>
        <w:ilvl w:val="7"/>
        <w:numId w:val="1"/>
      </w:numPr>
      <w:spacing w:before="240" w:after="60" w:line="264" w:lineRule="auto"/>
      <w:jc w:val="both"/>
      <w:outlineLvl w:val="7"/>
    </w:pPr>
    <w:rPr>
      <w:rFonts w:ascii="Arial" w:hAnsi="Arial" w:cs="Arial"/>
      <w:i/>
      <w:kern w:val="2"/>
      <w:lang w:val="nl-NL"/>
    </w:rPr>
  </w:style>
  <w:style w:type="paragraph" w:styleId="Heading9">
    <w:name w:val="heading 9"/>
    <w:basedOn w:val="Normal"/>
    <w:next w:val="Normal"/>
    <w:qFormat/>
    <w:pPr>
      <w:widowControl/>
      <w:numPr>
        <w:ilvl w:val="8"/>
        <w:numId w:val="1"/>
      </w:numPr>
      <w:spacing w:before="240" w:after="60" w:line="264" w:lineRule="auto"/>
      <w:jc w:val="both"/>
      <w:outlineLvl w:val="8"/>
    </w:pPr>
    <w:rPr>
      <w:rFonts w:ascii="Arial" w:hAnsi="Arial" w:cs="Arial"/>
      <w:i/>
      <w:kern w:val="2"/>
      <w:sz w:val="1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2z0">
    <w:name w:val="WW8Num12z0"/>
    <w:qFormat/>
    <w:rPr>
      <w:sz w:val="24"/>
    </w:rPr>
  </w:style>
  <w:style w:type="character" w:customStyle="1" w:styleId="WW8Num13z0">
    <w:name w:val="WW8Num13z0"/>
    <w:qFormat/>
    <w:rPr>
      <w:sz w:val="24"/>
    </w:rPr>
  </w:style>
  <w:style w:type="character" w:customStyle="1" w:styleId="WW8Num13z1">
    <w:name w:val="WW8Num13z1"/>
    <w:qFormat/>
    <w:rPr>
      <w:rFonts w:ascii="Times New Roman" w:hAnsi="Times New Roman" w:cs="Times New Roman"/>
      <w:b/>
      <w:i w:val="0"/>
      <w:sz w:val="22"/>
    </w:rPr>
  </w:style>
  <w:style w:type="character" w:customStyle="1" w:styleId="WW8Num13z2">
    <w:name w:val="WW8Num13z2"/>
    <w:qFormat/>
    <w:rPr>
      <w:rFonts w:ascii="Times New Roman" w:hAnsi="Times New Roman" w:cs="Times New Roman"/>
      <w:b w:val="0"/>
      <w:i/>
      <w:sz w:val="24"/>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CommentReference">
    <w:name w:val="annotation reference"/>
    <w:qFormat/>
    <w:rPr>
      <w:sz w:val="16"/>
      <w:szCs w:val="16"/>
    </w:rPr>
  </w:style>
  <w:style w:type="character" w:customStyle="1" w:styleId="CollegamentoInternet">
    <w:name w:val="Collegamento Internet"/>
    <w:rPr>
      <w:color w:val="0000FF"/>
      <w:u w:val="single"/>
    </w:rPr>
  </w:style>
  <w:style w:type="character" w:customStyle="1" w:styleId="TestonotaapidipaginaCarattere">
    <w:name w:val="Testo nota a piè di pagina Carattere"/>
    <w:qFormat/>
    <w:rPr>
      <w:sz w:val="24"/>
      <w:szCs w:val="24"/>
      <w:lang w:val="it-IT"/>
    </w:rPr>
  </w:style>
  <w:style w:type="character" w:customStyle="1" w:styleId="Caratterinotaapidipagina">
    <w:name w:val="Caratteri nota a piè di pagina"/>
    <w:qFormat/>
    <w:rPr>
      <w:vertAlign w:val="superscript"/>
    </w:rPr>
  </w:style>
  <w:style w:type="character" w:customStyle="1" w:styleId="Richiamoallanotaapidipagina">
    <w:name w:val="Richiamo alla nota a piè di pagina"/>
    <w:rPr>
      <w:vertAlign w:val="superscript"/>
    </w:rPr>
  </w:style>
  <w:style w:type="character" w:customStyle="1" w:styleId="Caratterinotadichiusura">
    <w:name w:val="Caratteri nota di chiusura"/>
    <w:qFormat/>
    <w:rPr>
      <w:vertAlign w:val="superscript"/>
    </w:rPr>
  </w:style>
  <w:style w:type="character" w:customStyle="1" w:styleId="WW-Caratterinotadichiusura">
    <w:name w:val="WW-Caratteri nota di chiusura"/>
    <w:qFormat/>
  </w:style>
  <w:style w:type="character" w:customStyle="1" w:styleId="Richiamoallanotadichiusura">
    <w:name w:val="Richiamo alla nota di chiusura"/>
    <w:rPr>
      <w:vertAlign w:val="superscript"/>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sz w:val="24"/>
    </w:rPr>
  </w:style>
  <w:style w:type="character" w:customStyle="1" w:styleId="ListLabel7">
    <w:name w:val="ListLabel 7"/>
    <w:qFormat/>
    <w:rPr>
      <w:sz w:val="24"/>
    </w:rPr>
  </w:style>
  <w:style w:type="character" w:customStyle="1" w:styleId="ListLabel8">
    <w:name w:val="ListLabel 8"/>
    <w:qFormat/>
    <w:rPr>
      <w:sz w:val="24"/>
    </w:rPr>
  </w:style>
  <w:style w:type="character" w:customStyle="1" w:styleId="ListLabel9">
    <w:name w:val="ListLabel 9"/>
    <w:qFormat/>
    <w:rPr>
      <w:sz w:val="24"/>
    </w:rPr>
  </w:style>
  <w:style w:type="character" w:customStyle="1" w:styleId="ListLabel10">
    <w:name w:val="ListLabel 10"/>
    <w:qFormat/>
    <w:rPr>
      <w:sz w:val="24"/>
    </w:rPr>
  </w:style>
  <w:style w:type="character" w:customStyle="1" w:styleId="ListLabel11">
    <w:name w:val="ListLabel 11"/>
    <w:qFormat/>
    <w:rPr>
      <w:sz w:val="24"/>
    </w:rPr>
  </w:style>
  <w:style w:type="character" w:customStyle="1" w:styleId="ListLabel12">
    <w:name w:val="ListLabel 12"/>
    <w:qFormat/>
    <w:rPr>
      <w:sz w:val="24"/>
    </w:rPr>
  </w:style>
  <w:style w:type="character" w:customStyle="1" w:styleId="ListLabel13">
    <w:name w:val="ListLabel 13"/>
    <w:qFormat/>
    <w:rPr>
      <w:sz w:val="24"/>
    </w:rPr>
  </w:style>
  <w:style w:type="character" w:customStyle="1" w:styleId="ListLabel14">
    <w:name w:val="ListLabel 14"/>
    <w:qFormat/>
    <w:rPr>
      <w:sz w:val="24"/>
    </w:rPr>
  </w:style>
  <w:style w:type="character" w:customStyle="1" w:styleId="ListLabel15">
    <w:name w:val="ListLabel 15"/>
    <w:qFormat/>
    <w:rPr>
      <w:sz w:val="24"/>
    </w:rPr>
  </w:style>
  <w:style w:type="character" w:customStyle="1" w:styleId="CollegamentoInternetvisitato">
    <w:name w:val="Collegamento Internet visitato"/>
    <w:rPr>
      <w:color w:val="800000"/>
      <w:u w:val="single"/>
    </w:rPr>
  </w:style>
  <w:style w:type="paragraph" w:styleId="Title">
    <w:name w:val="Title"/>
    <w:basedOn w:val="Normal"/>
    <w:next w:val="Normal"/>
    <w:uiPriority w:val="10"/>
    <w:qFormat/>
    <w:pPr>
      <w:widowControl/>
      <w:spacing w:before="720" w:after="120" w:line="264" w:lineRule="auto"/>
      <w:jc w:val="center"/>
    </w:pPr>
    <w:rPr>
      <w:b/>
      <w:kern w:val="2"/>
      <w:sz w:val="28"/>
      <w:lang w:val="nl-NL"/>
    </w:rPr>
  </w:style>
  <w:style w:type="paragraph" w:styleId="BodyText">
    <w:name w:val="Body Text"/>
    <w:basedOn w:val="Normal"/>
    <w:rPr>
      <w:i/>
      <w:iCs/>
      <w:sz w:val="32"/>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ice">
    <w:name w:val="Indice"/>
    <w:basedOn w:val="Normal"/>
    <w:qFormat/>
    <w:pPr>
      <w:suppressLineNumbers/>
    </w:pPr>
    <w:rPr>
      <w:rFonts w:cs="FreeSans"/>
    </w:rPr>
  </w:style>
  <w:style w:type="paragraph" w:styleId="BodyText2">
    <w:name w:val="Body Text 2"/>
    <w:basedOn w:val="Normal"/>
    <w:qFormat/>
    <w:pPr>
      <w:shd w:val="clear" w:color="auto" w:fill="FFFFFF"/>
    </w:pPr>
    <w:rPr>
      <w:b/>
      <w:bCs/>
      <w:i/>
      <w:iCs/>
      <w:sz w:val="28"/>
    </w:rPr>
  </w:style>
  <w:style w:type="paragraph" w:styleId="BodyText3">
    <w:name w:val="Body Text 3"/>
    <w:basedOn w:val="Normal"/>
    <w:qFormat/>
    <w:pPr>
      <w:jc w:val="center"/>
    </w:pPr>
    <w:rPr>
      <w:sz w:val="36"/>
    </w:rPr>
  </w:style>
  <w:style w:type="paragraph" w:customStyle="1" w:styleId="NumberedList">
    <w:name w:val="Numbered List"/>
    <w:basedOn w:val="Normal"/>
    <w:qFormat/>
    <w:pPr>
      <w:widowControl/>
      <w:spacing w:line="264" w:lineRule="auto"/>
      <w:jc w:val="both"/>
    </w:pPr>
    <w:rPr>
      <w:kern w:val="2"/>
      <w:lang w:val="en-GB"/>
    </w:rPr>
  </w:style>
  <w:style w:type="paragraph" w:customStyle="1" w:styleId="paragrafo">
    <w:name w:val="paragrafo"/>
    <w:basedOn w:val="Normal"/>
    <w:qFormat/>
    <w:pPr>
      <w:widowControl/>
      <w:spacing w:line="360" w:lineRule="auto"/>
      <w:ind w:firstLine="567"/>
      <w:jc w:val="both"/>
      <w:textAlignment w:val="baseline"/>
    </w:pPr>
    <w:rPr>
      <w:color w:val="000000"/>
      <w:sz w:val="24"/>
    </w:rPr>
  </w:style>
  <w:style w:type="paragraph" w:styleId="ListNumber">
    <w:name w:val="List Number"/>
    <w:basedOn w:val="Normal"/>
    <w:qFormat/>
    <w:pPr>
      <w:widowControl/>
      <w:textAlignment w:val="baseline"/>
    </w:pPr>
  </w:style>
  <w:style w:type="paragraph" w:styleId="ListNumber2">
    <w:name w:val="List Number 2"/>
    <w:basedOn w:val="Normal"/>
    <w:qFormat/>
    <w:pPr>
      <w:widowControl/>
      <w:textAlignment w:val="baseline"/>
    </w:pPr>
  </w:style>
  <w:style w:type="paragraph" w:styleId="ListNumber3">
    <w:name w:val="List Number 3"/>
    <w:basedOn w:val="Normal"/>
    <w:qFormat/>
    <w:pPr>
      <w:widowControl/>
      <w:textAlignment w:val="baseline"/>
    </w:pPr>
  </w:style>
  <w:style w:type="paragraph" w:styleId="ListNumber4">
    <w:name w:val="List Number 4"/>
    <w:basedOn w:val="Normal"/>
    <w:qFormat/>
    <w:pPr>
      <w:widowControl/>
      <w:textAlignment w:val="baseline"/>
    </w:pPr>
  </w:style>
  <w:style w:type="paragraph" w:styleId="ListNumber5">
    <w:name w:val="List Number 5"/>
    <w:basedOn w:val="Normal"/>
    <w:qFormat/>
    <w:pPr>
      <w:widowControl/>
      <w:textAlignment w:val="baseline"/>
    </w:pPr>
  </w:style>
  <w:style w:type="paragraph" w:styleId="ListBullet">
    <w:name w:val="List Bullet"/>
    <w:basedOn w:val="Normal"/>
    <w:qFormat/>
    <w:pPr>
      <w:widowControl/>
      <w:textAlignment w:val="baseline"/>
    </w:pPr>
  </w:style>
  <w:style w:type="paragraph" w:styleId="ListBullet2">
    <w:name w:val="List Bullet 2"/>
    <w:basedOn w:val="Normal"/>
    <w:qFormat/>
    <w:pPr>
      <w:widowControl/>
      <w:textAlignment w:val="baseline"/>
    </w:pPr>
  </w:style>
  <w:style w:type="paragraph" w:styleId="ListBullet3">
    <w:name w:val="List Bullet 3"/>
    <w:basedOn w:val="Normal"/>
    <w:qFormat/>
    <w:pPr>
      <w:widowControl/>
      <w:textAlignment w:val="baseline"/>
    </w:pPr>
  </w:style>
  <w:style w:type="paragraph" w:styleId="ListBullet4">
    <w:name w:val="List Bullet 4"/>
    <w:basedOn w:val="Normal"/>
    <w:qFormat/>
    <w:pPr>
      <w:widowControl/>
      <w:textAlignment w:val="baseline"/>
    </w:pPr>
  </w:style>
  <w:style w:type="paragraph" w:styleId="ListBullet5">
    <w:name w:val="List Bullet 5"/>
    <w:basedOn w:val="Normal"/>
    <w:qFormat/>
    <w:pPr>
      <w:widowControl/>
      <w:textAlignment w:val="baseline"/>
    </w:pPr>
  </w:style>
  <w:style w:type="paragraph" w:customStyle="1" w:styleId="Intestazioneepidipagina">
    <w:name w:val="Intestazione e piè di pagina"/>
    <w:basedOn w:val="Normal"/>
    <w:qFormat/>
    <w:pPr>
      <w:suppressLineNumbers/>
      <w:tabs>
        <w:tab w:val="center" w:pos="4986"/>
        <w:tab w:val="right" w:pos="9972"/>
      </w:tabs>
    </w:pPr>
  </w:style>
  <w:style w:type="paragraph" w:styleId="Header">
    <w:name w:val="header"/>
    <w:basedOn w:val="Normal"/>
    <w:pPr>
      <w:widowControl/>
      <w:tabs>
        <w:tab w:val="center" w:pos="4819"/>
        <w:tab w:val="right" w:pos="9638"/>
      </w:tabs>
      <w:spacing w:line="264" w:lineRule="auto"/>
      <w:jc w:val="both"/>
    </w:pPr>
    <w:rPr>
      <w:kern w:val="2"/>
      <w:lang w:val="nl-NL"/>
    </w:rPr>
  </w:style>
  <w:style w:type="paragraph" w:styleId="BodyTextIndent2">
    <w:name w:val="Body Text Indent 2"/>
    <w:basedOn w:val="Normal"/>
    <w:qFormat/>
    <w:pPr>
      <w:widowControl/>
      <w:ind w:firstLine="426"/>
      <w:jc w:val="both"/>
      <w:textAlignment w:val="baseline"/>
    </w:pPr>
    <w:rPr>
      <w:bCs/>
      <w:sz w:val="24"/>
      <w:lang w:val="en-GB"/>
    </w:rPr>
  </w:style>
  <w:style w:type="paragraph" w:styleId="BodyTextIndent">
    <w:name w:val="Body Text Indent"/>
    <w:basedOn w:val="Normal"/>
    <w:pPr>
      <w:widowControl/>
      <w:spacing w:line="264" w:lineRule="auto"/>
      <w:ind w:left="284" w:hanging="284"/>
      <w:jc w:val="both"/>
    </w:pPr>
    <w:rPr>
      <w:kern w:val="2"/>
      <w:lang w:val="en-GB"/>
    </w:rPr>
  </w:style>
  <w:style w:type="paragraph" w:styleId="Footer">
    <w:name w:val="footer"/>
    <w:basedOn w:val="Normal"/>
    <w:pPr>
      <w:tabs>
        <w:tab w:val="center" w:pos="4153"/>
        <w:tab w:val="right" w:pos="8306"/>
      </w:tabs>
    </w:pPr>
  </w:style>
  <w:style w:type="paragraph" w:styleId="BodyTextIndent3">
    <w:name w:val="Body Text Indent 3"/>
    <w:basedOn w:val="Normal"/>
    <w:qFormat/>
    <w:pPr>
      <w:widowControl/>
      <w:spacing w:after="120"/>
      <w:ind w:left="283"/>
      <w:textAlignment w:val="baseline"/>
    </w:pPr>
    <w:rPr>
      <w:sz w:val="16"/>
      <w:szCs w:val="16"/>
    </w:rPr>
  </w:style>
  <w:style w:type="paragraph" w:styleId="CommentText">
    <w:name w:val="annotation text"/>
    <w:basedOn w:val="Normal"/>
    <w:qFormat/>
  </w:style>
  <w:style w:type="paragraph" w:styleId="BalloonText">
    <w:name w:val="Balloon Text"/>
    <w:basedOn w:val="Normal"/>
    <w:qFormat/>
    <w:rPr>
      <w:rFonts w:ascii="Tahoma" w:hAnsi="Tahoma" w:cs="Tahoma"/>
      <w:sz w:val="16"/>
      <w:szCs w:val="16"/>
    </w:rPr>
  </w:style>
  <w:style w:type="paragraph" w:styleId="CommentSubject">
    <w:name w:val="annotation subject"/>
    <w:basedOn w:val="CommentText"/>
    <w:next w:val="CommentText"/>
    <w:qFormat/>
    <w:rPr>
      <w:b/>
      <w:bCs/>
    </w:rPr>
  </w:style>
  <w:style w:type="paragraph" w:styleId="FootnoteText">
    <w:name w:val="footnote text"/>
    <w:basedOn w:val="Normal"/>
    <w:rPr>
      <w:sz w:val="24"/>
      <w:szCs w:val="24"/>
    </w:rPr>
  </w:style>
  <w:style w:type="paragraph" w:customStyle="1" w:styleId="Contenutocornice">
    <w:name w:val="Contenuto cornice"/>
    <w:basedOn w:val="Normal"/>
    <w:qFormat/>
  </w:style>
  <w:style w:type="paragraph" w:customStyle="1" w:styleId="Contenutotabella">
    <w:name w:val="Contenuto tabella"/>
    <w:basedOn w:val="Normal"/>
    <w:qFormat/>
    <w:pPr>
      <w:suppressLineNumbers/>
    </w:pPr>
  </w:style>
  <w:style w:type="paragraph" w:customStyle="1" w:styleId="Titolotabella">
    <w:name w:val="Titolo tabella"/>
    <w:basedOn w:val="Contenutotabella"/>
    <w:qFormat/>
    <w:pPr>
      <w:jc w:val="center"/>
    </w:pPr>
    <w:rPr>
      <w:b/>
      <w:bCs/>
    </w:rPr>
  </w:style>
  <w:style w:type="paragraph" w:customStyle="1" w:styleId="Contenutoelenco">
    <w:name w:val="Contenuto elenco"/>
    <w:basedOn w:val="Normal"/>
    <w:qFormat/>
    <w:pPr>
      <w:ind w:left="567"/>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character" w:styleId="Hyperlink">
    <w:name w:val="Hyperlink"/>
    <w:basedOn w:val="DefaultParagraphFont"/>
    <w:uiPriority w:val="99"/>
    <w:unhideWhenUsed/>
    <w:rsid w:val="0035105E"/>
    <w:rPr>
      <w:color w:val="0563C1" w:themeColor="hyperlink"/>
      <w:u w:val="single"/>
    </w:rPr>
  </w:style>
  <w:style w:type="character" w:styleId="UnresolvedMention">
    <w:name w:val="Unresolved Mention"/>
    <w:basedOn w:val="DefaultParagraphFont"/>
    <w:uiPriority w:val="99"/>
    <w:semiHidden/>
    <w:unhideWhenUsed/>
    <w:rsid w:val="00A75009"/>
    <w:rPr>
      <w:color w:val="605E5C"/>
      <w:shd w:val="clear" w:color="auto" w:fill="E1DFDD"/>
    </w:rPr>
  </w:style>
  <w:style w:type="paragraph" w:styleId="TOCHeading">
    <w:name w:val="TOC Heading"/>
    <w:basedOn w:val="Heading1"/>
    <w:next w:val="Normal"/>
    <w:uiPriority w:val="39"/>
    <w:unhideWhenUsed/>
    <w:qFormat/>
    <w:rsid w:val="00367017"/>
    <w:pPr>
      <w:keepLines/>
      <w:widowControl/>
      <w:shd w:val="clear" w:color="auto" w:fill="auto"/>
      <w:suppressAutoHyphens w:val="0"/>
      <w:spacing w:before="240" w:line="259" w:lineRule="auto"/>
      <w:ind w:right="0"/>
      <w:jc w:val="left"/>
      <w:outlineLvl w:val="9"/>
    </w:pPr>
    <w:rPr>
      <w:rFonts w:asciiTheme="majorHAnsi" w:eastAsiaTheme="majorEastAsia" w:hAnsiTheme="majorHAnsi" w:cstheme="majorBidi"/>
      <w:color w:val="2F5496" w:themeColor="accent1" w:themeShade="BF"/>
      <w:spacing w:val="0"/>
      <w:sz w:val="32"/>
      <w:szCs w:val="32"/>
      <w:lang w:eastAsia="en-US"/>
    </w:rPr>
  </w:style>
  <w:style w:type="paragraph" w:styleId="TOC1">
    <w:name w:val="toc 1"/>
    <w:basedOn w:val="Normal"/>
    <w:next w:val="Normal"/>
    <w:autoRedefine/>
    <w:uiPriority w:val="39"/>
    <w:unhideWhenUsed/>
    <w:rsid w:val="00367017"/>
    <w:pPr>
      <w:spacing w:after="100"/>
    </w:pPr>
  </w:style>
  <w:style w:type="paragraph" w:styleId="TOC2">
    <w:name w:val="toc 2"/>
    <w:basedOn w:val="Normal"/>
    <w:next w:val="Normal"/>
    <w:autoRedefine/>
    <w:uiPriority w:val="39"/>
    <w:unhideWhenUsed/>
    <w:rsid w:val="00367017"/>
    <w:pPr>
      <w:spacing w:after="100"/>
      <w:ind w:left="200"/>
    </w:pPr>
  </w:style>
  <w:style w:type="character" w:customStyle="1" w:styleId="Heading1Char">
    <w:name w:val="Heading 1 Char"/>
    <w:basedOn w:val="DefaultParagraphFont"/>
    <w:link w:val="Heading1"/>
    <w:uiPriority w:val="9"/>
    <w:rsid w:val="000D2AD0"/>
    <w:rPr>
      <w:rFonts w:ascii="Times New Roman" w:eastAsia="Times New Roman" w:hAnsi="Times New Roman" w:cs="Times New Roman"/>
      <w:color w:val="850C13"/>
      <w:spacing w:val="-2"/>
      <w:sz w:val="52"/>
      <w:szCs w:val="52"/>
      <w:shd w:val="clear" w:color="auto" w:fill="FFFFFF"/>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ftikhar@studenti.unimol.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48AA5-A9E9-4E98-BE2F-7992F16AF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1291</Words>
  <Characters>7359</Characters>
  <Application>Microsoft Office Word</Application>
  <DocSecurity>0</DocSecurity>
  <Lines>61</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dc:creator>
  <dc:description/>
  <cp:lastModifiedBy>AYESHA IFTIKHAR</cp:lastModifiedBy>
  <cp:revision>6</cp:revision>
  <cp:lastPrinted>2023-02-24T09:51:00Z</cp:lastPrinted>
  <dcterms:created xsi:type="dcterms:W3CDTF">2023-06-30T12:21:00Z</dcterms:created>
  <dcterms:modified xsi:type="dcterms:W3CDTF">2023-06-30T12:54:00Z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