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FD9CA" w14:textId="77777777" w:rsidR="007D40F9" w:rsidRDefault="007D40F9" w:rsidP="007D40F9">
      <w:pPr>
        <w:pStyle w:val="Corpodeltesto2"/>
        <w:tabs>
          <w:tab w:val="left" w:pos="5040"/>
          <w:tab w:val="left" w:pos="5760"/>
          <w:tab w:val="left" w:pos="6480"/>
        </w:tabs>
        <w:spacing w:before="600"/>
        <w:rPr>
          <w:i w:val="0"/>
          <w:iCs w:val="0"/>
          <w:sz w:val="52"/>
          <w:lang w:val="en-GB"/>
        </w:rPr>
      </w:pPr>
    </w:p>
    <w:p w14:paraId="3C92FA37" w14:textId="77777777" w:rsidR="007D40F9" w:rsidRDefault="007D40F9" w:rsidP="007D40F9">
      <w:pPr>
        <w:pStyle w:val="Corpodeltesto2"/>
        <w:tabs>
          <w:tab w:val="left" w:pos="5040"/>
          <w:tab w:val="left" w:pos="5760"/>
          <w:tab w:val="left" w:pos="6480"/>
        </w:tabs>
        <w:spacing w:before="600"/>
        <w:rPr>
          <w:i w:val="0"/>
          <w:iCs w:val="0"/>
          <w:sz w:val="52"/>
          <w:lang w:val="en-GB"/>
        </w:rPr>
      </w:pPr>
    </w:p>
    <w:p w14:paraId="6D95F608" w14:textId="77777777" w:rsidR="007D40F9" w:rsidRDefault="007D40F9" w:rsidP="007D40F9">
      <w:pPr>
        <w:pStyle w:val="Corpodeltesto2"/>
        <w:tabs>
          <w:tab w:val="left" w:pos="5040"/>
          <w:tab w:val="left" w:pos="5760"/>
          <w:tab w:val="left" w:pos="6480"/>
        </w:tabs>
        <w:spacing w:before="600"/>
        <w:jc w:val="center"/>
        <w:rPr>
          <w:i w:val="0"/>
          <w:iCs w:val="0"/>
          <w:sz w:val="52"/>
          <w:lang w:val="en-GB"/>
        </w:rPr>
      </w:pPr>
      <w:r>
        <w:rPr>
          <w:i w:val="0"/>
          <w:iCs w:val="0"/>
          <w:sz w:val="52"/>
          <w:lang w:val="en-GB"/>
        </w:rPr>
        <w:t>ORAL COMMUNICATIONS</w:t>
      </w:r>
    </w:p>
    <w:p w14:paraId="2D0C79E2" w14:textId="77777777" w:rsidR="007D40F9" w:rsidRDefault="007D40F9" w:rsidP="007D40F9">
      <w:pPr>
        <w:pStyle w:val="Corpodeltesto2"/>
        <w:tabs>
          <w:tab w:val="left" w:pos="5040"/>
          <w:tab w:val="left" w:pos="5760"/>
          <w:tab w:val="left" w:pos="6480"/>
          <w:tab w:val="left" w:pos="8364"/>
        </w:tabs>
        <w:spacing w:before="240"/>
        <w:rPr>
          <w:b w:val="0"/>
          <w:bCs w:val="0"/>
          <w:i w:val="0"/>
          <w:iCs w:val="0"/>
          <w:lang w:val="en-GB"/>
        </w:rPr>
      </w:pPr>
      <w:r>
        <w:rPr>
          <w:b w:val="0"/>
          <w:bCs w:val="0"/>
          <w:i w:val="0"/>
          <w:iCs w:val="0"/>
          <w:lang w:val="en-GB"/>
        </w:rPr>
        <w:t xml:space="preserve"> </w:t>
      </w:r>
    </w:p>
    <w:p w14:paraId="52AC9902" w14:textId="77777777" w:rsidR="007D40F9" w:rsidRDefault="007D40F9" w:rsidP="007D40F9">
      <w:pPr>
        <w:pStyle w:val="Corpodeltesto2"/>
        <w:tabs>
          <w:tab w:val="left" w:pos="5040"/>
          <w:tab w:val="left" w:pos="5760"/>
          <w:tab w:val="left" w:pos="6480"/>
          <w:tab w:val="left" w:pos="8364"/>
        </w:tabs>
        <w:spacing w:before="240"/>
        <w:rPr>
          <w:b w:val="0"/>
          <w:bCs w:val="0"/>
          <w:i w:val="0"/>
          <w:iCs w:val="0"/>
          <w:lang w:val="en-GB"/>
        </w:rPr>
      </w:pPr>
    </w:p>
    <w:p w14:paraId="4276CDA0" w14:textId="459323B3" w:rsidR="005D6E1F" w:rsidRDefault="005D6E1F">
      <w:pPr>
        <w:widowControl/>
        <w:suppressAutoHyphens w:val="0"/>
        <w:rPr>
          <w:sz w:val="28"/>
          <w:lang w:val="en-GB"/>
        </w:rPr>
      </w:pPr>
      <w:r>
        <w:rPr>
          <w:b/>
          <w:bCs/>
          <w:i/>
          <w:iCs/>
          <w:lang w:val="en-GB"/>
        </w:rPr>
        <w:br w:type="page"/>
      </w:r>
    </w:p>
    <w:p w14:paraId="2D7EB50B" w14:textId="5007368B" w:rsidR="00974662" w:rsidRPr="009E52A9" w:rsidRDefault="00974662" w:rsidP="007D40F9">
      <w:pPr>
        <w:jc w:val="center"/>
        <w:rPr>
          <w:b/>
          <w:kern w:val="2"/>
          <w:sz w:val="28"/>
          <w:lang w:val="en-GB"/>
        </w:rPr>
      </w:pPr>
      <w:r w:rsidRPr="009E52A9">
        <w:rPr>
          <w:b/>
          <w:kern w:val="2"/>
          <w:sz w:val="28"/>
          <w:lang w:val="en-GB"/>
        </w:rPr>
        <w:lastRenderedPageBreak/>
        <w:t>Food Products and Microplastics: A Call for Qualification and Quantification</w:t>
      </w:r>
    </w:p>
    <w:p w14:paraId="21C2B6D2" w14:textId="4FA855F1" w:rsidR="007D40F9" w:rsidRPr="009E52A9" w:rsidRDefault="00974662" w:rsidP="007D40F9">
      <w:pPr>
        <w:jc w:val="center"/>
        <w:rPr>
          <w:lang w:val="de-DE"/>
        </w:rPr>
      </w:pPr>
      <w:r w:rsidRPr="009E52A9">
        <w:rPr>
          <w:lang w:val="de-DE"/>
        </w:rPr>
        <w:t>Cristina Di Fiore</w:t>
      </w:r>
      <w:r w:rsidR="007D40F9" w:rsidRPr="009E52A9">
        <w:rPr>
          <w:lang w:val="de-DE"/>
        </w:rPr>
        <w:t xml:space="preserve"> (</w:t>
      </w:r>
      <w:r w:rsidRPr="009E52A9">
        <w:rPr>
          <w:lang w:val="de-DE"/>
        </w:rPr>
        <w:t>c.difiore</w:t>
      </w:r>
      <w:r w:rsidR="007D40F9" w:rsidRPr="009E52A9">
        <w:rPr>
          <w:lang w:val="de-DE"/>
        </w:rPr>
        <w:t>@</w:t>
      </w:r>
      <w:r w:rsidRPr="009E52A9">
        <w:rPr>
          <w:lang w:val="de-DE"/>
        </w:rPr>
        <w:t>studenti.</w:t>
      </w:r>
      <w:r w:rsidR="007D40F9" w:rsidRPr="009E52A9">
        <w:rPr>
          <w:lang w:val="de-DE"/>
        </w:rPr>
        <w:t>uni</w:t>
      </w:r>
      <w:r w:rsidRPr="009E52A9">
        <w:rPr>
          <w:lang w:val="de-DE"/>
        </w:rPr>
        <w:t>mol</w:t>
      </w:r>
      <w:r w:rsidR="007D40F9" w:rsidRPr="009E52A9">
        <w:rPr>
          <w:lang w:val="de-DE"/>
        </w:rPr>
        <w:t>.it)</w:t>
      </w:r>
    </w:p>
    <w:p w14:paraId="45EC4CC3" w14:textId="27DE3132" w:rsidR="007D40F9" w:rsidRPr="009E52A9" w:rsidRDefault="007D40F9" w:rsidP="007D40F9">
      <w:pPr>
        <w:jc w:val="center"/>
        <w:rPr>
          <w:lang w:val="en-GB"/>
        </w:rPr>
      </w:pPr>
      <w:r w:rsidRPr="009E52A9">
        <w:rPr>
          <w:lang w:val="en-GB"/>
        </w:rPr>
        <w:t xml:space="preserve">Dept. </w:t>
      </w:r>
      <w:r w:rsidR="00974662" w:rsidRPr="009E52A9">
        <w:rPr>
          <w:lang w:val="en-GB"/>
        </w:rPr>
        <w:t>Agriculture, Environmental and Food Sciences</w:t>
      </w:r>
      <w:r w:rsidRPr="009E52A9">
        <w:rPr>
          <w:lang w:val="en-GB"/>
        </w:rPr>
        <w:t>,</w:t>
      </w:r>
      <w:r w:rsidR="00974662" w:rsidRPr="009E52A9">
        <w:rPr>
          <w:lang w:val="en-GB"/>
        </w:rPr>
        <w:t xml:space="preserve"> </w:t>
      </w:r>
      <w:r w:rsidRPr="009E52A9">
        <w:rPr>
          <w:lang w:val="en-GB"/>
        </w:rPr>
        <w:t xml:space="preserve">University of </w:t>
      </w:r>
      <w:r w:rsidR="00974662" w:rsidRPr="009E52A9">
        <w:rPr>
          <w:lang w:val="en-GB"/>
        </w:rPr>
        <w:t>Molise</w:t>
      </w:r>
      <w:r w:rsidRPr="009E52A9">
        <w:rPr>
          <w:lang w:val="en-GB"/>
        </w:rPr>
        <w:t xml:space="preserve">, </w:t>
      </w:r>
      <w:r w:rsidR="00974662" w:rsidRPr="009E52A9">
        <w:rPr>
          <w:lang w:val="en-GB"/>
        </w:rPr>
        <w:t>Campobasso</w:t>
      </w:r>
      <w:r w:rsidRPr="009E52A9">
        <w:rPr>
          <w:lang w:val="en-GB"/>
        </w:rPr>
        <w:t>, Italy</w:t>
      </w:r>
    </w:p>
    <w:p w14:paraId="1549B0B4" w14:textId="5C9A1BD7" w:rsidR="007D40F9" w:rsidRPr="009E52A9" w:rsidRDefault="007D40F9" w:rsidP="007D40F9">
      <w:pPr>
        <w:jc w:val="center"/>
        <w:rPr>
          <w:lang w:val="en-GB"/>
        </w:rPr>
      </w:pPr>
      <w:r w:rsidRPr="009E52A9">
        <w:rPr>
          <w:lang w:val="en-GB"/>
        </w:rPr>
        <w:t xml:space="preserve">Tutor: Prof. </w:t>
      </w:r>
      <w:r w:rsidR="00974662" w:rsidRPr="009E52A9">
        <w:rPr>
          <w:lang w:val="en-GB"/>
        </w:rPr>
        <w:t xml:space="preserve">Pasquale Avino </w:t>
      </w:r>
    </w:p>
    <w:p w14:paraId="470CB764" w14:textId="77777777" w:rsidR="007D40F9" w:rsidRPr="009E52A9" w:rsidRDefault="007D40F9" w:rsidP="007D40F9">
      <w:pPr>
        <w:jc w:val="both"/>
        <w:rPr>
          <w:lang w:val="en-GB"/>
        </w:rPr>
      </w:pPr>
    </w:p>
    <w:p w14:paraId="12F51582" w14:textId="2C1CB586" w:rsidR="003A51B2" w:rsidRPr="009E52A9" w:rsidRDefault="007D40F9" w:rsidP="007D40F9">
      <w:pPr>
        <w:jc w:val="both"/>
        <w:rPr>
          <w:lang w:val="en-GB"/>
        </w:rPr>
      </w:pPr>
      <w:r w:rsidRPr="009E52A9">
        <w:rPr>
          <w:lang w:val="en-GB"/>
        </w:rPr>
        <w:t xml:space="preserve">This PhD thesis dealt with the assessment of </w:t>
      </w:r>
      <w:r w:rsidR="009365DC" w:rsidRPr="009E52A9">
        <w:rPr>
          <w:lang w:val="en-GB"/>
        </w:rPr>
        <w:t>microplastic’s contamination of some food products by developing an analytical methodology for the pre-treatment of the food matrices</w:t>
      </w:r>
      <w:r w:rsidR="003A51B2" w:rsidRPr="009E52A9">
        <w:rPr>
          <w:lang w:val="en-GB"/>
        </w:rPr>
        <w:t xml:space="preserve"> by evaluating digestion efficiencies as well as the impact of digestion agents on microplastics. Furthermore, qualification and quantification of microplastics by means of pyrolysis – gas chromatography – mass spectrometry (Py-GC-MS) has been conducted. </w:t>
      </w:r>
    </w:p>
    <w:p w14:paraId="4B8C0A79" w14:textId="02C4262A" w:rsidR="007D40F9" w:rsidRPr="009E52A9" w:rsidRDefault="003A51B2" w:rsidP="007D40F9">
      <w:pPr>
        <w:pStyle w:val="Titolo"/>
        <w:spacing w:before="240" w:line="240" w:lineRule="auto"/>
        <w:rPr>
          <w:sz w:val="24"/>
          <w:lang w:val="it-IT"/>
        </w:rPr>
      </w:pPr>
      <w:r w:rsidRPr="009E52A9">
        <w:rPr>
          <w:sz w:val="24"/>
          <w:lang w:val="it-IT"/>
        </w:rPr>
        <w:t xml:space="preserve">Alimenti e Microplastiche: Una Necessaria Qualificazione e Quantificazione </w:t>
      </w:r>
    </w:p>
    <w:p w14:paraId="6EAA0274" w14:textId="3256C7B9" w:rsidR="003A51B2" w:rsidRPr="009E52A9" w:rsidRDefault="003A51B2" w:rsidP="007D40F9">
      <w:pPr>
        <w:jc w:val="both"/>
      </w:pPr>
      <w:r w:rsidRPr="009E52A9">
        <w:t>Questa tesi di dottorato ha trattato la valutazione della contaminazione da microplastica di alcuni prodotti alimentari sviluppando una metodologia analitica per il pretrattamento delle matrici alimentari valutando l'efficienza della digestione e l'impatto degli agenti di digestione sulle microplastiche. Inoltre, sono state condotte la qualificazione e la quantificazione delle microplastiche mediante pirolisi - gascromatografia - spettrometria di massa (Py-GC-MS).</w:t>
      </w:r>
    </w:p>
    <w:p w14:paraId="594C9441" w14:textId="77777777" w:rsidR="003A51B2" w:rsidRPr="009E52A9" w:rsidRDefault="003A51B2" w:rsidP="007D40F9">
      <w:pPr>
        <w:jc w:val="both"/>
      </w:pPr>
    </w:p>
    <w:p w14:paraId="39E78291" w14:textId="77777777" w:rsidR="007D40F9" w:rsidRPr="009E52A9" w:rsidRDefault="007D40F9" w:rsidP="007D40F9">
      <w:pPr>
        <w:pStyle w:val="Intestazione"/>
        <w:tabs>
          <w:tab w:val="clear" w:pos="4819"/>
          <w:tab w:val="clear" w:pos="9638"/>
        </w:tabs>
        <w:spacing w:line="240" w:lineRule="auto"/>
        <w:rPr>
          <w:lang w:val="it-IT"/>
        </w:rPr>
      </w:pPr>
    </w:p>
    <w:p w14:paraId="0188BB6A" w14:textId="5970E7BB" w:rsidR="007D40F9" w:rsidRPr="009E52A9" w:rsidRDefault="007D40F9" w:rsidP="007D40F9">
      <w:pPr>
        <w:jc w:val="both"/>
        <w:rPr>
          <w:lang w:val="en-US"/>
        </w:rPr>
      </w:pPr>
      <w:r w:rsidRPr="009E52A9">
        <w:rPr>
          <w:b/>
          <w:bCs/>
          <w:lang w:val="en-GB"/>
        </w:rPr>
        <w:t>Key words</w:t>
      </w:r>
      <w:r w:rsidRPr="009E52A9">
        <w:rPr>
          <w:lang w:val="en-GB"/>
        </w:rPr>
        <w:t xml:space="preserve">: </w:t>
      </w:r>
      <w:r w:rsidR="003A51B2" w:rsidRPr="009E52A9">
        <w:rPr>
          <w:lang w:val="en-GB"/>
        </w:rPr>
        <w:t>Microplastics</w:t>
      </w:r>
      <w:r w:rsidRPr="009E52A9">
        <w:rPr>
          <w:lang w:val="en-GB"/>
        </w:rPr>
        <w:t xml:space="preserve">; </w:t>
      </w:r>
      <w:r w:rsidR="003A51B2" w:rsidRPr="009E52A9">
        <w:rPr>
          <w:lang w:val="en-GB"/>
        </w:rPr>
        <w:t>foods</w:t>
      </w:r>
      <w:r w:rsidRPr="009E52A9">
        <w:rPr>
          <w:lang w:val="en-GB"/>
        </w:rPr>
        <w:t xml:space="preserve">; </w:t>
      </w:r>
      <w:r w:rsidR="003A51B2" w:rsidRPr="009E52A9">
        <w:rPr>
          <w:lang w:val="en-GB"/>
        </w:rPr>
        <w:t>pollution</w:t>
      </w:r>
      <w:r w:rsidRPr="009E52A9">
        <w:rPr>
          <w:lang w:val="en-GB"/>
        </w:rPr>
        <w:t>;</w:t>
      </w:r>
      <w:r w:rsidR="003A51B2" w:rsidRPr="009E52A9">
        <w:rPr>
          <w:lang w:val="en-GB"/>
        </w:rPr>
        <w:t xml:space="preserve"> digestion; pyrolysis – gas chromatography – mass spectrometry; </w:t>
      </w:r>
    </w:p>
    <w:p w14:paraId="758A709A" w14:textId="77777777" w:rsidR="007D40F9" w:rsidRPr="009E52A9" w:rsidRDefault="007D40F9" w:rsidP="007D40F9">
      <w:pPr>
        <w:pStyle w:val="Titolo1"/>
        <w:spacing w:before="240" w:after="120"/>
        <w:ind w:right="0"/>
        <w:jc w:val="both"/>
        <w:rPr>
          <w:b/>
          <w:bCs/>
          <w:color w:val="000000"/>
          <w:sz w:val="24"/>
          <w:lang w:val="en-GB"/>
        </w:rPr>
      </w:pPr>
      <w:r w:rsidRPr="009E52A9">
        <w:rPr>
          <w:b/>
          <w:bCs/>
          <w:color w:val="000000"/>
          <w:sz w:val="24"/>
          <w:lang w:val="en-GB"/>
        </w:rPr>
        <w:t>1. Introduction</w:t>
      </w:r>
    </w:p>
    <w:p w14:paraId="5B0EAC65" w14:textId="02F52FEA" w:rsidR="007D40F9" w:rsidRPr="009E52A9" w:rsidRDefault="007D40F9" w:rsidP="007D40F9">
      <w:pPr>
        <w:jc w:val="both"/>
        <w:rPr>
          <w:lang w:val="en-GB"/>
        </w:rPr>
      </w:pPr>
      <w:r w:rsidRPr="009E52A9">
        <w:rPr>
          <w:lang w:val="en-GB"/>
        </w:rPr>
        <w:t xml:space="preserve">In accordance with the PhD thesis project previously </w:t>
      </w:r>
      <w:r w:rsidR="00674AE5" w:rsidRPr="009E52A9">
        <w:rPr>
          <w:lang w:val="en-GB"/>
        </w:rPr>
        <w:t>described</w:t>
      </w:r>
      <w:r w:rsidRPr="009E52A9">
        <w:rPr>
          <w:lang w:val="en-GB"/>
        </w:rPr>
        <w:t xml:space="preserve">, this oral communication reports the main results of the following four activities directed to: </w:t>
      </w:r>
    </w:p>
    <w:p w14:paraId="5CF88C03" w14:textId="623A4B58" w:rsidR="007D40F9" w:rsidRPr="009E52A9" w:rsidRDefault="007D40F9" w:rsidP="007D40F9">
      <w:pPr>
        <w:tabs>
          <w:tab w:val="left" w:pos="567"/>
          <w:tab w:val="left" w:pos="1276"/>
        </w:tabs>
        <w:ind w:left="567" w:hanging="567"/>
        <w:jc w:val="both"/>
        <w:rPr>
          <w:lang w:val="en-US"/>
        </w:rPr>
      </w:pPr>
      <w:r w:rsidRPr="009E52A9">
        <w:rPr>
          <w:lang w:val="en-GB"/>
        </w:rPr>
        <w:t xml:space="preserve">A1) </w:t>
      </w:r>
      <w:r w:rsidRPr="009E52A9">
        <w:rPr>
          <w:lang w:val="en-GB"/>
        </w:rPr>
        <w:tab/>
      </w:r>
      <w:r w:rsidR="00D23F59" w:rsidRPr="009E52A9">
        <w:rPr>
          <w:lang w:val="en-GB"/>
        </w:rPr>
        <w:t xml:space="preserve">investigation </w:t>
      </w:r>
      <w:r w:rsidR="002B5653" w:rsidRPr="009E52A9">
        <w:rPr>
          <w:lang w:val="en-GB"/>
        </w:rPr>
        <w:t>of the best experimental conditions</w:t>
      </w:r>
      <w:r w:rsidR="009F0691" w:rsidRPr="009E52A9">
        <w:rPr>
          <w:lang w:val="en-GB"/>
        </w:rPr>
        <w:t xml:space="preserve"> (i.e., time/temperature, sample/digestion reagent ratio)</w:t>
      </w:r>
      <w:r w:rsidR="002B5653" w:rsidRPr="009E52A9">
        <w:rPr>
          <w:lang w:val="en-GB"/>
        </w:rPr>
        <w:t xml:space="preserve"> for digestion of organic matter of foods, necessary for visually analyse microplastics </w:t>
      </w:r>
      <w:r w:rsidR="009F0691" w:rsidRPr="009E52A9">
        <w:rPr>
          <w:lang w:val="en-GB"/>
        </w:rPr>
        <w:t xml:space="preserve">shape, color, size; </w:t>
      </w:r>
    </w:p>
    <w:p w14:paraId="46202974" w14:textId="60328325" w:rsidR="007D40F9" w:rsidRPr="009E52A9" w:rsidRDefault="007D40F9" w:rsidP="007D40F9">
      <w:pPr>
        <w:tabs>
          <w:tab w:val="left" w:pos="567"/>
        </w:tabs>
        <w:ind w:left="567" w:hanging="567"/>
        <w:jc w:val="both"/>
        <w:rPr>
          <w:lang w:val="en-US"/>
        </w:rPr>
      </w:pPr>
      <w:r w:rsidRPr="009E52A9">
        <w:rPr>
          <w:lang w:val="en-GB"/>
        </w:rPr>
        <w:t xml:space="preserve">A2) </w:t>
      </w:r>
      <w:r w:rsidRPr="009E52A9">
        <w:rPr>
          <w:lang w:val="en-GB"/>
        </w:rPr>
        <w:tab/>
      </w:r>
      <w:r w:rsidR="009F0691" w:rsidRPr="009E52A9">
        <w:rPr>
          <w:lang w:val="en-GB"/>
        </w:rPr>
        <w:t xml:space="preserve">assess the impact of digestion agents on microplastic particles, in terms of shape, size and color; </w:t>
      </w:r>
    </w:p>
    <w:p w14:paraId="5AE3233A" w14:textId="6BBA83EE" w:rsidR="007D40F9" w:rsidRPr="009E52A9" w:rsidRDefault="007D40F9" w:rsidP="007D40F9">
      <w:pPr>
        <w:tabs>
          <w:tab w:val="left" w:pos="567"/>
        </w:tabs>
        <w:ind w:left="567" w:hanging="567"/>
        <w:jc w:val="both"/>
        <w:rPr>
          <w:lang w:val="en-US"/>
        </w:rPr>
      </w:pPr>
      <w:r w:rsidRPr="009E52A9">
        <w:rPr>
          <w:lang w:val="en-GB"/>
        </w:rPr>
        <w:t>A3)</w:t>
      </w:r>
      <w:r w:rsidRPr="009E52A9">
        <w:rPr>
          <w:lang w:val="en-GB"/>
        </w:rPr>
        <w:tab/>
      </w:r>
      <w:r w:rsidR="009F0691" w:rsidRPr="009E52A9">
        <w:rPr>
          <w:lang w:val="en-GB"/>
        </w:rPr>
        <w:t>determination of microplastic’s recovery rate</w:t>
      </w:r>
      <w:r w:rsidR="009F0691" w:rsidRPr="009E52A9">
        <w:rPr>
          <w:lang w:val="en-US"/>
        </w:rPr>
        <w:t xml:space="preserve">; </w:t>
      </w:r>
    </w:p>
    <w:p w14:paraId="56CB4AF9" w14:textId="1208FEF1" w:rsidR="007D40F9" w:rsidRPr="009E52A9" w:rsidRDefault="007D40F9" w:rsidP="007D40F9">
      <w:pPr>
        <w:tabs>
          <w:tab w:val="left" w:pos="567"/>
        </w:tabs>
        <w:ind w:left="567" w:hanging="567"/>
        <w:jc w:val="both"/>
        <w:rPr>
          <w:lang w:val="en-GB"/>
        </w:rPr>
      </w:pPr>
      <w:r w:rsidRPr="009E52A9">
        <w:rPr>
          <w:lang w:val="en-GB"/>
        </w:rPr>
        <w:t>A4)</w:t>
      </w:r>
      <w:r w:rsidRPr="009E52A9">
        <w:rPr>
          <w:lang w:val="en-GB"/>
        </w:rPr>
        <w:tab/>
      </w:r>
      <w:r w:rsidR="009F0691" w:rsidRPr="009E52A9">
        <w:rPr>
          <w:lang w:val="en-GB"/>
        </w:rPr>
        <w:t xml:space="preserve">solubilization of plastic polymers for quantification of microplastics using </w:t>
      </w:r>
      <w:r w:rsidR="009F0691" w:rsidRPr="009E52A9">
        <w:rPr>
          <w:lang w:val="en-US"/>
        </w:rPr>
        <w:t>Py-GC-MS;</w:t>
      </w:r>
    </w:p>
    <w:p w14:paraId="500829AB" w14:textId="234CAA22" w:rsidR="007D40F9" w:rsidRPr="009E52A9" w:rsidRDefault="007D40F9" w:rsidP="007D40F9">
      <w:pPr>
        <w:pStyle w:val="Titolo1"/>
        <w:spacing w:before="240" w:after="120"/>
        <w:ind w:right="0"/>
        <w:jc w:val="both"/>
        <w:rPr>
          <w:b/>
          <w:bCs/>
          <w:color w:val="000000"/>
          <w:sz w:val="24"/>
          <w:lang w:val="en-GB"/>
        </w:rPr>
      </w:pPr>
      <w:r w:rsidRPr="009E52A9">
        <w:rPr>
          <w:b/>
          <w:bCs/>
          <w:color w:val="000000"/>
          <w:sz w:val="24"/>
          <w:lang w:val="en-GB"/>
        </w:rPr>
        <w:t xml:space="preserve">2. </w:t>
      </w:r>
      <w:r w:rsidR="00D912CD" w:rsidRPr="009E52A9">
        <w:rPr>
          <w:b/>
          <w:bCs/>
          <w:color w:val="000000"/>
          <w:sz w:val="24"/>
          <w:lang w:val="en-GB"/>
        </w:rPr>
        <w:t xml:space="preserve">Digestion Efficiency </w:t>
      </w:r>
      <w:r w:rsidR="003F0DAC">
        <w:rPr>
          <w:b/>
          <w:bCs/>
          <w:color w:val="000000"/>
          <w:sz w:val="24"/>
          <w:lang w:val="en-GB"/>
        </w:rPr>
        <w:t xml:space="preserve">and Quantification of Microplastics </w:t>
      </w:r>
    </w:p>
    <w:p w14:paraId="4A586928" w14:textId="31982789" w:rsidR="004E1F89" w:rsidRPr="009E52A9" w:rsidRDefault="00D912CD" w:rsidP="007D40F9">
      <w:pPr>
        <w:tabs>
          <w:tab w:val="left" w:pos="0"/>
        </w:tabs>
        <w:jc w:val="both"/>
        <w:rPr>
          <w:lang w:val="en-GB"/>
        </w:rPr>
      </w:pPr>
      <w:r w:rsidRPr="009E52A9">
        <w:rPr>
          <w:lang w:val="en-GB"/>
        </w:rPr>
        <w:t xml:space="preserve">Digestion efficiency (DE) </w:t>
      </w:r>
      <w:r w:rsidR="00153802" w:rsidRPr="009E52A9">
        <w:rPr>
          <w:lang w:val="en-GB"/>
        </w:rPr>
        <w:t>is the parameters used for assessing the percentage of organic matter removed. Digestions are generally required in microplastic’s research field, especially when the matrix is rich in biological materials</w:t>
      </w:r>
      <w:r w:rsidR="000B39DF" w:rsidRPr="009E52A9">
        <w:rPr>
          <w:lang w:val="en-GB"/>
        </w:rPr>
        <w:t xml:space="preserve"> (e.g., food products)</w:t>
      </w:r>
      <w:r w:rsidR="00BD54A6" w:rsidRPr="009E52A9">
        <w:rPr>
          <w:lang w:val="en-GB"/>
        </w:rPr>
        <w:t xml:space="preserve"> (Prata </w:t>
      </w:r>
      <w:r w:rsidR="00BD54A6" w:rsidRPr="009E52A9">
        <w:rPr>
          <w:i/>
          <w:iCs/>
          <w:lang w:val="en-GB"/>
        </w:rPr>
        <w:t>et al</w:t>
      </w:r>
      <w:r w:rsidR="00BD54A6" w:rsidRPr="009E52A9">
        <w:rPr>
          <w:lang w:val="en-GB"/>
        </w:rPr>
        <w:t>.,</w:t>
      </w:r>
      <w:r w:rsidR="00FF6AAF" w:rsidRPr="009E52A9">
        <w:rPr>
          <w:lang w:val="en-GB"/>
        </w:rPr>
        <w:t xml:space="preserve"> 2019</w:t>
      </w:r>
      <w:r w:rsidR="00BD54A6" w:rsidRPr="009E52A9">
        <w:rPr>
          <w:lang w:val="en-GB"/>
        </w:rPr>
        <w:t>)</w:t>
      </w:r>
      <w:r w:rsidR="000B39DF" w:rsidRPr="009E52A9">
        <w:rPr>
          <w:lang w:val="en-GB"/>
        </w:rPr>
        <w:t xml:space="preserve">. </w:t>
      </w:r>
      <w:r w:rsidR="001139FD" w:rsidRPr="009E52A9">
        <w:rPr>
          <w:lang w:val="en-GB"/>
        </w:rPr>
        <w:t xml:space="preserve">Isolation of microplastics from matrices </w:t>
      </w:r>
      <w:r w:rsidR="004E1F89" w:rsidRPr="009E52A9">
        <w:rPr>
          <w:lang w:val="en-GB"/>
        </w:rPr>
        <w:t xml:space="preserve">still poses a major challenge, but its optimization is necessary to identify microplastics in a sample (Pfeiffer </w:t>
      </w:r>
      <w:r w:rsidR="004E1F89" w:rsidRPr="009E52A9">
        <w:rPr>
          <w:i/>
          <w:iCs/>
          <w:lang w:val="en-GB"/>
        </w:rPr>
        <w:t>et al</w:t>
      </w:r>
      <w:r w:rsidR="004E1F89" w:rsidRPr="009E52A9">
        <w:rPr>
          <w:lang w:val="en-GB"/>
        </w:rPr>
        <w:t xml:space="preserve">., 2020). </w:t>
      </w:r>
      <w:r w:rsidR="009405E1" w:rsidRPr="009E52A9">
        <w:rPr>
          <w:lang w:val="en-GB"/>
        </w:rPr>
        <w:t xml:space="preserve">Digestions have been applied to </w:t>
      </w:r>
      <w:r w:rsidR="00606E63" w:rsidRPr="009E52A9">
        <w:rPr>
          <w:lang w:val="en-GB"/>
        </w:rPr>
        <w:t>fish for human consumption</w:t>
      </w:r>
      <w:r w:rsidR="00297D96" w:rsidRPr="009E52A9">
        <w:rPr>
          <w:lang w:val="en-GB"/>
        </w:rPr>
        <w:t xml:space="preserve">, </w:t>
      </w:r>
      <w:r w:rsidR="00A45F1C" w:rsidRPr="009E52A9">
        <w:rPr>
          <w:lang w:val="en-GB"/>
        </w:rPr>
        <w:t>but experimental parameters (i.e., time/temperature, sample/digestion reagent ratio)</w:t>
      </w:r>
      <w:r w:rsidR="00C6388A" w:rsidRPr="009E52A9">
        <w:rPr>
          <w:lang w:val="en-GB"/>
        </w:rPr>
        <w:t xml:space="preserve"> (Table 1)</w:t>
      </w:r>
      <w:r w:rsidR="00A45F1C" w:rsidRPr="009E52A9">
        <w:rPr>
          <w:lang w:val="en-GB"/>
        </w:rPr>
        <w:t xml:space="preserve"> varied among the </w:t>
      </w:r>
      <w:r w:rsidR="00297D96" w:rsidRPr="009E52A9">
        <w:rPr>
          <w:lang w:val="en-GB"/>
        </w:rPr>
        <w:t xml:space="preserve">different research’s group (Makhdoumi </w:t>
      </w:r>
      <w:r w:rsidR="00297D96" w:rsidRPr="009E52A9">
        <w:rPr>
          <w:i/>
          <w:iCs/>
          <w:lang w:val="en-GB"/>
        </w:rPr>
        <w:t>et al</w:t>
      </w:r>
      <w:r w:rsidR="00297D96" w:rsidRPr="009E52A9">
        <w:rPr>
          <w:lang w:val="en-GB"/>
        </w:rPr>
        <w:t xml:space="preserve">., 2023). </w:t>
      </w:r>
    </w:p>
    <w:p w14:paraId="21C075B0" w14:textId="00038453" w:rsidR="007D40F9" w:rsidRPr="009E52A9" w:rsidRDefault="007D40F9" w:rsidP="007D40F9">
      <w:pPr>
        <w:spacing w:before="300" w:after="120"/>
        <w:rPr>
          <w:lang w:val="en-US"/>
        </w:rPr>
      </w:pPr>
      <w:r w:rsidRPr="009E52A9">
        <w:rPr>
          <w:b/>
          <w:iCs/>
          <w:sz w:val="18"/>
          <w:lang w:val="en-GB"/>
        </w:rPr>
        <w:t xml:space="preserve">Table 1 </w:t>
      </w:r>
      <w:r w:rsidRPr="009E52A9">
        <w:rPr>
          <w:b/>
          <w:iCs/>
          <w:sz w:val="18"/>
          <w:lang w:val="en-GB"/>
        </w:rPr>
        <w:tab/>
      </w:r>
      <w:r w:rsidR="00C6388A" w:rsidRPr="009E52A9">
        <w:rPr>
          <w:i/>
          <w:iCs/>
          <w:sz w:val="18"/>
          <w:lang w:val="en-GB"/>
        </w:rPr>
        <w:t>Experimental condition</w:t>
      </w:r>
      <w:r w:rsidR="00F0796C" w:rsidRPr="009E52A9">
        <w:rPr>
          <w:i/>
          <w:iCs/>
          <w:sz w:val="18"/>
          <w:lang w:val="en-GB"/>
        </w:rPr>
        <w:t>s</w:t>
      </w:r>
      <w:r w:rsidR="00C6388A" w:rsidRPr="009E52A9">
        <w:rPr>
          <w:i/>
          <w:iCs/>
          <w:sz w:val="18"/>
          <w:lang w:val="en-GB"/>
        </w:rPr>
        <w:t xml:space="preserve"> </w:t>
      </w:r>
      <w:r w:rsidR="00903A98" w:rsidRPr="009E52A9">
        <w:rPr>
          <w:i/>
          <w:iCs/>
          <w:sz w:val="18"/>
          <w:lang w:val="en-GB"/>
        </w:rPr>
        <w:t>applied to fish for human consumption</w:t>
      </w:r>
      <w:r w:rsidRPr="009E52A9">
        <w:rPr>
          <w:iCs/>
          <w:sz w:val="18"/>
          <w:lang w:val="en-GB"/>
        </w:rPr>
        <w:t xml:space="preserve">. </w:t>
      </w:r>
    </w:p>
    <w:tbl>
      <w:tblPr>
        <w:tblW w:w="7156" w:type="dxa"/>
        <w:tblCellMar>
          <w:left w:w="70" w:type="dxa"/>
          <w:right w:w="70" w:type="dxa"/>
        </w:tblCellMar>
        <w:tblLook w:val="04A0" w:firstRow="1" w:lastRow="0" w:firstColumn="1" w:lastColumn="0" w:noHBand="0" w:noVBand="1"/>
      </w:tblPr>
      <w:tblGrid>
        <w:gridCol w:w="2127"/>
        <w:gridCol w:w="5029"/>
      </w:tblGrid>
      <w:tr w:rsidR="007D40F9" w:rsidRPr="009E52A9" w14:paraId="62159AC3" w14:textId="77777777" w:rsidTr="00F26DE6">
        <w:tc>
          <w:tcPr>
            <w:tcW w:w="2127" w:type="dxa"/>
            <w:tcBorders>
              <w:top w:val="single" w:sz="4" w:space="0" w:color="000000"/>
              <w:bottom w:val="single" w:sz="4" w:space="0" w:color="000000"/>
            </w:tcBorders>
            <w:shd w:val="clear" w:color="auto" w:fill="auto"/>
          </w:tcPr>
          <w:p w14:paraId="6F6FA891" w14:textId="31DC7E5B" w:rsidR="007D40F9" w:rsidRPr="00133085" w:rsidRDefault="00F0796C" w:rsidP="00E04D30">
            <w:pPr>
              <w:rPr>
                <w:b/>
                <w:bCs/>
                <w:sz w:val="18"/>
                <w:lang w:val="en-GB"/>
              </w:rPr>
            </w:pPr>
            <w:r w:rsidRPr="00133085">
              <w:rPr>
                <w:b/>
                <w:bCs/>
                <w:sz w:val="18"/>
                <w:lang w:val="en-GB"/>
              </w:rPr>
              <w:t>Sample</w:t>
            </w:r>
          </w:p>
        </w:tc>
        <w:tc>
          <w:tcPr>
            <w:tcW w:w="5029" w:type="dxa"/>
            <w:tcBorders>
              <w:top w:val="single" w:sz="4" w:space="0" w:color="000000"/>
              <w:bottom w:val="single" w:sz="4" w:space="0" w:color="000000"/>
            </w:tcBorders>
            <w:shd w:val="clear" w:color="auto" w:fill="auto"/>
          </w:tcPr>
          <w:p w14:paraId="29A2B565" w14:textId="6CBEF576" w:rsidR="007D40F9" w:rsidRPr="00133085" w:rsidRDefault="00F0796C" w:rsidP="00E04D30">
            <w:pPr>
              <w:rPr>
                <w:b/>
                <w:bCs/>
                <w:sz w:val="18"/>
                <w:lang w:val="en-GB"/>
              </w:rPr>
            </w:pPr>
            <w:r w:rsidRPr="00133085">
              <w:rPr>
                <w:b/>
                <w:bCs/>
                <w:sz w:val="18"/>
                <w:lang w:val="en-GB"/>
              </w:rPr>
              <w:t xml:space="preserve">Experimental conditions </w:t>
            </w:r>
          </w:p>
        </w:tc>
      </w:tr>
      <w:tr w:rsidR="007D40F9" w:rsidRPr="00C55C4F" w14:paraId="5972D13F" w14:textId="77777777" w:rsidTr="00F26DE6">
        <w:tc>
          <w:tcPr>
            <w:tcW w:w="2127" w:type="dxa"/>
            <w:tcBorders>
              <w:top w:val="single" w:sz="4" w:space="0" w:color="000000"/>
            </w:tcBorders>
            <w:shd w:val="clear" w:color="auto" w:fill="auto"/>
          </w:tcPr>
          <w:p w14:paraId="71DF1815" w14:textId="7EC1129A" w:rsidR="007D40F9" w:rsidRPr="00133085" w:rsidRDefault="0087596B" w:rsidP="00E04D30">
            <w:pPr>
              <w:rPr>
                <w:b/>
                <w:sz w:val="18"/>
                <w:lang w:val="en-GB"/>
              </w:rPr>
            </w:pPr>
            <w:r w:rsidRPr="00133085">
              <w:rPr>
                <w:b/>
                <w:sz w:val="18"/>
                <w:lang w:val="en-GB"/>
              </w:rPr>
              <w:t xml:space="preserve">Edible tissues </w:t>
            </w:r>
          </w:p>
        </w:tc>
        <w:tc>
          <w:tcPr>
            <w:tcW w:w="5029" w:type="dxa"/>
            <w:tcBorders>
              <w:top w:val="single" w:sz="4" w:space="0" w:color="000000"/>
            </w:tcBorders>
            <w:shd w:val="clear" w:color="auto" w:fill="auto"/>
          </w:tcPr>
          <w:p w14:paraId="16ABD764" w14:textId="7DA5B584" w:rsidR="007D40F9" w:rsidRPr="00133085" w:rsidRDefault="0087596B" w:rsidP="00E04D30">
            <w:pPr>
              <w:rPr>
                <w:sz w:val="18"/>
                <w:lang w:val="en-GB"/>
              </w:rPr>
            </w:pPr>
            <w:r w:rsidRPr="00133085">
              <w:rPr>
                <w:sz w:val="18"/>
                <w:lang w:val="en-GB"/>
              </w:rPr>
              <w:t xml:space="preserve">Potassium hydroxide </w:t>
            </w:r>
            <w:r w:rsidR="006C46D8" w:rsidRPr="00133085">
              <w:rPr>
                <w:sz w:val="18"/>
                <w:lang w:val="en-GB"/>
              </w:rPr>
              <w:t>10%</w:t>
            </w:r>
            <w:r w:rsidRPr="00133085">
              <w:rPr>
                <w:sz w:val="18"/>
                <w:lang w:val="en-GB"/>
              </w:rPr>
              <w:t xml:space="preserve"> at 60°C 24 h (Daniel </w:t>
            </w:r>
            <w:r w:rsidRPr="00133085">
              <w:rPr>
                <w:i/>
                <w:iCs/>
                <w:sz w:val="18"/>
                <w:lang w:val="en-GB"/>
              </w:rPr>
              <w:t>et al</w:t>
            </w:r>
            <w:r w:rsidRPr="00133085">
              <w:rPr>
                <w:sz w:val="18"/>
                <w:lang w:val="en-GB"/>
              </w:rPr>
              <w:t xml:space="preserve">., 2020) </w:t>
            </w:r>
          </w:p>
        </w:tc>
      </w:tr>
      <w:tr w:rsidR="007D40F9" w:rsidRPr="009E52A9" w14:paraId="2F491310" w14:textId="77777777" w:rsidTr="00F26DE6">
        <w:tc>
          <w:tcPr>
            <w:tcW w:w="2127" w:type="dxa"/>
            <w:shd w:val="clear" w:color="auto" w:fill="auto"/>
          </w:tcPr>
          <w:p w14:paraId="24D24763" w14:textId="77777777" w:rsidR="007D40F9" w:rsidRPr="00133085" w:rsidRDefault="007D40F9" w:rsidP="00E04D30">
            <w:pPr>
              <w:snapToGrid w:val="0"/>
              <w:rPr>
                <w:b/>
                <w:sz w:val="18"/>
                <w:lang w:val="en-GB"/>
              </w:rPr>
            </w:pPr>
          </w:p>
        </w:tc>
        <w:tc>
          <w:tcPr>
            <w:tcW w:w="5029" w:type="dxa"/>
            <w:shd w:val="clear" w:color="auto" w:fill="auto"/>
          </w:tcPr>
          <w:p w14:paraId="32097137" w14:textId="56584FDE" w:rsidR="007D40F9" w:rsidRPr="00133085" w:rsidRDefault="0009423A" w:rsidP="00E04D30">
            <w:pPr>
              <w:rPr>
                <w:sz w:val="18"/>
                <w:lang w:val="en-GB"/>
              </w:rPr>
            </w:pPr>
            <w:r w:rsidRPr="00133085">
              <w:rPr>
                <w:sz w:val="18"/>
                <w:lang w:val="en-GB"/>
              </w:rPr>
              <w:t xml:space="preserve">Potassium hydroxide </w:t>
            </w:r>
            <w:r w:rsidR="006C46D8" w:rsidRPr="00133085">
              <w:rPr>
                <w:sz w:val="18"/>
                <w:lang w:val="en-GB"/>
              </w:rPr>
              <w:t>10%</w:t>
            </w:r>
            <w:r w:rsidRPr="00133085">
              <w:rPr>
                <w:sz w:val="18"/>
                <w:lang w:val="en-GB"/>
              </w:rPr>
              <w:t xml:space="preserve"> at </w:t>
            </w:r>
            <w:r w:rsidR="009E52A9" w:rsidRPr="00133085">
              <w:rPr>
                <w:sz w:val="18"/>
                <w:lang w:val="en-GB"/>
              </w:rPr>
              <w:t>5</w:t>
            </w:r>
            <w:r w:rsidRPr="00133085">
              <w:rPr>
                <w:sz w:val="18"/>
                <w:lang w:val="en-GB"/>
              </w:rPr>
              <w:t xml:space="preserve">0°C 48 h (Mistri </w:t>
            </w:r>
            <w:r w:rsidRPr="00133085">
              <w:rPr>
                <w:i/>
                <w:iCs/>
                <w:sz w:val="18"/>
                <w:lang w:val="en-GB"/>
              </w:rPr>
              <w:t>et al</w:t>
            </w:r>
            <w:r w:rsidRPr="00133085">
              <w:rPr>
                <w:sz w:val="18"/>
                <w:lang w:val="en-GB"/>
              </w:rPr>
              <w:t>., 2022)</w:t>
            </w:r>
          </w:p>
        </w:tc>
      </w:tr>
      <w:tr w:rsidR="007D40F9" w:rsidRPr="009E52A9" w14:paraId="0ACEC3A6" w14:textId="77777777" w:rsidTr="00F26DE6">
        <w:tc>
          <w:tcPr>
            <w:tcW w:w="2127" w:type="dxa"/>
            <w:shd w:val="clear" w:color="auto" w:fill="auto"/>
          </w:tcPr>
          <w:p w14:paraId="216D1C9D" w14:textId="43B7712F" w:rsidR="007D40F9" w:rsidRPr="00133085" w:rsidRDefault="007D40F9" w:rsidP="00E04D30">
            <w:pPr>
              <w:snapToGrid w:val="0"/>
              <w:rPr>
                <w:b/>
                <w:sz w:val="18"/>
                <w:lang w:val="en-GB"/>
              </w:rPr>
            </w:pPr>
          </w:p>
        </w:tc>
        <w:tc>
          <w:tcPr>
            <w:tcW w:w="5029" w:type="dxa"/>
            <w:shd w:val="clear" w:color="auto" w:fill="auto"/>
          </w:tcPr>
          <w:p w14:paraId="71EF77AB" w14:textId="030DB5DA" w:rsidR="007D40F9" w:rsidRPr="00133085" w:rsidRDefault="006C46D8" w:rsidP="00E04D30">
            <w:pPr>
              <w:rPr>
                <w:sz w:val="18"/>
              </w:rPr>
            </w:pPr>
            <w:r w:rsidRPr="00133085">
              <w:rPr>
                <w:sz w:val="18"/>
              </w:rPr>
              <w:t xml:space="preserve">Hydrogen peroxide 30% 65°C 24-48h (Li </w:t>
            </w:r>
            <w:r w:rsidRPr="00133085">
              <w:rPr>
                <w:i/>
                <w:iCs/>
                <w:sz w:val="18"/>
              </w:rPr>
              <w:t>et al</w:t>
            </w:r>
            <w:r w:rsidRPr="00133085">
              <w:rPr>
                <w:sz w:val="18"/>
              </w:rPr>
              <w:t>., 2015)</w:t>
            </w:r>
          </w:p>
        </w:tc>
      </w:tr>
      <w:tr w:rsidR="007D40F9" w:rsidRPr="000F422A" w14:paraId="2D0CC60A" w14:textId="77777777" w:rsidTr="00F26DE6">
        <w:tc>
          <w:tcPr>
            <w:tcW w:w="2127" w:type="dxa"/>
            <w:shd w:val="clear" w:color="auto" w:fill="auto"/>
          </w:tcPr>
          <w:p w14:paraId="393479C4" w14:textId="692C9D8D" w:rsidR="007D40F9" w:rsidRPr="00133085" w:rsidRDefault="009E52A9" w:rsidP="00E04D30">
            <w:pPr>
              <w:snapToGrid w:val="0"/>
              <w:rPr>
                <w:b/>
                <w:sz w:val="18"/>
              </w:rPr>
            </w:pPr>
            <w:r w:rsidRPr="00133085">
              <w:rPr>
                <w:b/>
                <w:sz w:val="18"/>
              </w:rPr>
              <w:t>Sample/reagents ratio</w:t>
            </w:r>
          </w:p>
        </w:tc>
        <w:tc>
          <w:tcPr>
            <w:tcW w:w="5029" w:type="dxa"/>
            <w:shd w:val="clear" w:color="auto" w:fill="auto"/>
          </w:tcPr>
          <w:p w14:paraId="2D303277" w14:textId="4218E21E" w:rsidR="007D40F9" w:rsidRPr="00133085" w:rsidRDefault="007D40F9" w:rsidP="00E04D30">
            <w:pPr>
              <w:rPr>
                <w:sz w:val="18"/>
              </w:rPr>
            </w:pPr>
          </w:p>
        </w:tc>
      </w:tr>
      <w:tr w:rsidR="007D40F9" w:rsidRPr="009E52A9" w14:paraId="3D21F573" w14:textId="77777777" w:rsidTr="00F26DE6">
        <w:trPr>
          <w:trHeight w:val="83"/>
        </w:trPr>
        <w:tc>
          <w:tcPr>
            <w:tcW w:w="2127" w:type="dxa"/>
            <w:shd w:val="clear" w:color="auto" w:fill="auto"/>
          </w:tcPr>
          <w:p w14:paraId="5E163A0F" w14:textId="77777777" w:rsidR="007D40F9" w:rsidRPr="00133085" w:rsidRDefault="007D40F9" w:rsidP="00E04D30">
            <w:pPr>
              <w:snapToGrid w:val="0"/>
              <w:rPr>
                <w:bCs/>
                <w:sz w:val="18"/>
              </w:rPr>
            </w:pPr>
          </w:p>
        </w:tc>
        <w:tc>
          <w:tcPr>
            <w:tcW w:w="5029" w:type="dxa"/>
            <w:shd w:val="clear" w:color="auto" w:fill="auto"/>
          </w:tcPr>
          <w:p w14:paraId="15BE35C8" w14:textId="30FE5FD8" w:rsidR="007D40F9" w:rsidRPr="00133085" w:rsidRDefault="009E52A9" w:rsidP="00E04D30">
            <w:pPr>
              <w:rPr>
                <w:sz w:val="18"/>
              </w:rPr>
            </w:pPr>
            <w:r w:rsidRPr="00133085">
              <w:rPr>
                <w:sz w:val="18"/>
              </w:rPr>
              <w:t xml:space="preserve">N/A (Daniel </w:t>
            </w:r>
            <w:r w:rsidRPr="00133085">
              <w:rPr>
                <w:i/>
                <w:iCs/>
                <w:sz w:val="18"/>
              </w:rPr>
              <w:t>et al</w:t>
            </w:r>
            <w:r w:rsidRPr="00133085">
              <w:rPr>
                <w:sz w:val="18"/>
              </w:rPr>
              <w:t>., 2020)</w:t>
            </w:r>
          </w:p>
        </w:tc>
      </w:tr>
      <w:tr w:rsidR="007D40F9" w:rsidRPr="009E52A9" w14:paraId="023633C6" w14:textId="77777777" w:rsidTr="00F26DE6">
        <w:tc>
          <w:tcPr>
            <w:tcW w:w="2127" w:type="dxa"/>
            <w:shd w:val="clear" w:color="auto" w:fill="auto"/>
          </w:tcPr>
          <w:p w14:paraId="5AD214AB" w14:textId="77777777" w:rsidR="007D40F9" w:rsidRPr="00133085" w:rsidRDefault="007D40F9" w:rsidP="00E04D30">
            <w:pPr>
              <w:snapToGrid w:val="0"/>
              <w:rPr>
                <w:bCs/>
                <w:sz w:val="18"/>
              </w:rPr>
            </w:pPr>
          </w:p>
        </w:tc>
        <w:tc>
          <w:tcPr>
            <w:tcW w:w="5029" w:type="dxa"/>
            <w:shd w:val="clear" w:color="auto" w:fill="auto"/>
          </w:tcPr>
          <w:p w14:paraId="486FC06F" w14:textId="455CDBB7" w:rsidR="007D40F9" w:rsidRPr="00133085" w:rsidRDefault="00133085" w:rsidP="00E04D30">
            <w:pPr>
              <w:rPr>
                <w:sz w:val="18"/>
              </w:rPr>
            </w:pPr>
            <w:r w:rsidRPr="00133085">
              <w:rPr>
                <w:sz w:val="18"/>
              </w:rPr>
              <w:t xml:space="preserve">N/A (Mistri </w:t>
            </w:r>
            <w:r w:rsidRPr="00133085">
              <w:rPr>
                <w:i/>
                <w:iCs/>
                <w:sz w:val="18"/>
              </w:rPr>
              <w:t>et al</w:t>
            </w:r>
            <w:r w:rsidRPr="00133085">
              <w:rPr>
                <w:sz w:val="18"/>
              </w:rPr>
              <w:t>., 2022)</w:t>
            </w:r>
          </w:p>
        </w:tc>
      </w:tr>
      <w:tr w:rsidR="007D40F9" w:rsidRPr="009E52A9" w14:paraId="6F599F5A" w14:textId="77777777" w:rsidTr="00F26DE6">
        <w:tc>
          <w:tcPr>
            <w:tcW w:w="2127" w:type="dxa"/>
            <w:shd w:val="clear" w:color="auto" w:fill="auto"/>
          </w:tcPr>
          <w:p w14:paraId="2FFAB1BF" w14:textId="2B49ACD7" w:rsidR="007D40F9" w:rsidRPr="00D61751" w:rsidRDefault="007D40F9" w:rsidP="00E04D30">
            <w:pPr>
              <w:rPr>
                <w:bCs/>
                <w:sz w:val="18"/>
              </w:rPr>
            </w:pPr>
          </w:p>
        </w:tc>
        <w:tc>
          <w:tcPr>
            <w:tcW w:w="5029" w:type="dxa"/>
            <w:shd w:val="clear" w:color="auto" w:fill="auto"/>
          </w:tcPr>
          <w:p w14:paraId="3F81BDC2" w14:textId="764E41F3" w:rsidR="007D40F9" w:rsidRPr="00133085" w:rsidRDefault="00133085" w:rsidP="00E04D30">
            <w:pPr>
              <w:rPr>
                <w:sz w:val="18"/>
                <w:lang w:val="en-GB"/>
              </w:rPr>
            </w:pPr>
            <w:r w:rsidRPr="00133085">
              <w:rPr>
                <w:sz w:val="18"/>
                <w:lang w:val="en-GB"/>
              </w:rPr>
              <w:t>N/A</w:t>
            </w:r>
            <w:r w:rsidRPr="00133085">
              <w:rPr>
                <w:sz w:val="18"/>
              </w:rPr>
              <w:t xml:space="preserve"> (Li </w:t>
            </w:r>
            <w:r w:rsidRPr="00133085">
              <w:rPr>
                <w:i/>
                <w:iCs/>
                <w:sz w:val="18"/>
              </w:rPr>
              <w:t>et al</w:t>
            </w:r>
            <w:r w:rsidRPr="00133085">
              <w:rPr>
                <w:sz w:val="18"/>
              </w:rPr>
              <w:t>., 2015)</w:t>
            </w:r>
          </w:p>
        </w:tc>
      </w:tr>
    </w:tbl>
    <w:p w14:paraId="251602E2" w14:textId="64F55CC2" w:rsidR="007D40F9" w:rsidRDefault="007D40F9" w:rsidP="007D40F9">
      <w:pPr>
        <w:rPr>
          <w:lang w:val="en-GB"/>
        </w:rPr>
      </w:pPr>
    </w:p>
    <w:p w14:paraId="33F46E6C" w14:textId="7C6BE440" w:rsidR="00133085" w:rsidRDefault="00133085" w:rsidP="00CD37A8">
      <w:pPr>
        <w:jc w:val="both"/>
        <w:rPr>
          <w:lang w:val="en-GB"/>
        </w:rPr>
      </w:pPr>
      <w:r>
        <w:rPr>
          <w:lang w:val="en-GB"/>
        </w:rPr>
        <w:t xml:space="preserve">Papers which aim to assess the occurrence of microplastics in seafood do not carefully investigate the </w:t>
      </w:r>
      <w:r w:rsidR="00CD37A8">
        <w:rPr>
          <w:lang w:val="en-GB"/>
        </w:rPr>
        <w:t>digestions conditions as well as data on digestion efficiencies achieved are not reported</w:t>
      </w:r>
      <w:r w:rsidR="00D36EB9">
        <w:rPr>
          <w:lang w:val="en-GB"/>
        </w:rPr>
        <w:t xml:space="preserve">. Digestion reaction are influenced by the temperature (Karami </w:t>
      </w:r>
      <w:r w:rsidR="00D36EB9" w:rsidRPr="00D36EB9">
        <w:rPr>
          <w:i/>
          <w:iCs/>
          <w:lang w:val="en-GB"/>
        </w:rPr>
        <w:t>et al</w:t>
      </w:r>
      <w:r w:rsidR="00D36EB9">
        <w:rPr>
          <w:lang w:val="en-GB"/>
        </w:rPr>
        <w:t>., 2017).</w:t>
      </w:r>
      <w:r w:rsidR="006601B7">
        <w:rPr>
          <w:lang w:val="en-GB"/>
        </w:rPr>
        <w:t xml:space="preserve"> Likewise, </w:t>
      </w:r>
      <w:r w:rsidR="00BF4C20">
        <w:rPr>
          <w:lang w:val="en-GB"/>
        </w:rPr>
        <w:t>o</w:t>
      </w:r>
      <w:r w:rsidR="00BF4C20" w:rsidRPr="00BF4C20">
        <w:rPr>
          <w:lang w:val="en-GB"/>
        </w:rPr>
        <w:t>ptimizing the sample-to-reagent ratio can reduce the time needed for digestion and minimize the potential damage to microplastics from the digestion agent. This highlights the importance of identifying the best experimental conditions.</w:t>
      </w:r>
    </w:p>
    <w:p w14:paraId="369684FE" w14:textId="35B9C7A6" w:rsidR="008527CF" w:rsidRDefault="008527CF" w:rsidP="007D40F9">
      <w:pPr>
        <w:jc w:val="both"/>
        <w:rPr>
          <w:lang w:val="en-GB"/>
        </w:rPr>
      </w:pPr>
      <w:r>
        <w:rPr>
          <w:lang w:val="en-GB"/>
        </w:rPr>
        <w:t>Other food matrices (such as pasta, meat and cheese</w:t>
      </w:r>
      <w:r w:rsidR="004B73F6">
        <w:rPr>
          <w:lang w:val="en-GB"/>
        </w:rPr>
        <w:t>, mozzarella</w:t>
      </w:r>
      <w:r>
        <w:rPr>
          <w:lang w:val="en-GB"/>
        </w:rPr>
        <w:t>) are not documented in scientific literature</w:t>
      </w:r>
      <w:r w:rsidR="00D20A6E">
        <w:rPr>
          <w:lang w:val="en-GB"/>
        </w:rPr>
        <w:t xml:space="preserve"> in terms of occurrence of microplastics and so, digestion protocols. </w:t>
      </w:r>
      <w:r w:rsidR="00843CA8">
        <w:rPr>
          <w:lang w:val="en-GB"/>
        </w:rPr>
        <w:t xml:space="preserve">Scientific hypothesis </w:t>
      </w:r>
      <w:r w:rsidR="001C33E1">
        <w:rPr>
          <w:lang w:val="en-GB"/>
        </w:rPr>
        <w:t>seems</w:t>
      </w:r>
      <w:r w:rsidR="00843CA8">
        <w:rPr>
          <w:lang w:val="en-GB"/>
        </w:rPr>
        <w:t xml:space="preserve"> to suggest the contamination of these foods</w:t>
      </w:r>
      <w:r w:rsidR="001C33E1">
        <w:rPr>
          <w:lang w:val="en-GB"/>
        </w:rPr>
        <w:t>. Particularly, Food and Agriculture Organization (FAO)</w:t>
      </w:r>
      <w:r w:rsidR="00397894">
        <w:rPr>
          <w:lang w:val="en-GB"/>
        </w:rPr>
        <w:t xml:space="preserve"> suggested that plastic-packaging is a remarkable source of microplastics in foods (Gamarro and Costanzo, 2022).</w:t>
      </w:r>
      <w:r w:rsidR="009C4CCA">
        <w:rPr>
          <w:lang w:val="en-GB"/>
        </w:rPr>
        <w:t xml:space="preserve"> </w:t>
      </w:r>
      <w:r w:rsidR="00586BAC">
        <w:rPr>
          <w:lang w:val="en-GB"/>
        </w:rPr>
        <w:t>Optimisation</w:t>
      </w:r>
      <w:r w:rsidR="00BE73C2">
        <w:rPr>
          <w:lang w:val="en-GB"/>
        </w:rPr>
        <w:t xml:space="preserve"> of sample preparations is fundamental to assess microplastic’s contamination in foods </w:t>
      </w:r>
      <w:r w:rsidR="009018D3">
        <w:rPr>
          <w:lang w:val="en-GB"/>
        </w:rPr>
        <w:t xml:space="preserve">and so, for assessing the recovery rate </w:t>
      </w:r>
      <w:r w:rsidR="00BE73C2">
        <w:rPr>
          <w:lang w:val="en-GB"/>
        </w:rPr>
        <w:t xml:space="preserve">(Cai </w:t>
      </w:r>
      <w:r w:rsidR="00BE73C2" w:rsidRPr="00BE73C2">
        <w:rPr>
          <w:i/>
          <w:iCs/>
          <w:lang w:val="en-GB"/>
        </w:rPr>
        <w:t>et al.,</w:t>
      </w:r>
      <w:r w:rsidR="00BE73C2">
        <w:rPr>
          <w:lang w:val="en-GB"/>
        </w:rPr>
        <w:t xml:space="preserve"> 2019).</w:t>
      </w:r>
      <w:r w:rsidR="008A5CC4">
        <w:rPr>
          <w:lang w:val="en-GB"/>
        </w:rPr>
        <w:t xml:space="preserve"> </w:t>
      </w:r>
      <w:r w:rsidR="00586BAC">
        <w:rPr>
          <w:lang w:val="en-GB"/>
        </w:rPr>
        <w:t xml:space="preserve">These treatments should be standardised </w:t>
      </w:r>
      <w:r w:rsidR="002A3460">
        <w:rPr>
          <w:lang w:val="en-GB"/>
        </w:rPr>
        <w:t>to obtain results a</w:t>
      </w:r>
      <w:r w:rsidR="002A3460" w:rsidRPr="002A3460">
        <w:rPr>
          <w:lang w:val="en-GB"/>
        </w:rPr>
        <w:t>s comparable as possible</w:t>
      </w:r>
      <w:r w:rsidR="002A3460">
        <w:rPr>
          <w:lang w:val="en-GB"/>
        </w:rPr>
        <w:t xml:space="preserve"> among researchers’ groups. </w:t>
      </w:r>
    </w:p>
    <w:p w14:paraId="27AC979D" w14:textId="7C037CBF" w:rsidR="002A3460" w:rsidRDefault="003F0DAC" w:rsidP="007D40F9">
      <w:pPr>
        <w:jc w:val="both"/>
        <w:rPr>
          <w:lang w:val="en-GB"/>
        </w:rPr>
      </w:pPr>
      <w:r>
        <w:rPr>
          <w:lang w:val="en-GB"/>
        </w:rPr>
        <w:t>Another important issue in microplastic’s research field is their quantification. Currently, visual counting is the most used</w:t>
      </w:r>
      <w:r w:rsidR="009C4CCA">
        <w:rPr>
          <w:lang w:val="en-GB"/>
        </w:rPr>
        <w:t xml:space="preserve"> </w:t>
      </w:r>
      <w:r w:rsidR="009C4CCA" w:rsidRPr="008528AC">
        <w:rPr>
          <w:lang w:val="en-GB"/>
        </w:rPr>
        <w:t xml:space="preserve">(Hamed </w:t>
      </w:r>
      <w:r w:rsidR="009C4CCA" w:rsidRPr="008528AC">
        <w:rPr>
          <w:i/>
          <w:iCs/>
          <w:lang w:val="en-GB"/>
        </w:rPr>
        <w:t>et al.,</w:t>
      </w:r>
      <w:r w:rsidR="009C4CCA" w:rsidRPr="008528AC">
        <w:rPr>
          <w:lang w:val="en-GB"/>
        </w:rPr>
        <w:t xml:space="preserve"> 2019; Zeytin </w:t>
      </w:r>
      <w:r w:rsidR="009C4CCA" w:rsidRPr="008528AC">
        <w:rPr>
          <w:i/>
          <w:iCs/>
          <w:lang w:val="en-GB"/>
        </w:rPr>
        <w:t>et al.,</w:t>
      </w:r>
      <w:r w:rsidR="009C4CCA" w:rsidRPr="008528AC">
        <w:rPr>
          <w:lang w:val="en-GB"/>
        </w:rPr>
        <w:t xml:space="preserve"> 2020)</w:t>
      </w:r>
      <w:r w:rsidR="00EE6C5E" w:rsidRPr="008528AC">
        <w:rPr>
          <w:lang w:val="en-GB"/>
        </w:rPr>
        <w:t>. However</w:t>
      </w:r>
      <w:r w:rsidR="00EE6C5E">
        <w:rPr>
          <w:lang w:val="en-GB"/>
        </w:rPr>
        <w:t>, quantification by pyrolysis-gas chromatography- mass spectrometry</w:t>
      </w:r>
      <w:r w:rsidR="00F05999">
        <w:rPr>
          <w:lang w:val="en-GB"/>
        </w:rPr>
        <w:t xml:space="preserve"> </w:t>
      </w:r>
      <w:r w:rsidR="00F05999">
        <w:rPr>
          <w:lang w:val="en-GB"/>
        </w:rPr>
        <w:lastRenderedPageBreak/>
        <w:t>(Py-GC-MS)</w:t>
      </w:r>
      <w:r w:rsidR="00EE6C5E">
        <w:rPr>
          <w:lang w:val="en-GB"/>
        </w:rPr>
        <w:t xml:space="preserve"> is now a </w:t>
      </w:r>
      <w:r w:rsidR="00EE6C5E" w:rsidRPr="00A20CF7">
        <w:rPr>
          <w:lang w:val="en-GB"/>
        </w:rPr>
        <w:t xml:space="preserve">promising technique but, issues are still challenging. For example, </w:t>
      </w:r>
      <w:r w:rsidR="009E023F" w:rsidRPr="00A20CF7">
        <w:rPr>
          <w:lang w:val="en-GB"/>
        </w:rPr>
        <w:t xml:space="preserve">for </w:t>
      </w:r>
      <w:r w:rsidR="00E75091" w:rsidRPr="00A20CF7">
        <w:rPr>
          <w:lang w:val="en-GB"/>
        </w:rPr>
        <w:t>quantif</w:t>
      </w:r>
      <w:r w:rsidR="009E023F" w:rsidRPr="00A20CF7">
        <w:rPr>
          <w:lang w:val="en-GB"/>
        </w:rPr>
        <w:t xml:space="preserve">ying microplastics, the construction of calibration curves is required (Ishimura </w:t>
      </w:r>
      <w:r w:rsidR="009E023F" w:rsidRPr="00A20CF7">
        <w:rPr>
          <w:i/>
          <w:iCs/>
          <w:lang w:val="en-GB"/>
        </w:rPr>
        <w:t>et al.,</w:t>
      </w:r>
      <w:r w:rsidR="009E023F" w:rsidRPr="00A20CF7">
        <w:rPr>
          <w:lang w:val="en-GB"/>
        </w:rPr>
        <w:t xml:space="preserve"> 2020). </w:t>
      </w:r>
      <w:r w:rsidR="00EA59F6" w:rsidRPr="00A20CF7">
        <w:rPr>
          <w:lang w:val="en-GB"/>
        </w:rPr>
        <w:t>Furthermore, for food, where the contamination is supposed to be in the range of ppt, the method should be very sensitive. Therefore</w:t>
      </w:r>
      <w:r w:rsidR="00EA59F6">
        <w:rPr>
          <w:lang w:val="en-GB"/>
        </w:rPr>
        <w:t xml:space="preserve">, for achieving low concentration in the calibration curves ‘construction, </w:t>
      </w:r>
      <w:r w:rsidR="00C7577C">
        <w:rPr>
          <w:lang w:val="en-GB"/>
        </w:rPr>
        <w:t xml:space="preserve">solubilization of polymers is a potential solution. </w:t>
      </w:r>
      <w:r w:rsidR="00F428F5">
        <w:rPr>
          <w:lang w:val="en-GB"/>
        </w:rPr>
        <w:t>Hansen Solubility Parameters were taken into account for studying the solubilization of plastic polymers. The theory as well as formula are based on the interactions between solvent and plastics polymers</w:t>
      </w:r>
      <w:r w:rsidR="00647D82">
        <w:rPr>
          <w:lang w:val="en-GB"/>
        </w:rPr>
        <w:t>. Briefly, th</w:t>
      </w:r>
      <w:r w:rsidR="00647D82" w:rsidRPr="00647D82">
        <w:rPr>
          <w:lang w:val="en-GB"/>
        </w:rPr>
        <w:t>e degree of similarity between solvent and solute, in a given situation, determines the extent of interaction. The key factor, in fact, of this theory is to identify the affinities that the components of a system have among themselves.</w:t>
      </w:r>
      <w:r w:rsidR="00CA084F">
        <w:rPr>
          <w:lang w:val="en-GB"/>
        </w:rPr>
        <w:t xml:space="preserve"> </w:t>
      </w:r>
      <w:r w:rsidR="00CA084F" w:rsidRPr="00CA084F">
        <w:rPr>
          <w:lang w:val="en-GB"/>
        </w:rPr>
        <w:t>The Hansen parameters</w:t>
      </w:r>
      <w:r w:rsidR="00CA084F">
        <w:rPr>
          <w:lang w:val="en-GB"/>
        </w:rPr>
        <w:t xml:space="preserve"> (i.e., </w:t>
      </w:r>
      <w:r w:rsidR="00CA084F">
        <w:rPr>
          <w:lang w:val="en-GB"/>
        </w:rPr>
        <w:sym w:font="Symbol" w:char="F064"/>
      </w:r>
      <w:r w:rsidR="00CA084F" w:rsidRPr="00CA084F">
        <w:rPr>
          <w:vertAlign w:val="superscript"/>
          <w:lang w:val="en-GB"/>
        </w:rPr>
        <w:t>d</w:t>
      </w:r>
      <w:r w:rsidR="00CA084F">
        <w:rPr>
          <w:lang w:val="en-GB"/>
        </w:rPr>
        <w:t xml:space="preserve">, </w:t>
      </w:r>
      <w:r w:rsidR="00CA084F">
        <w:rPr>
          <w:lang w:val="en-GB"/>
        </w:rPr>
        <w:sym w:font="Symbol" w:char="F064"/>
      </w:r>
      <w:r w:rsidR="00CA084F">
        <w:rPr>
          <w:vertAlign w:val="superscript"/>
          <w:lang w:val="en-GB"/>
        </w:rPr>
        <w:t>p</w:t>
      </w:r>
      <w:r w:rsidR="00CA084F">
        <w:rPr>
          <w:lang w:val="en-GB"/>
        </w:rPr>
        <w:t>,</w:t>
      </w:r>
      <w:r w:rsidR="00CA084F">
        <w:rPr>
          <w:vertAlign w:val="superscript"/>
          <w:lang w:val="en-GB"/>
        </w:rPr>
        <w:t xml:space="preserve"> </w:t>
      </w:r>
      <w:r w:rsidR="00CA084F">
        <w:rPr>
          <w:lang w:val="en-GB"/>
        </w:rPr>
        <w:sym w:font="Symbol" w:char="F064"/>
      </w:r>
      <w:r w:rsidR="00CA084F">
        <w:rPr>
          <w:vertAlign w:val="superscript"/>
          <w:lang w:val="en-GB"/>
        </w:rPr>
        <w:t>h</w:t>
      </w:r>
      <w:r w:rsidR="00CA084F">
        <w:rPr>
          <w:lang w:val="en-GB"/>
        </w:rPr>
        <w:t>)</w:t>
      </w:r>
      <w:r w:rsidR="00CA084F" w:rsidRPr="00CA084F">
        <w:rPr>
          <w:lang w:val="en-GB"/>
        </w:rPr>
        <w:t xml:space="preserve"> indicate </w:t>
      </w:r>
      <w:r w:rsidR="00CA084F">
        <w:rPr>
          <w:lang w:val="en-GB"/>
        </w:rPr>
        <w:t>specific characteristics of the polymer. W</w:t>
      </w:r>
      <w:r w:rsidR="00CA084F" w:rsidRPr="00CA084F">
        <w:rPr>
          <w:lang w:val="en-GB"/>
        </w:rPr>
        <w:t>hether a solvent is capable of dissolving a polymer</w:t>
      </w:r>
      <w:r w:rsidR="00CA084F">
        <w:rPr>
          <w:lang w:val="en-GB"/>
        </w:rPr>
        <w:t xml:space="preserve"> is indicated by the </w:t>
      </w:r>
      <w:r w:rsidR="00CA084F" w:rsidRPr="00CA084F">
        <w:rPr>
          <w:i/>
          <w:iCs/>
          <w:lang w:val="en-GB"/>
        </w:rPr>
        <w:t>Ra/R0</w:t>
      </w:r>
      <w:r w:rsidR="00CA084F">
        <w:rPr>
          <w:lang w:val="en-GB"/>
        </w:rPr>
        <w:t xml:space="preserve"> ratio.</w:t>
      </w:r>
      <w:r w:rsidR="002D2105" w:rsidRPr="002D2105">
        <w:rPr>
          <w:lang w:val="en-US"/>
        </w:rPr>
        <w:t xml:space="preserve"> </w:t>
      </w:r>
      <w:r w:rsidR="002D2105" w:rsidRPr="002D2105">
        <w:rPr>
          <w:lang w:val="en-GB"/>
        </w:rPr>
        <w:t xml:space="preserve">Specifically, if the ratio </w:t>
      </w:r>
      <w:r w:rsidR="002D2105" w:rsidRPr="002D2105">
        <w:rPr>
          <w:i/>
          <w:iCs/>
          <w:lang w:val="en-GB"/>
        </w:rPr>
        <w:t>Ra&lt; R0</w:t>
      </w:r>
      <w:r w:rsidR="002D2105" w:rsidRPr="002D2105">
        <w:rPr>
          <w:lang w:val="en-GB"/>
        </w:rPr>
        <w:t>, then the probability that the solvent will dissolve the polymer is high.</w:t>
      </w:r>
    </w:p>
    <w:p w14:paraId="7F023147" w14:textId="77777777" w:rsidR="007D40F9" w:rsidRDefault="007D40F9" w:rsidP="007D40F9">
      <w:pPr>
        <w:pStyle w:val="Titolo1"/>
        <w:spacing w:before="240" w:after="120"/>
        <w:ind w:right="0"/>
        <w:jc w:val="both"/>
        <w:rPr>
          <w:b/>
          <w:bCs/>
          <w:color w:val="000000"/>
          <w:sz w:val="24"/>
          <w:lang w:val="en-GB"/>
        </w:rPr>
      </w:pPr>
      <w:r>
        <w:rPr>
          <w:b/>
          <w:bCs/>
          <w:color w:val="000000"/>
          <w:sz w:val="24"/>
          <w:lang w:val="en-GB"/>
        </w:rPr>
        <w:t>3. Mathematical Modelling</w:t>
      </w:r>
    </w:p>
    <w:p w14:paraId="0667C0C1" w14:textId="763BCE70" w:rsidR="003F0DAC" w:rsidRDefault="007D40F9" w:rsidP="007D40F9">
      <w:pPr>
        <w:jc w:val="both"/>
        <w:rPr>
          <w:lang w:val="en-GB"/>
        </w:rPr>
      </w:pPr>
      <w:r>
        <w:rPr>
          <w:lang w:val="en-GB"/>
        </w:rPr>
        <w:t xml:space="preserve">To design </w:t>
      </w:r>
      <w:r w:rsidR="003F0DAC">
        <w:rPr>
          <w:lang w:val="en-GB"/>
        </w:rPr>
        <w:t>and</w:t>
      </w:r>
      <w:r>
        <w:rPr>
          <w:lang w:val="en-GB"/>
        </w:rPr>
        <w:t xml:space="preserve"> optimise </w:t>
      </w:r>
      <w:r w:rsidR="003F0DAC">
        <w:rPr>
          <w:lang w:val="en-GB"/>
        </w:rPr>
        <w:t>digestion efficiency</w:t>
      </w:r>
      <w:r w:rsidR="00C7577C">
        <w:rPr>
          <w:lang w:val="en-GB"/>
        </w:rPr>
        <w:t xml:space="preserve">, several parameters are be taken into account, such as time, temperature, type of agents, sample/reagent ratio. </w:t>
      </w:r>
    </w:p>
    <w:p w14:paraId="12296C47" w14:textId="2D6EEF41" w:rsidR="007D40F9" w:rsidRDefault="00C7577C" w:rsidP="007D40F9">
      <w:pPr>
        <w:jc w:val="both"/>
        <w:rPr>
          <w:lang w:val="en-GB"/>
        </w:rPr>
      </w:pPr>
      <w:r>
        <w:rPr>
          <w:lang w:val="en-GB"/>
        </w:rPr>
        <w:t xml:space="preserve">Parameters were experimentally evaluated, to assess the best condition. Digestion efficiency (and the related standard deviation for each protocol) were assess with the following formula (1). </w:t>
      </w:r>
    </w:p>
    <w:p w14:paraId="56B778FA" w14:textId="1C371C75" w:rsidR="007D40F9" w:rsidRDefault="007D40F9" w:rsidP="007D40F9">
      <w:pPr>
        <w:jc w:val="both"/>
        <w:rPr>
          <w:lang w:val="en-GB"/>
        </w:rPr>
      </w:pPr>
    </w:p>
    <w:p w14:paraId="57A8EBCE" w14:textId="094B74B9" w:rsidR="007D40F9" w:rsidRPr="00746B7D" w:rsidRDefault="00F31668" w:rsidP="005C5EA5">
      <w:pPr>
        <w:tabs>
          <w:tab w:val="left" w:pos="567"/>
          <w:tab w:val="left" w:pos="7938"/>
        </w:tabs>
        <w:jc w:val="center"/>
        <w:rPr>
          <w:lang w:val="en-US"/>
        </w:rPr>
      </w:pPr>
      <m:oMath>
        <m:r>
          <w:rPr>
            <w:rFonts w:ascii="Cambria Math" w:hAnsi="Cambria Math"/>
            <w:lang w:val="en-GB"/>
          </w:rPr>
          <m:t>DE(%)=100-</m:t>
        </m:r>
        <m:f>
          <m:fPr>
            <m:ctrlPr>
              <w:rPr>
                <w:rFonts w:ascii="Cambria Math" w:hAnsi="Cambria Math" w:cs="Cambria Math"/>
                <w:i/>
                <w:lang w:val="en-GB"/>
              </w:rPr>
            </m:ctrlPr>
          </m:fPr>
          <m:num>
            <m:r>
              <w:rPr>
                <w:rFonts w:ascii="Cambria Math" w:hAnsi="Cambria Math" w:cs="Cambria Math"/>
                <w:lang w:val="en-GB"/>
              </w:rPr>
              <m:t xml:space="preserve">Dry weight on filter paper </m:t>
            </m:r>
            <m:d>
              <m:dPr>
                <m:ctrlPr>
                  <w:rPr>
                    <w:rFonts w:ascii="Cambria Math" w:hAnsi="Cambria Math" w:cs="Cambria Math"/>
                    <w:i/>
                    <w:lang w:val="en-GB"/>
                  </w:rPr>
                </m:ctrlPr>
              </m:dPr>
              <m:e>
                <m:r>
                  <w:rPr>
                    <w:rFonts w:ascii="Cambria Math" w:hAnsi="Cambria Math" w:cs="Cambria Math"/>
                    <w:lang w:val="en-GB"/>
                  </w:rPr>
                  <m:t>g</m:t>
                </m:r>
              </m:e>
            </m:d>
          </m:num>
          <m:den>
            <m:r>
              <w:rPr>
                <w:rFonts w:ascii="Cambria Math" w:hAnsi="Cambria Math" w:cs="Cambria Math"/>
                <w:lang w:val="en-GB"/>
              </w:rPr>
              <m:t xml:space="preserve">Wet weight entire matrix </m:t>
            </m:r>
            <m:d>
              <m:dPr>
                <m:ctrlPr>
                  <w:rPr>
                    <w:rFonts w:ascii="Cambria Math" w:hAnsi="Cambria Math" w:cs="Cambria Math"/>
                    <w:i/>
                    <w:lang w:val="en-GB"/>
                  </w:rPr>
                </m:ctrlPr>
              </m:dPr>
              <m:e>
                <m:r>
                  <w:rPr>
                    <w:rFonts w:ascii="Cambria Math" w:hAnsi="Cambria Math" w:cs="Cambria Math"/>
                    <w:lang w:val="en-GB"/>
                  </w:rPr>
                  <m:t>g</m:t>
                </m:r>
              </m:e>
            </m:d>
          </m:den>
        </m:f>
        <m:r>
          <w:rPr>
            <w:rFonts w:ascii="Cambria Math" w:hAnsi="Cambria Math" w:cs="Cambria Math"/>
            <w:lang w:val="en-GB"/>
          </w:rPr>
          <m:t>*100</m:t>
        </m:r>
      </m:oMath>
      <w:r>
        <w:rPr>
          <w:lang w:val="en-GB"/>
        </w:rPr>
        <w:t xml:space="preserve">; </w:t>
      </w:r>
      <w:r w:rsidR="002D7472">
        <w:rPr>
          <w:lang w:val="en-GB"/>
        </w:rPr>
        <w:t xml:space="preserve">=&gt; </w:t>
      </w:r>
      <m:oMath>
        <m:f>
          <m:fPr>
            <m:ctrlPr>
              <w:rPr>
                <w:rFonts w:ascii="Cambria Math" w:hAnsi="Cambria Math" w:cs="Cambria Math"/>
                <w:i/>
                <w:lang w:val="en-GB"/>
              </w:rPr>
            </m:ctrlPr>
          </m:fPr>
          <m:num>
            <m:sSub>
              <m:sSubPr>
                <m:ctrlPr>
                  <w:rPr>
                    <w:rFonts w:ascii="Cambria Math" w:hAnsi="Cambria Math" w:cs="Cambria Math"/>
                    <w:i/>
                    <w:lang w:val="en-GB"/>
                  </w:rPr>
                </m:ctrlPr>
              </m:sSubPr>
              <m:e>
                <m:r>
                  <w:rPr>
                    <w:rFonts w:ascii="Cambria Math" w:hAnsi="Cambria Math" w:cs="Cambria Math"/>
                    <w:lang w:val="en-GB"/>
                  </w:rPr>
                  <m:t>W</m:t>
                </m:r>
              </m:e>
              <m:sub>
                <m:r>
                  <w:rPr>
                    <w:rFonts w:ascii="Cambria Math" w:hAnsi="Cambria Math" w:cs="Cambria Math"/>
                    <w:lang w:val="en-GB"/>
                  </w:rPr>
                  <m:t>i</m:t>
                </m:r>
              </m:sub>
            </m:sSub>
            <m:r>
              <w:rPr>
                <w:rFonts w:ascii="Cambria Math" w:hAnsi="Cambria Math" w:cs="Cambria Math"/>
                <w:lang w:val="en-GB"/>
              </w:rPr>
              <m:t xml:space="preserve"> -(</m:t>
            </m:r>
            <m:sSub>
              <m:sSubPr>
                <m:ctrlPr>
                  <w:rPr>
                    <w:rFonts w:ascii="Cambria Math" w:hAnsi="Cambria Math" w:cs="Cambria Math"/>
                    <w:i/>
                    <w:lang w:val="en-GB"/>
                  </w:rPr>
                </m:ctrlPr>
              </m:sSubPr>
              <m:e>
                <m:r>
                  <w:rPr>
                    <w:rFonts w:ascii="Cambria Math" w:hAnsi="Cambria Math" w:cs="Cambria Math"/>
                    <w:lang w:val="en-GB"/>
                  </w:rPr>
                  <m:t>W</m:t>
                </m:r>
              </m:e>
              <m:sub>
                <m:r>
                  <w:rPr>
                    <w:rFonts w:ascii="Cambria Math" w:hAnsi="Cambria Math" w:cs="Cambria Math"/>
                    <w:lang w:val="en-GB"/>
                  </w:rPr>
                  <m:t>a</m:t>
                </m:r>
              </m:sub>
            </m:sSub>
            <m:r>
              <w:rPr>
                <w:rFonts w:ascii="Cambria Math" w:hAnsi="Cambria Math" w:cs="Cambria Math"/>
                <w:lang w:val="en-GB"/>
              </w:rPr>
              <m:t>-</m:t>
            </m:r>
            <m:sSub>
              <m:sSubPr>
                <m:ctrlPr>
                  <w:rPr>
                    <w:rFonts w:ascii="Cambria Math" w:hAnsi="Cambria Math" w:cs="Cambria Math"/>
                    <w:i/>
                    <w:lang w:val="en-GB"/>
                  </w:rPr>
                </m:ctrlPr>
              </m:sSubPr>
              <m:e>
                <m:r>
                  <w:rPr>
                    <w:rFonts w:ascii="Cambria Math" w:hAnsi="Cambria Math" w:cs="Cambria Math"/>
                    <w:lang w:val="en-GB"/>
                  </w:rPr>
                  <m:t>W</m:t>
                </m:r>
              </m:e>
              <m:sub>
                <m:r>
                  <w:rPr>
                    <w:rFonts w:ascii="Cambria Math" w:hAnsi="Cambria Math" w:cs="Cambria Math"/>
                    <w:lang w:val="en-GB"/>
                  </w:rPr>
                  <m:t>b</m:t>
                </m:r>
              </m:sub>
            </m:sSub>
            <m:r>
              <w:rPr>
                <w:rFonts w:ascii="Cambria Math" w:hAnsi="Cambria Math" w:cs="Cambria Math"/>
                <w:lang w:val="en-GB"/>
              </w:rPr>
              <m:t>)</m:t>
            </m:r>
          </m:num>
          <m:den>
            <m:sSub>
              <m:sSubPr>
                <m:ctrlPr>
                  <w:rPr>
                    <w:rFonts w:ascii="Cambria Math" w:hAnsi="Cambria Math" w:cs="Cambria Math"/>
                    <w:i/>
                    <w:lang w:val="en-GB"/>
                  </w:rPr>
                </m:ctrlPr>
              </m:sSubPr>
              <m:e>
                <m:r>
                  <w:rPr>
                    <w:rFonts w:ascii="Cambria Math" w:hAnsi="Cambria Math" w:cs="Cambria Math"/>
                    <w:lang w:val="en-GB"/>
                  </w:rPr>
                  <m:t>W</m:t>
                </m:r>
              </m:e>
              <m:sub>
                <m:r>
                  <w:rPr>
                    <w:rFonts w:ascii="Cambria Math" w:hAnsi="Cambria Math" w:cs="Cambria Math"/>
                    <w:lang w:val="en-GB"/>
                  </w:rPr>
                  <m:t>i</m:t>
                </m:r>
              </m:sub>
            </m:sSub>
          </m:den>
        </m:f>
      </m:oMath>
      <w:r w:rsidR="002D7472">
        <w:rPr>
          <w:lang w:val="en-GB"/>
        </w:rPr>
        <w:t>*100</w:t>
      </w:r>
      <w:r w:rsidR="002D7472">
        <w:rPr>
          <w:lang w:val="en-US"/>
        </w:rPr>
        <w:t xml:space="preserve"> </w:t>
      </w:r>
      <w:r w:rsidR="007D40F9">
        <w:rPr>
          <w:lang w:val="en-US"/>
        </w:rPr>
        <w:t>(1)</w:t>
      </w:r>
    </w:p>
    <w:p w14:paraId="1EDB3B07" w14:textId="77777777" w:rsidR="00D85B84" w:rsidRDefault="00D85B84" w:rsidP="002D7472">
      <w:pPr>
        <w:tabs>
          <w:tab w:val="left" w:pos="567"/>
          <w:tab w:val="left" w:pos="7938"/>
        </w:tabs>
        <w:rPr>
          <w:lang w:val="en-GB"/>
        </w:rPr>
      </w:pPr>
    </w:p>
    <w:p w14:paraId="7ED9952A" w14:textId="69BA5613" w:rsidR="007D40F9" w:rsidRPr="002D7472" w:rsidRDefault="00D85B84" w:rsidP="002D7472">
      <w:pPr>
        <w:tabs>
          <w:tab w:val="left" w:pos="567"/>
          <w:tab w:val="left" w:pos="7938"/>
        </w:tabs>
        <w:rPr>
          <w:lang w:val="en-US"/>
        </w:rPr>
      </w:pPr>
      <w:r w:rsidRPr="00D61751">
        <w:rPr>
          <w:lang w:val="en-GB"/>
        </w:rPr>
        <w:t xml:space="preserve">Furthermore, </w:t>
      </w:r>
      <w:r>
        <w:rPr>
          <w:lang w:val="en-GB"/>
        </w:rPr>
        <w:t xml:space="preserve">percentage recovery rate (RR) of microplastics were assessed, using the following formula (2). </w:t>
      </w:r>
    </w:p>
    <w:p w14:paraId="7C3C6F87" w14:textId="77777777" w:rsidR="007D40F9" w:rsidRDefault="007D40F9" w:rsidP="007D40F9">
      <w:pPr>
        <w:tabs>
          <w:tab w:val="left" w:pos="567"/>
          <w:tab w:val="left" w:pos="7938"/>
        </w:tabs>
        <w:jc w:val="both"/>
        <w:rPr>
          <w:lang w:val="en-GB"/>
        </w:rPr>
      </w:pPr>
      <w:r>
        <w:rPr>
          <w:lang w:val="en-GB"/>
        </w:rPr>
        <w:t>where all symbols are given in section 7.</w:t>
      </w:r>
    </w:p>
    <w:p w14:paraId="60A9C91D" w14:textId="77777777" w:rsidR="007D40F9" w:rsidRDefault="007D40F9" w:rsidP="007D40F9">
      <w:pPr>
        <w:tabs>
          <w:tab w:val="left" w:pos="567"/>
          <w:tab w:val="left" w:pos="7938"/>
        </w:tabs>
        <w:jc w:val="both"/>
        <w:rPr>
          <w:lang w:val="en-GB"/>
        </w:rPr>
      </w:pPr>
    </w:p>
    <w:p w14:paraId="6C954216" w14:textId="48C48341" w:rsidR="007D40F9" w:rsidRPr="00746B7D" w:rsidRDefault="00D85B84" w:rsidP="00D85B84">
      <w:pPr>
        <w:tabs>
          <w:tab w:val="left" w:pos="567"/>
          <w:tab w:val="left" w:pos="7938"/>
        </w:tabs>
        <w:rPr>
          <w:lang w:val="en-US"/>
        </w:rPr>
      </w:pPr>
      <m:oMath>
        <m:r>
          <w:rPr>
            <w:rFonts w:ascii="Cambria Math" w:hAnsi="Cambria Math"/>
            <w:lang w:val="en-GB"/>
          </w:rPr>
          <m:t xml:space="preserve">                                                                   RR </m:t>
        </m:r>
        <m:d>
          <m:dPr>
            <m:ctrlPr>
              <w:rPr>
                <w:rFonts w:ascii="Cambria Math" w:hAnsi="Cambria Math"/>
                <w:i/>
                <w:lang w:val="en-GB"/>
              </w:rPr>
            </m:ctrlPr>
          </m:dPr>
          <m:e>
            <m:r>
              <w:rPr>
                <w:rFonts w:ascii="Cambria Math" w:hAnsi="Cambria Math"/>
                <w:lang w:val="en-GB"/>
              </w:rPr>
              <m:t>%</m:t>
            </m:r>
          </m:e>
        </m:d>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a</m:t>
                </m:r>
              </m:sub>
            </m:sSub>
          </m:num>
          <m:den>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b</m:t>
                </m:r>
              </m:sub>
            </m:sSub>
          </m:den>
        </m:f>
        <m:r>
          <w:rPr>
            <w:rFonts w:ascii="Cambria Math" w:hAnsi="Cambria Math"/>
            <w:lang w:val="en-GB"/>
          </w:rPr>
          <m:t>*100</m:t>
        </m:r>
      </m:oMath>
      <w:r>
        <w:rPr>
          <w:lang w:val="en-GB"/>
        </w:rPr>
        <w:t xml:space="preserve"> </w:t>
      </w:r>
      <w:r w:rsidR="007D40F9">
        <w:rPr>
          <w:lang w:val="en-GB"/>
        </w:rPr>
        <w:t>(</w:t>
      </w:r>
      <w:r>
        <w:rPr>
          <w:lang w:val="en-GB"/>
        </w:rPr>
        <w:t>2</w:t>
      </w:r>
      <w:r w:rsidR="007D40F9">
        <w:rPr>
          <w:lang w:val="en-GB"/>
        </w:rPr>
        <w:t>)</w:t>
      </w:r>
    </w:p>
    <w:p w14:paraId="35153D0E" w14:textId="1EE8497F" w:rsidR="007D40F9" w:rsidRDefault="00EF24C6" w:rsidP="007D40F9">
      <w:pPr>
        <w:tabs>
          <w:tab w:val="left" w:pos="567"/>
          <w:tab w:val="left" w:pos="7938"/>
        </w:tabs>
        <w:jc w:val="both"/>
        <w:rPr>
          <w:lang w:val="en-GB"/>
        </w:rPr>
      </w:pPr>
      <w:r>
        <w:rPr>
          <w:lang w:val="en-GB"/>
        </w:rPr>
        <w:t xml:space="preserve">Regarding the </w:t>
      </w:r>
      <w:r w:rsidR="00F428F5">
        <w:rPr>
          <w:lang w:val="en-GB"/>
        </w:rPr>
        <w:t>solubilization of plastics polymers for the construction of calibrations curves, Hansen Solubility Parameters were taken into account</w:t>
      </w:r>
      <w:r w:rsidR="0055159A">
        <w:rPr>
          <w:lang w:val="en-GB"/>
        </w:rPr>
        <w:t xml:space="preserve"> (3)</w:t>
      </w:r>
      <w:r w:rsidR="00F428F5">
        <w:rPr>
          <w:lang w:val="en-GB"/>
        </w:rPr>
        <w:t xml:space="preserve">.  </w:t>
      </w:r>
    </w:p>
    <w:p w14:paraId="042447AB" w14:textId="14BC7668" w:rsidR="002D2105" w:rsidRDefault="00000000" w:rsidP="002D2105">
      <w:pPr>
        <w:tabs>
          <w:tab w:val="left" w:pos="567"/>
          <w:tab w:val="left" w:pos="7938"/>
        </w:tabs>
        <w:jc w:val="center"/>
        <w:rPr>
          <w:lang w:val="en-GB"/>
        </w:rPr>
      </w:pPr>
      <m:oMath>
        <m:sSup>
          <m:sSupPr>
            <m:ctrlPr>
              <w:rPr>
                <w:rFonts w:ascii="Cambria Math" w:hAnsi="Cambria Math"/>
                <w:i/>
                <w:lang w:val="en-GB"/>
              </w:rPr>
            </m:ctrlPr>
          </m:sSupPr>
          <m:e>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a</m:t>
                </m:r>
              </m:sub>
            </m:sSub>
          </m:e>
          <m:sup>
            <m:r>
              <w:rPr>
                <w:rFonts w:ascii="Cambria Math" w:hAnsi="Cambria Math"/>
                <w:lang w:val="en-GB"/>
              </w:rPr>
              <m:t>2</m:t>
            </m:r>
          </m:sup>
        </m:sSup>
        <m:r>
          <w:rPr>
            <w:rFonts w:ascii="Cambria Math" w:hAnsi="Cambria Math"/>
            <w:lang w:val="en-GB"/>
          </w:rPr>
          <m:t>=4(</m:t>
        </m:r>
        <m:sSup>
          <m:sSupPr>
            <m:ctrlPr>
              <w:rPr>
                <w:rFonts w:ascii="Cambria Math" w:hAnsi="Cambria Math"/>
                <w:i/>
                <w:lang w:val="en-GB"/>
              </w:rPr>
            </m:ctrlPr>
          </m:sSupPr>
          <m:e>
            <m:sSub>
              <m:sSubPr>
                <m:ctrlPr>
                  <w:rPr>
                    <w:rFonts w:ascii="Cambria Math" w:hAnsi="Cambria Math"/>
                    <w:i/>
                    <w:lang w:val="en-GB"/>
                  </w:rPr>
                </m:ctrlPr>
              </m:sSubPr>
              <m:e>
                <m:r>
                  <m:rPr>
                    <m:sty m:val="p"/>
                  </m:rPr>
                  <w:rPr>
                    <w:rFonts w:ascii="Cambria Math" w:hAnsi="Cambria Math"/>
                    <w:lang w:val="en-GB"/>
                  </w:rPr>
                  <w:sym w:font="Symbol" w:char="F064"/>
                </m:r>
              </m:e>
              <m:sub>
                <m:r>
                  <w:rPr>
                    <w:rFonts w:ascii="Cambria Math" w:hAnsi="Cambria Math"/>
                    <w:lang w:val="en-GB"/>
                  </w:rPr>
                  <m:t>d2</m:t>
                </m:r>
              </m:sub>
            </m:sSub>
            <m:r>
              <w:rPr>
                <w:rFonts w:ascii="Cambria Math" w:hAnsi="Cambria Math"/>
                <w:lang w:val="en-GB"/>
              </w:rPr>
              <m:t>-</m:t>
            </m:r>
            <m:sSub>
              <m:sSubPr>
                <m:ctrlPr>
                  <w:rPr>
                    <w:rFonts w:ascii="Cambria Math" w:hAnsi="Cambria Math"/>
                    <w:i/>
                    <w:lang w:val="en-GB"/>
                  </w:rPr>
                </m:ctrlPr>
              </m:sSubPr>
              <m:e>
                <m:r>
                  <m:rPr>
                    <m:sty m:val="p"/>
                  </m:rPr>
                  <w:rPr>
                    <w:rFonts w:ascii="Cambria Math" w:hAnsi="Cambria Math"/>
                    <w:lang w:val="en-GB"/>
                  </w:rPr>
                  <w:sym w:font="Symbol" w:char="F064"/>
                </m:r>
              </m:e>
              <m:sub>
                <m:r>
                  <w:rPr>
                    <w:rFonts w:ascii="Cambria Math" w:hAnsi="Cambria Math"/>
                    <w:lang w:val="en-GB"/>
                  </w:rPr>
                  <m:t>d1</m:t>
                </m:r>
              </m:sub>
            </m:sSub>
            <m:r>
              <w:rPr>
                <w:rFonts w:ascii="Cambria Math" w:hAnsi="Cambria Math"/>
                <w:lang w:val="en-GB"/>
              </w:rPr>
              <m:t>)</m:t>
            </m:r>
          </m:e>
          <m:sup>
            <m:r>
              <w:rPr>
                <w:rFonts w:ascii="Cambria Math" w:hAnsi="Cambria Math"/>
                <w:lang w:val="en-GB"/>
              </w:rPr>
              <m:t>2</m:t>
            </m:r>
          </m:sup>
        </m:sSup>
        <m:r>
          <w:rPr>
            <w:rFonts w:ascii="Cambria Math" w:hAnsi="Cambria Math"/>
            <w:lang w:val="en-GB"/>
          </w:rPr>
          <m:t>+(</m:t>
        </m:r>
        <m:sSup>
          <m:sSupPr>
            <m:ctrlPr>
              <w:rPr>
                <w:rFonts w:ascii="Cambria Math" w:hAnsi="Cambria Math"/>
                <w:i/>
                <w:lang w:val="en-GB"/>
              </w:rPr>
            </m:ctrlPr>
          </m:sSupPr>
          <m:e>
            <m:sSub>
              <m:sSubPr>
                <m:ctrlPr>
                  <w:rPr>
                    <w:rFonts w:ascii="Cambria Math" w:hAnsi="Cambria Math"/>
                    <w:i/>
                    <w:lang w:val="en-GB"/>
                  </w:rPr>
                </m:ctrlPr>
              </m:sSubPr>
              <m:e>
                <m:r>
                  <m:rPr>
                    <m:sty m:val="p"/>
                  </m:rPr>
                  <w:rPr>
                    <w:rFonts w:ascii="Cambria Math" w:hAnsi="Cambria Math"/>
                    <w:lang w:val="en-GB"/>
                  </w:rPr>
                  <w:sym w:font="Symbol" w:char="F064"/>
                </m:r>
              </m:e>
              <m:sub>
                <m:r>
                  <w:rPr>
                    <w:rFonts w:ascii="Cambria Math" w:hAnsi="Cambria Math"/>
                    <w:lang w:val="en-GB"/>
                  </w:rPr>
                  <m:t>p2</m:t>
                </m:r>
              </m:sub>
            </m:sSub>
            <m:r>
              <w:rPr>
                <w:rFonts w:ascii="Cambria Math" w:hAnsi="Cambria Math"/>
                <w:lang w:val="en-GB"/>
              </w:rPr>
              <m:t>-</m:t>
            </m:r>
            <m:sSub>
              <m:sSubPr>
                <m:ctrlPr>
                  <w:rPr>
                    <w:rFonts w:ascii="Cambria Math" w:hAnsi="Cambria Math"/>
                    <w:i/>
                    <w:lang w:val="en-GB"/>
                  </w:rPr>
                </m:ctrlPr>
              </m:sSubPr>
              <m:e>
                <m:r>
                  <m:rPr>
                    <m:sty m:val="p"/>
                  </m:rPr>
                  <w:rPr>
                    <w:rFonts w:ascii="Cambria Math" w:hAnsi="Cambria Math"/>
                    <w:lang w:val="en-GB"/>
                  </w:rPr>
                  <w:sym w:font="Symbol" w:char="F064"/>
                </m:r>
              </m:e>
              <m:sub>
                <m:r>
                  <w:rPr>
                    <w:rFonts w:ascii="Cambria Math" w:hAnsi="Cambria Math"/>
                    <w:lang w:val="en-GB"/>
                  </w:rPr>
                  <m:t>p1</m:t>
                </m:r>
              </m:sub>
            </m:sSub>
            <m:r>
              <w:rPr>
                <w:rFonts w:ascii="Cambria Math" w:hAnsi="Cambria Math"/>
                <w:lang w:val="en-GB"/>
              </w:rPr>
              <m:t>)</m:t>
            </m:r>
          </m:e>
          <m:sup>
            <m:r>
              <w:rPr>
                <w:rFonts w:ascii="Cambria Math" w:hAnsi="Cambria Math"/>
                <w:lang w:val="en-GB"/>
              </w:rPr>
              <m:t>2</m:t>
            </m:r>
          </m:sup>
        </m:sSup>
        <m:r>
          <w:rPr>
            <w:rFonts w:ascii="Cambria Math" w:hAnsi="Cambria Math"/>
            <w:lang w:val="en-GB"/>
          </w:rPr>
          <m:t>+(</m:t>
        </m:r>
        <m:sSup>
          <m:sSupPr>
            <m:ctrlPr>
              <w:rPr>
                <w:rFonts w:ascii="Cambria Math" w:hAnsi="Cambria Math"/>
                <w:i/>
                <w:lang w:val="en-GB"/>
              </w:rPr>
            </m:ctrlPr>
          </m:sSupPr>
          <m:e>
            <m:sSub>
              <m:sSubPr>
                <m:ctrlPr>
                  <w:rPr>
                    <w:rFonts w:ascii="Cambria Math" w:hAnsi="Cambria Math"/>
                    <w:i/>
                    <w:lang w:val="en-GB"/>
                  </w:rPr>
                </m:ctrlPr>
              </m:sSubPr>
              <m:e>
                <m:r>
                  <m:rPr>
                    <m:sty m:val="p"/>
                  </m:rPr>
                  <w:rPr>
                    <w:rFonts w:ascii="Cambria Math" w:hAnsi="Cambria Math"/>
                    <w:lang w:val="en-GB"/>
                  </w:rPr>
                  <w:sym w:font="Symbol" w:char="F064"/>
                </m:r>
              </m:e>
              <m:sub>
                <m:r>
                  <w:rPr>
                    <w:rFonts w:ascii="Cambria Math" w:hAnsi="Cambria Math"/>
                    <w:lang w:val="en-GB"/>
                  </w:rPr>
                  <m:t>h</m:t>
                </m:r>
                <m:r>
                  <w:rPr>
                    <w:rFonts w:ascii="Cambria Math" w:hAnsi="Cambria Math"/>
                    <w:lang w:val="en-GB"/>
                  </w:rPr>
                  <m:t>2</m:t>
                </m:r>
              </m:sub>
            </m:sSub>
            <m:r>
              <w:rPr>
                <w:rFonts w:ascii="Cambria Math" w:hAnsi="Cambria Math"/>
                <w:lang w:val="en-GB"/>
              </w:rPr>
              <m:t>-</m:t>
            </m:r>
            <m:sSub>
              <m:sSubPr>
                <m:ctrlPr>
                  <w:rPr>
                    <w:rFonts w:ascii="Cambria Math" w:hAnsi="Cambria Math"/>
                    <w:i/>
                    <w:lang w:val="en-GB"/>
                  </w:rPr>
                </m:ctrlPr>
              </m:sSubPr>
              <m:e>
                <m:r>
                  <m:rPr>
                    <m:sty m:val="p"/>
                  </m:rPr>
                  <w:rPr>
                    <w:rFonts w:ascii="Cambria Math" w:hAnsi="Cambria Math"/>
                    <w:lang w:val="en-GB"/>
                  </w:rPr>
                  <w:sym w:font="Symbol" w:char="F064"/>
                </m:r>
              </m:e>
              <m:sub>
                <m:r>
                  <w:rPr>
                    <w:rFonts w:ascii="Cambria Math" w:hAnsi="Cambria Math"/>
                    <w:lang w:val="en-GB"/>
                  </w:rPr>
                  <m:t>h</m:t>
                </m:r>
                <m:r>
                  <w:rPr>
                    <w:rFonts w:ascii="Cambria Math" w:hAnsi="Cambria Math"/>
                    <w:lang w:val="en-GB"/>
                  </w:rPr>
                  <m:t>1</m:t>
                </m:r>
              </m:sub>
            </m:sSub>
            <m:r>
              <w:rPr>
                <w:rFonts w:ascii="Cambria Math" w:hAnsi="Cambria Math"/>
                <w:lang w:val="en-GB"/>
              </w:rPr>
              <m:t>)</m:t>
            </m:r>
          </m:e>
          <m:sup>
            <m:r>
              <w:rPr>
                <w:rFonts w:ascii="Cambria Math" w:hAnsi="Cambria Math"/>
                <w:lang w:val="en-GB"/>
              </w:rPr>
              <m:t>2</m:t>
            </m:r>
          </m:sup>
        </m:sSup>
      </m:oMath>
      <w:r w:rsidR="0055159A">
        <w:rPr>
          <w:lang w:val="en-GB"/>
        </w:rPr>
        <w:t>(3)</w:t>
      </w:r>
    </w:p>
    <w:p w14:paraId="15FFD879" w14:textId="61A510F5" w:rsidR="00CA084F" w:rsidRDefault="002D2105" w:rsidP="007D40F9">
      <w:pPr>
        <w:tabs>
          <w:tab w:val="left" w:pos="567"/>
          <w:tab w:val="left" w:pos="7938"/>
        </w:tabs>
        <w:jc w:val="both"/>
        <w:rPr>
          <w:lang w:val="en-GB"/>
        </w:rPr>
      </w:pPr>
      <w:r>
        <w:rPr>
          <w:lang w:val="en-GB"/>
        </w:rPr>
        <w:t>which was calculated for each tested organic solvent</w:t>
      </w:r>
      <w:r w:rsidR="00A43C2F">
        <w:rPr>
          <w:lang w:val="en-GB"/>
        </w:rPr>
        <w:t xml:space="preserve">, whereas for each polymer is experimentally determined. </w:t>
      </w:r>
    </w:p>
    <w:p w14:paraId="148873A7" w14:textId="072C3006" w:rsidR="0055159A" w:rsidRDefault="0055159A" w:rsidP="007D40F9">
      <w:pPr>
        <w:tabs>
          <w:tab w:val="left" w:pos="567"/>
          <w:tab w:val="left" w:pos="7938"/>
        </w:tabs>
        <w:jc w:val="both"/>
        <w:rPr>
          <w:lang w:val="en-GB"/>
        </w:rPr>
      </w:pPr>
      <w:r>
        <w:rPr>
          <w:lang w:val="en-GB"/>
        </w:rPr>
        <w:t xml:space="preserve">For assessing whether a solvent was potentially able to dissolve a plastic polymer, the </w:t>
      </w:r>
      <w:r w:rsidR="00427403">
        <w:rPr>
          <w:lang w:val="en-GB"/>
        </w:rPr>
        <w:t>following formula was used:</w:t>
      </w:r>
    </w:p>
    <w:p w14:paraId="453B1AF7" w14:textId="1258A928" w:rsidR="00427403" w:rsidRPr="00427403" w:rsidRDefault="00000000" w:rsidP="007D40F9">
      <w:pPr>
        <w:tabs>
          <w:tab w:val="left" w:pos="567"/>
          <w:tab w:val="left" w:pos="7938"/>
        </w:tabs>
        <w:jc w:val="both"/>
        <w:rPr>
          <w:lang w:val="en-GB"/>
        </w:rPr>
      </w:pPr>
      <m:oMathPara>
        <m:oMath>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a</m:t>
                  </m:r>
                </m:sub>
              </m:sSub>
            </m:num>
            <m:den>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0</m:t>
                  </m:r>
                </m:sub>
              </m:sSub>
            </m:den>
          </m:f>
          <m:r>
            <w:rPr>
              <w:rFonts w:ascii="Cambria Math" w:hAnsi="Cambria Math"/>
              <w:lang w:val="en-GB"/>
            </w:rPr>
            <m:t xml:space="preserve"> (4)</m:t>
          </m:r>
        </m:oMath>
      </m:oMathPara>
    </w:p>
    <w:p w14:paraId="46C434B6" w14:textId="03F35E69" w:rsidR="00427403" w:rsidRDefault="00416DD2" w:rsidP="007D40F9">
      <w:pPr>
        <w:tabs>
          <w:tab w:val="left" w:pos="567"/>
          <w:tab w:val="left" w:pos="7938"/>
        </w:tabs>
        <w:jc w:val="both"/>
        <w:rPr>
          <w:lang w:val="en-GB"/>
        </w:rPr>
      </w:pPr>
      <w:r>
        <w:rPr>
          <w:lang w:val="en-GB"/>
        </w:rPr>
        <w:t xml:space="preserve">If the ratio (4) was minor than 1, there were good possibility that the solvent dissolved the polymer. </w:t>
      </w:r>
    </w:p>
    <w:p w14:paraId="03D738D1" w14:textId="6FA10275" w:rsidR="00416DD2" w:rsidRDefault="00416DD2" w:rsidP="007D40F9">
      <w:pPr>
        <w:tabs>
          <w:tab w:val="left" w:pos="567"/>
          <w:tab w:val="left" w:pos="7938"/>
        </w:tabs>
        <w:jc w:val="both"/>
        <w:rPr>
          <w:lang w:val="en-GB"/>
        </w:rPr>
      </w:pPr>
      <w:r>
        <w:rPr>
          <w:lang w:val="en-GB"/>
        </w:rPr>
        <w:t xml:space="preserve">All symbols used in this section are given in section 7. </w:t>
      </w:r>
    </w:p>
    <w:p w14:paraId="5426E9C8" w14:textId="77777777" w:rsidR="007D40F9" w:rsidRDefault="007D40F9" w:rsidP="007D40F9">
      <w:pPr>
        <w:pStyle w:val="Titolo1"/>
        <w:spacing w:before="240" w:after="120"/>
        <w:ind w:right="0"/>
        <w:jc w:val="both"/>
        <w:rPr>
          <w:b/>
          <w:bCs/>
          <w:color w:val="000000"/>
          <w:sz w:val="24"/>
          <w:lang w:val="en-GB"/>
        </w:rPr>
      </w:pPr>
      <w:r>
        <w:rPr>
          <w:b/>
          <w:bCs/>
          <w:color w:val="000000"/>
          <w:sz w:val="24"/>
          <w:lang w:val="en-GB"/>
        </w:rPr>
        <w:t>4. Experimental Procedure</w:t>
      </w:r>
    </w:p>
    <w:p w14:paraId="1748E587" w14:textId="5C776761" w:rsidR="000B4F67" w:rsidRDefault="007D40F9" w:rsidP="007D40F9">
      <w:pPr>
        <w:jc w:val="both"/>
        <w:rPr>
          <w:bCs/>
          <w:iCs/>
          <w:lang w:val="en-GB"/>
        </w:rPr>
      </w:pPr>
      <w:r>
        <w:rPr>
          <w:bCs/>
          <w:iCs/>
          <w:lang w:val="en-GB"/>
        </w:rPr>
        <w:t xml:space="preserve">In this PhD thesis </w:t>
      </w:r>
      <w:r w:rsidR="000B4F67">
        <w:rPr>
          <w:bCs/>
          <w:iCs/>
          <w:lang w:val="en-GB"/>
        </w:rPr>
        <w:t xml:space="preserve">several experiments were conducted for the assessment of the best experimental design for each food matrix. Precisely, </w:t>
      </w:r>
      <w:r w:rsidR="00C23108">
        <w:rPr>
          <w:bCs/>
          <w:iCs/>
          <w:lang w:val="en-GB"/>
        </w:rPr>
        <w:t>for fish samples, the type of reagent was not investigated as KOH was the most used. Therefore, parameters such as sample-to-reagent ratio</w:t>
      </w:r>
      <w:r w:rsidR="002641D9">
        <w:rPr>
          <w:bCs/>
          <w:iCs/>
          <w:lang w:val="en-GB"/>
        </w:rPr>
        <w:t xml:space="preserve">, </w:t>
      </w:r>
      <w:r w:rsidR="005F632F">
        <w:rPr>
          <w:bCs/>
          <w:iCs/>
          <w:lang w:val="en-GB"/>
        </w:rPr>
        <w:t>temperatures</w:t>
      </w:r>
      <w:r w:rsidR="002641D9">
        <w:rPr>
          <w:bCs/>
          <w:iCs/>
          <w:lang w:val="en-GB"/>
        </w:rPr>
        <w:t>, digestion efficiency</w:t>
      </w:r>
      <w:r w:rsidR="005F632F">
        <w:rPr>
          <w:bCs/>
          <w:iCs/>
          <w:lang w:val="en-GB"/>
        </w:rPr>
        <w:t xml:space="preserve"> were studied. On the contrary, for pasta, </w:t>
      </w:r>
      <w:r w:rsidR="00563D9F">
        <w:rPr>
          <w:bCs/>
          <w:iCs/>
          <w:lang w:val="en-GB"/>
        </w:rPr>
        <w:t xml:space="preserve">and </w:t>
      </w:r>
      <w:r w:rsidR="005F632F">
        <w:rPr>
          <w:bCs/>
          <w:iCs/>
          <w:lang w:val="en-GB"/>
        </w:rPr>
        <w:t xml:space="preserve">meat, all parameters were tested, such as type of reagent for the digestion, </w:t>
      </w:r>
      <w:r w:rsidR="002641D9">
        <w:rPr>
          <w:bCs/>
          <w:iCs/>
          <w:lang w:val="en-GB"/>
        </w:rPr>
        <w:t xml:space="preserve">sample-to-reagent ratio, temperature and digestion efficiency were evaluated. In this way, it was possible to identify the best condition for each matrix. </w:t>
      </w:r>
    </w:p>
    <w:p w14:paraId="37A2E8AC" w14:textId="7F79FAA8" w:rsidR="002641D9" w:rsidRDefault="002641D9" w:rsidP="007D40F9">
      <w:pPr>
        <w:jc w:val="both"/>
        <w:rPr>
          <w:bCs/>
          <w:iCs/>
          <w:lang w:val="en-GB"/>
        </w:rPr>
      </w:pPr>
      <w:r>
        <w:rPr>
          <w:bCs/>
          <w:iCs/>
          <w:lang w:val="en-GB"/>
        </w:rPr>
        <w:t xml:space="preserve">Afterwards, microplastic’s percentage recovery rate was assessed, by visual counting. Recovery rate was determined to determine whether conditions used for digestion are able to clearly quantify microplastics. </w:t>
      </w:r>
    </w:p>
    <w:p w14:paraId="05920E99" w14:textId="022F014C" w:rsidR="002641D9" w:rsidRDefault="002641D9" w:rsidP="007D40F9">
      <w:pPr>
        <w:jc w:val="both"/>
        <w:rPr>
          <w:bCs/>
          <w:iCs/>
          <w:lang w:val="en-GB"/>
        </w:rPr>
      </w:pPr>
      <w:r>
        <w:rPr>
          <w:bCs/>
          <w:iCs/>
          <w:lang w:val="en-GB"/>
        </w:rPr>
        <w:t xml:space="preserve">Regarding the preliminary solubility tests, solubilisation of powered polymer was tested using organic solvents suggested by the Hansen Solubility Theory, for each polymer. </w:t>
      </w:r>
    </w:p>
    <w:p w14:paraId="6051774E" w14:textId="546404A2" w:rsidR="00F05999" w:rsidRDefault="00F05999" w:rsidP="007D40F9">
      <w:pPr>
        <w:jc w:val="both"/>
        <w:rPr>
          <w:bCs/>
          <w:iCs/>
          <w:lang w:val="en-GB"/>
        </w:rPr>
      </w:pPr>
      <w:r>
        <w:rPr>
          <w:bCs/>
          <w:iCs/>
          <w:lang w:val="en-GB"/>
        </w:rPr>
        <w:t xml:space="preserve">For quantification of microplastics by assessing the mass content, dissolved polymers were spiked </w:t>
      </w:r>
      <w:r w:rsidR="005B7A16">
        <w:rPr>
          <w:bCs/>
          <w:iCs/>
          <w:lang w:val="en-GB"/>
        </w:rPr>
        <w:t xml:space="preserve">in a known concentration </w:t>
      </w:r>
      <w:r>
        <w:rPr>
          <w:bCs/>
          <w:iCs/>
          <w:lang w:val="en-GB"/>
        </w:rPr>
        <w:t>on real samples and digested. After that, filters were analysed by Py-GC-MS</w:t>
      </w:r>
      <w:r w:rsidR="005B7A16">
        <w:rPr>
          <w:bCs/>
          <w:iCs/>
          <w:lang w:val="en-GB"/>
        </w:rPr>
        <w:t xml:space="preserve">. Pyrolysis products were used for qualification of microplastics, as well as for quantify them by a comparison with calibration curves. </w:t>
      </w:r>
    </w:p>
    <w:p w14:paraId="1D326728" w14:textId="32605BE0" w:rsidR="00C23108" w:rsidRDefault="00C23108" w:rsidP="007D40F9">
      <w:pPr>
        <w:jc w:val="both"/>
        <w:rPr>
          <w:bCs/>
          <w:iCs/>
          <w:lang w:val="en-GB"/>
        </w:rPr>
      </w:pPr>
    </w:p>
    <w:p w14:paraId="7B1DF5C4" w14:textId="77777777" w:rsidR="007D40F9" w:rsidRDefault="007D40F9" w:rsidP="007D40F9">
      <w:pPr>
        <w:pStyle w:val="Titolo1"/>
        <w:tabs>
          <w:tab w:val="left" w:pos="567"/>
        </w:tabs>
        <w:spacing w:before="240" w:after="120"/>
        <w:ind w:right="0"/>
        <w:jc w:val="both"/>
        <w:rPr>
          <w:b/>
          <w:bCs/>
          <w:color w:val="000000"/>
          <w:sz w:val="24"/>
          <w:lang w:val="en-GB"/>
        </w:rPr>
      </w:pPr>
      <w:r>
        <w:rPr>
          <w:b/>
          <w:bCs/>
          <w:color w:val="000000"/>
          <w:sz w:val="24"/>
          <w:lang w:val="en-GB"/>
        </w:rPr>
        <w:t>5. Materials and Methods</w:t>
      </w:r>
    </w:p>
    <w:p w14:paraId="00C3DCE1" w14:textId="7EE36106" w:rsidR="002E41B0" w:rsidRDefault="00085AB2" w:rsidP="007D40F9">
      <w:pPr>
        <w:jc w:val="both"/>
        <w:rPr>
          <w:lang w:val="en-GB"/>
        </w:rPr>
      </w:pPr>
      <w:r>
        <w:rPr>
          <w:lang w:val="en-GB"/>
        </w:rPr>
        <w:t xml:space="preserve">For the digestion of organic matter, </w:t>
      </w:r>
      <w:r w:rsidR="00F304FB">
        <w:rPr>
          <w:lang w:val="en-GB"/>
        </w:rPr>
        <w:t>digestion solutions were prepared. Briefly, to ensure the absence of contamination, experimental solutions were prepared under a fume hood and workers wore blue nitrile gloves and cotton lab coat. Glassware used for the experiments were carefully washed and rinsed with MilliQ water, prior to use.</w:t>
      </w:r>
      <w:r w:rsidR="002E41B0">
        <w:rPr>
          <w:lang w:val="en-GB"/>
        </w:rPr>
        <w:t xml:space="preserve"> Furthermore, solutions were filtered used filter paper for ensuring the absence of microplastic particles from the glassware or the air. </w:t>
      </w:r>
      <w:r w:rsidR="00F304FB">
        <w:rPr>
          <w:lang w:val="en-GB"/>
        </w:rPr>
        <w:t xml:space="preserve"> </w:t>
      </w:r>
    </w:p>
    <w:p w14:paraId="5118D57A" w14:textId="660190E2" w:rsidR="006D111E" w:rsidRDefault="00085AB2" w:rsidP="007D40F9">
      <w:pPr>
        <w:jc w:val="both"/>
        <w:rPr>
          <w:lang w:val="en-GB"/>
        </w:rPr>
      </w:pPr>
      <w:r>
        <w:rPr>
          <w:lang w:val="en-GB"/>
        </w:rPr>
        <w:t>Stirring-plates were used for digesting organic matter.</w:t>
      </w:r>
      <w:r w:rsidR="002E41B0">
        <w:rPr>
          <w:lang w:val="en-GB"/>
        </w:rPr>
        <w:t xml:space="preserve"> For evaluating the best sample/reagent ratio, for each matrix, three rations were tested, such as 1:20, 1:40 and 1:60, using 0.5 g of food and 10,</w:t>
      </w:r>
      <w:r w:rsidR="00852504">
        <w:rPr>
          <w:lang w:val="en-GB"/>
        </w:rPr>
        <w:t xml:space="preserve"> </w:t>
      </w:r>
      <w:r w:rsidR="002E41B0">
        <w:rPr>
          <w:lang w:val="en-GB"/>
        </w:rPr>
        <w:t xml:space="preserve">20 and 30 mL of digestion reagent. Temperatures tested were 50°C and room temperature. For testing the best type of digestion reagent, experiments were conducted in triplicate. </w:t>
      </w:r>
    </w:p>
    <w:p w14:paraId="08DD1BB0" w14:textId="56E77E44" w:rsidR="002E41B0" w:rsidRDefault="00914605" w:rsidP="007D40F9">
      <w:pPr>
        <w:jc w:val="both"/>
        <w:rPr>
          <w:lang w:val="en-GB"/>
        </w:rPr>
      </w:pPr>
      <w:r>
        <w:rPr>
          <w:lang w:val="en-GB"/>
        </w:rPr>
        <w:t xml:space="preserve">For the assessment of the dissolution of plastic polymers into organic solvents, </w:t>
      </w:r>
      <w:r w:rsidRPr="00914605">
        <w:rPr>
          <w:lang w:val="en-GB"/>
        </w:rPr>
        <w:t>analytical grade solvents</w:t>
      </w:r>
      <w:r>
        <w:rPr>
          <w:lang w:val="en-GB"/>
        </w:rPr>
        <w:t xml:space="preserve"> (&gt; 98%) were </w:t>
      </w:r>
      <w:r>
        <w:rPr>
          <w:lang w:val="en-GB"/>
        </w:rPr>
        <w:lastRenderedPageBreak/>
        <w:t xml:space="preserve">used. </w:t>
      </w:r>
      <w:r w:rsidR="00EE47E3">
        <w:rPr>
          <w:lang w:val="en-GB"/>
        </w:rPr>
        <w:t xml:space="preserve">Powered polymers such as polystyrene (PS, 150 </w:t>
      </w:r>
      <w:r w:rsidR="00EE47E3">
        <w:rPr>
          <w:lang w:val="en-GB"/>
        </w:rPr>
        <w:sym w:font="Symbol" w:char="F06D"/>
      </w:r>
      <w:r w:rsidR="00EE47E3">
        <w:rPr>
          <w:lang w:val="en-GB"/>
        </w:rPr>
        <w:t xml:space="preserve">m), polyethylene </w:t>
      </w:r>
      <w:r w:rsidR="00EE47E3" w:rsidRPr="00EE47E3">
        <w:rPr>
          <w:lang w:val="en-GB"/>
        </w:rPr>
        <w:t>terephthalate</w:t>
      </w:r>
      <w:r w:rsidR="00EE47E3">
        <w:rPr>
          <w:lang w:val="en-GB"/>
        </w:rPr>
        <w:t xml:space="preserve"> (PET, </w:t>
      </w:r>
      <w:r w:rsidR="00E17D56">
        <w:rPr>
          <w:lang w:val="en-GB"/>
        </w:rPr>
        <w:t xml:space="preserve">300 </w:t>
      </w:r>
      <w:r w:rsidR="00E17D56">
        <w:rPr>
          <w:lang w:val="en-GB"/>
        </w:rPr>
        <w:sym w:font="Symbol" w:char="F06D"/>
      </w:r>
      <w:r w:rsidR="00E17D56">
        <w:rPr>
          <w:lang w:val="en-GB"/>
        </w:rPr>
        <w:t xml:space="preserve">m) </w:t>
      </w:r>
      <w:r w:rsidR="00EE47E3">
        <w:rPr>
          <w:lang w:val="en-GB"/>
        </w:rPr>
        <w:t xml:space="preserve">and polyethylene (PE, </w:t>
      </w:r>
      <w:r w:rsidR="00E17D56">
        <w:rPr>
          <w:lang w:val="en-GB"/>
        </w:rPr>
        <w:t xml:space="preserve">150 </w:t>
      </w:r>
      <w:r w:rsidR="00E17D56">
        <w:rPr>
          <w:lang w:val="en-GB"/>
        </w:rPr>
        <w:sym w:font="Symbol" w:char="F06D"/>
      </w:r>
      <w:r w:rsidR="00E17D56">
        <w:rPr>
          <w:lang w:val="en-GB"/>
        </w:rPr>
        <w:t>m</w:t>
      </w:r>
      <w:r w:rsidR="00EE47E3">
        <w:rPr>
          <w:lang w:val="en-GB"/>
        </w:rPr>
        <w:t xml:space="preserve">) (Goodfellow, UK) were used. </w:t>
      </w:r>
      <w:r w:rsidR="001B517E">
        <w:rPr>
          <w:lang w:val="en-GB"/>
        </w:rPr>
        <w:t xml:space="preserve">Therefore, </w:t>
      </w:r>
      <w:r w:rsidR="004062D1">
        <w:rPr>
          <w:lang w:val="en-GB"/>
        </w:rPr>
        <w:t>polymers were weighted (</w:t>
      </w:r>
      <w:r w:rsidR="00B6081E" w:rsidRPr="00B6081E">
        <w:rPr>
          <w:lang w:val="en-GB"/>
        </w:rPr>
        <w:t>0.005</w:t>
      </w:r>
      <w:r w:rsidR="004062D1" w:rsidRPr="00B6081E">
        <w:rPr>
          <w:lang w:val="en-GB"/>
        </w:rPr>
        <w:t xml:space="preserve"> g</w:t>
      </w:r>
      <w:r w:rsidR="004062D1">
        <w:rPr>
          <w:lang w:val="en-GB"/>
        </w:rPr>
        <w:t xml:space="preserve">) and placed into a clean bottle. Afterwards, </w:t>
      </w:r>
      <w:r w:rsidR="00006EA2">
        <w:rPr>
          <w:lang w:val="en-GB"/>
        </w:rPr>
        <w:t>appropriate solvent</w:t>
      </w:r>
      <w:r w:rsidR="00B6081E">
        <w:rPr>
          <w:lang w:val="en-GB"/>
        </w:rPr>
        <w:t xml:space="preserve"> (5 mL)</w:t>
      </w:r>
      <w:r w:rsidR="0080175C">
        <w:rPr>
          <w:lang w:val="en-GB"/>
        </w:rPr>
        <w:t xml:space="preserve"> (or mixture of solvents)</w:t>
      </w:r>
      <w:r w:rsidR="00006EA2">
        <w:rPr>
          <w:lang w:val="en-GB"/>
        </w:rPr>
        <w:t xml:space="preserve"> was added and </w:t>
      </w:r>
      <w:r w:rsidR="00006EA2" w:rsidRPr="00006EA2">
        <w:rPr>
          <w:lang w:val="en-GB"/>
        </w:rPr>
        <w:t xml:space="preserve">the solution was held in rotation for </w:t>
      </w:r>
      <w:r w:rsidR="00B6081E">
        <w:rPr>
          <w:lang w:val="en-GB"/>
        </w:rPr>
        <w:t>24</w:t>
      </w:r>
      <w:r w:rsidR="00006EA2" w:rsidRPr="00006EA2">
        <w:rPr>
          <w:lang w:val="en-GB"/>
        </w:rPr>
        <w:t>h</w:t>
      </w:r>
      <w:r w:rsidR="00E10798">
        <w:rPr>
          <w:lang w:val="en-GB"/>
        </w:rPr>
        <w:t xml:space="preserve"> </w:t>
      </w:r>
      <w:r w:rsidR="00B6081E">
        <w:rPr>
          <w:lang w:val="en-GB"/>
        </w:rPr>
        <w:t>at room temperature</w:t>
      </w:r>
      <w:r w:rsidR="00006EA2">
        <w:rPr>
          <w:lang w:val="en-GB"/>
        </w:rPr>
        <w:t xml:space="preserve">. </w:t>
      </w:r>
      <w:r w:rsidR="00E10798">
        <w:rPr>
          <w:lang w:val="en-GB"/>
        </w:rPr>
        <w:t xml:space="preserve">Briefly, for PS, dichloromethane (DCM), chloroform, toluene, </w:t>
      </w:r>
      <w:r w:rsidR="00E10798" w:rsidRPr="00E10798">
        <w:rPr>
          <w:lang w:val="en-GB"/>
        </w:rPr>
        <w:t>tetrahydrofuran</w:t>
      </w:r>
      <w:r w:rsidR="00E10798">
        <w:rPr>
          <w:lang w:val="en-GB"/>
        </w:rPr>
        <w:t xml:space="preserve"> (THF) </w:t>
      </w:r>
      <w:r w:rsidR="006308D9">
        <w:rPr>
          <w:lang w:val="en-GB"/>
        </w:rPr>
        <w:t xml:space="preserve">and mixture of DCM: toluene (1:1; 1:2; 2:1) and DCM: </w:t>
      </w:r>
      <w:r w:rsidR="006308D9" w:rsidRPr="006308D9">
        <w:rPr>
          <w:i/>
          <w:iCs/>
          <w:lang w:val="en-GB"/>
        </w:rPr>
        <w:t>n</w:t>
      </w:r>
      <w:r w:rsidR="006308D9">
        <w:rPr>
          <w:lang w:val="en-GB"/>
        </w:rPr>
        <w:t xml:space="preserve">-hexane (1:1; 1:2; 2:1) were tested as were suggested by the theory. Likewise, THF: DMC (1:1; 1:2; 2:1) and </w:t>
      </w:r>
      <w:r w:rsidR="006308D9" w:rsidRPr="006308D9">
        <w:rPr>
          <w:lang w:val="en-GB"/>
        </w:rPr>
        <w:t>hexafluoro2-propanol</w:t>
      </w:r>
      <w:r w:rsidR="006308D9">
        <w:rPr>
          <w:lang w:val="en-GB"/>
        </w:rPr>
        <w:t xml:space="preserve"> (HFIP)</w:t>
      </w:r>
      <w:r w:rsidR="003329C5">
        <w:rPr>
          <w:lang w:val="en-GB"/>
        </w:rPr>
        <w:t xml:space="preserve"> (even though the latter was not suggested by the theory)</w:t>
      </w:r>
      <w:r w:rsidR="006308D9">
        <w:rPr>
          <w:lang w:val="en-GB"/>
        </w:rPr>
        <w:t xml:space="preserve"> were evaluated. For PE, the theory suggested a mixture of n-hexane: toluene (1:1; 1:2; 2:1).  </w:t>
      </w:r>
    </w:p>
    <w:p w14:paraId="6EE44EF6" w14:textId="5A36DABC" w:rsidR="00503A7C" w:rsidRDefault="00DB3C44" w:rsidP="007D40F9">
      <w:pPr>
        <w:jc w:val="both"/>
        <w:rPr>
          <w:lang w:val="en-GB"/>
        </w:rPr>
      </w:pPr>
      <w:r>
        <w:rPr>
          <w:lang w:val="en-GB"/>
        </w:rPr>
        <w:t xml:space="preserve">For investigating the recovery rate of microplastics, a solution of fluorescent microbeads (diameter,10 </w:t>
      </w:r>
      <w:r>
        <w:rPr>
          <w:lang w:val="en-GB"/>
        </w:rPr>
        <w:sym w:font="Symbol" w:char="F06D"/>
      </w:r>
      <w:r>
        <w:rPr>
          <w:lang w:val="en-GB"/>
        </w:rPr>
        <w:t xml:space="preserve">m) was used. About 10 </w:t>
      </w:r>
      <w:r>
        <w:rPr>
          <w:lang w:val="en-GB"/>
        </w:rPr>
        <w:sym w:font="Symbol" w:char="F06D"/>
      </w:r>
      <w:r>
        <w:rPr>
          <w:lang w:val="en-GB"/>
        </w:rPr>
        <w:t xml:space="preserve">L of </w:t>
      </w:r>
      <w:r w:rsidR="003A3B1B">
        <w:rPr>
          <w:lang w:val="en-GB"/>
        </w:rPr>
        <w:t xml:space="preserve">the </w:t>
      </w:r>
      <w:r w:rsidR="003A3B1B" w:rsidRPr="003A3B1B">
        <w:rPr>
          <w:lang w:val="en-GB"/>
        </w:rPr>
        <w:t>dilute solution 1/1000</w:t>
      </w:r>
      <w:r w:rsidR="003A3B1B">
        <w:rPr>
          <w:lang w:val="en-GB"/>
        </w:rPr>
        <w:t xml:space="preserve"> were spiked on the samples. Microbeads were counted thrice using a visual microscope. Afterwards, samples were digested with the appropriate techniques for each matrix analysed. The solution was filtered</w:t>
      </w:r>
      <w:r w:rsidR="009B3090">
        <w:rPr>
          <w:lang w:val="en-GB"/>
        </w:rPr>
        <w:t xml:space="preserve"> (Whatman, pore size 1.6 </w:t>
      </w:r>
      <w:r w:rsidR="009B3090">
        <w:rPr>
          <w:lang w:val="en-GB"/>
        </w:rPr>
        <w:sym w:font="Symbol" w:char="F06D"/>
      </w:r>
      <w:r w:rsidR="009B3090">
        <w:rPr>
          <w:lang w:val="en-GB"/>
        </w:rPr>
        <w:t>m)</w:t>
      </w:r>
      <w:r w:rsidR="003A3B1B">
        <w:rPr>
          <w:lang w:val="en-GB"/>
        </w:rPr>
        <w:t xml:space="preserve"> and the recovered particles were counted thrice. </w:t>
      </w:r>
    </w:p>
    <w:p w14:paraId="4F3450FD" w14:textId="3F6A4C07" w:rsidR="00986E63" w:rsidRDefault="009B3090" w:rsidP="007D40F9">
      <w:pPr>
        <w:jc w:val="both"/>
        <w:rPr>
          <w:lang w:val="en-GB"/>
        </w:rPr>
      </w:pPr>
      <w:r>
        <w:rPr>
          <w:lang w:val="en-GB"/>
        </w:rPr>
        <w:t>For a preliminary quantification of microplastics using Py-GC-MS, samples were spiked with a known concentration (100 ppb) of the polymer solution. Samples were digested and filtered. Filter</w:t>
      </w:r>
      <w:r w:rsidR="00D757B6">
        <w:rPr>
          <w:lang w:val="en-GB"/>
        </w:rPr>
        <w:t>s</w:t>
      </w:r>
      <w:r>
        <w:rPr>
          <w:lang w:val="en-GB"/>
        </w:rPr>
        <w:t xml:space="preserve"> were analysed by Py-GC-MS. </w:t>
      </w:r>
    </w:p>
    <w:p w14:paraId="15B25C1D" w14:textId="77777777" w:rsidR="00085AB2" w:rsidRDefault="00085AB2" w:rsidP="007D40F9">
      <w:pPr>
        <w:jc w:val="both"/>
        <w:rPr>
          <w:lang w:val="en-GB"/>
        </w:rPr>
      </w:pPr>
    </w:p>
    <w:p w14:paraId="5837B98F" w14:textId="77777777" w:rsidR="007D40F9" w:rsidRDefault="007D40F9" w:rsidP="007D40F9">
      <w:pPr>
        <w:pStyle w:val="Titolo1"/>
        <w:tabs>
          <w:tab w:val="left" w:pos="567"/>
        </w:tabs>
        <w:spacing w:before="240" w:after="120"/>
        <w:ind w:right="0"/>
        <w:jc w:val="both"/>
        <w:rPr>
          <w:b/>
          <w:bCs/>
          <w:color w:val="000000"/>
          <w:sz w:val="24"/>
          <w:lang w:val="en-GB"/>
        </w:rPr>
      </w:pPr>
      <w:r>
        <w:rPr>
          <w:b/>
          <w:bCs/>
          <w:color w:val="000000"/>
          <w:sz w:val="24"/>
          <w:lang w:val="en-GB"/>
        </w:rPr>
        <w:t>5. Results and Discussion</w:t>
      </w:r>
    </w:p>
    <w:p w14:paraId="6CD69297" w14:textId="0D0BBB0B" w:rsidR="007D40F9" w:rsidRDefault="007D40F9" w:rsidP="007D40F9">
      <w:pPr>
        <w:pStyle w:val="Titolo2"/>
        <w:jc w:val="both"/>
        <w:rPr>
          <w:b/>
          <w:bCs/>
          <w:sz w:val="20"/>
          <w:lang w:val="en-GB"/>
        </w:rPr>
      </w:pPr>
      <w:r>
        <w:rPr>
          <w:b/>
          <w:bCs/>
          <w:sz w:val="20"/>
          <w:lang w:val="en-GB"/>
        </w:rPr>
        <w:t xml:space="preserve">5.1 </w:t>
      </w:r>
      <w:r w:rsidR="005E67AA">
        <w:rPr>
          <w:b/>
          <w:bCs/>
          <w:sz w:val="20"/>
          <w:lang w:val="en-GB"/>
        </w:rPr>
        <w:t xml:space="preserve">Digestion Efficiency </w:t>
      </w:r>
    </w:p>
    <w:p w14:paraId="2B37678F" w14:textId="0D0CDCB6" w:rsidR="00480046" w:rsidRDefault="00480046" w:rsidP="007D40F9">
      <w:pPr>
        <w:tabs>
          <w:tab w:val="left" w:pos="567"/>
          <w:tab w:val="left" w:pos="7371"/>
        </w:tabs>
        <w:jc w:val="both"/>
        <w:rPr>
          <w:color w:val="000000"/>
          <w:lang w:val="en-GB"/>
        </w:rPr>
      </w:pPr>
      <w:r>
        <w:rPr>
          <w:color w:val="000000"/>
          <w:lang w:val="en-GB"/>
        </w:rPr>
        <w:t xml:space="preserve">Digestion efficiencies for matrices analysed are reported in Table 2. </w:t>
      </w:r>
    </w:p>
    <w:p w14:paraId="45B3B393" w14:textId="77777777" w:rsidR="00480046" w:rsidRDefault="00480046" w:rsidP="007D40F9">
      <w:pPr>
        <w:tabs>
          <w:tab w:val="left" w:pos="567"/>
          <w:tab w:val="left" w:pos="7371"/>
        </w:tabs>
        <w:jc w:val="both"/>
        <w:rPr>
          <w:color w:val="000000"/>
          <w:lang w:val="en-GB"/>
        </w:rPr>
      </w:pPr>
    </w:p>
    <w:p w14:paraId="0B1E07BD" w14:textId="4D881149" w:rsidR="007D40F9" w:rsidRPr="00746B7D" w:rsidRDefault="007D40F9" w:rsidP="007D40F9">
      <w:pPr>
        <w:tabs>
          <w:tab w:val="left" w:pos="851"/>
        </w:tabs>
        <w:spacing w:before="300" w:after="120"/>
        <w:ind w:left="851" w:hanging="851"/>
        <w:rPr>
          <w:lang w:val="en-US"/>
        </w:rPr>
      </w:pPr>
      <w:r>
        <w:rPr>
          <w:b/>
          <w:iCs/>
          <w:sz w:val="18"/>
          <w:lang w:val="en-GB"/>
        </w:rPr>
        <w:t xml:space="preserve">Table 2 </w:t>
      </w:r>
      <w:r>
        <w:rPr>
          <w:b/>
          <w:iCs/>
          <w:sz w:val="18"/>
          <w:lang w:val="en-GB"/>
        </w:rPr>
        <w:tab/>
      </w:r>
      <w:r w:rsidR="00480046">
        <w:rPr>
          <w:i/>
          <w:iCs/>
          <w:sz w:val="18"/>
          <w:lang w:val="en-GB"/>
        </w:rPr>
        <w:t xml:space="preserve">Digestion efficiencies of pasta, fish, </w:t>
      </w:r>
      <w:r w:rsidR="00563D9F">
        <w:rPr>
          <w:i/>
          <w:iCs/>
          <w:sz w:val="18"/>
          <w:lang w:val="en-GB"/>
        </w:rPr>
        <w:t>meat</w:t>
      </w:r>
      <w:r w:rsidR="00480046">
        <w:rPr>
          <w:i/>
          <w:iCs/>
          <w:sz w:val="18"/>
          <w:lang w:val="en-GB"/>
        </w:rPr>
        <w:t xml:space="preserve"> investigated in this PhD thesis. </w:t>
      </w:r>
      <w:r w:rsidR="004E4698">
        <w:rPr>
          <w:i/>
          <w:iCs/>
          <w:sz w:val="18"/>
          <w:lang w:val="en-GB"/>
        </w:rPr>
        <w:t>*S/R indicates the sample-to-reagent tested</w:t>
      </w:r>
      <w:r w:rsidR="00AF4F17">
        <w:rPr>
          <w:i/>
          <w:iCs/>
          <w:sz w:val="18"/>
          <w:lang w:val="en-GB"/>
        </w:rPr>
        <w:t>; ** T indicated the temperature used in the experiments</w:t>
      </w:r>
      <w:r w:rsidR="002F489F">
        <w:rPr>
          <w:i/>
          <w:iCs/>
          <w:sz w:val="18"/>
          <w:lang w:val="en-GB"/>
        </w:rPr>
        <w:t xml:space="preserve">; </w:t>
      </w:r>
      <w:r w:rsidR="00140A6A">
        <w:rPr>
          <w:i/>
          <w:iCs/>
          <w:sz w:val="18"/>
          <w:lang w:val="en-GB"/>
        </w:rPr>
        <w:t xml:space="preserve">° indicated the mean calculated on three tests; </w:t>
      </w:r>
      <w:r w:rsidR="002F489F">
        <w:rPr>
          <w:i/>
          <w:iCs/>
          <w:sz w:val="18"/>
          <w:lang w:val="en-GB"/>
        </w:rPr>
        <w:t xml:space="preserve">§ SD indicated the standard deviation; </w:t>
      </w:r>
    </w:p>
    <w:tbl>
      <w:tblPr>
        <w:tblW w:w="5001" w:type="pct"/>
        <w:tblCellMar>
          <w:left w:w="0" w:type="dxa"/>
          <w:right w:w="0" w:type="dxa"/>
        </w:tblCellMar>
        <w:tblLook w:val="04A0" w:firstRow="1" w:lastRow="0" w:firstColumn="1" w:lastColumn="0" w:noHBand="0" w:noVBand="1"/>
      </w:tblPr>
      <w:tblGrid>
        <w:gridCol w:w="788"/>
        <w:gridCol w:w="734"/>
        <w:gridCol w:w="557"/>
        <w:gridCol w:w="1473"/>
        <w:gridCol w:w="1835"/>
        <w:gridCol w:w="1843"/>
        <w:gridCol w:w="2410"/>
      </w:tblGrid>
      <w:tr w:rsidR="00140A6A" w14:paraId="26F0037D" w14:textId="77777777" w:rsidTr="00140A6A">
        <w:trPr>
          <w:cantSplit/>
        </w:trPr>
        <w:tc>
          <w:tcPr>
            <w:tcW w:w="788" w:type="dxa"/>
            <w:tcBorders>
              <w:top w:val="single" w:sz="4" w:space="0" w:color="000000"/>
            </w:tcBorders>
            <w:shd w:val="clear" w:color="auto" w:fill="auto"/>
          </w:tcPr>
          <w:p w14:paraId="1A1B8680" w14:textId="377171B8" w:rsidR="00140A6A" w:rsidRDefault="00140A6A" w:rsidP="00140A6A">
            <w:pPr>
              <w:rPr>
                <w:b/>
                <w:bCs/>
                <w:sz w:val="18"/>
                <w:lang w:val="en-GB"/>
              </w:rPr>
            </w:pPr>
            <w:r>
              <w:rPr>
                <w:b/>
                <w:bCs/>
                <w:sz w:val="18"/>
                <w:lang w:val="en-GB"/>
              </w:rPr>
              <w:t>Sample</w:t>
            </w:r>
          </w:p>
        </w:tc>
        <w:tc>
          <w:tcPr>
            <w:tcW w:w="734" w:type="dxa"/>
            <w:tcBorders>
              <w:top w:val="single" w:sz="4" w:space="0" w:color="000000"/>
            </w:tcBorders>
            <w:shd w:val="clear" w:color="auto" w:fill="auto"/>
          </w:tcPr>
          <w:p w14:paraId="2D038FC1" w14:textId="596E8DD3" w:rsidR="00140A6A" w:rsidRPr="004E4698" w:rsidRDefault="00140A6A" w:rsidP="00140A6A">
            <w:pPr>
              <w:jc w:val="center"/>
              <w:rPr>
                <w:b/>
                <w:bCs/>
              </w:rPr>
            </w:pPr>
            <w:r w:rsidRPr="004E4698">
              <w:rPr>
                <w:b/>
                <w:bCs/>
              </w:rPr>
              <w:t>S/R</w:t>
            </w:r>
            <w:r>
              <w:rPr>
                <w:b/>
                <w:bCs/>
              </w:rPr>
              <w:t>*</w:t>
            </w:r>
          </w:p>
        </w:tc>
        <w:tc>
          <w:tcPr>
            <w:tcW w:w="557" w:type="dxa"/>
            <w:tcBorders>
              <w:top w:val="single" w:sz="4" w:space="0" w:color="000000"/>
            </w:tcBorders>
            <w:shd w:val="clear" w:color="auto" w:fill="auto"/>
          </w:tcPr>
          <w:p w14:paraId="7CAE9BE0" w14:textId="6766B95D" w:rsidR="00140A6A" w:rsidRPr="00DA4BCD" w:rsidRDefault="00140A6A" w:rsidP="00140A6A">
            <w:pPr>
              <w:jc w:val="center"/>
              <w:rPr>
                <w:b/>
                <w:bCs/>
              </w:rPr>
            </w:pPr>
            <w:r w:rsidRPr="00DA4BCD">
              <w:rPr>
                <w:b/>
                <w:bCs/>
              </w:rPr>
              <w:t>T</w:t>
            </w:r>
            <w:r>
              <w:rPr>
                <w:b/>
                <w:bCs/>
              </w:rPr>
              <w:t>**</w:t>
            </w:r>
            <w:r w:rsidRPr="00DA4BCD">
              <w:rPr>
                <w:b/>
                <w:bCs/>
              </w:rPr>
              <w:t xml:space="preserve"> </w:t>
            </w:r>
          </w:p>
        </w:tc>
        <w:tc>
          <w:tcPr>
            <w:tcW w:w="1473" w:type="dxa"/>
            <w:tcBorders>
              <w:top w:val="single" w:sz="4" w:space="0" w:color="000000"/>
            </w:tcBorders>
            <w:shd w:val="clear" w:color="auto" w:fill="auto"/>
          </w:tcPr>
          <w:p w14:paraId="519EEC7D" w14:textId="6E84829A" w:rsidR="00140A6A" w:rsidRPr="002F489F" w:rsidRDefault="00140A6A" w:rsidP="00140A6A">
            <w:pPr>
              <w:jc w:val="center"/>
              <w:rPr>
                <w:b/>
                <w:bCs/>
              </w:rPr>
            </w:pPr>
            <w:r w:rsidRPr="002F489F">
              <w:rPr>
                <w:b/>
                <w:bCs/>
              </w:rPr>
              <w:t>Time</w:t>
            </w:r>
          </w:p>
        </w:tc>
        <w:tc>
          <w:tcPr>
            <w:tcW w:w="1835" w:type="dxa"/>
            <w:tcBorders>
              <w:top w:val="single" w:sz="4" w:space="0" w:color="000000"/>
            </w:tcBorders>
            <w:shd w:val="clear" w:color="auto" w:fill="auto"/>
          </w:tcPr>
          <w:p w14:paraId="58E36B06" w14:textId="668BB122" w:rsidR="00140A6A" w:rsidRPr="002F489F" w:rsidRDefault="00140A6A" w:rsidP="00140A6A">
            <w:pPr>
              <w:jc w:val="center"/>
              <w:rPr>
                <w:b/>
                <w:bCs/>
              </w:rPr>
            </w:pPr>
            <w:r>
              <w:rPr>
                <w:b/>
                <w:bCs/>
              </w:rPr>
              <w:t>Concentration</w:t>
            </w:r>
          </w:p>
        </w:tc>
        <w:tc>
          <w:tcPr>
            <w:tcW w:w="1843" w:type="dxa"/>
            <w:tcBorders>
              <w:top w:val="single" w:sz="4" w:space="0" w:color="000000"/>
            </w:tcBorders>
            <w:shd w:val="clear" w:color="auto" w:fill="auto"/>
          </w:tcPr>
          <w:p w14:paraId="519883A6" w14:textId="77777777" w:rsidR="00140A6A" w:rsidRPr="00140A6A" w:rsidRDefault="00140A6A" w:rsidP="00140A6A">
            <w:pPr>
              <w:jc w:val="center"/>
              <w:rPr>
                <w:b/>
                <w:bCs/>
              </w:rPr>
            </w:pPr>
            <w:r w:rsidRPr="00140A6A">
              <w:rPr>
                <w:b/>
                <w:bCs/>
              </w:rPr>
              <w:t xml:space="preserve">DE </w:t>
            </w:r>
          </w:p>
          <w:p w14:paraId="278DA970" w14:textId="62FF587C" w:rsidR="00140A6A" w:rsidRDefault="00140A6A" w:rsidP="00140A6A">
            <w:pPr>
              <w:jc w:val="center"/>
            </w:pPr>
            <w:r>
              <w:t>Mean°</w:t>
            </w:r>
          </w:p>
        </w:tc>
        <w:tc>
          <w:tcPr>
            <w:tcW w:w="2410" w:type="dxa"/>
            <w:tcBorders>
              <w:top w:val="single" w:sz="4" w:space="0" w:color="000000"/>
            </w:tcBorders>
          </w:tcPr>
          <w:p w14:paraId="5E891D1E" w14:textId="11906328" w:rsidR="00140A6A" w:rsidRDefault="00140A6A" w:rsidP="00140A6A">
            <w:pPr>
              <w:jc w:val="center"/>
              <w:rPr>
                <w:b/>
                <w:bCs/>
                <w:sz w:val="18"/>
                <w:lang w:val="en-GB"/>
              </w:rPr>
            </w:pPr>
            <w:r>
              <w:t>SD§</w:t>
            </w:r>
          </w:p>
        </w:tc>
      </w:tr>
      <w:tr w:rsidR="00140A6A" w14:paraId="7D332101" w14:textId="77777777" w:rsidTr="00140A6A">
        <w:trPr>
          <w:cantSplit/>
        </w:trPr>
        <w:tc>
          <w:tcPr>
            <w:tcW w:w="788" w:type="dxa"/>
            <w:tcBorders>
              <w:bottom w:val="single" w:sz="4" w:space="0" w:color="000000"/>
            </w:tcBorders>
            <w:shd w:val="clear" w:color="auto" w:fill="auto"/>
          </w:tcPr>
          <w:p w14:paraId="60C28A4E" w14:textId="77777777" w:rsidR="00140A6A" w:rsidRDefault="00140A6A" w:rsidP="00140A6A">
            <w:pPr>
              <w:snapToGrid w:val="0"/>
              <w:rPr>
                <w:b/>
                <w:bCs/>
                <w:sz w:val="18"/>
                <w:lang w:val="en-GB"/>
              </w:rPr>
            </w:pPr>
          </w:p>
        </w:tc>
        <w:tc>
          <w:tcPr>
            <w:tcW w:w="734" w:type="dxa"/>
            <w:tcBorders>
              <w:bottom w:val="single" w:sz="4" w:space="0" w:color="000000"/>
            </w:tcBorders>
            <w:shd w:val="clear" w:color="auto" w:fill="auto"/>
          </w:tcPr>
          <w:p w14:paraId="2240BF82" w14:textId="31804A1E" w:rsidR="00140A6A" w:rsidRDefault="00140A6A" w:rsidP="00140A6A">
            <w:pPr>
              <w:jc w:val="center"/>
              <w:rPr>
                <w:sz w:val="18"/>
                <w:lang w:val="en-GB"/>
              </w:rPr>
            </w:pPr>
          </w:p>
        </w:tc>
        <w:tc>
          <w:tcPr>
            <w:tcW w:w="557" w:type="dxa"/>
            <w:tcBorders>
              <w:bottom w:val="single" w:sz="4" w:space="0" w:color="000000"/>
            </w:tcBorders>
            <w:shd w:val="clear" w:color="auto" w:fill="auto"/>
          </w:tcPr>
          <w:p w14:paraId="28FFAAA8" w14:textId="6FB51A0A" w:rsidR="00140A6A" w:rsidRDefault="00140A6A" w:rsidP="00140A6A">
            <w:pPr>
              <w:snapToGrid w:val="0"/>
              <w:jc w:val="center"/>
              <w:rPr>
                <w:sz w:val="18"/>
                <w:lang w:val="en-GB"/>
              </w:rPr>
            </w:pPr>
            <w:r>
              <w:rPr>
                <w:sz w:val="18"/>
                <w:lang w:val="en-GB"/>
              </w:rPr>
              <w:t>(°C)</w:t>
            </w:r>
          </w:p>
        </w:tc>
        <w:tc>
          <w:tcPr>
            <w:tcW w:w="1473" w:type="dxa"/>
            <w:tcBorders>
              <w:bottom w:val="single" w:sz="4" w:space="0" w:color="000000"/>
            </w:tcBorders>
            <w:shd w:val="clear" w:color="auto" w:fill="auto"/>
          </w:tcPr>
          <w:p w14:paraId="7342ACFF" w14:textId="6F0E36E8" w:rsidR="00140A6A" w:rsidRDefault="00140A6A" w:rsidP="00140A6A">
            <w:pPr>
              <w:snapToGrid w:val="0"/>
              <w:jc w:val="center"/>
              <w:rPr>
                <w:sz w:val="18"/>
                <w:lang w:val="en-GB"/>
              </w:rPr>
            </w:pPr>
            <w:r>
              <w:rPr>
                <w:sz w:val="18"/>
                <w:lang w:val="en-GB"/>
              </w:rPr>
              <w:t>(h)</w:t>
            </w:r>
          </w:p>
        </w:tc>
        <w:tc>
          <w:tcPr>
            <w:tcW w:w="1835" w:type="dxa"/>
            <w:tcBorders>
              <w:bottom w:val="single" w:sz="4" w:space="0" w:color="000000"/>
            </w:tcBorders>
            <w:shd w:val="clear" w:color="auto" w:fill="auto"/>
          </w:tcPr>
          <w:p w14:paraId="5FF394CB" w14:textId="7191E59F" w:rsidR="00140A6A" w:rsidRDefault="00140A6A" w:rsidP="00140A6A">
            <w:pPr>
              <w:snapToGrid w:val="0"/>
              <w:jc w:val="center"/>
              <w:rPr>
                <w:sz w:val="18"/>
                <w:lang w:val="en-GB"/>
              </w:rPr>
            </w:pPr>
            <w:r>
              <w:rPr>
                <w:sz w:val="18"/>
                <w:lang w:val="en-GB"/>
              </w:rPr>
              <w:t>(M)</w:t>
            </w:r>
          </w:p>
        </w:tc>
        <w:tc>
          <w:tcPr>
            <w:tcW w:w="1843" w:type="dxa"/>
            <w:tcBorders>
              <w:bottom w:val="single" w:sz="4" w:space="0" w:color="000000"/>
            </w:tcBorders>
            <w:shd w:val="clear" w:color="auto" w:fill="auto"/>
          </w:tcPr>
          <w:p w14:paraId="1EA007CA" w14:textId="2E22C72F" w:rsidR="00140A6A" w:rsidRDefault="00140A6A" w:rsidP="00140A6A">
            <w:pPr>
              <w:jc w:val="center"/>
            </w:pPr>
            <w:r>
              <w:t>(%)</w:t>
            </w:r>
          </w:p>
        </w:tc>
        <w:tc>
          <w:tcPr>
            <w:tcW w:w="2410" w:type="dxa"/>
            <w:tcBorders>
              <w:bottom w:val="single" w:sz="4" w:space="0" w:color="000000"/>
            </w:tcBorders>
          </w:tcPr>
          <w:p w14:paraId="1E3FF72D" w14:textId="05E9586D" w:rsidR="00140A6A" w:rsidRDefault="00140A6A" w:rsidP="00140A6A">
            <w:pPr>
              <w:snapToGrid w:val="0"/>
              <w:jc w:val="center"/>
              <w:rPr>
                <w:sz w:val="18"/>
                <w:lang w:val="en-GB"/>
              </w:rPr>
            </w:pPr>
          </w:p>
        </w:tc>
      </w:tr>
      <w:tr w:rsidR="00140A6A" w14:paraId="127F55A5" w14:textId="77777777" w:rsidTr="00140A6A">
        <w:trPr>
          <w:cantSplit/>
        </w:trPr>
        <w:tc>
          <w:tcPr>
            <w:tcW w:w="788" w:type="dxa"/>
            <w:vMerge w:val="restart"/>
            <w:tcBorders>
              <w:top w:val="single" w:sz="4" w:space="0" w:color="000000"/>
            </w:tcBorders>
            <w:shd w:val="clear" w:color="auto" w:fill="auto"/>
          </w:tcPr>
          <w:p w14:paraId="0BEB93C6" w14:textId="77777777" w:rsidR="00140A6A" w:rsidRDefault="00140A6A" w:rsidP="00140A6A">
            <w:pPr>
              <w:rPr>
                <w:sz w:val="18"/>
                <w:lang w:val="en-GB"/>
              </w:rPr>
            </w:pPr>
          </w:p>
          <w:p w14:paraId="6DC338B1" w14:textId="25E6377E" w:rsidR="00140A6A" w:rsidRDefault="00140A6A" w:rsidP="00140A6A">
            <w:pPr>
              <w:rPr>
                <w:sz w:val="18"/>
                <w:lang w:val="en-GB"/>
              </w:rPr>
            </w:pPr>
            <w:r>
              <w:rPr>
                <w:sz w:val="18"/>
                <w:lang w:val="en-GB"/>
              </w:rPr>
              <w:t>Fish</w:t>
            </w:r>
          </w:p>
          <w:p w14:paraId="2D862477" w14:textId="1653BF7F" w:rsidR="00140A6A" w:rsidRDefault="00140A6A" w:rsidP="00140A6A">
            <w:pPr>
              <w:rPr>
                <w:sz w:val="18"/>
                <w:lang w:val="en-GB"/>
              </w:rPr>
            </w:pPr>
          </w:p>
        </w:tc>
        <w:tc>
          <w:tcPr>
            <w:tcW w:w="734" w:type="dxa"/>
            <w:tcBorders>
              <w:top w:val="single" w:sz="4" w:space="0" w:color="000000"/>
            </w:tcBorders>
            <w:shd w:val="clear" w:color="auto" w:fill="auto"/>
          </w:tcPr>
          <w:p w14:paraId="0E31C1E0" w14:textId="0CFF2A19" w:rsidR="00140A6A" w:rsidRDefault="00140A6A" w:rsidP="00140A6A">
            <w:pPr>
              <w:jc w:val="center"/>
              <w:rPr>
                <w:sz w:val="18"/>
                <w:lang w:val="en-GB"/>
              </w:rPr>
            </w:pPr>
            <w:r>
              <w:rPr>
                <w:sz w:val="18"/>
                <w:lang w:val="en-GB"/>
              </w:rPr>
              <w:t>1:20</w:t>
            </w:r>
          </w:p>
        </w:tc>
        <w:tc>
          <w:tcPr>
            <w:tcW w:w="557" w:type="dxa"/>
            <w:tcBorders>
              <w:top w:val="single" w:sz="4" w:space="0" w:color="000000"/>
            </w:tcBorders>
            <w:shd w:val="clear" w:color="auto" w:fill="auto"/>
          </w:tcPr>
          <w:p w14:paraId="25E75D48" w14:textId="55AE79B3" w:rsidR="00140A6A" w:rsidRDefault="00140A6A" w:rsidP="00140A6A">
            <w:pPr>
              <w:jc w:val="center"/>
              <w:rPr>
                <w:sz w:val="18"/>
                <w:lang w:val="en-GB"/>
              </w:rPr>
            </w:pPr>
            <w:r>
              <w:rPr>
                <w:sz w:val="18"/>
                <w:lang w:val="en-GB"/>
              </w:rPr>
              <w:t>RT</w:t>
            </w:r>
          </w:p>
        </w:tc>
        <w:tc>
          <w:tcPr>
            <w:tcW w:w="1473" w:type="dxa"/>
            <w:tcBorders>
              <w:top w:val="single" w:sz="4" w:space="0" w:color="000000"/>
            </w:tcBorders>
            <w:shd w:val="clear" w:color="auto" w:fill="auto"/>
          </w:tcPr>
          <w:p w14:paraId="37F261C2" w14:textId="4A6B15E4" w:rsidR="00140A6A" w:rsidRDefault="00140A6A" w:rsidP="00140A6A">
            <w:pPr>
              <w:jc w:val="center"/>
              <w:rPr>
                <w:sz w:val="18"/>
                <w:lang w:val="en-GB"/>
              </w:rPr>
            </w:pPr>
            <w:r>
              <w:rPr>
                <w:sz w:val="18"/>
                <w:lang w:val="en-GB"/>
              </w:rPr>
              <w:t>48</w:t>
            </w:r>
          </w:p>
        </w:tc>
        <w:tc>
          <w:tcPr>
            <w:tcW w:w="1835" w:type="dxa"/>
            <w:tcBorders>
              <w:top w:val="single" w:sz="4" w:space="0" w:color="000000"/>
            </w:tcBorders>
            <w:shd w:val="clear" w:color="auto" w:fill="auto"/>
          </w:tcPr>
          <w:p w14:paraId="689D17B5" w14:textId="2C4B806D" w:rsidR="00140A6A" w:rsidRDefault="00140A6A" w:rsidP="00140A6A">
            <w:pPr>
              <w:jc w:val="center"/>
              <w:rPr>
                <w:sz w:val="18"/>
                <w:lang w:val="en-GB"/>
              </w:rPr>
            </w:pPr>
            <w:r>
              <w:rPr>
                <w:sz w:val="18"/>
                <w:lang w:val="en-GB"/>
              </w:rPr>
              <w:t>5</w:t>
            </w:r>
          </w:p>
        </w:tc>
        <w:tc>
          <w:tcPr>
            <w:tcW w:w="1843" w:type="dxa"/>
            <w:tcBorders>
              <w:top w:val="single" w:sz="4" w:space="0" w:color="000000"/>
            </w:tcBorders>
            <w:shd w:val="clear" w:color="auto" w:fill="auto"/>
          </w:tcPr>
          <w:p w14:paraId="6DA3587D" w14:textId="17498D84" w:rsidR="00140A6A" w:rsidRDefault="00140A6A" w:rsidP="00140A6A">
            <w:pPr>
              <w:jc w:val="center"/>
              <w:rPr>
                <w:sz w:val="18"/>
                <w:lang w:val="en-GB"/>
              </w:rPr>
            </w:pPr>
            <w:r>
              <w:rPr>
                <w:sz w:val="18"/>
                <w:lang w:val="en-GB"/>
              </w:rPr>
              <w:t>84.0</w:t>
            </w:r>
          </w:p>
        </w:tc>
        <w:tc>
          <w:tcPr>
            <w:tcW w:w="2410" w:type="dxa"/>
            <w:tcBorders>
              <w:top w:val="single" w:sz="4" w:space="0" w:color="000000"/>
            </w:tcBorders>
          </w:tcPr>
          <w:p w14:paraId="16686E65" w14:textId="2C4F7646" w:rsidR="00140A6A" w:rsidRDefault="00140A6A" w:rsidP="00140A6A">
            <w:pPr>
              <w:jc w:val="center"/>
              <w:rPr>
                <w:sz w:val="18"/>
                <w:lang w:val="en-GB"/>
              </w:rPr>
            </w:pPr>
            <w:r>
              <w:rPr>
                <w:sz w:val="18"/>
                <w:lang w:val="en-GB"/>
              </w:rPr>
              <w:t>5.2</w:t>
            </w:r>
          </w:p>
        </w:tc>
      </w:tr>
      <w:tr w:rsidR="00140A6A" w14:paraId="0C759C94" w14:textId="77777777" w:rsidTr="00140A6A">
        <w:trPr>
          <w:cantSplit/>
        </w:trPr>
        <w:tc>
          <w:tcPr>
            <w:tcW w:w="788" w:type="dxa"/>
            <w:vMerge/>
            <w:shd w:val="clear" w:color="auto" w:fill="auto"/>
          </w:tcPr>
          <w:p w14:paraId="3A054C18" w14:textId="65D3146B" w:rsidR="00140A6A" w:rsidRDefault="00140A6A" w:rsidP="00140A6A">
            <w:pPr>
              <w:rPr>
                <w:sz w:val="18"/>
                <w:lang w:val="en-GB"/>
              </w:rPr>
            </w:pPr>
          </w:p>
        </w:tc>
        <w:tc>
          <w:tcPr>
            <w:tcW w:w="734" w:type="dxa"/>
            <w:shd w:val="clear" w:color="auto" w:fill="auto"/>
          </w:tcPr>
          <w:p w14:paraId="7845148D" w14:textId="4CD36936" w:rsidR="00140A6A" w:rsidRDefault="00140A6A" w:rsidP="00140A6A">
            <w:pPr>
              <w:jc w:val="center"/>
              <w:rPr>
                <w:sz w:val="18"/>
                <w:lang w:val="en-GB"/>
              </w:rPr>
            </w:pPr>
            <w:r>
              <w:rPr>
                <w:sz w:val="18"/>
                <w:lang w:val="en-GB"/>
              </w:rPr>
              <w:t>1:40</w:t>
            </w:r>
          </w:p>
        </w:tc>
        <w:tc>
          <w:tcPr>
            <w:tcW w:w="557" w:type="dxa"/>
            <w:shd w:val="clear" w:color="auto" w:fill="auto"/>
          </w:tcPr>
          <w:p w14:paraId="0D324B47" w14:textId="5E871280" w:rsidR="00140A6A" w:rsidRDefault="00140A6A" w:rsidP="00140A6A">
            <w:pPr>
              <w:jc w:val="center"/>
              <w:rPr>
                <w:sz w:val="18"/>
                <w:lang w:val="en-GB"/>
              </w:rPr>
            </w:pPr>
            <w:r>
              <w:rPr>
                <w:sz w:val="18"/>
                <w:lang w:val="en-GB"/>
              </w:rPr>
              <w:t>RT</w:t>
            </w:r>
          </w:p>
        </w:tc>
        <w:tc>
          <w:tcPr>
            <w:tcW w:w="1473" w:type="dxa"/>
            <w:shd w:val="clear" w:color="auto" w:fill="auto"/>
          </w:tcPr>
          <w:p w14:paraId="5D7EA58D" w14:textId="5A8BD64A" w:rsidR="00140A6A" w:rsidRDefault="00140A6A" w:rsidP="00140A6A">
            <w:pPr>
              <w:jc w:val="center"/>
              <w:rPr>
                <w:sz w:val="18"/>
                <w:lang w:val="en-GB"/>
              </w:rPr>
            </w:pPr>
            <w:r>
              <w:rPr>
                <w:sz w:val="18"/>
                <w:lang w:val="en-GB"/>
              </w:rPr>
              <w:t>48</w:t>
            </w:r>
          </w:p>
        </w:tc>
        <w:tc>
          <w:tcPr>
            <w:tcW w:w="1835" w:type="dxa"/>
            <w:shd w:val="clear" w:color="auto" w:fill="auto"/>
          </w:tcPr>
          <w:p w14:paraId="5EA20C5B" w14:textId="4C76A482" w:rsidR="00140A6A" w:rsidRDefault="00140A6A" w:rsidP="00140A6A">
            <w:pPr>
              <w:jc w:val="center"/>
              <w:rPr>
                <w:sz w:val="18"/>
                <w:lang w:val="en-GB"/>
              </w:rPr>
            </w:pPr>
            <w:r>
              <w:rPr>
                <w:sz w:val="18"/>
                <w:lang w:val="en-GB"/>
              </w:rPr>
              <w:t>5</w:t>
            </w:r>
          </w:p>
        </w:tc>
        <w:tc>
          <w:tcPr>
            <w:tcW w:w="1843" w:type="dxa"/>
            <w:shd w:val="clear" w:color="auto" w:fill="auto"/>
          </w:tcPr>
          <w:p w14:paraId="09C0DBC0" w14:textId="4385BCFC" w:rsidR="00140A6A" w:rsidRDefault="003D37E9" w:rsidP="00140A6A">
            <w:pPr>
              <w:jc w:val="center"/>
              <w:rPr>
                <w:sz w:val="18"/>
                <w:lang w:val="en-GB"/>
              </w:rPr>
            </w:pPr>
            <w:r>
              <w:rPr>
                <w:sz w:val="18"/>
                <w:lang w:val="en-GB"/>
              </w:rPr>
              <w:t>82</w:t>
            </w:r>
            <w:r w:rsidR="00140A6A">
              <w:rPr>
                <w:sz w:val="18"/>
                <w:lang w:val="en-GB"/>
              </w:rPr>
              <w:t>.</w:t>
            </w:r>
            <w:r>
              <w:rPr>
                <w:sz w:val="18"/>
                <w:lang w:val="en-GB"/>
              </w:rPr>
              <w:t>8</w:t>
            </w:r>
          </w:p>
        </w:tc>
        <w:tc>
          <w:tcPr>
            <w:tcW w:w="2410" w:type="dxa"/>
          </w:tcPr>
          <w:p w14:paraId="5D38F07A" w14:textId="05962F00" w:rsidR="00140A6A" w:rsidRDefault="003D37E9" w:rsidP="00140A6A">
            <w:pPr>
              <w:jc w:val="center"/>
              <w:rPr>
                <w:sz w:val="18"/>
                <w:lang w:val="en-GB"/>
              </w:rPr>
            </w:pPr>
            <w:r>
              <w:rPr>
                <w:sz w:val="18"/>
                <w:lang w:val="en-GB"/>
              </w:rPr>
              <w:t>8</w:t>
            </w:r>
            <w:r w:rsidR="00140A6A">
              <w:rPr>
                <w:sz w:val="18"/>
                <w:lang w:val="en-GB"/>
              </w:rPr>
              <w:t>.</w:t>
            </w:r>
            <w:r>
              <w:rPr>
                <w:sz w:val="18"/>
                <w:lang w:val="en-GB"/>
              </w:rPr>
              <w:t>5</w:t>
            </w:r>
          </w:p>
        </w:tc>
      </w:tr>
      <w:tr w:rsidR="00140A6A" w14:paraId="0E206F9B" w14:textId="77777777" w:rsidTr="00140A6A">
        <w:trPr>
          <w:cantSplit/>
        </w:trPr>
        <w:tc>
          <w:tcPr>
            <w:tcW w:w="788" w:type="dxa"/>
            <w:vMerge/>
            <w:shd w:val="clear" w:color="auto" w:fill="auto"/>
          </w:tcPr>
          <w:p w14:paraId="17049D5B" w14:textId="01A47877" w:rsidR="00140A6A" w:rsidRDefault="00140A6A" w:rsidP="00140A6A">
            <w:pPr>
              <w:rPr>
                <w:sz w:val="18"/>
                <w:lang w:val="en-GB"/>
              </w:rPr>
            </w:pPr>
          </w:p>
        </w:tc>
        <w:tc>
          <w:tcPr>
            <w:tcW w:w="734" w:type="dxa"/>
            <w:shd w:val="clear" w:color="auto" w:fill="auto"/>
          </w:tcPr>
          <w:p w14:paraId="27155964" w14:textId="2AAAB8AF" w:rsidR="00140A6A" w:rsidRDefault="00140A6A" w:rsidP="00140A6A">
            <w:pPr>
              <w:jc w:val="center"/>
              <w:rPr>
                <w:sz w:val="18"/>
                <w:lang w:val="en-GB"/>
              </w:rPr>
            </w:pPr>
            <w:r>
              <w:rPr>
                <w:sz w:val="18"/>
                <w:lang w:val="en-GB"/>
              </w:rPr>
              <w:t>1:60</w:t>
            </w:r>
          </w:p>
        </w:tc>
        <w:tc>
          <w:tcPr>
            <w:tcW w:w="557" w:type="dxa"/>
            <w:shd w:val="clear" w:color="auto" w:fill="auto"/>
          </w:tcPr>
          <w:p w14:paraId="7913270B" w14:textId="197CB4A7" w:rsidR="00140A6A" w:rsidRDefault="00140A6A" w:rsidP="00140A6A">
            <w:pPr>
              <w:jc w:val="center"/>
              <w:rPr>
                <w:sz w:val="18"/>
                <w:lang w:val="en-GB"/>
              </w:rPr>
            </w:pPr>
            <w:r>
              <w:rPr>
                <w:sz w:val="18"/>
                <w:lang w:val="en-GB"/>
              </w:rPr>
              <w:t>RT</w:t>
            </w:r>
          </w:p>
        </w:tc>
        <w:tc>
          <w:tcPr>
            <w:tcW w:w="1473" w:type="dxa"/>
            <w:shd w:val="clear" w:color="auto" w:fill="auto"/>
          </w:tcPr>
          <w:p w14:paraId="6ECDC967" w14:textId="02E716FB" w:rsidR="00140A6A" w:rsidRDefault="00140A6A" w:rsidP="00140A6A">
            <w:pPr>
              <w:jc w:val="center"/>
              <w:rPr>
                <w:sz w:val="18"/>
                <w:lang w:val="en-GB"/>
              </w:rPr>
            </w:pPr>
            <w:r>
              <w:rPr>
                <w:sz w:val="18"/>
                <w:lang w:val="en-GB"/>
              </w:rPr>
              <w:t>48</w:t>
            </w:r>
          </w:p>
        </w:tc>
        <w:tc>
          <w:tcPr>
            <w:tcW w:w="1835" w:type="dxa"/>
            <w:shd w:val="clear" w:color="auto" w:fill="auto"/>
          </w:tcPr>
          <w:p w14:paraId="67B470B9" w14:textId="3FE6147E" w:rsidR="00140A6A" w:rsidRDefault="00140A6A" w:rsidP="00140A6A">
            <w:pPr>
              <w:jc w:val="center"/>
              <w:rPr>
                <w:sz w:val="18"/>
                <w:lang w:val="en-GB"/>
              </w:rPr>
            </w:pPr>
            <w:r>
              <w:rPr>
                <w:sz w:val="18"/>
                <w:lang w:val="en-GB"/>
              </w:rPr>
              <w:t>5</w:t>
            </w:r>
          </w:p>
        </w:tc>
        <w:tc>
          <w:tcPr>
            <w:tcW w:w="1843" w:type="dxa"/>
            <w:shd w:val="clear" w:color="auto" w:fill="auto"/>
          </w:tcPr>
          <w:p w14:paraId="1055503D" w14:textId="000243CA" w:rsidR="00140A6A" w:rsidRDefault="00140A6A" w:rsidP="00140A6A">
            <w:pPr>
              <w:jc w:val="center"/>
              <w:rPr>
                <w:sz w:val="18"/>
                <w:lang w:val="en-GB"/>
              </w:rPr>
            </w:pPr>
            <w:r>
              <w:rPr>
                <w:sz w:val="18"/>
                <w:lang w:val="en-GB"/>
              </w:rPr>
              <w:t>79.3</w:t>
            </w:r>
          </w:p>
        </w:tc>
        <w:tc>
          <w:tcPr>
            <w:tcW w:w="2410" w:type="dxa"/>
          </w:tcPr>
          <w:p w14:paraId="5FE839D7" w14:textId="38A2245B" w:rsidR="00140A6A" w:rsidRDefault="00140A6A" w:rsidP="00140A6A">
            <w:pPr>
              <w:jc w:val="center"/>
              <w:rPr>
                <w:sz w:val="18"/>
                <w:lang w:val="en-GB"/>
              </w:rPr>
            </w:pPr>
            <w:r>
              <w:rPr>
                <w:sz w:val="18"/>
                <w:lang w:val="en-GB"/>
              </w:rPr>
              <w:t>0.6</w:t>
            </w:r>
          </w:p>
        </w:tc>
      </w:tr>
      <w:tr w:rsidR="00140A6A" w14:paraId="728A7350" w14:textId="77777777" w:rsidTr="00140A6A">
        <w:trPr>
          <w:cantSplit/>
        </w:trPr>
        <w:tc>
          <w:tcPr>
            <w:tcW w:w="788" w:type="dxa"/>
            <w:shd w:val="clear" w:color="auto" w:fill="auto"/>
          </w:tcPr>
          <w:p w14:paraId="42859D3D" w14:textId="77777777" w:rsidR="00140A6A" w:rsidRDefault="00140A6A" w:rsidP="00140A6A">
            <w:pPr>
              <w:rPr>
                <w:sz w:val="18"/>
                <w:lang w:val="en-GB"/>
              </w:rPr>
            </w:pPr>
          </w:p>
        </w:tc>
        <w:tc>
          <w:tcPr>
            <w:tcW w:w="734" w:type="dxa"/>
            <w:shd w:val="clear" w:color="auto" w:fill="auto"/>
          </w:tcPr>
          <w:p w14:paraId="1AEDFE29" w14:textId="77777777" w:rsidR="00140A6A" w:rsidRDefault="00140A6A" w:rsidP="00140A6A">
            <w:pPr>
              <w:jc w:val="center"/>
              <w:rPr>
                <w:sz w:val="18"/>
                <w:lang w:val="en-GB"/>
              </w:rPr>
            </w:pPr>
          </w:p>
        </w:tc>
        <w:tc>
          <w:tcPr>
            <w:tcW w:w="557" w:type="dxa"/>
            <w:shd w:val="clear" w:color="auto" w:fill="auto"/>
          </w:tcPr>
          <w:p w14:paraId="373C2BEF" w14:textId="77777777" w:rsidR="00140A6A" w:rsidRDefault="00140A6A" w:rsidP="00140A6A">
            <w:pPr>
              <w:jc w:val="center"/>
              <w:rPr>
                <w:sz w:val="18"/>
                <w:lang w:val="en-GB"/>
              </w:rPr>
            </w:pPr>
          </w:p>
        </w:tc>
        <w:tc>
          <w:tcPr>
            <w:tcW w:w="1473" w:type="dxa"/>
            <w:shd w:val="clear" w:color="auto" w:fill="auto"/>
          </w:tcPr>
          <w:p w14:paraId="1A6E3CC7" w14:textId="77777777" w:rsidR="00140A6A" w:rsidRDefault="00140A6A" w:rsidP="00140A6A">
            <w:pPr>
              <w:jc w:val="center"/>
              <w:rPr>
                <w:sz w:val="18"/>
                <w:lang w:val="en-GB"/>
              </w:rPr>
            </w:pPr>
          </w:p>
        </w:tc>
        <w:tc>
          <w:tcPr>
            <w:tcW w:w="1835" w:type="dxa"/>
            <w:shd w:val="clear" w:color="auto" w:fill="auto"/>
          </w:tcPr>
          <w:p w14:paraId="121E66AD" w14:textId="77777777" w:rsidR="00140A6A" w:rsidRDefault="00140A6A" w:rsidP="00140A6A">
            <w:pPr>
              <w:jc w:val="center"/>
              <w:rPr>
                <w:sz w:val="18"/>
                <w:lang w:val="en-GB"/>
              </w:rPr>
            </w:pPr>
          </w:p>
        </w:tc>
        <w:tc>
          <w:tcPr>
            <w:tcW w:w="1843" w:type="dxa"/>
            <w:shd w:val="clear" w:color="auto" w:fill="auto"/>
          </w:tcPr>
          <w:p w14:paraId="3355C028" w14:textId="0C2D36E6" w:rsidR="00140A6A" w:rsidRDefault="00140A6A" w:rsidP="00140A6A">
            <w:pPr>
              <w:jc w:val="center"/>
              <w:rPr>
                <w:sz w:val="18"/>
                <w:lang w:val="en-GB"/>
              </w:rPr>
            </w:pPr>
          </w:p>
        </w:tc>
        <w:tc>
          <w:tcPr>
            <w:tcW w:w="2410" w:type="dxa"/>
          </w:tcPr>
          <w:p w14:paraId="73D5E8AF" w14:textId="77777777" w:rsidR="00140A6A" w:rsidRDefault="00140A6A" w:rsidP="00140A6A">
            <w:pPr>
              <w:jc w:val="center"/>
              <w:rPr>
                <w:sz w:val="18"/>
                <w:lang w:val="en-GB"/>
              </w:rPr>
            </w:pPr>
          </w:p>
        </w:tc>
      </w:tr>
      <w:tr w:rsidR="00140A6A" w14:paraId="002062CE" w14:textId="77777777" w:rsidTr="0022626A">
        <w:trPr>
          <w:cantSplit/>
        </w:trPr>
        <w:tc>
          <w:tcPr>
            <w:tcW w:w="788" w:type="dxa"/>
            <w:vMerge w:val="restart"/>
            <w:shd w:val="clear" w:color="auto" w:fill="auto"/>
          </w:tcPr>
          <w:p w14:paraId="1A3C0492" w14:textId="77777777" w:rsidR="00BE01FF" w:rsidRDefault="00BE01FF" w:rsidP="00140A6A">
            <w:pPr>
              <w:rPr>
                <w:sz w:val="18"/>
                <w:lang w:val="en-GB"/>
              </w:rPr>
            </w:pPr>
          </w:p>
          <w:p w14:paraId="0D6643EF" w14:textId="55723A86" w:rsidR="00140A6A" w:rsidRDefault="00140A6A" w:rsidP="00140A6A">
            <w:pPr>
              <w:rPr>
                <w:sz w:val="18"/>
                <w:lang w:val="en-GB"/>
              </w:rPr>
            </w:pPr>
            <w:r>
              <w:rPr>
                <w:sz w:val="18"/>
                <w:lang w:val="en-GB"/>
              </w:rPr>
              <w:t>Fish</w:t>
            </w:r>
          </w:p>
        </w:tc>
        <w:tc>
          <w:tcPr>
            <w:tcW w:w="734" w:type="dxa"/>
            <w:tcBorders>
              <w:bottom w:val="single" w:sz="4" w:space="0" w:color="000000"/>
            </w:tcBorders>
            <w:shd w:val="clear" w:color="auto" w:fill="auto"/>
          </w:tcPr>
          <w:p w14:paraId="2748EB43" w14:textId="7074A17F" w:rsidR="00140A6A" w:rsidRDefault="00140A6A" w:rsidP="00140A6A">
            <w:pPr>
              <w:jc w:val="center"/>
              <w:rPr>
                <w:sz w:val="18"/>
                <w:lang w:val="en-GB"/>
              </w:rPr>
            </w:pPr>
            <w:r>
              <w:rPr>
                <w:sz w:val="18"/>
                <w:lang w:val="en-GB"/>
              </w:rPr>
              <w:t>1:20</w:t>
            </w:r>
          </w:p>
        </w:tc>
        <w:tc>
          <w:tcPr>
            <w:tcW w:w="557" w:type="dxa"/>
            <w:tcBorders>
              <w:bottom w:val="single" w:sz="4" w:space="0" w:color="000000"/>
            </w:tcBorders>
            <w:shd w:val="clear" w:color="auto" w:fill="auto"/>
          </w:tcPr>
          <w:p w14:paraId="33762F19" w14:textId="6696C4D8" w:rsidR="00140A6A" w:rsidRDefault="00140A6A" w:rsidP="00140A6A">
            <w:pPr>
              <w:jc w:val="center"/>
              <w:rPr>
                <w:sz w:val="18"/>
                <w:lang w:val="en-GB"/>
              </w:rPr>
            </w:pPr>
            <w:r>
              <w:rPr>
                <w:sz w:val="18"/>
                <w:lang w:val="en-GB"/>
              </w:rPr>
              <w:t>50</w:t>
            </w:r>
          </w:p>
        </w:tc>
        <w:tc>
          <w:tcPr>
            <w:tcW w:w="1473" w:type="dxa"/>
            <w:tcBorders>
              <w:bottom w:val="single" w:sz="4" w:space="0" w:color="000000"/>
            </w:tcBorders>
            <w:shd w:val="clear" w:color="auto" w:fill="auto"/>
          </w:tcPr>
          <w:p w14:paraId="57F9B00A" w14:textId="7FC588B4" w:rsidR="00140A6A" w:rsidRDefault="00140A6A" w:rsidP="00140A6A">
            <w:pPr>
              <w:jc w:val="center"/>
              <w:rPr>
                <w:sz w:val="18"/>
                <w:lang w:val="en-GB"/>
              </w:rPr>
            </w:pPr>
            <w:r>
              <w:rPr>
                <w:sz w:val="18"/>
                <w:lang w:val="en-GB"/>
              </w:rPr>
              <w:t>48</w:t>
            </w:r>
          </w:p>
        </w:tc>
        <w:tc>
          <w:tcPr>
            <w:tcW w:w="1835" w:type="dxa"/>
            <w:tcBorders>
              <w:bottom w:val="single" w:sz="4" w:space="0" w:color="000000"/>
            </w:tcBorders>
            <w:shd w:val="clear" w:color="auto" w:fill="auto"/>
          </w:tcPr>
          <w:p w14:paraId="20E3674C" w14:textId="75C9FABF" w:rsidR="00140A6A" w:rsidRDefault="00FE6963" w:rsidP="00140A6A">
            <w:pPr>
              <w:jc w:val="center"/>
              <w:rPr>
                <w:sz w:val="18"/>
                <w:lang w:val="en-GB"/>
              </w:rPr>
            </w:pPr>
            <w:r>
              <w:rPr>
                <w:sz w:val="18"/>
                <w:lang w:val="en-GB"/>
              </w:rPr>
              <w:t>5</w:t>
            </w:r>
          </w:p>
        </w:tc>
        <w:tc>
          <w:tcPr>
            <w:tcW w:w="1843" w:type="dxa"/>
            <w:tcBorders>
              <w:bottom w:val="single" w:sz="4" w:space="0" w:color="000000"/>
            </w:tcBorders>
            <w:shd w:val="clear" w:color="auto" w:fill="auto"/>
          </w:tcPr>
          <w:p w14:paraId="4EFE8528" w14:textId="1E4B6F85" w:rsidR="00140A6A" w:rsidRDefault="00140A6A" w:rsidP="00140A6A">
            <w:pPr>
              <w:jc w:val="center"/>
              <w:rPr>
                <w:sz w:val="18"/>
                <w:lang w:val="en-GB"/>
              </w:rPr>
            </w:pPr>
            <w:r>
              <w:rPr>
                <w:sz w:val="18"/>
                <w:lang w:val="en-GB"/>
              </w:rPr>
              <w:t>97.4</w:t>
            </w:r>
          </w:p>
        </w:tc>
        <w:tc>
          <w:tcPr>
            <w:tcW w:w="2410" w:type="dxa"/>
            <w:tcBorders>
              <w:bottom w:val="single" w:sz="4" w:space="0" w:color="000000"/>
            </w:tcBorders>
          </w:tcPr>
          <w:p w14:paraId="40161852" w14:textId="5130D7C7" w:rsidR="00140A6A" w:rsidRDefault="007861D9" w:rsidP="00140A6A">
            <w:pPr>
              <w:jc w:val="center"/>
              <w:rPr>
                <w:sz w:val="18"/>
                <w:lang w:val="en-GB"/>
              </w:rPr>
            </w:pPr>
            <w:r>
              <w:rPr>
                <w:sz w:val="18"/>
                <w:lang w:val="en-GB"/>
              </w:rPr>
              <w:t>0.4</w:t>
            </w:r>
          </w:p>
        </w:tc>
      </w:tr>
      <w:tr w:rsidR="00140A6A" w14:paraId="7815C0A7" w14:textId="77777777" w:rsidTr="0022626A">
        <w:trPr>
          <w:cantSplit/>
        </w:trPr>
        <w:tc>
          <w:tcPr>
            <w:tcW w:w="788" w:type="dxa"/>
            <w:vMerge/>
            <w:shd w:val="clear" w:color="auto" w:fill="auto"/>
          </w:tcPr>
          <w:p w14:paraId="346A4F40" w14:textId="77777777" w:rsidR="00140A6A" w:rsidRDefault="00140A6A" w:rsidP="00140A6A">
            <w:pPr>
              <w:rPr>
                <w:sz w:val="18"/>
                <w:lang w:val="en-GB"/>
              </w:rPr>
            </w:pPr>
          </w:p>
        </w:tc>
        <w:tc>
          <w:tcPr>
            <w:tcW w:w="734" w:type="dxa"/>
            <w:tcBorders>
              <w:bottom w:val="single" w:sz="4" w:space="0" w:color="000000"/>
            </w:tcBorders>
            <w:shd w:val="clear" w:color="auto" w:fill="auto"/>
          </w:tcPr>
          <w:p w14:paraId="6D6F2523" w14:textId="758CB137" w:rsidR="00140A6A" w:rsidRDefault="00140A6A" w:rsidP="00140A6A">
            <w:pPr>
              <w:jc w:val="center"/>
              <w:rPr>
                <w:sz w:val="18"/>
                <w:lang w:val="en-GB"/>
              </w:rPr>
            </w:pPr>
            <w:r>
              <w:rPr>
                <w:sz w:val="18"/>
                <w:lang w:val="en-GB"/>
              </w:rPr>
              <w:t>1:40</w:t>
            </w:r>
          </w:p>
        </w:tc>
        <w:tc>
          <w:tcPr>
            <w:tcW w:w="557" w:type="dxa"/>
            <w:tcBorders>
              <w:bottom w:val="single" w:sz="4" w:space="0" w:color="000000"/>
            </w:tcBorders>
            <w:shd w:val="clear" w:color="auto" w:fill="auto"/>
          </w:tcPr>
          <w:p w14:paraId="5BF09637" w14:textId="4845E03C" w:rsidR="00140A6A" w:rsidRDefault="00140A6A" w:rsidP="00140A6A">
            <w:pPr>
              <w:jc w:val="center"/>
              <w:rPr>
                <w:sz w:val="18"/>
                <w:lang w:val="en-GB"/>
              </w:rPr>
            </w:pPr>
            <w:r>
              <w:rPr>
                <w:sz w:val="18"/>
                <w:lang w:val="en-GB"/>
              </w:rPr>
              <w:t>50</w:t>
            </w:r>
          </w:p>
        </w:tc>
        <w:tc>
          <w:tcPr>
            <w:tcW w:w="1473" w:type="dxa"/>
            <w:tcBorders>
              <w:bottom w:val="single" w:sz="4" w:space="0" w:color="000000"/>
            </w:tcBorders>
            <w:shd w:val="clear" w:color="auto" w:fill="auto"/>
          </w:tcPr>
          <w:p w14:paraId="37BFA867" w14:textId="581A4EB6" w:rsidR="00140A6A" w:rsidRDefault="00140A6A" w:rsidP="00140A6A">
            <w:pPr>
              <w:jc w:val="center"/>
              <w:rPr>
                <w:sz w:val="18"/>
                <w:lang w:val="en-GB"/>
              </w:rPr>
            </w:pPr>
            <w:r>
              <w:rPr>
                <w:sz w:val="18"/>
                <w:lang w:val="en-GB"/>
              </w:rPr>
              <w:t>48</w:t>
            </w:r>
          </w:p>
        </w:tc>
        <w:tc>
          <w:tcPr>
            <w:tcW w:w="1835" w:type="dxa"/>
            <w:tcBorders>
              <w:bottom w:val="single" w:sz="4" w:space="0" w:color="000000"/>
            </w:tcBorders>
            <w:shd w:val="clear" w:color="auto" w:fill="auto"/>
          </w:tcPr>
          <w:p w14:paraId="4EAC4AE3" w14:textId="29A32C13" w:rsidR="00140A6A" w:rsidRDefault="00140A6A" w:rsidP="00140A6A">
            <w:pPr>
              <w:jc w:val="center"/>
              <w:rPr>
                <w:sz w:val="18"/>
                <w:lang w:val="en-GB"/>
              </w:rPr>
            </w:pPr>
            <w:r>
              <w:rPr>
                <w:sz w:val="18"/>
                <w:lang w:val="en-GB"/>
              </w:rPr>
              <w:t>5</w:t>
            </w:r>
          </w:p>
        </w:tc>
        <w:tc>
          <w:tcPr>
            <w:tcW w:w="1843" w:type="dxa"/>
            <w:tcBorders>
              <w:bottom w:val="single" w:sz="4" w:space="0" w:color="000000"/>
            </w:tcBorders>
            <w:shd w:val="clear" w:color="auto" w:fill="auto"/>
          </w:tcPr>
          <w:p w14:paraId="42C1CDA4" w14:textId="2CEF4A9C" w:rsidR="00140A6A" w:rsidRDefault="00140A6A" w:rsidP="00140A6A">
            <w:pPr>
              <w:jc w:val="center"/>
              <w:rPr>
                <w:sz w:val="18"/>
                <w:lang w:val="en-GB"/>
              </w:rPr>
            </w:pPr>
            <w:r>
              <w:rPr>
                <w:sz w:val="18"/>
                <w:lang w:val="en-GB"/>
              </w:rPr>
              <w:t>95.4</w:t>
            </w:r>
          </w:p>
        </w:tc>
        <w:tc>
          <w:tcPr>
            <w:tcW w:w="2410" w:type="dxa"/>
            <w:tcBorders>
              <w:bottom w:val="single" w:sz="4" w:space="0" w:color="000000"/>
            </w:tcBorders>
          </w:tcPr>
          <w:p w14:paraId="1FFAEAFD" w14:textId="06B95EDD" w:rsidR="00140A6A" w:rsidRDefault="007861D9" w:rsidP="00140A6A">
            <w:pPr>
              <w:jc w:val="center"/>
              <w:rPr>
                <w:sz w:val="18"/>
                <w:lang w:val="en-GB"/>
              </w:rPr>
            </w:pPr>
            <w:r>
              <w:rPr>
                <w:sz w:val="18"/>
                <w:lang w:val="en-GB"/>
              </w:rPr>
              <w:t>3.0</w:t>
            </w:r>
          </w:p>
        </w:tc>
      </w:tr>
      <w:tr w:rsidR="00140A6A" w14:paraId="3711BA5D" w14:textId="77777777" w:rsidTr="00140A6A">
        <w:trPr>
          <w:cantSplit/>
        </w:trPr>
        <w:tc>
          <w:tcPr>
            <w:tcW w:w="788" w:type="dxa"/>
            <w:vMerge/>
            <w:tcBorders>
              <w:bottom w:val="single" w:sz="4" w:space="0" w:color="000000"/>
            </w:tcBorders>
            <w:shd w:val="clear" w:color="auto" w:fill="auto"/>
          </w:tcPr>
          <w:p w14:paraId="583BAD19" w14:textId="77777777" w:rsidR="00140A6A" w:rsidRDefault="00140A6A" w:rsidP="00140A6A">
            <w:pPr>
              <w:rPr>
                <w:sz w:val="18"/>
                <w:lang w:val="en-GB"/>
              </w:rPr>
            </w:pPr>
          </w:p>
        </w:tc>
        <w:tc>
          <w:tcPr>
            <w:tcW w:w="734" w:type="dxa"/>
            <w:tcBorders>
              <w:bottom w:val="single" w:sz="4" w:space="0" w:color="000000"/>
            </w:tcBorders>
            <w:shd w:val="clear" w:color="auto" w:fill="auto"/>
          </w:tcPr>
          <w:p w14:paraId="046C7AB1" w14:textId="3E2761C5" w:rsidR="00140A6A" w:rsidRDefault="00140A6A" w:rsidP="00140A6A">
            <w:pPr>
              <w:jc w:val="center"/>
              <w:rPr>
                <w:sz w:val="18"/>
                <w:lang w:val="en-GB"/>
              </w:rPr>
            </w:pPr>
            <w:r>
              <w:rPr>
                <w:sz w:val="18"/>
                <w:lang w:val="en-GB"/>
              </w:rPr>
              <w:t>1:60</w:t>
            </w:r>
          </w:p>
        </w:tc>
        <w:tc>
          <w:tcPr>
            <w:tcW w:w="557" w:type="dxa"/>
            <w:tcBorders>
              <w:bottom w:val="single" w:sz="4" w:space="0" w:color="000000"/>
            </w:tcBorders>
            <w:shd w:val="clear" w:color="auto" w:fill="auto"/>
          </w:tcPr>
          <w:p w14:paraId="50AB8D46" w14:textId="3BB82667" w:rsidR="00140A6A" w:rsidRDefault="00140A6A" w:rsidP="00140A6A">
            <w:pPr>
              <w:jc w:val="center"/>
              <w:rPr>
                <w:sz w:val="18"/>
                <w:lang w:val="en-GB"/>
              </w:rPr>
            </w:pPr>
            <w:r>
              <w:rPr>
                <w:sz w:val="18"/>
                <w:lang w:val="en-GB"/>
              </w:rPr>
              <w:t>50</w:t>
            </w:r>
          </w:p>
        </w:tc>
        <w:tc>
          <w:tcPr>
            <w:tcW w:w="1473" w:type="dxa"/>
            <w:tcBorders>
              <w:bottom w:val="single" w:sz="4" w:space="0" w:color="000000"/>
            </w:tcBorders>
            <w:shd w:val="clear" w:color="auto" w:fill="auto"/>
          </w:tcPr>
          <w:p w14:paraId="6057A060" w14:textId="044A768F" w:rsidR="00140A6A" w:rsidRDefault="00140A6A" w:rsidP="00140A6A">
            <w:pPr>
              <w:jc w:val="center"/>
              <w:rPr>
                <w:sz w:val="18"/>
                <w:lang w:val="en-GB"/>
              </w:rPr>
            </w:pPr>
            <w:r>
              <w:rPr>
                <w:sz w:val="18"/>
                <w:lang w:val="en-GB"/>
              </w:rPr>
              <w:t>48</w:t>
            </w:r>
          </w:p>
        </w:tc>
        <w:tc>
          <w:tcPr>
            <w:tcW w:w="1835" w:type="dxa"/>
            <w:tcBorders>
              <w:bottom w:val="single" w:sz="4" w:space="0" w:color="000000"/>
            </w:tcBorders>
            <w:shd w:val="clear" w:color="auto" w:fill="auto"/>
          </w:tcPr>
          <w:p w14:paraId="1CB07CF0" w14:textId="73DE9E8E" w:rsidR="00140A6A" w:rsidRDefault="00140A6A" w:rsidP="00140A6A">
            <w:pPr>
              <w:jc w:val="center"/>
              <w:rPr>
                <w:sz w:val="18"/>
                <w:lang w:val="en-GB"/>
              </w:rPr>
            </w:pPr>
            <w:r>
              <w:rPr>
                <w:sz w:val="18"/>
                <w:lang w:val="en-GB"/>
              </w:rPr>
              <w:t>5</w:t>
            </w:r>
          </w:p>
        </w:tc>
        <w:tc>
          <w:tcPr>
            <w:tcW w:w="1843" w:type="dxa"/>
            <w:tcBorders>
              <w:bottom w:val="single" w:sz="4" w:space="0" w:color="000000"/>
            </w:tcBorders>
            <w:shd w:val="clear" w:color="auto" w:fill="auto"/>
          </w:tcPr>
          <w:p w14:paraId="39B5B28B" w14:textId="14F5ABA8" w:rsidR="00140A6A" w:rsidRDefault="007861D9" w:rsidP="00140A6A">
            <w:pPr>
              <w:jc w:val="center"/>
              <w:rPr>
                <w:sz w:val="18"/>
                <w:lang w:val="en-GB"/>
              </w:rPr>
            </w:pPr>
            <w:r>
              <w:rPr>
                <w:sz w:val="18"/>
                <w:lang w:val="en-GB"/>
              </w:rPr>
              <w:t>93.2</w:t>
            </w:r>
          </w:p>
        </w:tc>
        <w:tc>
          <w:tcPr>
            <w:tcW w:w="2410" w:type="dxa"/>
            <w:tcBorders>
              <w:bottom w:val="single" w:sz="4" w:space="0" w:color="000000"/>
            </w:tcBorders>
          </w:tcPr>
          <w:p w14:paraId="0A8F508C" w14:textId="2752566C" w:rsidR="00140A6A" w:rsidRDefault="007861D9" w:rsidP="00140A6A">
            <w:pPr>
              <w:jc w:val="center"/>
              <w:rPr>
                <w:sz w:val="18"/>
                <w:lang w:val="en-GB"/>
              </w:rPr>
            </w:pPr>
            <w:r>
              <w:rPr>
                <w:sz w:val="18"/>
                <w:lang w:val="en-GB"/>
              </w:rPr>
              <w:t>4.2</w:t>
            </w:r>
          </w:p>
        </w:tc>
      </w:tr>
    </w:tbl>
    <w:p w14:paraId="757B3500" w14:textId="6221EFC6" w:rsidR="007D40F9" w:rsidRDefault="003D37E9" w:rsidP="001B5319">
      <w:pPr>
        <w:pStyle w:val="Titolo2"/>
        <w:jc w:val="both"/>
        <w:rPr>
          <w:sz w:val="20"/>
          <w:lang w:val="en-GB"/>
        </w:rPr>
      </w:pPr>
      <w:r>
        <w:rPr>
          <w:sz w:val="20"/>
          <w:lang w:val="en-GB"/>
        </w:rPr>
        <w:t>In both cases, a</w:t>
      </w:r>
      <w:r w:rsidRPr="003D37E9">
        <w:rPr>
          <w:sz w:val="20"/>
          <w:lang w:val="en-GB"/>
        </w:rPr>
        <w:t>s the volume of reagent increases, other conditions being equal, the digestive efficiency is reduced</w:t>
      </w:r>
      <w:r w:rsidR="00BE01FF">
        <w:rPr>
          <w:sz w:val="20"/>
          <w:lang w:val="en-GB"/>
        </w:rPr>
        <w:t xml:space="preserve"> (Figure 1)</w:t>
      </w:r>
      <w:r w:rsidRPr="003D37E9">
        <w:rPr>
          <w:sz w:val="20"/>
          <w:lang w:val="en-GB"/>
        </w:rPr>
        <w:t>.</w:t>
      </w:r>
      <w:r w:rsidR="001B5319">
        <w:rPr>
          <w:sz w:val="20"/>
          <w:lang w:val="en-GB"/>
        </w:rPr>
        <w:t xml:space="preserve"> It clearly emerged that tests at 50°C gave a higher digestion efficiency.</w:t>
      </w:r>
      <w:r w:rsidR="00BE01FF">
        <w:rPr>
          <w:sz w:val="20"/>
          <w:lang w:val="en-GB"/>
        </w:rPr>
        <w:t xml:space="preserve"> </w:t>
      </w:r>
      <w:r w:rsidR="001B5319">
        <w:rPr>
          <w:sz w:val="20"/>
          <w:lang w:val="en-GB"/>
        </w:rPr>
        <w:t xml:space="preserve">  </w:t>
      </w:r>
    </w:p>
    <w:p w14:paraId="4AF864FB" w14:textId="25AABDED" w:rsidR="00BE01FF" w:rsidRPr="00BE01FF" w:rsidRDefault="00BE01FF" w:rsidP="00BE01FF">
      <w:pPr>
        <w:rPr>
          <w:lang w:val="en-GB"/>
        </w:rPr>
      </w:pPr>
    </w:p>
    <w:p w14:paraId="1619C0B0" w14:textId="72EA2867" w:rsidR="001B5319" w:rsidRDefault="00FE6963" w:rsidP="00FE6963">
      <w:pPr>
        <w:jc w:val="center"/>
        <w:rPr>
          <w:lang w:val="en-GB"/>
        </w:rPr>
      </w:pPr>
      <w:r>
        <w:rPr>
          <w:noProof/>
          <w:lang w:val="en-GB"/>
        </w:rPr>
        <w:drawing>
          <wp:inline distT="0" distB="0" distL="0" distR="0" wp14:anchorId="53F18B96" wp14:editId="228D6430">
            <wp:extent cx="2147454" cy="1294438"/>
            <wp:effectExtent l="0" t="0" r="0" b="127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magine 16"/>
                    <pic:cNvPicPr/>
                  </pic:nvPicPr>
                  <pic:blipFill>
                    <a:blip r:embed="rId7" cstate="email">
                      <a:extLst>
                        <a:ext uri="{28A0092B-C50C-407E-A947-70E740481C1C}">
                          <a14:useLocalDpi xmlns:a14="http://schemas.microsoft.com/office/drawing/2010/main"/>
                        </a:ext>
                      </a:extLst>
                    </a:blip>
                    <a:stretch>
                      <a:fillRect/>
                    </a:stretch>
                  </pic:blipFill>
                  <pic:spPr>
                    <a:xfrm>
                      <a:off x="0" y="0"/>
                      <a:ext cx="2158633" cy="1301176"/>
                    </a:xfrm>
                    <a:prstGeom prst="rect">
                      <a:avLst/>
                    </a:prstGeom>
                  </pic:spPr>
                </pic:pic>
              </a:graphicData>
            </a:graphic>
          </wp:inline>
        </w:drawing>
      </w:r>
      <w:r>
        <w:rPr>
          <w:noProof/>
          <w:lang w:val="en-GB"/>
        </w:rPr>
        <w:drawing>
          <wp:inline distT="0" distB="0" distL="0" distR="0" wp14:anchorId="1C1CE62A" wp14:editId="42AC3983">
            <wp:extent cx="2140527" cy="1292617"/>
            <wp:effectExtent l="0" t="0" r="0" b="317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17"/>
                    <pic:cNvPicPr/>
                  </pic:nvPicPr>
                  <pic:blipFill>
                    <a:blip r:embed="rId8" cstate="email">
                      <a:extLst>
                        <a:ext uri="{28A0092B-C50C-407E-A947-70E740481C1C}">
                          <a14:useLocalDpi xmlns:a14="http://schemas.microsoft.com/office/drawing/2010/main"/>
                        </a:ext>
                      </a:extLst>
                    </a:blip>
                    <a:stretch>
                      <a:fillRect/>
                    </a:stretch>
                  </pic:blipFill>
                  <pic:spPr>
                    <a:xfrm>
                      <a:off x="0" y="0"/>
                      <a:ext cx="2164107" cy="1306856"/>
                    </a:xfrm>
                    <a:prstGeom prst="rect">
                      <a:avLst/>
                    </a:prstGeom>
                  </pic:spPr>
                </pic:pic>
              </a:graphicData>
            </a:graphic>
          </wp:inline>
        </w:drawing>
      </w:r>
    </w:p>
    <w:p w14:paraId="37BAC6BB" w14:textId="30DCDB1D" w:rsidR="00FE6963" w:rsidRPr="00563D9F" w:rsidRDefault="00FE6963" w:rsidP="00563D9F">
      <w:pPr>
        <w:tabs>
          <w:tab w:val="left" w:pos="851"/>
        </w:tabs>
        <w:spacing w:before="300" w:after="300"/>
        <w:ind w:left="851" w:hanging="851"/>
        <w:jc w:val="both"/>
        <w:rPr>
          <w:bCs/>
          <w:i/>
          <w:iCs/>
          <w:color w:val="000000"/>
          <w:sz w:val="18"/>
          <w:lang w:val="en-GB"/>
        </w:rPr>
      </w:pPr>
      <w:r>
        <w:rPr>
          <w:b/>
          <w:color w:val="000000"/>
          <w:sz w:val="18"/>
          <w:lang w:val="en-GB"/>
        </w:rPr>
        <w:t xml:space="preserve">Figure 1 </w:t>
      </w:r>
      <w:r>
        <w:rPr>
          <w:b/>
          <w:color w:val="000000"/>
          <w:sz w:val="18"/>
          <w:lang w:val="en-GB"/>
        </w:rPr>
        <w:tab/>
      </w:r>
      <w:r w:rsidRPr="00FE6963">
        <w:rPr>
          <w:bCs/>
          <w:i/>
          <w:iCs/>
          <w:color w:val="000000"/>
          <w:sz w:val="18"/>
          <w:lang w:val="en-GB"/>
        </w:rPr>
        <w:t>Trend of digestive efficiency with varying volume (sample/reagent ratio) used for digestion.</w:t>
      </w:r>
      <w:r>
        <w:rPr>
          <w:bCs/>
          <w:i/>
          <w:iCs/>
          <w:color w:val="000000"/>
          <w:sz w:val="18"/>
          <w:lang w:val="en-GB"/>
        </w:rPr>
        <w:t xml:space="preserve"> </w:t>
      </w:r>
      <w:r w:rsidRPr="00FE6963">
        <w:rPr>
          <w:bCs/>
          <w:i/>
          <w:iCs/>
          <w:color w:val="000000"/>
          <w:sz w:val="18"/>
          <w:lang w:val="en-GB"/>
        </w:rPr>
        <w:t>In order to clarify the potential dependence of digestive efficiency with the volume of reagent used, the graph is proposed with both full scale (left) and reduced scale (righ</w:t>
      </w:r>
      <w:r>
        <w:rPr>
          <w:bCs/>
          <w:i/>
          <w:iCs/>
          <w:color w:val="000000"/>
          <w:sz w:val="18"/>
          <w:lang w:val="en-GB"/>
        </w:rPr>
        <w:t>t</w:t>
      </w:r>
      <w:r w:rsidRPr="00FE6963">
        <w:rPr>
          <w:bCs/>
          <w:i/>
          <w:iCs/>
          <w:color w:val="000000"/>
          <w:sz w:val="18"/>
          <w:lang w:val="en-GB"/>
        </w:rPr>
        <w:t>).</w:t>
      </w:r>
    </w:p>
    <w:p w14:paraId="4D7B2890" w14:textId="59A5833B" w:rsidR="00220C79" w:rsidRPr="00220C79" w:rsidRDefault="00563D9F" w:rsidP="00220C79">
      <w:pPr>
        <w:pStyle w:val="Titolo2"/>
        <w:jc w:val="both"/>
        <w:rPr>
          <w:sz w:val="20"/>
          <w:lang w:val="en-GB"/>
        </w:rPr>
      </w:pPr>
      <w:r>
        <w:rPr>
          <w:sz w:val="20"/>
          <w:lang w:val="en-GB"/>
        </w:rPr>
        <w:t xml:space="preserve">For meat and pasta, the type of digestion agents was investigated. </w:t>
      </w:r>
      <w:r w:rsidR="00220C79">
        <w:rPr>
          <w:sz w:val="20"/>
          <w:lang w:val="en-GB"/>
        </w:rPr>
        <w:t>KOH 5M showed the highest digestion efficiency, which was of 98.0</w:t>
      </w:r>
      <w:r w:rsidR="00220C79">
        <w:rPr>
          <w:sz w:val="20"/>
          <w:lang w:val="en-GB"/>
        </w:rPr>
        <w:sym w:font="Symbol" w:char="F0B1"/>
      </w:r>
      <w:r w:rsidR="00220C79">
        <w:rPr>
          <w:sz w:val="20"/>
          <w:lang w:val="en-GB"/>
        </w:rPr>
        <w:t>0.5%</w:t>
      </w:r>
      <w:r w:rsidR="00A03C43">
        <w:rPr>
          <w:sz w:val="20"/>
          <w:lang w:val="en-GB"/>
        </w:rPr>
        <w:t>, whereas KOH 1M, Fenton’s reagents and H</w:t>
      </w:r>
      <w:r w:rsidR="00A03C43" w:rsidRPr="00A03C43">
        <w:rPr>
          <w:sz w:val="20"/>
          <w:vertAlign w:val="subscript"/>
          <w:lang w:val="en-GB"/>
        </w:rPr>
        <w:t>2</w:t>
      </w:r>
      <w:r w:rsidR="00A03C43">
        <w:rPr>
          <w:sz w:val="20"/>
          <w:lang w:val="en-GB"/>
        </w:rPr>
        <w:t>O</w:t>
      </w:r>
      <w:r w:rsidR="00A03C43" w:rsidRPr="00A03C43">
        <w:rPr>
          <w:sz w:val="20"/>
          <w:vertAlign w:val="subscript"/>
          <w:lang w:val="en-GB"/>
        </w:rPr>
        <w:t>2</w:t>
      </w:r>
      <w:r w:rsidR="00A03C43">
        <w:rPr>
          <w:sz w:val="20"/>
          <w:lang w:val="en-GB"/>
        </w:rPr>
        <w:t xml:space="preserve"> (30%) showed digestion efficiencies of 88.4</w:t>
      </w:r>
      <w:r w:rsidR="00A03C43">
        <w:rPr>
          <w:sz w:val="20"/>
          <w:lang w:val="en-GB"/>
        </w:rPr>
        <w:sym w:font="Symbol" w:char="F0B1"/>
      </w:r>
      <w:r w:rsidR="00A03C43">
        <w:rPr>
          <w:sz w:val="20"/>
          <w:lang w:val="en-GB"/>
        </w:rPr>
        <w:t>2.2. 80.0</w:t>
      </w:r>
      <w:r w:rsidR="00A03C43">
        <w:rPr>
          <w:sz w:val="20"/>
          <w:lang w:val="en-GB"/>
        </w:rPr>
        <w:sym w:font="Symbol" w:char="F0B1"/>
      </w:r>
      <w:r w:rsidR="00A03C43">
        <w:rPr>
          <w:sz w:val="20"/>
          <w:lang w:val="en-GB"/>
        </w:rPr>
        <w:t>4.5 and 80.1</w:t>
      </w:r>
      <w:r w:rsidR="00A03C43">
        <w:rPr>
          <w:sz w:val="20"/>
          <w:lang w:val="en-GB"/>
        </w:rPr>
        <w:sym w:font="Symbol" w:char="F0B1"/>
      </w:r>
      <w:r w:rsidR="00A03C43">
        <w:rPr>
          <w:sz w:val="20"/>
          <w:lang w:val="en-GB"/>
        </w:rPr>
        <w:t xml:space="preserve">5.7, respectively. Regarding pasta, </w:t>
      </w:r>
      <w:r w:rsidR="00721F37">
        <w:rPr>
          <w:sz w:val="20"/>
          <w:lang w:val="en-GB"/>
        </w:rPr>
        <w:t xml:space="preserve">Fenton’s reagent showed the highest efficiency </w:t>
      </w:r>
      <w:r w:rsidR="00DB22F4">
        <w:rPr>
          <w:sz w:val="20"/>
          <w:lang w:val="en-GB"/>
        </w:rPr>
        <w:t>98.0</w:t>
      </w:r>
      <w:r w:rsidR="00DB22F4">
        <w:rPr>
          <w:sz w:val="20"/>
          <w:lang w:val="en-GB"/>
        </w:rPr>
        <w:sym w:font="Symbol" w:char="F0B1"/>
      </w:r>
      <w:r w:rsidR="00DB22F4">
        <w:rPr>
          <w:sz w:val="20"/>
          <w:lang w:val="en-GB"/>
        </w:rPr>
        <w:t xml:space="preserve">0.6. For other digestion agents, digestion efficiency was not calculated as the solutions were not able to be filtered. </w:t>
      </w:r>
    </w:p>
    <w:p w14:paraId="12AD3BBD" w14:textId="4922778B" w:rsidR="007D40F9" w:rsidRDefault="007D40F9" w:rsidP="007D40F9">
      <w:pPr>
        <w:pStyle w:val="Titolo2"/>
        <w:rPr>
          <w:b/>
          <w:bCs/>
          <w:sz w:val="20"/>
          <w:lang w:val="en-GB"/>
        </w:rPr>
      </w:pPr>
      <w:r>
        <w:rPr>
          <w:b/>
          <w:bCs/>
          <w:sz w:val="20"/>
          <w:lang w:val="en-GB"/>
        </w:rPr>
        <w:t xml:space="preserve">5.2 </w:t>
      </w:r>
      <w:r w:rsidR="006A1547">
        <w:rPr>
          <w:b/>
          <w:bCs/>
          <w:sz w:val="20"/>
          <w:lang w:val="en-GB"/>
        </w:rPr>
        <w:t xml:space="preserve">Recovery rate </w:t>
      </w:r>
    </w:p>
    <w:p w14:paraId="0068ADD3" w14:textId="53C2DA7C" w:rsidR="007D40F9" w:rsidRDefault="006A1547" w:rsidP="006A1547">
      <w:pPr>
        <w:jc w:val="both"/>
        <w:rPr>
          <w:color w:val="000000"/>
          <w:lang w:val="en-GB" w:eastAsia="it-IT"/>
        </w:rPr>
      </w:pPr>
      <w:r>
        <w:rPr>
          <w:color w:val="000000"/>
          <w:lang w:val="en-GB"/>
        </w:rPr>
        <w:t>Recovery rate of microplastics were determined. For fish samples, recovery rate of microplastics was of 97</w:t>
      </w:r>
      <w:r>
        <w:rPr>
          <w:lang w:val="en-GB"/>
        </w:rPr>
        <w:sym w:font="Symbol" w:char="F0B1"/>
      </w:r>
      <w:r>
        <w:rPr>
          <w:lang w:val="en-GB"/>
        </w:rPr>
        <w:t>0.6%, by using KOH 5M (1:20) at 50</w:t>
      </w:r>
      <w:r>
        <w:rPr>
          <w:color w:val="000000"/>
          <w:lang w:val="en-GB" w:eastAsia="it-IT"/>
        </w:rPr>
        <w:t>°C for 48 h. For pasta samples, recovery rate was lower than fish one. It was, in fact, of 78</w:t>
      </w:r>
      <w:r>
        <w:rPr>
          <w:lang w:val="en-GB"/>
        </w:rPr>
        <w:sym w:font="Symbol" w:char="F0B1"/>
      </w:r>
      <w:r>
        <w:rPr>
          <w:lang w:val="en-GB"/>
        </w:rPr>
        <w:t>1.7. This is potentially due to the fact that, even though digestion efficiency was high (98.0%)</w:t>
      </w:r>
      <w:r w:rsidR="0095418C">
        <w:rPr>
          <w:lang w:val="en-GB"/>
        </w:rPr>
        <w:t xml:space="preserve">, organic matter was still present on the filter (Figure 2, left). </w:t>
      </w:r>
      <w:r w:rsidR="00660847">
        <w:rPr>
          <w:color w:val="000000"/>
          <w:lang w:val="en-GB" w:eastAsia="it-IT"/>
        </w:rPr>
        <w:t>Red meat recovery rate w</w:t>
      </w:r>
      <w:r w:rsidR="00924BC5">
        <w:rPr>
          <w:color w:val="000000"/>
          <w:lang w:val="en-GB" w:eastAsia="it-IT"/>
        </w:rPr>
        <w:t>as</w:t>
      </w:r>
      <w:r w:rsidR="00660847">
        <w:rPr>
          <w:color w:val="000000"/>
          <w:lang w:val="en-GB" w:eastAsia="it-IT"/>
        </w:rPr>
        <w:t xml:space="preserve"> of 98</w:t>
      </w:r>
      <w:r w:rsidR="00660847">
        <w:rPr>
          <w:lang w:val="en-GB"/>
        </w:rPr>
        <w:sym w:font="Symbol" w:char="F0B1"/>
      </w:r>
      <w:r w:rsidR="00660847">
        <w:rPr>
          <w:lang w:val="en-GB"/>
        </w:rPr>
        <w:t xml:space="preserve">01%. </w:t>
      </w:r>
    </w:p>
    <w:p w14:paraId="7DE7E633" w14:textId="382F6DF3" w:rsidR="007D40F9" w:rsidRDefault="0095418C" w:rsidP="0095418C">
      <w:pPr>
        <w:tabs>
          <w:tab w:val="left" w:pos="570"/>
          <w:tab w:val="left" w:pos="7371"/>
        </w:tabs>
        <w:jc w:val="center"/>
        <w:rPr>
          <w:b/>
          <w:color w:val="000000"/>
          <w:lang w:val="en-GB"/>
        </w:rPr>
      </w:pPr>
      <w:r w:rsidRPr="0095418C">
        <w:rPr>
          <w:b/>
          <w:noProof/>
          <w:color w:val="000000"/>
          <w:lang w:val="en-GB"/>
        </w:rPr>
        <w:lastRenderedPageBreak/>
        <w:drawing>
          <wp:inline distT="0" distB="0" distL="0" distR="0" wp14:anchorId="333C2FD6" wp14:editId="32045D4E">
            <wp:extent cx="1506738" cy="1364789"/>
            <wp:effectExtent l="0" t="0" r="508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1539887" cy="1394815"/>
                    </a:xfrm>
                    <a:prstGeom prst="rect">
                      <a:avLst/>
                    </a:prstGeom>
                  </pic:spPr>
                </pic:pic>
              </a:graphicData>
            </a:graphic>
          </wp:inline>
        </w:drawing>
      </w:r>
      <w:r w:rsidRPr="0095418C">
        <w:rPr>
          <w:noProof/>
          <w:lang w:val="en-GB"/>
        </w:rPr>
        <w:drawing>
          <wp:inline distT="0" distB="0" distL="0" distR="0" wp14:anchorId="053BA57A" wp14:editId="548FB851">
            <wp:extent cx="1454208" cy="1359302"/>
            <wp:effectExtent l="0" t="0" r="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28A0092B-C50C-407E-A947-70E740481C1C}">
                          <a14:useLocalDpi xmlns:a14="http://schemas.microsoft.com/office/drawing/2010/main"/>
                        </a:ext>
                      </a:extLst>
                    </a:blip>
                    <a:stretch>
                      <a:fillRect/>
                    </a:stretch>
                  </pic:blipFill>
                  <pic:spPr>
                    <a:xfrm>
                      <a:off x="0" y="0"/>
                      <a:ext cx="1474717" cy="1378473"/>
                    </a:xfrm>
                    <a:prstGeom prst="rect">
                      <a:avLst/>
                    </a:prstGeom>
                  </pic:spPr>
                </pic:pic>
              </a:graphicData>
            </a:graphic>
          </wp:inline>
        </w:drawing>
      </w:r>
      <w:r w:rsidR="003766F2" w:rsidRPr="003766F2">
        <w:rPr>
          <w:b/>
          <w:noProof/>
          <w:color w:val="000000"/>
        </w:rPr>
        <w:drawing>
          <wp:inline distT="0" distB="0" distL="0" distR="0" wp14:anchorId="58510719" wp14:editId="5E0C5F49">
            <wp:extent cx="1842654" cy="1363958"/>
            <wp:effectExtent l="0" t="0" r="0" b="0"/>
            <wp:docPr id="3" name="Immagine 2">
              <a:extLst xmlns:a="http://schemas.openxmlformats.org/drawingml/2006/main">
                <a:ext uri="{FF2B5EF4-FFF2-40B4-BE49-F238E27FC236}">
                  <a16:creationId xmlns:a16="http://schemas.microsoft.com/office/drawing/2014/main" id="{C5920B1A-E83F-1EAA-84EC-0D3FB91927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a:extLst>
                        <a:ext uri="{FF2B5EF4-FFF2-40B4-BE49-F238E27FC236}">
                          <a16:creationId xmlns:a16="http://schemas.microsoft.com/office/drawing/2014/main" id="{C5920B1A-E83F-1EAA-84EC-0D3FB9192785}"/>
                        </a:ext>
                      </a:extLst>
                    </pic:cNvPr>
                    <pic:cNvPicPr>
                      <a:picLocks noChangeAspect="1"/>
                    </pic:cNvPicPr>
                  </pic:nvPicPr>
                  <pic:blipFill>
                    <a:blip r:embed="rId11" cstate="email">
                      <a:extLst>
                        <a:ext uri="{28A0092B-C50C-407E-A947-70E740481C1C}">
                          <a14:useLocalDpi xmlns:a14="http://schemas.microsoft.com/office/drawing/2010/main"/>
                        </a:ext>
                      </a:extLst>
                    </a:blip>
                    <a:stretch>
                      <a:fillRect/>
                    </a:stretch>
                  </pic:blipFill>
                  <pic:spPr>
                    <a:xfrm>
                      <a:off x="0" y="0"/>
                      <a:ext cx="1857490" cy="1374940"/>
                    </a:xfrm>
                    <a:prstGeom prst="rect">
                      <a:avLst/>
                    </a:prstGeom>
                  </pic:spPr>
                </pic:pic>
              </a:graphicData>
            </a:graphic>
          </wp:inline>
        </w:drawing>
      </w:r>
      <w:r w:rsidR="003766F2" w:rsidRPr="007456ED">
        <w:rPr>
          <w:b/>
          <w:noProof/>
          <w:color w:val="000000"/>
          <w:lang w:val="en-GB"/>
        </w:rPr>
        <w:drawing>
          <wp:inline distT="0" distB="0" distL="0" distR="0" wp14:anchorId="0E99E4EA" wp14:editId="40EF8C1F">
            <wp:extent cx="2232191" cy="1233055"/>
            <wp:effectExtent l="0" t="0" r="3175"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email">
                      <a:extLst>
                        <a:ext uri="{28A0092B-C50C-407E-A947-70E740481C1C}">
                          <a14:useLocalDpi xmlns:a14="http://schemas.microsoft.com/office/drawing/2010/main"/>
                        </a:ext>
                      </a:extLst>
                    </a:blip>
                    <a:stretch>
                      <a:fillRect/>
                    </a:stretch>
                  </pic:blipFill>
                  <pic:spPr>
                    <a:xfrm>
                      <a:off x="0" y="0"/>
                      <a:ext cx="2249731" cy="1242744"/>
                    </a:xfrm>
                    <a:prstGeom prst="rect">
                      <a:avLst/>
                    </a:prstGeom>
                  </pic:spPr>
                </pic:pic>
              </a:graphicData>
            </a:graphic>
          </wp:inline>
        </w:drawing>
      </w:r>
    </w:p>
    <w:p w14:paraId="447723E5" w14:textId="36E8BF44" w:rsidR="007D40F9" w:rsidRPr="00746B7D" w:rsidRDefault="007D40F9" w:rsidP="007D40F9">
      <w:pPr>
        <w:tabs>
          <w:tab w:val="left" w:pos="851"/>
        </w:tabs>
        <w:spacing w:before="300" w:after="300"/>
        <w:ind w:left="851" w:hanging="851"/>
        <w:jc w:val="both"/>
        <w:rPr>
          <w:lang w:val="en-US"/>
        </w:rPr>
      </w:pPr>
      <w:r>
        <w:rPr>
          <w:b/>
          <w:color w:val="000000"/>
          <w:sz w:val="18"/>
          <w:lang w:val="en-GB"/>
        </w:rPr>
        <w:t xml:space="preserve">Figure </w:t>
      </w:r>
      <w:r w:rsidR="00D06068">
        <w:rPr>
          <w:b/>
          <w:color w:val="000000"/>
          <w:sz w:val="18"/>
          <w:lang w:val="en-GB"/>
        </w:rPr>
        <w:t>2</w:t>
      </w:r>
      <w:r>
        <w:rPr>
          <w:b/>
          <w:color w:val="000000"/>
          <w:sz w:val="18"/>
          <w:lang w:val="en-GB"/>
        </w:rPr>
        <w:t xml:space="preserve"> </w:t>
      </w:r>
      <w:r>
        <w:rPr>
          <w:b/>
          <w:color w:val="000000"/>
          <w:sz w:val="18"/>
          <w:lang w:val="en-GB"/>
        </w:rPr>
        <w:tab/>
      </w:r>
      <w:r w:rsidR="0095418C">
        <w:rPr>
          <w:bCs/>
          <w:i/>
          <w:iCs/>
          <w:color w:val="000000"/>
          <w:sz w:val="18"/>
          <w:lang w:val="en-GB"/>
        </w:rPr>
        <w:t>Filters after digestion and filtration of pasta, using Fenton’s Reagent (left) and meat sample, using KOH 5M (</w:t>
      </w:r>
      <w:r w:rsidR="007456ED">
        <w:rPr>
          <w:bCs/>
          <w:i/>
          <w:iCs/>
          <w:color w:val="000000"/>
          <w:sz w:val="18"/>
          <w:lang w:val="en-GB"/>
        </w:rPr>
        <w:t>centre</w:t>
      </w:r>
      <w:r w:rsidR="0095418C">
        <w:rPr>
          <w:bCs/>
          <w:i/>
          <w:iCs/>
          <w:color w:val="000000"/>
          <w:sz w:val="18"/>
          <w:lang w:val="en-GB"/>
        </w:rPr>
        <w:t>)</w:t>
      </w:r>
      <w:r w:rsidR="007456ED">
        <w:rPr>
          <w:bCs/>
          <w:i/>
          <w:iCs/>
          <w:color w:val="000000"/>
          <w:sz w:val="18"/>
          <w:lang w:val="en-GB"/>
        </w:rPr>
        <w:t xml:space="preserve"> and polystyrene fluorescent microbead </w:t>
      </w:r>
      <w:r w:rsidR="003766F2">
        <w:rPr>
          <w:bCs/>
          <w:i/>
          <w:iCs/>
          <w:color w:val="000000"/>
          <w:sz w:val="18"/>
          <w:lang w:val="en-GB"/>
        </w:rPr>
        <w:t xml:space="preserve">before (on meat sample) and </w:t>
      </w:r>
      <w:r w:rsidR="007456ED">
        <w:rPr>
          <w:bCs/>
          <w:i/>
          <w:iCs/>
          <w:color w:val="000000"/>
          <w:sz w:val="18"/>
          <w:lang w:val="en-GB"/>
        </w:rPr>
        <w:t>after digestion and filtration (right)</w:t>
      </w:r>
      <w:r w:rsidR="0095418C">
        <w:rPr>
          <w:bCs/>
          <w:i/>
          <w:iCs/>
          <w:color w:val="000000"/>
          <w:sz w:val="18"/>
          <w:lang w:val="en-GB"/>
        </w:rPr>
        <w:t xml:space="preserve">. </w:t>
      </w:r>
    </w:p>
    <w:p w14:paraId="29A8E6D4" w14:textId="0ED92D0F" w:rsidR="007D40F9" w:rsidRDefault="007D40F9" w:rsidP="007D40F9">
      <w:pPr>
        <w:pStyle w:val="Titolo2"/>
        <w:rPr>
          <w:b/>
          <w:bCs/>
          <w:sz w:val="20"/>
          <w:lang w:val="en-GB"/>
        </w:rPr>
      </w:pPr>
      <w:r>
        <w:rPr>
          <w:b/>
          <w:bCs/>
          <w:sz w:val="20"/>
          <w:lang w:val="en-GB"/>
        </w:rPr>
        <w:t xml:space="preserve">5.3 </w:t>
      </w:r>
      <w:r w:rsidR="00405FA8">
        <w:rPr>
          <w:b/>
          <w:bCs/>
          <w:sz w:val="20"/>
          <w:lang w:val="en-GB"/>
        </w:rPr>
        <w:t>Polymer solubilization into organic solvents</w:t>
      </w:r>
    </w:p>
    <w:p w14:paraId="435BE6D8" w14:textId="67216936" w:rsidR="007D40F9" w:rsidRPr="00405FA8" w:rsidRDefault="003329C5" w:rsidP="007D40F9">
      <w:pPr>
        <w:jc w:val="both"/>
        <w:rPr>
          <w:bCs/>
          <w:color w:val="000000"/>
          <w:lang w:val="en-GB" w:eastAsia="it-IT"/>
        </w:rPr>
      </w:pPr>
      <w:r>
        <w:rPr>
          <w:bCs/>
          <w:color w:val="000000"/>
          <w:lang w:val="en-GB" w:eastAsia="it-IT"/>
        </w:rPr>
        <w:t>For polymers solubilization, results showed that PS was dissolved using by DCM or a mixture of DCM: toluene, as it was suggested by the theory. Even though chloroform was suggested by theory, it did not work during the experiments. Likewise, for PET, HFIP was the only organic solvent able to dissolve PET polymer. Other solvents emerged from the calculation based on the theory did not work. Finally, PE was tested with the mixture of solvents (n-hexane: toluene) suggested by the theory.</w:t>
      </w:r>
      <w:r w:rsidR="008A4406">
        <w:rPr>
          <w:bCs/>
          <w:color w:val="000000"/>
          <w:lang w:val="en-GB" w:eastAsia="it-IT"/>
        </w:rPr>
        <w:t xml:space="preserve"> However, solubilization did not occur. </w:t>
      </w:r>
    </w:p>
    <w:p w14:paraId="7EC454B3" w14:textId="77777777" w:rsidR="007D40F9" w:rsidRDefault="007D40F9" w:rsidP="008A4406">
      <w:pPr>
        <w:tabs>
          <w:tab w:val="left" w:pos="851"/>
          <w:tab w:val="left" w:pos="1134"/>
        </w:tabs>
        <w:rPr>
          <w:b/>
          <w:color w:val="000000"/>
          <w:sz w:val="18"/>
          <w:lang w:val="en-GB"/>
        </w:rPr>
      </w:pPr>
    </w:p>
    <w:p w14:paraId="15E2721A" w14:textId="170ACE73" w:rsidR="007D40F9" w:rsidRDefault="007D40F9" w:rsidP="003766F2">
      <w:pPr>
        <w:pStyle w:val="Titolo2"/>
        <w:jc w:val="both"/>
        <w:rPr>
          <w:b/>
          <w:bCs/>
          <w:sz w:val="20"/>
          <w:lang w:val="en-GB"/>
        </w:rPr>
      </w:pPr>
      <w:r>
        <w:rPr>
          <w:b/>
          <w:bCs/>
          <w:sz w:val="20"/>
          <w:lang w:val="en-GB"/>
        </w:rPr>
        <w:t xml:space="preserve">5.4 </w:t>
      </w:r>
      <w:r w:rsidR="008A4406">
        <w:rPr>
          <w:b/>
          <w:bCs/>
          <w:sz w:val="20"/>
          <w:lang w:val="en-GB"/>
        </w:rPr>
        <w:t>Microplastic’s quantification by Py-GC-MS</w:t>
      </w:r>
    </w:p>
    <w:p w14:paraId="528BE018" w14:textId="11C98299" w:rsidR="007D40F9" w:rsidRDefault="00E6556C" w:rsidP="003766F2">
      <w:pPr>
        <w:tabs>
          <w:tab w:val="left" w:pos="0"/>
        </w:tabs>
        <w:jc w:val="both"/>
        <w:rPr>
          <w:lang w:val="en-GB"/>
        </w:rPr>
      </w:pPr>
      <w:r>
        <w:rPr>
          <w:lang w:val="en-GB"/>
        </w:rPr>
        <w:t xml:space="preserve">PS solubilised in </w:t>
      </w:r>
      <w:r w:rsidR="003766F2">
        <w:rPr>
          <w:lang w:val="en-GB"/>
        </w:rPr>
        <w:t xml:space="preserve">DCM and PET in HFIP was spiked on fish samples in a final concentration of 100 ppb. Likewise, solutions at known and increasing concentrations were prepared and filtered for the calibration curves ‘construction. After sample preparation steps, filter was cut and around 1 mm of the filter was placed into the liner and then placed in the pyrolysis cup for the analysis (Figure </w:t>
      </w:r>
      <w:r w:rsidR="00D06068">
        <w:rPr>
          <w:lang w:val="en-GB"/>
        </w:rPr>
        <w:t>3</w:t>
      </w:r>
      <w:r w:rsidR="003766F2">
        <w:rPr>
          <w:lang w:val="en-GB"/>
        </w:rPr>
        <w:t xml:space="preserve">). </w:t>
      </w:r>
    </w:p>
    <w:p w14:paraId="60250A4B" w14:textId="130DEF73" w:rsidR="003766F2" w:rsidRDefault="003766F2" w:rsidP="007D40F9">
      <w:pPr>
        <w:tabs>
          <w:tab w:val="left" w:pos="0"/>
        </w:tabs>
        <w:rPr>
          <w:b/>
          <w:lang w:val="en-GB" w:eastAsia="it-IT"/>
        </w:rPr>
      </w:pPr>
    </w:p>
    <w:p w14:paraId="16B038D0" w14:textId="769DF57F" w:rsidR="007D40F9" w:rsidRDefault="003766F2" w:rsidP="003766F2">
      <w:pPr>
        <w:tabs>
          <w:tab w:val="left" w:pos="4536"/>
          <w:tab w:val="left" w:pos="5245"/>
        </w:tabs>
        <w:rPr>
          <w:b/>
          <w:bCs/>
          <w:lang w:val="en-GB"/>
        </w:rPr>
      </w:pPr>
      <w:r>
        <w:rPr>
          <w:b/>
          <w:noProof/>
          <w:lang w:val="en-GB" w:eastAsia="it-IT"/>
        </w:rPr>
        <mc:AlternateContent>
          <mc:Choice Requires="wps">
            <w:drawing>
              <wp:anchor distT="0" distB="0" distL="0" distR="0" simplePos="0" relativeHeight="251662336" behindDoc="0" locked="0" layoutInCell="1" allowOverlap="1" wp14:anchorId="2FA4C437" wp14:editId="2BEC1E29">
                <wp:simplePos x="0" y="0"/>
                <wp:positionH relativeFrom="column">
                  <wp:posOffset>2889019</wp:posOffset>
                </wp:positionH>
                <wp:positionV relativeFrom="paragraph">
                  <wp:posOffset>348211</wp:posOffset>
                </wp:positionV>
                <wp:extent cx="2857500" cy="290945"/>
                <wp:effectExtent l="0" t="0" r="0" b="1270"/>
                <wp:wrapNone/>
                <wp:docPr id="13" name="Cornice1"/>
                <wp:cNvGraphicFramePr/>
                <a:graphic xmlns:a="http://schemas.openxmlformats.org/drawingml/2006/main">
                  <a:graphicData uri="http://schemas.microsoft.com/office/word/2010/wordprocessingShape">
                    <wps:wsp>
                      <wps:cNvSpPr/>
                      <wps:spPr>
                        <a:xfrm>
                          <a:off x="0" y="0"/>
                          <a:ext cx="2857500" cy="29094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60C5EE23" w14:textId="4DD1E0CB" w:rsidR="007D40F9" w:rsidRPr="00432AC7" w:rsidRDefault="007D40F9" w:rsidP="007D40F9">
                            <w:pPr>
                              <w:jc w:val="both"/>
                              <w:rPr>
                                <w:lang w:val="en-US"/>
                              </w:rPr>
                            </w:pPr>
                            <w:r>
                              <w:rPr>
                                <w:b/>
                                <w:sz w:val="18"/>
                                <w:lang w:val="en-GB"/>
                              </w:rPr>
                              <w:t xml:space="preserve">Figure </w:t>
                            </w:r>
                            <w:r w:rsidR="00D06068">
                              <w:rPr>
                                <w:b/>
                                <w:sz w:val="18"/>
                                <w:lang w:val="en-GB"/>
                              </w:rPr>
                              <w:t>3</w:t>
                            </w:r>
                            <w:r>
                              <w:rPr>
                                <w:b/>
                                <w:sz w:val="18"/>
                                <w:lang w:val="en-GB"/>
                              </w:rPr>
                              <w:t xml:space="preserve"> </w:t>
                            </w:r>
                            <w:r>
                              <w:rPr>
                                <w:b/>
                                <w:sz w:val="18"/>
                                <w:lang w:val="en-GB"/>
                              </w:rPr>
                              <w:tab/>
                            </w:r>
                            <w:r w:rsidR="003766F2">
                              <w:rPr>
                                <w:bCs/>
                                <w:i/>
                                <w:iCs/>
                                <w:sz w:val="18"/>
                                <w:lang w:val="en-GB"/>
                              </w:rPr>
                              <w:t xml:space="preserve">Filter placed into the liner of the pyrolysis cup for the Py-GC-MS analysis. </w:t>
                            </w:r>
                          </w:p>
                        </w:txbxContent>
                      </wps:txbx>
                      <wps:bodyPr lIns="1440" tIns="1440" rIns="1440" bIns="1440">
                        <a:noAutofit/>
                      </wps:bodyPr>
                    </wps:wsp>
                  </a:graphicData>
                </a:graphic>
                <wp14:sizeRelV relativeFrom="margin">
                  <wp14:pctHeight>0</wp14:pctHeight>
                </wp14:sizeRelV>
              </wp:anchor>
            </w:drawing>
          </mc:Choice>
          <mc:Fallback>
            <w:pict>
              <v:rect w14:anchorId="2FA4C437" id="Cornice1" o:spid="_x0000_s1026" style="position:absolute;margin-left:227.5pt;margin-top:27.4pt;width:225pt;height:22.9pt;z-index:251662336;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" stroked="f">
                <v:textbox inset=".04mm,.04mm,.04mm,.04mm">
                  <w:txbxContent>
                    <w:p w14:paraId="60C5EE23" w14:textId="4DD1E0CB" w:rsidR="007D40F9" w:rsidRPr="00432AC7" w:rsidRDefault="007D40F9" w:rsidP="007D40F9">
                      <w:pPr>
                        <w:jc w:val="both"/>
                        <w:rPr>
                          <w:lang w:val="en-US"/>
                        </w:rPr>
                      </w:pPr>
                      <w:r>
                        <w:rPr>
                          <w:b/>
                          <w:sz w:val="18"/>
                          <w:lang w:val="en-GB"/>
                        </w:rPr>
                        <w:t xml:space="preserve">Figure </w:t>
                      </w:r>
                      <w:r w:rsidR="00D06068">
                        <w:rPr>
                          <w:b/>
                          <w:sz w:val="18"/>
                          <w:lang w:val="en-GB"/>
                        </w:rPr>
                        <w:t>3</w:t>
                      </w:r>
                      <w:r>
                        <w:rPr>
                          <w:b/>
                          <w:sz w:val="18"/>
                          <w:lang w:val="en-GB"/>
                        </w:rPr>
                        <w:t xml:space="preserve"> </w:t>
                      </w:r>
                      <w:r>
                        <w:rPr>
                          <w:b/>
                          <w:sz w:val="18"/>
                          <w:lang w:val="en-GB"/>
                        </w:rPr>
                        <w:tab/>
                      </w:r>
                      <w:r w:rsidR="003766F2">
                        <w:rPr>
                          <w:bCs/>
                          <w:i/>
                          <w:iCs/>
                          <w:sz w:val="18"/>
                          <w:lang w:val="en-GB"/>
                        </w:rPr>
                        <w:t xml:space="preserve">Filter placed into the liner of the pyrolysis cup for the Py-GC-MS analysis. </w:t>
                      </w:r>
                    </w:p>
                  </w:txbxContent>
                </v:textbox>
              </v:rect>
            </w:pict>
          </mc:Fallback>
        </mc:AlternateContent>
      </w:r>
      <w:r>
        <w:rPr>
          <w:b/>
          <w:bCs/>
          <w:lang w:val="en-GB"/>
        </w:rPr>
        <w:t xml:space="preserve">                                         </w:t>
      </w:r>
      <w:r>
        <w:rPr>
          <w:b/>
          <w:noProof/>
          <w:sz w:val="18"/>
          <w:lang w:val="en-GB" w:eastAsia="it-IT"/>
        </w:rPr>
        <w:drawing>
          <wp:inline distT="0" distB="0" distL="0" distR="0" wp14:anchorId="5AA59D41" wp14:editId="79B02381">
            <wp:extent cx="1297940" cy="1892673"/>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magine 22"/>
                    <pic:cNvPicPr/>
                  </pic:nvPicPr>
                  <pic:blipFill>
                    <a:blip r:embed="rId13" cstate="email">
                      <a:extLst>
                        <a:ext uri="{28A0092B-C50C-407E-A947-70E740481C1C}">
                          <a14:useLocalDpi xmlns:a14="http://schemas.microsoft.com/office/drawing/2010/main"/>
                        </a:ext>
                      </a:extLst>
                    </a:blip>
                    <a:stretch>
                      <a:fillRect/>
                    </a:stretch>
                  </pic:blipFill>
                  <pic:spPr>
                    <a:xfrm>
                      <a:off x="0" y="0"/>
                      <a:ext cx="1302451" cy="1899251"/>
                    </a:xfrm>
                    <a:prstGeom prst="rect">
                      <a:avLst/>
                    </a:prstGeom>
                  </pic:spPr>
                </pic:pic>
              </a:graphicData>
            </a:graphic>
          </wp:inline>
        </w:drawing>
      </w:r>
    </w:p>
    <w:p w14:paraId="47446658" w14:textId="38FF98C4" w:rsidR="00D06068" w:rsidRDefault="00D06068" w:rsidP="007D40F9">
      <w:pPr>
        <w:jc w:val="both"/>
        <w:rPr>
          <w:lang w:val="en-GB"/>
        </w:rPr>
      </w:pPr>
      <w:r>
        <w:rPr>
          <w:lang w:val="en-GB"/>
        </w:rPr>
        <w:t xml:space="preserve">For the spectra obtained from the analyses, a strong background emerged. Basically, it can depend on the very important complexity of the food matrices.  </w:t>
      </w:r>
    </w:p>
    <w:p w14:paraId="40945AF0" w14:textId="315A9105" w:rsidR="00D06068" w:rsidRDefault="00D06068" w:rsidP="007D40F9">
      <w:pPr>
        <w:jc w:val="both"/>
        <w:rPr>
          <w:lang w:val="en-GB"/>
        </w:rPr>
      </w:pPr>
      <w:r>
        <w:rPr>
          <w:noProof/>
          <w:lang w:val="en-GB"/>
        </w:rPr>
        <w:drawing>
          <wp:inline distT="0" distB="0" distL="0" distR="0" wp14:anchorId="6103748F" wp14:editId="0CD13967">
            <wp:extent cx="5511987" cy="1555335"/>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magine 24"/>
                    <pic:cNvPicPr/>
                  </pic:nvPicPr>
                  <pic:blipFill>
                    <a:blip r:embed="rId14" cstate="email">
                      <a:extLst>
                        <a:ext uri="{28A0092B-C50C-407E-A947-70E740481C1C}">
                          <a14:useLocalDpi xmlns:a14="http://schemas.microsoft.com/office/drawing/2010/main"/>
                        </a:ext>
                      </a:extLst>
                    </a:blip>
                    <a:stretch>
                      <a:fillRect/>
                    </a:stretch>
                  </pic:blipFill>
                  <pic:spPr>
                    <a:xfrm>
                      <a:off x="0" y="0"/>
                      <a:ext cx="5560549" cy="1569038"/>
                    </a:xfrm>
                    <a:prstGeom prst="rect">
                      <a:avLst/>
                    </a:prstGeom>
                  </pic:spPr>
                </pic:pic>
              </a:graphicData>
            </a:graphic>
          </wp:inline>
        </w:drawing>
      </w:r>
    </w:p>
    <w:p w14:paraId="7C04410E" w14:textId="3E6CB893" w:rsidR="00D06068" w:rsidRPr="00746B7D" w:rsidRDefault="00D06068" w:rsidP="00D06068">
      <w:pPr>
        <w:tabs>
          <w:tab w:val="left" w:pos="851"/>
        </w:tabs>
        <w:spacing w:before="300" w:after="300"/>
        <w:ind w:left="851" w:hanging="851"/>
        <w:jc w:val="both"/>
        <w:rPr>
          <w:lang w:val="en-US"/>
        </w:rPr>
      </w:pPr>
      <w:r>
        <w:rPr>
          <w:b/>
          <w:color w:val="000000"/>
          <w:sz w:val="18"/>
          <w:lang w:val="en-GB"/>
        </w:rPr>
        <w:lastRenderedPageBreak/>
        <w:t xml:space="preserve">Figure 4    </w:t>
      </w:r>
      <w:r>
        <w:rPr>
          <w:bCs/>
          <w:i/>
          <w:iCs/>
          <w:color w:val="000000"/>
          <w:sz w:val="18"/>
          <w:lang w:val="en-GB"/>
        </w:rPr>
        <w:t xml:space="preserve">Chromatogram of a fish sample spiked with 100 ppb of PET. Benzophenone is the main pyrolysis product of PET, which can confirm the identification of the polymer in the sample. </w:t>
      </w:r>
    </w:p>
    <w:p w14:paraId="4C372E9E" w14:textId="50945EAE" w:rsidR="00D06068" w:rsidRPr="00D06068" w:rsidRDefault="009F169D" w:rsidP="007D40F9">
      <w:pPr>
        <w:jc w:val="both"/>
        <w:rPr>
          <w:lang w:val="en-US"/>
        </w:rPr>
      </w:pPr>
      <w:r>
        <w:rPr>
          <w:lang w:val="en-US"/>
        </w:rPr>
        <w:t xml:space="preserve">As for the calibration curves, results are still being </w:t>
      </w:r>
      <w:r w:rsidRPr="009F169D">
        <w:rPr>
          <w:lang w:val="en-US"/>
        </w:rPr>
        <w:t>validated.</w:t>
      </w:r>
      <w:r>
        <w:rPr>
          <w:lang w:val="en-US"/>
        </w:rPr>
        <w:t xml:space="preserve"> The main issue is the liner. It is, in fact, not able to host the entire surface of the filters, meaning that several analyses are necessary for obtaining reliable results. </w:t>
      </w:r>
    </w:p>
    <w:p w14:paraId="19E51C6B" w14:textId="77777777" w:rsidR="007D40F9" w:rsidRDefault="007D40F9" w:rsidP="007D40F9">
      <w:pPr>
        <w:pStyle w:val="Titolo1"/>
        <w:tabs>
          <w:tab w:val="left" w:pos="567"/>
        </w:tabs>
        <w:spacing w:before="240" w:after="120"/>
        <w:ind w:right="0"/>
        <w:jc w:val="both"/>
        <w:rPr>
          <w:b/>
          <w:bCs/>
          <w:color w:val="000000"/>
          <w:sz w:val="24"/>
          <w:lang w:val="en-GB"/>
        </w:rPr>
      </w:pPr>
      <w:r>
        <w:rPr>
          <w:b/>
          <w:bCs/>
          <w:color w:val="000000"/>
          <w:sz w:val="24"/>
          <w:lang w:val="en-GB"/>
        </w:rPr>
        <w:t>6. Conclusions and Future Perspectives</w:t>
      </w:r>
    </w:p>
    <w:p w14:paraId="6049E25B" w14:textId="59B9697E" w:rsidR="007D40F9" w:rsidRDefault="007D40F9" w:rsidP="003654D8">
      <w:pPr>
        <w:jc w:val="both"/>
        <w:rPr>
          <w:lang w:val="en-GB"/>
        </w:rPr>
      </w:pPr>
      <w:r>
        <w:rPr>
          <w:lang w:val="en-GB"/>
        </w:rPr>
        <w:t xml:space="preserve">The present </w:t>
      </w:r>
      <w:r w:rsidR="003654D8">
        <w:rPr>
          <w:lang w:val="en-GB"/>
        </w:rPr>
        <w:t xml:space="preserve">PhD thesis would like to standardize the analytical methodologies currently applied in the microplastic’s research field. </w:t>
      </w:r>
      <w:r w:rsidR="00EC5D74">
        <w:rPr>
          <w:lang w:val="en-GB"/>
        </w:rPr>
        <w:t xml:space="preserve">Discrepancies are, in fact, still present in the field, and so, results obtained by different groups can be difficultly compared. Basically, in the scientific literature, the preparation of the samples is really poorly investigated. Most of papers stated the occurrence of microplastics, but several parameters such as quality control/quality assurance (QA/QC) as well as the digestion of the organic matter are under investigated. </w:t>
      </w:r>
      <w:r w:rsidR="00661332">
        <w:rPr>
          <w:lang w:val="en-GB"/>
        </w:rPr>
        <w:t>In this way, knowledges are required to fill the gap. In this thesis, results showed that even at high digestion efficiencies, the number of microplastics can be underestimated, as organic matter still present can totally hide them. At the same time, Py-GC-MS</w:t>
      </w:r>
      <w:r w:rsidR="00EC5D74">
        <w:rPr>
          <w:lang w:val="en-GB"/>
        </w:rPr>
        <w:t xml:space="preserve"> </w:t>
      </w:r>
      <w:r w:rsidR="00661332">
        <w:rPr>
          <w:lang w:val="en-GB"/>
        </w:rPr>
        <w:t xml:space="preserve">is a really promising techniques but, some investigation are still necessary to quantify microplastics reliably. </w:t>
      </w:r>
    </w:p>
    <w:p w14:paraId="0D7DA134" w14:textId="77777777" w:rsidR="007D40F9" w:rsidRDefault="007D40F9" w:rsidP="007D40F9">
      <w:pPr>
        <w:pStyle w:val="Titolo1"/>
        <w:tabs>
          <w:tab w:val="left" w:pos="567"/>
        </w:tabs>
        <w:spacing w:before="240" w:after="120"/>
        <w:ind w:right="0"/>
        <w:jc w:val="both"/>
        <w:rPr>
          <w:b/>
          <w:bCs/>
          <w:color w:val="000000"/>
          <w:sz w:val="24"/>
          <w:lang w:val="en-GB"/>
        </w:rPr>
      </w:pPr>
      <w:r>
        <w:rPr>
          <w:b/>
          <w:bCs/>
          <w:color w:val="000000"/>
          <w:sz w:val="24"/>
          <w:lang w:val="en-GB"/>
        </w:rPr>
        <w:t>7. Nomenclature</w:t>
      </w:r>
    </w:p>
    <w:p w14:paraId="1A5C9D33" w14:textId="575C2A2E" w:rsidR="009018D3" w:rsidRPr="00A43C2F" w:rsidRDefault="002D7472" w:rsidP="009018D3">
      <w:pPr>
        <w:jc w:val="both"/>
        <w:rPr>
          <w:sz w:val="18"/>
          <w:lang w:val="en-US"/>
        </w:rPr>
      </w:pPr>
      <w:r>
        <w:rPr>
          <w:sz w:val="18"/>
          <w:lang w:val="en-GB"/>
        </w:rPr>
        <w:t>W</w:t>
      </w:r>
      <w:r w:rsidRPr="002D7472">
        <w:rPr>
          <w:sz w:val="18"/>
          <w:vertAlign w:val="subscript"/>
          <w:lang w:val="en-GB"/>
        </w:rPr>
        <w:t>i</w:t>
      </w:r>
      <w:r>
        <w:rPr>
          <w:sz w:val="18"/>
          <w:vertAlign w:val="subscript"/>
          <w:lang w:val="en-GB"/>
        </w:rPr>
        <w:t xml:space="preserve"> </w:t>
      </w:r>
      <w:r>
        <w:rPr>
          <w:sz w:val="18"/>
          <w:lang w:val="en-GB"/>
        </w:rPr>
        <w:t>initial weight of digested material; W</w:t>
      </w:r>
      <w:r w:rsidRPr="002D7472">
        <w:rPr>
          <w:sz w:val="18"/>
          <w:vertAlign w:val="subscript"/>
          <w:lang w:val="en-GB"/>
        </w:rPr>
        <w:t>a</w:t>
      </w:r>
      <w:r>
        <w:rPr>
          <w:sz w:val="18"/>
          <w:lang w:val="en-GB"/>
        </w:rPr>
        <w:t xml:space="preserve"> Weight of dry filter membrane after filtration; W</w:t>
      </w:r>
      <w:r>
        <w:rPr>
          <w:sz w:val="18"/>
          <w:vertAlign w:val="subscript"/>
          <w:lang w:val="en-GB"/>
        </w:rPr>
        <w:t>b</w:t>
      </w:r>
      <w:r>
        <w:rPr>
          <w:sz w:val="18"/>
          <w:lang w:val="en-GB"/>
        </w:rPr>
        <w:t xml:space="preserve"> Weight of dry filter membrane before filtration; </w:t>
      </w:r>
      <w:r w:rsidR="009018D3">
        <w:rPr>
          <w:sz w:val="18"/>
          <w:lang w:val="en-GB"/>
        </w:rPr>
        <w:t>N</w:t>
      </w:r>
      <w:r w:rsidR="009018D3" w:rsidRPr="002D7472">
        <w:rPr>
          <w:sz w:val="18"/>
          <w:vertAlign w:val="subscript"/>
          <w:lang w:val="en-GB"/>
        </w:rPr>
        <w:t>a</w:t>
      </w:r>
      <w:r w:rsidR="009018D3">
        <w:rPr>
          <w:sz w:val="18"/>
          <w:lang w:val="en-GB"/>
        </w:rPr>
        <w:t xml:space="preserve"> </w:t>
      </w:r>
      <w:r w:rsidR="009018D3">
        <w:rPr>
          <w:sz w:val="18"/>
          <w:lang w:val="en-US"/>
        </w:rPr>
        <w:t>number of microplastics on the filter after extraction; N</w:t>
      </w:r>
      <w:r w:rsidR="009018D3">
        <w:rPr>
          <w:sz w:val="18"/>
          <w:vertAlign w:val="subscript"/>
          <w:lang w:val="en-GB"/>
        </w:rPr>
        <w:t>b</w:t>
      </w:r>
      <w:r w:rsidR="009018D3">
        <w:rPr>
          <w:sz w:val="18"/>
          <w:lang w:val="en-GB"/>
        </w:rPr>
        <w:t xml:space="preserve"> </w:t>
      </w:r>
      <w:r w:rsidR="009018D3">
        <w:rPr>
          <w:sz w:val="18"/>
          <w:lang w:val="en-US"/>
        </w:rPr>
        <w:t xml:space="preserve">number of microplastics added to the sample before the extraction procedures; </w:t>
      </w:r>
      <w:r w:rsidR="002D2105">
        <w:rPr>
          <w:sz w:val="18"/>
          <w:lang w:val="en-US"/>
        </w:rPr>
        <w:t xml:space="preserve">Ra is the solubility parameter; Ro is </w:t>
      </w:r>
      <w:r w:rsidR="002D2105" w:rsidRPr="002D2105">
        <w:rPr>
          <w:sz w:val="18"/>
          <w:lang w:val="en-US"/>
        </w:rPr>
        <w:t>radius of the sphere of solubility</w:t>
      </w:r>
      <w:r w:rsidR="002D2105">
        <w:rPr>
          <w:sz w:val="18"/>
          <w:lang w:val="en-US"/>
        </w:rPr>
        <w:t xml:space="preserve">; </w:t>
      </w:r>
      <w:r w:rsidR="00A43C2F">
        <w:rPr>
          <w:lang w:val="en-GB"/>
        </w:rPr>
        <w:sym w:font="Symbol" w:char="F064"/>
      </w:r>
      <w:r w:rsidR="00A43C2F" w:rsidRPr="00CA084F">
        <w:rPr>
          <w:vertAlign w:val="superscript"/>
          <w:lang w:val="en-GB"/>
        </w:rPr>
        <w:t>d</w:t>
      </w:r>
      <w:r w:rsidR="00A43C2F">
        <w:rPr>
          <w:vertAlign w:val="superscript"/>
          <w:lang w:val="en-GB"/>
        </w:rPr>
        <w:t xml:space="preserve"> </w:t>
      </w:r>
      <w:r w:rsidR="00A43C2F">
        <w:rPr>
          <w:lang w:val="en-GB"/>
        </w:rPr>
        <w:t xml:space="preserve">indicates the </w:t>
      </w:r>
      <w:r w:rsidR="00A43C2F" w:rsidRPr="00A43C2F">
        <w:rPr>
          <w:lang w:val="en-GB"/>
        </w:rPr>
        <w:t xml:space="preserve">dispersion term </w:t>
      </w:r>
      <w:r w:rsidR="00A43C2F">
        <w:rPr>
          <w:lang w:val="en-GB"/>
        </w:rPr>
        <w:t xml:space="preserve">of polymer and solvent; </w:t>
      </w:r>
      <w:r w:rsidR="00A43C2F">
        <w:rPr>
          <w:lang w:val="en-GB"/>
        </w:rPr>
        <w:sym w:font="Symbol" w:char="F064"/>
      </w:r>
      <w:r w:rsidR="00A43C2F">
        <w:rPr>
          <w:vertAlign w:val="superscript"/>
          <w:lang w:val="en-GB"/>
        </w:rPr>
        <w:t>p</w:t>
      </w:r>
      <w:r w:rsidR="00A43C2F">
        <w:rPr>
          <w:lang w:val="en-GB"/>
        </w:rPr>
        <w:t xml:space="preserve"> indicates the polar term of polymer and solvent; </w:t>
      </w:r>
      <w:r w:rsidR="00A43C2F">
        <w:rPr>
          <w:lang w:val="en-GB"/>
        </w:rPr>
        <w:sym w:font="Symbol" w:char="F064"/>
      </w:r>
      <w:r w:rsidR="00A43C2F">
        <w:rPr>
          <w:vertAlign w:val="superscript"/>
          <w:lang w:val="en-GB"/>
        </w:rPr>
        <w:t>h</w:t>
      </w:r>
      <w:r w:rsidR="00A43C2F">
        <w:rPr>
          <w:lang w:val="en-GB"/>
        </w:rPr>
        <w:t xml:space="preserve"> is the </w:t>
      </w:r>
      <w:r w:rsidR="00A43C2F" w:rsidRPr="00A43C2F">
        <w:rPr>
          <w:lang w:val="en-GB"/>
        </w:rPr>
        <w:t>hydrogen bond</w:t>
      </w:r>
      <w:r w:rsidR="00A43C2F">
        <w:rPr>
          <w:lang w:val="en-GB"/>
        </w:rPr>
        <w:t xml:space="preserve"> term. </w:t>
      </w:r>
    </w:p>
    <w:p w14:paraId="67DE971E" w14:textId="77777777" w:rsidR="002D7472" w:rsidRPr="002D7472" w:rsidRDefault="002D7472" w:rsidP="007D40F9">
      <w:pPr>
        <w:jc w:val="both"/>
        <w:rPr>
          <w:sz w:val="18"/>
          <w:lang w:val="en-GB"/>
        </w:rPr>
      </w:pPr>
    </w:p>
    <w:p w14:paraId="7445255C" w14:textId="004E888A" w:rsidR="007D40F9" w:rsidRDefault="007D40F9" w:rsidP="007D40F9">
      <w:pPr>
        <w:pStyle w:val="Titolo1"/>
        <w:tabs>
          <w:tab w:val="left" w:pos="567"/>
        </w:tabs>
        <w:spacing w:before="240" w:after="120"/>
        <w:ind w:right="0"/>
        <w:jc w:val="both"/>
        <w:rPr>
          <w:b/>
          <w:bCs/>
          <w:color w:val="000000"/>
          <w:sz w:val="24"/>
          <w:lang w:val="en-GB"/>
        </w:rPr>
      </w:pPr>
      <w:r>
        <w:rPr>
          <w:b/>
          <w:bCs/>
          <w:color w:val="000000"/>
          <w:sz w:val="24"/>
          <w:lang w:val="en-GB"/>
        </w:rPr>
        <w:t>8. References</w:t>
      </w:r>
    </w:p>
    <w:p w14:paraId="0348E415" w14:textId="77777777" w:rsidR="00541ACB" w:rsidRPr="00D06068" w:rsidRDefault="00541ACB" w:rsidP="007D40F9">
      <w:pPr>
        <w:ind w:left="426" w:hanging="426"/>
        <w:jc w:val="both"/>
        <w:rPr>
          <w:sz w:val="18"/>
          <w:lang w:val="en-US"/>
        </w:rPr>
      </w:pPr>
      <w:r w:rsidRPr="00D06068">
        <w:rPr>
          <w:sz w:val="18"/>
          <w:lang w:val="en-US"/>
        </w:rPr>
        <w:t xml:space="preserve">Cai Q, Shi H, Liu J, Wang J, Peng J, Xu K (2019) Microplastics in seafood: Analytical methods for quantification and detection. </w:t>
      </w:r>
      <w:r w:rsidRPr="00D06068">
        <w:rPr>
          <w:i/>
          <w:iCs/>
          <w:sz w:val="18"/>
          <w:lang w:val="en-US"/>
        </w:rPr>
        <w:t>TrAC</w:t>
      </w:r>
      <w:r w:rsidRPr="00D06068">
        <w:rPr>
          <w:sz w:val="18"/>
          <w:lang w:val="en-US"/>
        </w:rPr>
        <w:t xml:space="preserve"> </w:t>
      </w:r>
      <w:r w:rsidRPr="00D06068">
        <w:rPr>
          <w:b/>
          <w:bCs/>
          <w:sz w:val="18"/>
          <w:lang w:val="en-US"/>
        </w:rPr>
        <w:t>111</w:t>
      </w:r>
      <w:r w:rsidRPr="00D06068">
        <w:rPr>
          <w:sz w:val="18"/>
          <w:lang w:val="en-US"/>
        </w:rPr>
        <w:t xml:space="preserve">: 291-303. </w:t>
      </w:r>
    </w:p>
    <w:p w14:paraId="1E62B93F" w14:textId="77777777" w:rsidR="00541ACB" w:rsidRPr="00541ACB" w:rsidRDefault="00541ACB" w:rsidP="007D40F9">
      <w:pPr>
        <w:ind w:left="426" w:hanging="426"/>
        <w:jc w:val="both"/>
        <w:rPr>
          <w:sz w:val="18"/>
          <w:lang w:val="en-US"/>
        </w:rPr>
      </w:pPr>
      <w:r w:rsidRPr="00D06068">
        <w:rPr>
          <w:sz w:val="18"/>
          <w:lang w:val="en-US"/>
        </w:rPr>
        <w:t xml:space="preserve">Daniel D, Ashraf P, Thomas S (2020) Microplastics in the edible and inedible tissues of pelagic fishes sold for human consumption in Kerala, India. </w:t>
      </w:r>
      <w:r w:rsidRPr="00541ACB">
        <w:rPr>
          <w:i/>
          <w:iCs/>
          <w:sz w:val="18"/>
          <w:lang w:val="en-US"/>
        </w:rPr>
        <w:t xml:space="preserve">Environ Pollut </w:t>
      </w:r>
      <w:r w:rsidRPr="00541ACB">
        <w:rPr>
          <w:b/>
          <w:bCs/>
          <w:sz w:val="18"/>
          <w:lang w:val="en-US"/>
        </w:rPr>
        <w:t>266</w:t>
      </w:r>
      <w:r w:rsidRPr="00541ACB">
        <w:rPr>
          <w:sz w:val="18"/>
          <w:lang w:val="en-US"/>
        </w:rPr>
        <w:t xml:space="preserve">: 115365. </w:t>
      </w:r>
    </w:p>
    <w:p w14:paraId="4C696188" w14:textId="77777777" w:rsidR="00541ACB" w:rsidRPr="00D06068" w:rsidRDefault="00541ACB" w:rsidP="007D40F9">
      <w:pPr>
        <w:ind w:left="426" w:hanging="426"/>
        <w:jc w:val="both"/>
        <w:rPr>
          <w:sz w:val="18"/>
          <w:lang w:val="en-US"/>
        </w:rPr>
      </w:pPr>
      <w:r w:rsidRPr="00D06068">
        <w:rPr>
          <w:sz w:val="18"/>
          <w:lang w:val="en-US"/>
        </w:rPr>
        <w:t xml:space="preserve">Gamarro G, Costanzo E (2022) Microplastics in food commodities – A food safety review on human exposure through dietary sources. </w:t>
      </w:r>
      <w:r w:rsidRPr="00D06068">
        <w:rPr>
          <w:i/>
          <w:iCs/>
          <w:sz w:val="18"/>
          <w:lang w:val="en-US"/>
        </w:rPr>
        <w:t xml:space="preserve">Food Saf Qual Ser </w:t>
      </w:r>
      <w:r w:rsidRPr="00D06068">
        <w:rPr>
          <w:b/>
          <w:bCs/>
          <w:sz w:val="18"/>
          <w:lang w:val="en-US"/>
        </w:rPr>
        <w:t>18</w:t>
      </w:r>
      <w:r w:rsidRPr="00D06068">
        <w:rPr>
          <w:sz w:val="18"/>
          <w:lang w:val="en-US"/>
        </w:rPr>
        <w:t xml:space="preserve">.  </w:t>
      </w:r>
    </w:p>
    <w:p w14:paraId="01CF7F5E" w14:textId="77777777" w:rsidR="00541ACB" w:rsidRPr="00D06068" w:rsidRDefault="00541ACB" w:rsidP="007D40F9">
      <w:pPr>
        <w:ind w:left="426" w:hanging="426"/>
        <w:jc w:val="both"/>
        <w:rPr>
          <w:sz w:val="18"/>
          <w:lang w:val="en-US"/>
        </w:rPr>
      </w:pPr>
      <w:r w:rsidRPr="00D06068">
        <w:rPr>
          <w:sz w:val="18"/>
          <w:lang w:val="en-US"/>
        </w:rPr>
        <w:t xml:space="preserve">Hamed M, Soliman H, Osman A, Sayed A (2019) Assessment the effect of exposure to microplastics in Nile Tilapia early juvenile: I. blood biomarkers. </w:t>
      </w:r>
      <w:r w:rsidRPr="00D06068">
        <w:rPr>
          <w:i/>
          <w:iCs/>
          <w:sz w:val="18"/>
          <w:lang w:val="en-US"/>
        </w:rPr>
        <w:t xml:space="preserve">Chemosphere </w:t>
      </w:r>
      <w:r w:rsidRPr="00D06068">
        <w:rPr>
          <w:b/>
          <w:bCs/>
          <w:sz w:val="18"/>
          <w:lang w:val="en-US"/>
        </w:rPr>
        <w:t>228</w:t>
      </w:r>
      <w:r w:rsidRPr="00D06068">
        <w:rPr>
          <w:sz w:val="18"/>
          <w:lang w:val="en-US"/>
        </w:rPr>
        <w:t xml:space="preserve">: 345-350. </w:t>
      </w:r>
    </w:p>
    <w:p w14:paraId="1055EE47" w14:textId="77777777" w:rsidR="00541ACB" w:rsidRPr="00D06068" w:rsidRDefault="00541ACB" w:rsidP="009276A3">
      <w:pPr>
        <w:ind w:left="426" w:hanging="426"/>
        <w:jc w:val="both"/>
        <w:rPr>
          <w:sz w:val="18"/>
          <w:lang w:val="en-US"/>
        </w:rPr>
      </w:pPr>
      <w:r w:rsidRPr="00D06068">
        <w:rPr>
          <w:sz w:val="18"/>
          <w:lang w:val="en-US"/>
        </w:rPr>
        <w:t xml:space="preserve">Ishimura T, Iwai I, Matsui K, </w:t>
      </w:r>
      <w:proofErr w:type="spellStart"/>
      <w:r w:rsidRPr="00D06068">
        <w:rPr>
          <w:sz w:val="18"/>
          <w:lang w:val="en-US"/>
        </w:rPr>
        <w:t>Mattonai</w:t>
      </w:r>
      <w:proofErr w:type="spellEnd"/>
      <w:r w:rsidRPr="00D06068">
        <w:rPr>
          <w:sz w:val="18"/>
          <w:lang w:val="en-US"/>
        </w:rPr>
        <w:t xml:space="preserve"> M, Watanabe A, Robberson W, Cook A, Allen H, Pipkin W, </w:t>
      </w:r>
      <w:proofErr w:type="spellStart"/>
      <w:r w:rsidRPr="00D06068">
        <w:rPr>
          <w:sz w:val="18"/>
          <w:lang w:val="en-US"/>
        </w:rPr>
        <w:t>Teramae</w:t>
      </w:r>
      <w:proofErr w:type="spellEnd"/>
      <w:r w:rsidRPr="00D06068">
        <w:rPr>
          <w:sz w:val="18"/>
          <w:lang w:val="en-US"/>
        </w:rPr>
        <w:t xml:space="preserve"> N, </w:t>
      </w:r>
      <w:proofErr w:type="spellStart"/>
      <w:r w:rsidRPr="00D06068">
        <w:rPr>
          <w:sz w:val="18"/>
          <w:lang w:val="en-US"/>
        </w:rPr>
        <w:t>Ohtani</w:t>
      </w:r>
      <w:proofErr w:type="spellEnd"/>
      <w:r w:rsidRPr="00D06068">
        <w:rPr>
          <w:sz w:val="18"/>
          <w:lang w:val="en-US"/>
        </w:rPr>
        <w:t xml:space="preserve"> H, Watanabe C (2021) Qualitative and quantitative analysis of mixtures of microplastics in the presence of calcium carbonate by pyrolysis-GC/MS. </w:t>
      </w:r>
      <w:r w:rsidRPr="00D06068">
        <w:rPr>
          <w:i/>
          <w:iCs/>
          <w:sz w:val="18"/>
          <w:lang w:val="en-US"/>
        </w:rPr>
        <w:t xml:space="preserve">J Anal Appl Pyrolysis </w:t>
      </w:r>
      <w:r w:rsidRPr="00D06068">
        <w:rPr>
          <w:b/>
          <w:bCs/>
          <w:sz w:val="18"/>
          <w:lang w:val="en-US"/>
        </w:rPr>
        <w:t>157</w:t>
      </w:r>
      <w:r w:rsidRPr="00D06068">
        <w:rPr>
          <w:sz w:val="18"/>
          <w:lang w:val="en-US"/>
        </w:rPr>
        <w:t xml:space="preserve">: 105188. </w:t>
      </w:r>
    </w:p>
    <w:p w14:paraId="4BA2C4F4" w14:textId="77777777" w:rsidR="00541ACB" w:rsidRPr="00D06068" w:rsidRDefault="00541ACB" w:rsidP="007D40F9">
      <w:pPr>
        <w:ind w:left="426" w:hanging="426"/>
        <w:jc w:val="both"/>
        <w:rPr>
          <w:sz w:val="18"/>
          <w:lang w:val="en-US"/>
        </w:rPr>
      </w:pPr>
      <w:r w:rsidRPr="00D06068">
        <w:rPr>
          <w:sz w:val="18"/>
          <w:lang w:val="en-US"/>
        </w:rPr>
        <w:t xml:space="preserve">Karami A, Golieskardi A, Choo C, Romano N, Ho Y, Salamatinia B (2017) A high-performance protocol for extraction of microplastics in fish. </w:t>
      </w:r>
      <w:r w:rsidRPr="00D06068">
        <w:rPr>
          <w:i/>
          <w:iCs/>
          <w:sz w:val="18"/>
          <w:lang w:val="en-US"/>
        </w:rPr>
        <w:t xml:space="preserve">Sci Total Environ </w:t>
      </w:r>
      <w:r w:rsidRPr="00D06068">
        <w:rPr>
          <w:b/>
          <w:bCs/>
          <w:sz w:val="18"/>
          <w:lang w:val="en-US"/>
        </w:rPr>
        <w:t>578</w:t>
      </w:r>
      <w:r w:rsidRPr="00D06068">
        <w:rPr>
          <w:sz w:val="18"/>
          <w:lang w:val="en-US"/>
        </w:rPr>
        <w:t xml:space="preserve">: 485-494. </w:t>
      </w:r>
    </w:p>
    <w:p w14:paraId="3E6AA719" w14:textId="77777777" w:rsidR="00541ACB" w:rsidRPr="00D06068" w:rsidRDefault="00541ACB" w:rsidP="007D40F9">
      <w:pPr>
        <w:ind w:left="426" w:hanging="426"/>
        <w:jc w:val="both"/>
        <w:rPr>
          <w:sz w:val="18"/>
          <w:lang w:val="en-US"/>
        </w:rPr>
      </w:pPr>
      <w:r w:rsidRPr="00D06068">
        <w:rPr>
          <w:sz w:val="18"/>
          <w:lang w:val="en-US"/>
        </w:rPr>
        <w:t xml:space="preserve">Li J, Yang D, Li L, Jabeen K, Shi H (2015) Microplastics in commercial bivalves from China. </w:t>
      </w:r>
      <w:r w:rsidRPr="00D06068">
        <w:rPr>
          <w:i/>
          <w:iCs/>
          <w:sz w:val="18"/>
          <w:lang w:val="en-US"/>
        </w:rPr>
        <w:t xml:space="preserve">Environ Pollut </w:t>
      </w:r>
      <w:r w:rsidRPr="00D06068">
        <w:rPr>
          <w:b/>
          <w:bCs/>
          <w:sz w:val="18"/>
          <w:lang w:val="en-US"/>
        </w:rPr>
        <w:t>207</w:t>
      </w:r>
      <w:r w:rsidRPr="00D06068">
        <w:rPr>
          <w:sz w:val="18"/>
          <w:lang w:val="en-US"/>
        </w:rPr>
        <w:t xml:space="preserve">: 190-195. </w:t>
      </w:r>
    </w:p>
    <w:p w14:paraId="1C99377C" w14:textId="77777777" w:rsidR="00541ACB" w:rsidRPr="00D06068" w:rsidRDefault="00541ACB" w:rsidP="007D40F9">
      <w:pPr>
        <w:ind w:left="426" w:hanging="426"/>
        <w:jc w:val="both"/>
        <w:rPr>
          <w:sz w:val="18"/>
          <w:lang w:val="en-US"/>
        </w:rPr>
      </w:pPr>
      <w:r w:rsidRPr="00D06068">
        <w:rPr>
          <w:sz w:val="18"/>
          <w:lang w:val="en-US"/>
        </w:rPr>
        <w:t xml:space="preserve">Makhdoumi P, Hossini H, Pirsaheb M (2023) A review of microplastic pollution in commercial fish for human consumption. </w:t>
      </w:r>
      <w:r w:rsidRPr="00D06068">
        <w:rPr>
          <w:i/>
          <w:iCs/>
          <w:sz w:val="18"/>
          <w:lang w:val="en-US"/>
        </w:rPr>
        <w:t xml:space="preserve">Rev Environ Health </w:t>
      </w:r>
      <w:r w:rsidRPr="00D06068">
        <w:rPr>
          <w:b/>
          <w:bCs/>
          <w:sz w:val="18"/>
          <w:lang w:val="en-US"/>
        </w:rPr>
        <w:t>38</w:t>
      </w:r>
      <w:r w:rsidRPr="00D06068">
        <w:rPr>
          <w:sz w:val="18"/>
          <w:lang w:val="en-US"/>
        </w:rPr>
        <w:t xml:space="preserve">: 97-109. </w:t>
      </w:r>
    </w:p>
    <w:p w14:paraId="3CF25BE0" w14:textId="77777777" w:rsidR="00541ACB" w:rsidRPr="00D06068" w:rsidRDefault="00541ACB" w:rsidP="007D40F9">
      <w:pPr>
        <w:ind w:left="426" w:hanging="426"/>
        <w:jc w:val="both"/>
        <w:rPr>
          <w:sz w:val="18"/>
          <w:lang w:val="en-US"/>
        </w:rPr>
      </w:pPr>
      <w:r w:rsidRPr="00C55C4F">
        <w:rPr>
          <w:sz w:val="18"/>
          <w:lang w:val="en-US"/>
        </w:rPr>
        <w:t xml:space="preserve">Mistri M, Sfriso A, Casoni E, Nicoli M, Vaccaro C, Munari C (2022) Microplastic accumulation in commercial fish from the Adriatic Sea. </w:t>
      </w:r>
      <w:r w:rsidRPr="00D06068">
        <w:rPr>
          <w:i/>
          <w:iCs/>
          <w:sz w:val="18"/>
          <w:lang w:val="en-US"/>
        </w:rPr>
        <w:t xml:space="preserve">Mar Pollut Bull </w:t>
      </w:r>
      <w:r w:rsidRPr="00D06068">
        <w:rPr>
          <w:b/>
          <w:bCs/>
          <w:sz w:val="18"/>
          <w:lang w:val="en-US"/>
        </w:rPr>
        <w:t>1741</w:t>
      </w:r>
      <w:r w:rsidRPr="00D06068">
        <w:rPr>
          <w:sz w:val="18"/>
          <w:lang w:val="en-US"/>
        </w:rPr>
        <w:t>: 113279.</w:t>
      </w:r>
    </w:p>
    <w:p w14:paraId="38BB7352" w14:textId="77777777" w:rsidR="00541ACB" w:rsidRPr="00D06068" w:rsidRDefault="00541ACB" w:rsidP="007D40F9">
      <w:pPr>
        <w:ind w:left="426" w:hanging="426"/>
        <w:jc w:val="both"/>
        <w:rPr>
          <w:b/>
          <w:bCs/>
          <w:sz w:val="18"/>
          <w:lang w:val="en-US"/>
        </w:rPr>
      </w:pPr>
      <w:r w:rsidRPr="00D06068">
        <w:rPr>
          <w:sz w:val="18"/>
          <w:lang w:val="en-US"/>
        </w:rPr>
        <w:t xml:space="preserve">Pfeiffer F, Fischer E (2002) Various digestion protocols within microplastic sample processing – evaluating the resistance of different synthetic polymers and the efficiency of biogenic organic matter destruction. </w:t>
      </w:r>
      <w:r w:rsidRPr="00D06068">
        <w:rPr>
          <w:i/>
          <w:iCs/>
          <w:sz w:val="18"/>
          <w:lang w:val="en-US"/>
        </w:rPr>
        <w:t xml:space="preserve">Frontiers, </w:t>
      </w:r>
      <w:r w:rsidRPr="00D06068">
        <w:rPr>
          <w:b/>
          <w:bCs/>
          <w:sz w:val="18"/>
          <w:lang w:val="en-US"/>
        </w:rPr>
        <w:t>8</w:t>
      </w:r>
      <w:r w:rsidRPr="00D06068">
        <w:rPr>
          <w:sz w:val="18"/>
          <w:lang w:val="en-US"/>
        </w:rPr>
        <w:t>.</w:t>
      </w:r>
      <w:r w:rsidRPr="00D06068">
        <w:rPr>
          <w:b/>
          <w:bCs/>
          <w:sz w:val="18"/>
          <w:lang w:val="en-US"/>
        </w:rPr>
        <w:t xml:space="preserve"> </w:t>
      </w:r>
    </w:p>
    <w:p w14:paraId="0A43ED8E" w14:textId="77777777" w:rsidR="00541ACB" w:rsidRPr="00D06068" w:rsidRDefault="00541ACB" w:rsidP="007D40F9">
      <w:pPr>
        <w:ind w:left="426" w:hanging="426"/>
        <w:jc w:val="both"/>
        <w:rPr>
          <w:sz w:val="18"/>
          <w:lang w:val="en-US"/>
        </w:rPr>
      </w:pPr>
      <w:r w:rsidRPr="00D06068">
        <w:rPr>
          <w:sz w:val="18"/>
          <w:lang w:val="en-US"/>
        </w:rPr>
        <w:t xml:space="preserve">Prata J, da Costa J, Girao A, Lopes I, Duarte A, Rocha-Santos T (2019) Identifying a quick and efficient method of removing organic matter without damaging microplastic samples. </w:t>
      </w:r>
      <w:r w:rsidRPr="00D06068">
        <w:rPr>
          <w:i/>
          <w:iCs/>
          <w:sz w:val="18"/>
          <w:lang w:val="en-US"/>
        </w:rPr>
        <w:t xml:space="preserve">Sci Total Environ </w:t>
      </w:r>
      <w:r w:rsidRPr="00D06068">
        <w:rPr>
          <w:b/>
          <w:bCs/>
          <w:sz w:val="18"/>
          <w:lang w:val="en-US"/>
        </w:rPr>
        <w:t>686</w:t>
      </w:r>
      <w:r w:rsidRPr="00D06068">
        <w:rPr>
          <w:sz w:val="18"/>
          <w:lang w:val="en-US"/>
        </w:rPr>
        <w:t xml:space="preserve">: 131-139. </w:t>
      </w:r>
    </w:p>
    <w:p w14:paraId="6AFD0F1D" w14:textId="77777777" w:rsidR="00541ACB" w:rsidRPr="008528AC" w:rsidRDefault="00541ACB" w:rsidP="007D40F9">
      <w:pPr>
        <w:ind w:left="426" w:hanging="426"/>
        <w:jc w:val="both"/>
        <w:rPr>
          <w:sz w:val="18"/>
          <w:lang w:val="en-US"/>
        </w:rPr>
      </w:pPr>
      <w:r w:rsidRPr="00D06068">
        <w:rPr>
          <w:sz w:val="18"/>
          <w:lang w:val="en-US"/>
        </w:rPr>
        <w:t xml:space="preserve">Zeytin S, Wagner G, Mackay-Roberts N, Gerdts G, Schuirmann E, Klockmann S, Slater M (2020) Quantifying microplastic translocation from feed to the fillet in European sea bass Dicentrarchus labrax </w:t>
      </w:r>
      <w:r w:rsidRPr="00D06068">
        <w:rPr>
          <w:i/>
          <w:iCs/>
          <w:sz w:val="18"/>
          <w:lang w:val="en-US"/>
        </w:rPr>
        <w:t xml:space="preserve">Mar Pollut Bull </w:t>
      </w:r>
      <w:r w:rsidRPr="00D06068">
        <w:rPr>
          <w:b/>
          <w:bCs/>
          <w:sz w:val="18"/>
          <w:lang w:val="en-US"/>
        </w:rPr>
        <w:t>156</w:t>
      </w:r>
      <w:r w:rsidRPr="00D06068">
        <w:rPr>
          <w:sz w:val="18"/>
          <w:lang w:val="en-US"/>
        </w:rPr>
        <w:t>: 111210.</w:t>
      </w:r>
      <w:r>
        <w:rPr>
          <w:sz w:val="18"/>
          <w:lang w:val="en-US"/>
        </w:rPr>
        <w:t xml:space="preserve"> </w:t>
      </w:r>
    </w:p>
    <w:p w14:paraId="3CFB67D7" w14:textId="77777777" w:rsidR="00310FC8" w:rsidRPr="006C46D8" w:rsidRDefault="00310FC8" w:rsidP="007D40F9">
      <w:pPr>
        <w:ind w:left="426" w:hanging="426"/>
        <w:jc w:val="both"/>
        <w:rPr>
          <w:sz w:val="18"/>
          <w:lang w:val="en-US"/>
        </w:rPr>
      </w:pPr>
    </w:p>
    <w:p w14:paraId="523308C9" w14:textId="1F60B23B" w:rsidR="008604A1" w:rsidRPr="00541ACB" w:rsidRDefault="00000000">
      <w:pPr>
        <w:rPr>
          <w:lang w:val="en-US"/>
        </w:rPr>
      </w:pPr>
    </w:p>
    <w:sectPr w:rsidR="008604A1" w:rsidRPr="00541ACB">
      <w:headerReference w:type="even" r:id="rId15"/>
      <w:headerReference w:type="default" r:id="rId16"/>
      <w:footerReference w:type="even" r:id="rId17"/>
      <w:footerReference w:type="default" r:id="rId18"/>
      <w:headerReference w:type="first" r:id="rId19"/>
      <w:footerReference w:type="first" r:id="rId2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B5AC1" w14:textId="77777777" w:rsidR="009E5712" w:rsidRDefault="009E5712">
      <w:r>
        <w:separator/>
      </w:r>
    </w:p>
  </w:endnote>
  <w:endnote w:type="continuationSeparator" w:id="0">
    <w:p w14:paraId="380EF78D" w14:textId="77777777" w:rsidR="009E5712" w:rsidRDefault="009E5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9192A" w14:textId="77777777" w:rsidR="00746B7D" w:rsidRDefault="000000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2D8BA" w14:textId="77777777" w:rsidR="00746B7D" w:rsidRDefault="0000000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5AF2" w14:textId="77777777" w:rsidR="00746B7D" w:rsidRDefault="000000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553D3" w14:textId="77777777" w:rsidR="009E5712" w:rsidRDefault="009E5712">
      <w:r>
        <w:separator/>
      </w:r>
    </w:p>
  </w:footnote>
  <w:footnote w:type="continuationSeparator" w:id="0">
    <w:p w14:paraId="1E30BCCD" w14:textId="77777777" w:rsidR="009E5712" w:rsidRDefault="009E5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B5A6" w14:textId="77777777" w:rsidR="00746B7D" w:rsidRDefault="0000000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7C4AC" w14:textId="77777777" w:rsidR="00746B7D" w:rsidRDefault="0000000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497DC" w14:textId="77777777" w:rsidR="00746B7D" w:rsidRDefault="0000000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0F9"/>
    <w:rsid w:val="00006EA2"/>
    <w:rsid w:val="000419B1"/>
    <w:rsid w:val="00085AB2"/>
    <w:rsid w:val="0009423A"/>
    <w:rsid w:val="000B39DF"/>
    <w:rsid w:val="000B4F67"/>
    <w:rsid w:val="000F422A"/>
    <w:rsid w:val="001139FD"/>
    <w:rsid w:val="00133085"/>
    <w:rsid w:val="00140A6A"/>
    <w:rsid w:val="00153802"/>
    <w:rsid w:val="00157934"/>
    <w:rsid w:val="001B517E"/>
    <w:rsid w:val="001B5319"/>
    <w:rsid w:val="001C2202"/>
    <w:rsid w:val="001C33E1"/>
    <w:rsid w:val="001E3A24"/>
    <w:rsid w:val="00220C79"/>
    <w:rsid w:val="002641D9"/>
    <w:rsid w:val="00297D96"/>
    <w:rsid w:val="002A3460"/>
    <w:rsid w:val="002B5653"/>
    <w:rsid w:val="002B71CD"/>
    <w:rsid w:val="002D2105"/>
    <w:rsid w:val="002D7472"/>
    <w:rsid w:val="002E399A"/>
    <w:rsid w:val="002E41B0"/>
    <w:rsid w:val="002F489F"/>
    <w:rsid w:val="00310FC8"/>
    <w:rsid w:val="003329C5"/>
    <w:rsid w:val="003654D8"/>
    <w:rsid w:val="003766F2"/>
    <w:rsid w:val="00397894"/>
    <w:rsid w:val="003A3B1B"/>
    <w:rsid w:val="003A51B2"/>
    <w:rsid w:val="003B3763"/>
    <w:rsid w:val="003D37E9"/>
    <w:rsid w:val="003F0DAC"/>
    <w:rsid w:val="00405FA8"/>
    <w:rsid w:val="004062D1"/>
    <w:rsid w:val="00416DD2"/>
    <w:rsid w:val="00427403"/>
    <w:rsid w:val="00480046"/>
    <w:rsid w:val="004B73F6"/>
    <w:rsid w:val="004E1F89"/>
    <w:rsid w:val="004E4698"/>
    <w:rsid w:val="004F6B5E"/>
    <w:rsid w:val="00503A7C"/>
    <w:rsid w:val="00541ACB"/>
    <w:rsid w:val="0055159A"/>
    <w:rsid w:val="00563D9F"/>
    <w:rsid w:val="00586BAC"/>
    <w:rsid w:val="005B7A16"/>
    <w:rsid w:val="005C5EA5"/>
    <w:rsid w:val="005D6E1F"/>
    <w:rsid w:val="005E2DA0"/>
    <w:rsid w:val="005E67AA"/>
    <w:rsid w:val="005F632F"/>
    <w:rsid w:val="00606E63"/>
    <w:rsid w:val="006308D9"/>
    <w:rsid w:val="00645545"/>
    <w:rsid w:val="00647D82"/>
    <w:rsid w:val="006601B7"/>
    <w:rsid w:val="00660847"/>
    <w:rsid w:val="00661332"/>
    <w:rsid w:val="00674AE5"/>
    <w:rsid w:val="0068237A"/>
    <w:rsid w:val="00692A91"/>
    <w:rsid w:val="006A1547"/>
    <w:rsid w:val="006B5362"/>
    <w:rsid w:val="006C2ED0"/>
    <w:rsid w:val="006C46D8"/>
    <w:rsid w:val="006D111E"/>
    <w:rsid w:val="00721F37"/>
    <w:rsid w:val="007456ED"/>
    <w:rsid w:val="007861D9"/>
    <w:rsid w:val="007A2088"/>
    <w:rsid w:val="007D40F9"/>
    <w:rsid w:val="007E56BF"/>
    <w:rsid w:val="0080175C"/>
    <w:rsid w:val="00843CA8"/>
    <w:rsid w:val="00852504"/>
    <w:rsid w:val="008527CF"/>
    <w:rsid w:val="008528AC"/>
    <w:rsid w:val="0087596B"/>
    <w:rsid w:val="008A4406"/>
    <w:rsid w:val="008A5CC4"/>
    <w:rsid w:val="008E20D8"/>
    <w:rsid w:val="009018D3"/>
    <w:rsid w:val="00903A98"/>
    <w:rsid w:val="00914605"/>
    <w:rsid w:val="00924BC5"/>
    <w:rsid w:val="009276A3"/>
    <w:rsid w:val="00932620"/>
    <w:rsid w:val="009365DC"/>
    <w:rsid w:val="009405E1"/>
    <w:rsid w:val="0095418C"/>
    <w:rsid w:val="00974662"/>
    <w:rsid w:val="00983887"/>
    <w:rsid w:val="00986E63"/>
    <w:rsid w:val="009B1763"/>
    <w:rsid w:val="009B3090"/>
    <w:rsid w:val="009C44BE"/>
    <w:rsid w:val="009C4CCA"/>
    <w:rsid w:val="009E023F"/>
    <w:rsid w:val="009E52A9"/>
    <w:rsid w:val="009E5712"/>
    <w:rsid w:val="009F0691"/>
    <w:rsid w:val="009F169D"/>
    <w:rsid w:val="00A03C43"/>
    <w:rsid w:val="00A20CF7"/>
    <w:rsid w:val="00A43C2F"/>
    <w:rsid w:val="00A45F1C"/>
    <w:rsid w:val="00A65E8D"/>
    <w:rsid w:val="00AB7D3D"/>
    <w:rsid w:val="00AD7799"/>
    <w:rsid w:val="00AF4F17"/>
    <w:rsid w:val="00B6081E"/>
    <w:rsid w:val="00BD54A6"/>
    <w:rsid w:val="00BE01FF"/>
    <w:rsid w:val="00BE73C2"/>
    <w:rsid w:val="00BF4C20"/>
    <w:rsid w:val="00C23108"/>
    <w:rsid w:val="00C55C4F"/>
    <w:rsid w:val="00C6388A"/>
    <w:rsid w:val="00C70722"/>
    <w:rsid w:val="00C7577C"/>
    <w:rsid w:val="00CA084F"/>
    <w:rsid w:val="00CD37A8"/>
    <w:rsid w:val="00D06068"/>
    <w:rsid w:val="00D20A6E"/>
    <w:rsid w:val="00D23F59"/>
    <w:rsid w:val="00D36EB9"/>
    <w:rsid w:val="00D61751"/>
    <w:rsid w:val="00D625F4"/>
    <w:rsid w:val="00D757B6"/>
    <w:rsid w:val="00D85B84"/>
    <w:rsid w:val="00D912CD"/>
    <w:rsid w:val="00DA4BCD"/>
    <w:rsid w:val="00DB22F4"/>
    <w:rsid w:val="00DB3C44"/>
    <w:rsid w:val="00DB786B"/>
    <w:rsid w:val="00E017E5"/>
    <w:rsid w:val="00E0284E"/>
    <w:rsid w:val="00E10798"/>
    <w:rsid w:val="00E17D56"/>
    <w:rsid w:val="00E6556C"/>
    <w:rsid w:val="00E75091"/>
    <w:rsid w:val="00E9169C"/>
    <w:rsid w:val="00EA59F6"/>
    <w:rsid w:val="00EC5D74"/>
    <w:rsid w:val="00EE47E3"/>
    <w:rsid w:val="00EE6C5E"/>
    <w:rsid w:val="00EF24C6"/>
    <w:rsid w:val="00F05999"/>
    <w:rsid w:val="00F0796C"/>
    <w:rsid w:val="00F26DE6"/>
    <w:rsid w:val="00F304FB"/>
    <w:rsid w:val="00F31668"/>
    <w:rsid w:val="00F428F5"/>
    <w:rsid w:val="00FE6963"/>
    <w:rsid w:val="00FF6A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28C1C"/>
  <w15:chartTrackingRefBased/>
  <w15:docId w15:val="{42A0A952-55AD-D640-898B-CF973B9EE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D40F9"/>
    <w:pPr>
      <w:widowControl w:val="0"/>
      <w:suppressAutoHyphens/>
    </w:pPr>
    <w:rPr>
      <w:rFonts w:ascii="Times New Roman" w:eastAsia="Times New Roman" w:hAnsi="Times New Roman" w:cs="Times New Roman"/>
      <w:sz w:val="20"/>
      <w:szCs w:val="20"/>
      <w:lang w:eastAsia="zh-CN"/>
    </w:rPr>
  </w:style>
  <w:style w:type="paragraph" w:styleId="Titolo1">
    <w:name w:val="heading 1"/>
    <w:basedOn w:val="Normale"/>
    <w:next w:val="Normale"/>
    <w:link w:val="Titolo1Carattere"/>
    <w:uiPriority w:val="9"/>
    <w:qFormat/>
    <w:rsid w:val="007D40F9"/>
    <w:pPr>
      <w:keepNext/>
      <w:shd w:val="clear" w:color="auto" w:fill="FFFFFF"/>
      <w:spacing w:before="820"/>
      <w:ind w:right="320"/>
      <w:jc w:val="center"/>
      <w:outlineLvl w:val="0"/>
    </w:pPr>
    <w:rPr>
      <w:color w:val="850C13"/>
      <w:spacing w:val="-2"/>
      <w:sz w:val="52"/>
      <w:szCs w:val="52"/>
      <w:lang w:val="en-US"/>
    </w:rPr>
  </w:style>
  <w:style w:type="paragraph" w:styleId="Titolo2">
    <w:name w:val="heading 2"/>
    <w:basedOn w:val="Normale"/>
    <w:next w:val="Normale"/>
    <w:link w:val="Titolo2Carattere"/>
    <w:uiPriority w:val="9"/>
    <w:unhideWhenUsed/>
    <w:qFormat/>
    <w:rsid w:val="007D40F9"/>
    <w:pPr>
      <w:keepNext/>
      <w:outlineLvl w:val="1"/>
    </w:pPr>
    <w:rPr>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D40F9"/>
    <w:rPr>
      <w:rFonts w:ascii="Times New Roman" w:eastAsia="Times New Roman" w:hAnsi="Times New Roman" w:cs="Times New Roman"/>
      <w:color w:val="850C13"/>
      <w:spacing w:val="-2"/>
      <w:sz w:val="52"/>
      <w:szCs w:val="52"/>
      <w:shd w:val="clear" w:color="auto" w:fill="FFFFFF"/>
      <w:lang w:val="en-US" w:eastAsia="zh-CN"/>
    </w:rPr>
  </w:style>
  <w:style w:type="character" w:customStyle="1" w:styleId="Titolo2Carattere">
    <w:name w:val="Titolo 2 Carattere"/>
    <w:basedOn w:val="Carpredefinitoparagrafo"/>
    <w:link w:val="Titolo2"/>
    <w:uiPriority w:val="9"/>
    <w:rsid w:val="007D40F9"/>
    <w:rPr>
      <w:rFonts w:ascii="Times New Roman" w:eastAsia="Times New Roman" w:hAnsi="Times New Roman" w:cs="Times New Roman"/>
      <w:sz w:val="32"/>
      <w:szCs w:val="20"/>
      <w:lang w:eastAsia="zh-CN"/>
    </w:rPr>
  </w:style>
  <w:style w:type="paragraph" w:styleId="Titolo">
    <w:name w:val="Title"/>
    <w:basedOn w:val="Normale"/>
    <w:next w:val="Normale"/>
    <w:link w:val="TitoloCarattere"/>
    <w:uiPriority w:val="10"/>
    <w:qFormat/>
    <w:rsid w:val="007D40F9"/>
    <w:pPr>
      <w:widowControl/>
      <w:spacing w:before="720" w:after="120" w:line="264" w:lineRule="auto"/>
      <w:jc w:val="center"/>
    </w:pPr>
    <w:rPr>
      <w:b/>
      <w:kern w:val="2"/>
      <w:sz w:val="28"/>
      <w:lang w:val="nl-NL"/>
    </w:rPr>
  </w:style>
  <w:style w:type="character" w:customStyle="1" w:styleId="TitoloCarattere">
    <w:name w:val="Titolo Carattere"/>
    <w:basedOn w:val="Carpredefinitoparagrafo"/>
    <w:link w:val="Titolo"/>
    <w:uiPriority w:val="10"/>
    <w:rsid w:val="007D40F9"/>
    <w:rPr>
      <w:rFonts w:ascii="Times New Roman" w:eastAsia="Times New Roman" w:hAnsi="Times New Roman" w:cs="Times New Roman"/>
      <w:b/>
      <w:kern w:val="2"/>
      <w:sz w:val="28"/>
      <w:szCs w:val="20"/>
      <w:lang w:val="nl-NL" w:eastAsia="zh-CN"/>
    </w:rPr>
  </w:style>
  <w:style w:type="paragraph" w:styleId="Corpodeltesto2">
    <w:name w:val="Body Text 2"/>
    <w:basedOn w:val="Normale"/>
    <w:link w:val="Corpodeltesto2Carattere"/>
    <w:qFormat/>
    <w:rsid w:val="007D40F9"/>
    <w:pPr>
      <w:shd w:val="clear" w:color="auto" w:fill="FFFFFF"/>
    </w:pPr>
    <w:rPr>
      <w:b/>
      <w:bCs/>
      <w:i/>
      <w:iCs/>
      <w:sz w:val="28"/>
    </w:rPr>
  </w:style>
  <w:style w:type="character" w:customStyle="1" w:styleId="Corpodeltesto2Carattere">
    <w:name w:val="Corpo del testo 2 Carattere"/>
    <w:basedOn w:val="Carpredefinitoparagrafo"/>
    <w:link w:val="Corpodeltesto2"/>
    <w:rsid w:val="007D40F9"/>
    <w:rPr>
      <w:rFonts w:ascii="Times New Roman" w:eastAsia="Times New Roman" w:hAnsi="Times New Roman" w:cs="Times New Roman"/>
      <w:b/>
      <w:bCs/>
      <w:i/>
      <w:iCs/>
      <w:sz w:val="28"/>
      <w:szCs w:val="20"/>
      <w:shd w:val="clear" w:color="auto" w:fill="FFFFFF"/>
      <w:lang w:eastAsia="zh-CN"/>
    </w:rPr>
  </w:style>
  <w:style w:type="paragraph" w:styleId="Intestazione">
    <w:name w:val="header"/>
    <w:basedOn w:val="Normale"/>
    <w:link w:val="IntestazioneCarattere"/>
    <w:rsid w:val="007D40F9"/>
    <w:pPr>
      <w:widowControl/>
      <w:tabs>
        <w:tab w:val="center" w:pos="4819"/>
        <w:tab w:val="right" w:pos="9638"/>
      </w:tabs>
      <w:spacing w:line="264" w:lineRule="auto"/>
      <w:jc w:val="both"/>
    </w:pPr>
    <w:rPr>
      <w:kern w:val="2"/>
      <w:lang w:val="nl-NL"/>
    </w:rPr>
  </w:style>
  <w:style w:type="character" w:customStyle="1" w:styleId="IntestazioneCarattere">
    <w:name w:val="Intestazione Carattere"/>
    <w:basedOn w:val="Carpredefinitoparagrafo"/>
    <w:link w:val="Intestazione"/>
    <w:rsid w:val="007D40F9"/>
    <w:rPr>
      <w:rFonts w:ascii="Times New Roman" w:eastAsia="Times New Roman" w:hAnsi="Times New Roman" w:cs="Times New Roman"/>
      <w:kern w:val="2"/>
      <w:sz w:val="20"/>
      <w:szCs w:val="20"/>
      <w:lang w:val="nl-NL" w:eastAsia="zh-CN"/>
    </w:rPr>
  </w:style>
  <w:style w:type="paragraph" w:styleId="Rientrocorpodeltesto2">
    <w:name w:val="Body Text Indent 2"/>
    <w:basedOn w:val="Normale"/>
    <w:link w:val="Rientrocorpodeltesto2Carattere"/>
    <w:qFormat/>
    <w:rsid w:val="007D40F9"/>
    <w:pPr>
      <w:widowControl/>
      <w:ind w:firstLine="426"/>
      <w:jc w:val="both"/>
      <w:textAlignment w:val="baseline"/>
    </w:pPr>
    <w:rPr>
      <w:bCs/>
      <w:sz w:val="24"/>
      <w:lang w:val="en-GB"/>
    </w:rPr>
  </w:style>
  <w:style w:type="character" w:customStyle="1" w:styleId="Rientrocorpodeltesto2Carattere">
    <w:name w:val="Rientro corpo del testo 2 Carattere"/>
    <w:basedOn w:val="Carpredefinitoparagrafo"/>
    <w:link w:val="Rientrocorpodeltesto2"/>
    <w:rsid w:val="007D40F9"/>
    <w:rPr>
      <w:rFonts w:ascii="Times New Roman" w:eastAsia="Times New Roman" w:hAnsi="Times New Roman" w:cs="Times New Roman"/>
      <w:bCs/>
      <w:szCs w:val="20"/>
      <w:lang w:val="en-GB" w:eastAsia="zh-CN"/>
    </w:rPr>
  </w:style>
  <w:style w:type="paragraph" w:styleId="Pidipagina">
    <w:name w:val="footer"/>
    <w:basedOn w:val="Normale"/>
    <w:link w:val="PidipaginaCarattere"/>
    <w:rsid w:val="007D40F9"/>
    <w:pPr>
      <w:tabs>
        <w:tab w:val="center" w:pos="4153"/>
        <w:tab w:val="right" w:pos="8306"/>
      </w:tabs>
    </w:pPr>
  </w:style>
  <w:style w:type="character" w:customStyle="1" w:styleId="PidipaginaCarattere">
    <w:name w:val="Piè di pagina Carattere"/>
    <w:basedOn w:val="Carpredefinitoparagrafo"/>
    <w:link w:val="Pidipagina"/>
    <w:rsid w:val="007D40F9"/>
    <w:rPr>
      <w:rFonts w:ascii="Times New Roman" w:eastAsia="Times New Roman" w:hAnsi="Times New Roman" w:cs="Times New Roman"/>
      <w:sz w:val="20"/>
      <w:szCs w:val="20"/>
      <w:lang w:eastAsia="zh-CN"/>
    </w:rPr>
  </w:style>
  <w:style w:type="character" w:styleId="Testosegnaposto">
    <w:name w:val="Placeholder Text"/>
    <w:basedOn w:val="Carpredefinitoparagrafo"/>
    <w:uiPriority w:val="99"/>
    <w:semiHidden/>
    <w:rsid w:val="00F31668"/>
    <w:rPr>
      <w:color w:val="808080"/>
    </w:rPr>
  </w:style>
  <w:style w:type="paragraph" w:styleId="NormaleWeb">
    <w:name w:val="Normal (Web)"/>
    <w:basedOn w:val="Normale"/>
    <w:uiPriority w:val="99"/>
    <w:semiHidden/>
    <w:unhideWhenUsed/>
    <w:rsid w:val="009018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531764">
      <w:bodyDiv w:val="1"/>
      <w:marLeft w:val="0"/>
      <w:marRight w:val="0"/>
      <w:marTop w:val="0"/>
      <w:marBottom w:val="0"/>
      <w:divBdr>
        <w:top w:val="none" w:sz="0" w:space="0" w:color="auto"/>
        <w:left w:val="none" w:sz="0" w:space="0" w:color="auto"/>
        <w:bottom w:val="none" w:sz="0" w:space="0" w:color="auto"/>
        <w:right w:val="none" w:sz="0" w:space="0" w:color="auto"/>
      </w:divBdr>
      <w:divsChild>
        <w:div w:id="505436541">
          <w:marLeft w:val="0"/>
          <w:marRight w:val="0"/>
          <w:marTop w:val="0"/>
          <w:marBottom w:val="0"/>
          <w:divBdr>
            <w:top w:val="none" w:sz="0" w:space="0" w:color="auto"/>
            <w:left w:val="none" w:sz="0" w:space="0" w:color="auto"/>
            <w:bottom w:val="none" w:sz="0" w:space="0" w:color="auto"/>
            <w:right w:val="none" w:sz="0" w:space="0" w:color="auto"/>
          </w:divBdr>
          <w:divsChild>
            <w:div w:id="262150390">
              <w:marLeft w:val="0"/>
              <w:marRight w:val="0"/>
              <w:marTop w:val="0"/>
              <w:marBottom w:val="0"/>
              <w:divBdr>
                <w:top w:val="none" w:sz="0" w:space="0" w:color="auto"/>
                <w:left w:val="none" w:sz="0" w:space="0" w:color="auto"/>
                <w:bottom w:val="none" w:sz="0" w:space="0" w:color="auto"/>
                <w:right w:val="none" w:sz="0" w:space="0" w:color="auto"/>
              </w:divBdr>
              <w:divsChild>
                <w:div w:id="13507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673405">
      <w:bodyDiv w:val="1"/>
      <w:marLeft w:val="0"/>
      <w:marRight w:val="0"/>
      <w:marTop w:val="0"/>
      <w:marBottom w:val="0"/>
      <w:divBdr>
        <w:top w:val="none" w:sz="0" w:space="0" w:color="auto"/>
        <w:left w:val="none" w:sz="0" w:space="0" w:color="auto"/>
        <w:bottom w:val="none" w:sz="0" w:space="0" w:color="auto"/>
        <w:right w:val="none" w:sz="0" w:space="0" w:color="auto"/>
      </w:divBdr>
      <w:divsChild>
        <w:div w:id="655845249">
          <w:marLeft w:val="0"/>
          <w:marRight w:val="0"/>
          <w:marTop w:val="0"/>
          <w:marBottom w:val="0"/>
          <w:divBdr>
            <w:top w:val="none" w:sz="0" w:space="0" w:color="auto"/>
            <w:left w:val="none" w:sz="0" w:space="0" w:color="auto"/>
            <w:bottom w:val="none" w:sz="0" w:space="0" w:color="auto"/>
            <w:right w:val="none" w:sz="0" w:space="0" w:color="auto"/>
          </w:divBdr>
          <w:divsChild>
            <w:div w:id="1391228313">
              <w:marLeft w:val="0"/>
              <w:marRight w:val="0"/>
              <w:marTop w:val="0"/>
              <w:marBottom w:val="0"/>
              <w:divBdr>
                <w:top w:val="none" w:sz="0" w:space="0" w:color="auto"/>
                <w:left w:val="none" w:sz="0" w:space="0" w:color="auto"/>
                <w:bottom w:val="none" w:sz="0" w:space="0" w:color="auto"/>
                <w:right w:val="none" w:sz="0" w:space="0" w:color="auto"/>
              </w:divBdr>
              <w:divsChild>
                <w:div w:id="188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628710">
      <w:bodyDiv w:val="1"/>
      <w:marLeft w:val="0"/>
      <w:marRight w:val="0"/>
      <w:marTop w:val="0"/>
      <w:marBottom w:val="0"/>
      <w:divBdr>
        <w:top w:val="none" w:sz="0" w:space="0" w:color="auto"/>
        <w:left w:val="none" w:sz="0" w:space="0" w:color="auto"/>
        <w:bottom w:val="none" w:sz="0" w:space="0" w:color="auto"/>
        <w:right w:val="none" w:sz="0" w:space="0" w:color="auto"/>
      </w:divBdr>
      <w:divsChild>
        <w:div w:id="1466124656">
          <w:marLeft w:val="0"/>
          <w:marRight w:val="0"/>
          <w:marTop w:val="0"/>
          <w:marBottom w:val="120"/>
          <w:divBdr>
            <w:top w:val="none" w:sz="0" w:space="0" w:color="auto"/>
            <w:left w:val="none" w:sz="0" w:space="0" w:color="auto"/>
            <w:bottom w:val="none" w:sz="0" w:space="0" w:color="auto"/>
            <w:right w:val="none" w:sz="0" w:space="0" w:color="auto"/>
          </w:divBdr>
          <w:divsChild>
            <w:div w:id="639268931">
              <w:marLeft w:val="0"/>
              <w:marRight w:val="0"/>
              <w:marTop w:val="0"/>
              <w:marBottom w:val="0"/>
              <w:divBdr>
                <w:top w:val="none" w:sz="0" w:space="0" w:color="auto"/>
                <w:left w:val="none" w:sz="0" w:space="0" w:color="auto"/>
                <w:bottom w:val="none" w:sz="0" w:space="0" w:color="auto"/>
                <w:right w:val="none" w:sz="0" w:space="0" w:color="auto"/>
              </w:divBdr>
              <w:divsChild>
                <w:div w:id="528569070">
                  <w:marLeft w:val="0"/>
                  <w:marRight w:val="0"/>
                  <w:marTop w:val="0"/>
                  <w:marBottom w:val="0"/>
                  <w:divBdr>
                    <w:top w:val="none" w:sz="0" w:space="0" w:color="auto"/>
                    <w:left w:val="none" w:sz="0" w:space="0" w:color="auto"/>
                    <w:bottom w:val="none" w:sz="0" w:space="0" w:color="auto"/>
                    <w:right w:val="none" w:sz="0" w:space="0" w:color="auto"/>
                  </w:divBdr>
                  <w:divsChild>
                    <w:div w:id="144318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74719-2142-2D43-921E-A2F2D5DD3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6</Pages>
  <Words>2790</Words>
  <Characters>15909</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GIANLUIGI MAURIELLO</dc:creator>
  <cp:keywords/>
  <dc:description/>
  <cp:lastModifiedBy>Microsoft Office User</cp:lastModifiedBy>
  <cp:revision>370</cp:revision>
  <dcterms:created xsi:type="dcterms:W3CDTF">2023-02-24T09:53:00Z</dcterms:created>
  <dcterms:modified xsi:type="dcterms:W3CDTF">2023-06-08T12:04:00Z</dcterms:modified>
</cp:coreProperties>
</file>