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FD135" w14:textId="77777777" w:rsidR="00603B8E" w:rsidRPr="00C718F5" w:rsidRDefault="00603B8E" w:rsidP="00603B8E">
      <w:pPr>
        <w:widowControl/>
        <w:suppressAutoHyphens w:val="0"/>
        <w:spacing w:before="600" w:after="120"/>
        <w:jc w:val="center"/>
        <w:rPr>
          <w:rFonts w:eastAsia="Calibri"/>
          <w:b/>
          <w:bCs/>
          <w:sz w:val="28"/>
          <w:szCs w:val="28"/>
          <w:lang w:val="en-GB" w:eastAsia="en-US"/>
        </w:rPr>
      </w:pPr>
      <w:bookmarkStart w:id="0" w:name="_Hlk138514450"/>
      <w:r w:rsidRPr="00C718F5">
        <w:rPr>
          <w:rFonts w:eastAsia="Calibri"/>
          <w:b/>
          <w:bCs/>
          <w:sz w:val="28"/>
          <w:szCs w:val="28"/>
          <w:lang w:val="en-GB" w:eastAsia="en-US"/>
        </w:rPr>
        <w:t>Sensory methods ensuring authenticity and fostering Mediterranean fish</w:t>
      </w:r>
    </w:p>
    <w:p w14:paraId="6095B913" w14:textId="77777777" w:rsidR="00603B8E" w:rsidRPr="00C718F5" w:rsidRDefault="00603B8E" w:rsidP="00603B8E">
      <w:pPr>
        <w:widowControl/>
        <w:suppressAutoHyphens w:val="0"/>
        <w:jc w:val="center"/>
        <w:rPr>
          <w:rFonts w:eastAsia="Calibri"/>
          <w:lang w:eastAsia="en-US"/>
        </w:rPr>
      </w:pPr>
      <w:bookmarkStart w:id="1" w:name="_Hlk138514548"/>
      <w:bookmarkEnd w:id="0"/>
      <w:r w:rsidRPr="00C718F5">
        <w:rPr>
          <w:rFonts w:eastAsia="Calibri"/>
          <w:lang w:eastAsia="en-US"/>
        </w:rPr>
        <w:t>Giovanni Fiorile (</w:t>
      </w:r>
      <w:hyperlink r:id="rId7" w:history="1">
        <w:r w:rsidRPr="00C718F5">
          <w:rPr>
            <w:rFonts w:eastAsia="Calibri"/>
            <w:color w:val="0563C1"/>
            <w:u w:val="single"/>
            <w:lang w:eastAsia="en-US"/>
          </w:rPr>
          <w:t>giovanni.fiorile@unina.it</w:t>
        </w:r>
      </w:hyperlink>
      <w:r w:rsidRPr="00C718F5">
        <w:rPr>
          <w:rFonts w:eastAsia="Calibri"/>
          <w:lang w:eastAsia="en-US"/>
        </w:rPr>
        <w:t>)</w:t>
      </w:r>
    </w:p>
    <w:p w14:paraId="6AE9E5A4" w14:textId="77777777" w:rsidR="00603B8E" w:rsidRPr="00C718F5" w:rsidRDefault="00603B8E" w:rsidP="00603B8E">
      <w:pPr>
        <w:widowControl/>
        <w:suppressAutoHyphens w:val="0"/>
        <w:jc w:val="center"/>
        <w:rPr>
          <w:rFonts w:eastAsia="Calibri"/>
          <w:lang w:val="en-GB" w:eastAsia="en-US"/>
        </w:rPr>
      </w:pPr>
      <w:r w:rsidRPr="00C718F5">
        <w:rPr>
          <w:rFonts w:eastAsia="Calibri"/>
          <w:lang w:val="en-GB" w:eastAsia="en-US"/>
        </w:rPr>
        <w:t>Dept. of Agricultural Sciences, University of Naples Federico II, Portici (NA), Italy</w:t>
      </w:r>
    </w:p>
    <w:p w14:paraId="2A1BB951" w14:textId="77777777" w:rsidR="00603B8E" w:rsidRPr="00BD7FEC" w:rsidRDefault="00603B8E" w:rsidP="00603B8E">
      <w:pPr>
        <w:widowControl/>
        <w:suppressAutoHyphens w:val="0"/>
        <w:jc w:val="center"/>
        <w:rPr>
          <w:rFonts w:eastAsia="Calibri"/>
          <w:lang w:eastAsia="en-US"/>
        </w:rPr>
      </w:pPr>
      <w:r w:rsidRPr="00C718F5">
        <w:rPr>
          <w:rFonts w:eastAsia="Calibri"/>
          <w:lang w:eastAsia="en-US"/>
        </w:rPr>
        <w:t>Tutor: Prof.ssa Rossella Di Monaco</w:t>
      </w:r>
    </w:p>
    <w:bookmarkEnd w:id="1"/>
    <w:p w14:paraId="470CB764" w14:textId="77777777" w:rsidR="007D40F9" w:rsidRPr="00603B8E" w:rsidRDefault="007D40F9" w:rsidP="007D40F9">
      <w:pPr>
        <w:jc w:val="both"/>
      </w:pPr>
    </w:p>
    <w:p w14:paraId="0CDE1FA9" w14:textId="77777777" w:rsidR="00603B8E" w:rsidRPr="00C718F5" w:rsidRDefault="00603B8E" w:rsidP="00603B8E">
      <w:pPr>
        <w:widowControl/>
        <w:suppressAutoHyphens w:val="0"/>
        <w:jc w:val="both"/>
        <w:rPr>
          <w:rFonts w:eastAsia="Calibri"/>
          <w:lang w:val="en-GB" w:eastAsia="en-US"/>
        </w:rPr>
      </w:pPr>
      <w:r w:rsidRPr="00C718F5">
        <w:rPr>
          <w:rFonts w:eastAsia="Calibri"/>
          <w:lang w:val="en-GB" w:eastAsia="en-US"/>
        </w:rPr>
        <w:t xml:space="preserve">The aim of this PhD project is to </w:t>
      </w:r>
      <w:r>
        <w:rPr>
          <w:rFonts w:eastAsia="Calibri"/>
          <w:lang w:val="en-GB" w:eastAsia="en-US"/>
        </w:rPr>
        <w:t xml:space="preserve">study and </w:t>
      </w:r>
      <w:r w:rsidRPr="00C718F5">
        <w:rPr>
          <w:rFonts w:eastAsia="Calibri"/>
          <w:lang w:val="en-GB" w:eastAsia="en-US"/>
        </w:rPr>
        <w:t xml:space="preserve">foster Mediterranean fish products, ensuring authenticity and improving </w:t>
      </w:r>
      <w:r>
        <w:rPr>
          <w:rFonts w:eastAsia="Calibri"/>
          <w:lang w:val="en-GB" w:eastAsia="en-US"/>
        </w:rPr>
        <w:t xml:space="preserve">subjects’ </w:t>
      </w:r>
      <w:r w:rsidRPr="00C718F5">
        <w:rPr>
          <w:rFonts w:eastAsia="Calibri"/>
          <w:lang w:val="en-GB" w:eastAsia="en-US"/>
        </w:rPr>
        <w:t>trust</w:t>
      </w:r>
      <w:r>
        <w:rPr>
          <w:rFonts w:eastAsia="Calibri"/>
          <w:lang w:val="en-GB" w:eastAsia="en-US"/>
        </w:rPr>
        <w:t xml:space="preserve">, by using </w:t>
      </w:r>
      <w:r w:rsidRPr="00C718F5">
        <w:rPr>
          <w:rFonts w:eastAsia="Calibri"/>
          <w:lang w:val="en-GB" w:eastAsia="en-US"/>
        </w:rPr>
        <w:t xml:space="preserve">sensory analysis. It </w:t>
      </w:r>
      <w:r>
        <w:rPr>
          <w:rFonts w:eastAsia="Calibri"/>
          <w:lang w:val="en-GB" w:eastAsia="en-US"/>
        </w:rPr>
        <w:t xml:space="preserve">was </w:t>
      </w:r>
      <w:r w:rsidRPr="00C718F5">
        <w:rPr>
          <w:rFonts w:eastAsia="Calibri"/>
          <w:lang w:val="en-GB" w:eastAsia="en-US"/>
        </w:rPr>
        <w:t xml:space="preserve">achieved through a multidisciplinary approach concerning the </w:t>
      </w:r>
      <w:r w:rsidRPr="00C718F5">
        <w:rPr>
          <w:rFonts w:eastAsia="Calibri"/>
          <w:lang w:val="en-US" w:eastAsia="en-US"/>
        </w:rPr>
        <w:t xml:space="preserve">study of consumer behavior toward seafood products, and through the development and optimization of descriptive sensory methods to assess the authenticity and quality of Mediterranean seafood products. </w:t>
      </w:r>
      <w:r w:rsidRPr="00C718F5">
        <w:rPr>
          <w:rFonts w:eastAsia="Calibri"/>
          <w:lang w:val="en-GB" w:eastAsia="en-US"/>
        </w:rPr>
        <w:t>The results</w:t>
      </w:r>
      <w:r>
        <w:rPr>
          <w:rFonts w:eastAsia="Calibri"/>
          <w:lang w:val="en-GB" w:eastAsia="en-US"/>
        </w:rPr>
        <w:t xml:space="preserve"> are focused on the reduction of</w:t>
      </w:r>
      <w:r w:rsidRPr="00C718F5">
        <w:rPr>
          <w:rFonts w:eastAsia="Calibri"/>
          <w:lang w:val="en-GB" w:eastAsia="en-US"/>
        </w:rPr>
        <w:t xml:space="preserve"> fishing fraud and </w:t>
      </w:r>
      <w:r>
        <w:rPr>
          <w:rFonts w:eastAsia="Calibri"/>
          <w:lang w:val="en-GB" w:eastAsia="en-US"/>
        </w:rPr>
        <w:t>improving</w:t>
      </w:r>
      <w:r w:rsidRPr="00C718F5">
        <w:rPr>
          <w:rFonts w:eastAsia="Calibri"/>
          <w:lang w:val="en-GB" w:eastAsia="en-US"/>
        </w:rPr>
        <w:t xml:space="preserve"> </w:t>
      </w:r>
      <w:r>
        <w:rPr>
          <w:rFonts w:eastAsia="Calibri"/>
          <w:lang w:val="en-GB" w:eastAsia="en-US"/>
        </w:rPr>
        <w:t>consumers</w:t>
      </w:r>
      <w:r w:rsidRPr="00C718F5">
        <w:rPr>
          <w:rFonts w:eastAsia="Calibri"/>
          <w:lang w:val="en-GB" w:eastAsia="en-US"/>
        </w:rPr>
        <w:t xml:space="preserve">’ trust in fish products by </w:t>
      </w:r>
      <w:r>
        <w:rPr>
          <w:rFonts w:eastAsia="Calibri"/>
          <w:lang w:val="en-GB" w:eastAsia="en-US"/>
        </w:rPr>
        <w:t>studying</w:t>
      </w:r>
      <w:r w:rsidRPr="00C718F5">
        <w:rPr>
          <w:rFonts w:eastAsia="Calibri"/>
          <w:lang w:val="en-GB" w:eastAsia="en-US"/>
        </w:rPr>
        <w:t xml:space="preserve"> all the useful</w:t>
      </w:r>
      <w:r>
        <w:rPr>
          <w:rFonts w:eastAsia="Calibri"/>
          <w:lang w:val="en-GB" w:eastAsia="en-US"/>
        </w:rPr>
        <w:t xml:space="preserve"> aspects</w:t>
      </w:r>
      <w:r w:rsidRPr="00C718F5">
        <w:rPr>
          <w:rFonts w:eastAsia="Calibri"/>
          <w:lang w:val="en-GB" w:eastAsia="en-US"/>
        </w:rPr>
        <w:t xml:space="preserve">, both information on </w:t>
      </w:r>
      <w:r>
        <w:rPr>
          <w:rFonts w:eastAsia="Calibri"/>
          <w:lang w:val="en-GB" w:eastAsia="en-US"/>
        </w:rPr>
        <w:t xml:space="preserve">the </w:t>
      </w:r>
      <w:r w:rsidRPr="00C718F5">
        <w:rPr>
          <w:rFonts w:eastAsia="Calibri"/>
          <w:lang w:val="en-GB" w:eastAsia="en-US"/>
        </w:rPr>
        <w:t>traceability and authenticity of fish and sensory and nutritional features.</w:t>
      </w:r>
      <w:r w:rsidRPr="00C718F5" w:rsidDel="00672602">
        <w:rPr>
          <w:rFonts w:eastAsia="Calibri"/>
          <w:lang w:val="en-GB" w:eastAsia="en-US"/>
        </w:rPr>
        <w:t xml:space="preserve"> </w:t>
      </w:r>
    </w:p>
    <w:p w14:paraId="504133B4" w14:textId="77777777" w:rsidR="00603B8E" w:rsidRPr="00603B8E" w:rsidRDefault="00603B8E" w:rsidP="00603B8E">
      <w:pPr>
        <w:widowControl/>
        <w:suppressAutoHyphens w:val="0"/>
        <w:spacing w:before="600" w:after="120"/>
        <w:jc w:val="center"/>
        <w:rPr>
          <w:rFonts w:eastAsia="Calibri"/>
          <w:b/>
          <w:bCs/>
          <w:sz w:val="24"/>
          <w:szCs w:val="24"/>
          <w:lang w:eastAsia="en-US"/>
        </w:rPr>
      </w:pPr>
      <w:r w:rsidRPr="00603B8E">
        <w:rPr>
          <w:rFonts w:eastAsia="Calibri"/>
          <w:b/>
          <w:bCs/>
          <w:sz w:val="24"/>
          <w:szCs w:val="24"/>
          <w:lang w:eastAsia="en-US"/>
        </w:rPr>
        <w:t>Metodi sensoriali per garantire l’autenticità e valorizzare i prodotti ittici del Mediterraneo</w:t>
      </w:r>
    </w:p>
    <w:p w14:paraId="39E78291" w14:textId="4C2E293F" w:rsidR="007D40F9" w:rsidRDefault="00603B8E" w:rsidP="007D40F9">
      <w:pPr>
        <w:pStyle w:val="Intestazione"/>
        <w:tabs>
          <w:tab w:val="clear" w:pos="4819"/>
          <w:tab w:val="clear" w:pos="9638"/>
        </w:tabs>
        <w:spacing w:line="240" w:lineRule="auto"/>
        <w:rPr>
          <w:lang w:val="it-IT"/>
        </w:rPr>
      </w:pPr>
      <w:r>
        <w:rPr>
          <w:rFonts w:eastAsia="Calibri"/>
          <w:lang w:eastAsia="en-US"/>
        </w:rPr>
        <w:t>Il presente</w:t>
      </w:r>
      <w:r w:rsidRPr="00C718F5">
        <w:rPr>
          <w:rFonts w:eastAsia="Calibri"/>
          <w:lang w:eastAsia="en-US"/>
        </w:rPr>
        <w:t xml:space="preserve"> progetto di dottorato </w:t>
      </w:r>
      <w:r>
        <w:rPr>
          <w:rFonts w:eastAsia="Calibri"/>
          <w:lang w:eastAsia="en-US"/>
        </w:rPr>
        <w:t>ha l’obiettivo</w:t>
      </w:r>
      <w:r w:rsidRPr="00C718F5">
        <w:rPr>
          <w:rFonts w:eastAsia="Calibri"/>
          <w:lang w:eastAsia="en-US"/>
        </w:rPr>
        <w:t xml:space="preserve"> di </w:t>
      </w:r>
      <w:r>
        <w:rPr>
          <w:rFonts w:eastAsia="Calibri"/>
          <w:lang w:eastAsia="en-US"/>
        </w:rPr>
        <w:t xml:space="preserve">studiare e </w:t>
      </w:r>
      <w:r w:rsidRPr="00C718F5">
        <w:rPr>
          <w:rFonts w:eastAsia="Calibri"/>
          <w:lang w:eastAsia="en-US"/>
        </w:rPr>
        <w:t>valorizzare i prodotti ittici del Mediterraneo</w:t>
      </w:r>
      <w:r>
        <w:rPr>
          <w:rFonts w:eastAsia="Calibri"/>
          <w:lang w:eastAsia="en-US"/>
        </w:rPr>
        <w:t xml:space="preserve">, mediante </w:t>
      </w:r>
      <w:r w:rsidRPr="00C718F5">
        <w:rPr>
          <w:rFonts w:eastAsia="Calibri"/>
          <w:lang w:eastAsia="en-US"/>
        </w:rPr>
        <w:t>l’</w:t>
      </w:r>
      <w:r>
        <w:rPr>
          <w:rFonts w:eastAsia="Calibri"/>
          <w:lang w:eastAsia="en-US"/>
        </w:rPr>
        <w:t>impiego di metodologie s</w:t>
      </w:r>
      <w:r w:rsidRPr="00C718F5">
        <w:rPr>
          <w:rFonts w:eastAsia="Calibri"/>
          <w:lang w:eastAsia="en-US"/>
        </w:rPr>
        <w:t>ensorial</w:t>
      </w:r>
      <w:r>
        <w:rPr>
          <w:rFonts w:eastAsia="Calibri"/>
          <w:lang w:eastAsia="en-US"/>
        </w:rPr>
        <w:t>i</w:t>
      </w:r>
      <w:r w:rsidRPr="00C718F5">
        <w:rPr>
          <w:rFonts w:eastAsia="Calibri"/>
          <w:lang w:eastAsia="en-US"/>
        </w:rPr>
        <w:t xml:space="preserve">. L’obiettivo </w:t>
      </w:r>
      <w:r>
        <w:rPr>
          <w:rFonts w:eastAsia="Calibri"/>
          <w:lang w:eastAsia="en-US"/>
        </w:rPr>
        <w:t xml:space="preserve">è stato raggiunto </w:t>
      </w:r>
      <w:r w:rsidRPr="00C718F5">
        <w:rPr>
          <w:rFonts w:eastAsia="Calibri"/>
          <w:lang w:eastAsia="en-US"/>
        </w:rPr>
        <w:t xml:space="preserve">attraverso un approccio multidisciplinare riguardante lo studio del comportamento del consumatore nei riguardi dei prodotti ittici, e attraverso lo sviluppo e l’ottimizzazione di metodi sensoriali descrittivi capaci di garantire autenticità e qualità ai prodotti ittici del Mediterraneo. </w:t>
      </w:r>
      <w:r w:rsidRPr="00995819">
        <w:rPr>
          <w:rFonts w:eastAsia="Calibri"/>
          <w:lang w:eastAsia="en-US"/>
        </w:rPr>
        <w:t xml:space="preserve">I risultati si concentrano sulla riduzione delle frodi nel settore della pesca e sul miglioramento della fiducia dei consumatori nei </w:t>
      </w:r>
      <w:r>
        <w:rPr>
          <w:rFonts w:eastAsia="Calibri"/>
          <w:lang w:eastAsia="en-US"/>
        </w:rPr>
        <w:t xml:space="preserve">confronti dei </w:t>
      </w:r>
      <w:r w:rsidRPr="00995819">
        <w:rPr>
          <w:rFonts w:eastAsia="Calibri"/>
          <w:lang w:eastAsia="en-US"/>
        </w:rPr>
        <w:t xml:space="preserve">prodotti ittici, studiando tutti gli aspetti utili, sia </w:t>
      </w:r>
      <w:r>
        <w:rPr>
          <w:rFonts w:eastAsia="Calibri"/>
          <w:lang w:eastAsia="en-US"/>
        </w:rPr>
        <w:t xml:space="preserve">riguardo </w:t>
      </w:r>
      <w:r w:rsidRPr="00995819">
        <w:rPr>
          <w:rFonts w:eastAsia="Calibri"/>
          <w:lang w:eastAsia="en-US"/>
        </w:rPr>
        <w:t>le informazioni sulla tracciabilità e l'autenticità del pesce</w:t>
      </w:r>
      <w:r>
        <w:rPr>
          <w:rFonts w:eastAsia="Calibri"/>
          <w:lang w:eastAsia="en-US"/>
        </w:rPr>
        <w:t>, sia</w:t>
      </w:r>
      <w:r w:rsidRPr="00995819">
        <w:rPr>
          <w:rFonts w:eastAsia="Calibri"/>
          <w:lang w:eastAsia="en-US"/>
        </w:rPr>
        <w:t xml:space="preserve"> le caratteristiche sensoriali e nutrizionali</w:t>
      </w:r>
    </w:p>
    <w:p w14:paraId="0188BB6A" w14:textId="0298F8B7" w:rsidR="007D40F9" w:rsidRPr="00746B7D" w:rsidRDefault="007D40F9" w:rsidP="007D40F9">
      <w:pPr>
        <w:jc w:val="both"/>
        <w:rPr>
          <w:lang w:val="en-US"/>
        </w:rPr>
      </w:pPr>
      <w:r>
        <w:rPr>
          <w:b/>
          <w:bCs/>
          <w:lang w:val="en-GB"/>
        </w:rPr>
        <w:t>Key words</w:t>
      </w:r>
      <w:r>
        <w:rPr>
          <w:lang w:val="en-GB"/>
        </w:rPr>
        <w:t xml:space="preserve">: </w:t>
      </w:r>
      <w:r w:rsidR="00603B8E">
        <w:rPr>
          <w:lang w:val="en-GB"/>
        </w:rPr>
        <w:t>Fish quality, reduction of fishing fraud, consumer science, descriptive sensory analysis</w:t>
      </w:r>
      <w:r>
        <w:rPr>
          <w:lang w:val="en-GB"/>
        </w:rPr>
        <w:t>.</w:t>
      </w:r>
    </w:p>
    <w:p w14:paraId="758A709A" w14:textId="77777777" w:rsidR="007D40F9" w:rsidRDefault="007D40F9" w:rsidP="007D40F9">
      <w:pPr>
        <w:pStyle w:val="Titolo1"/>
        <w:spacing w:before="240" w:after="120"/>
        <w:ind w:right="0"/>
        <w:jc w:val="both"/>
        <w:rPr>
          <w:b/>
          <w:bCs/>
          <w:color w:val="000000"/>
          <w:sz w:val="24"/>
          <w:lang w:val="en-GB"/>
        </w:rPr>
      </w:pPr>
      <w:r>
        <w:rPr>
          <w:b/>
          <w:bCs/>
          <w:color w:val="000000"/>
          <w:sz w:val="24"/>
          <w:lang w:val="en-GB"/>
        </w:rPr>
        <w:t>1. Introduction</w:t>
      </w:r>
    </w:p>
    <w:p w14:paraId="5BE32185" w14:textId="77777777" w:rsidR="00603B8E" w:rsidRPr="00BD2FDE" w:rsidRDefault="00603B8E" w:rsidP="00603B8E">
      <w:pPr>
        <w:suppressAutoHyphens w:val="0"/>
        <w:autoSpaceDE w:val="0"/>
        <w:autoSpaceDN w:val="0"/>
        <w:adjustRightInd w:val="0"/>
        <w:jc w:val="both"/>
        <w:rPr>
          <w:rFonts w:eastAsia="Calibri"/>
          <w:lang w:val="en-US" w:eastAsia="en-US"/>
        </w:rPr>
      </w:pPr>
      <w:r w:rsidRPr="00BD2FDE">
        <w:rPr>
          <w:rFonts w:eastAsia="Calibri"/>
          <w:lang w:val="en-GB" w:eastAsia="en-US"/>
        </w:rPr>
        <w:t xml:space="preserve">Fish products are widely consumed all around the world thanks to their nutritional composition rich in protein, long-chain fatty acids (EPA and DHA), </w:t>
      </w:r>
      <w:r>
        <w:rPr>
          <w:rFonts w:eastAsia="Calibri"/>
          <w:lang w:val="en-GB" w:eastAsia="en-US"/>
        </w:rPr>
        <w:t xml:space="preserve">and </w:t>
      </w:r>
      <w:r w:rsidRPr="00BD2FDE">
        <w:rPr>
          <w:rFonts w:eastAsia="Calibri"/>
          <w:lang w:val="en-GB" w:eastAsia="en-US"/>
        </w:rPr>
        <w:t xml:space="preserve">vitamins, and poor in carbohydrates </w:t>
      </w:r>
      <w:r w:rsidRPr="00BD2FDE">
        <w:rPr>
          <w:rFonts w:eastAsia="Calibri"/>
          <w:noProof/>
          <w:lang w:val="en-GB" w:eastAsia="en-US"/>
        </w:rPr>
        <w:t>(Carlucci et al., 2015)</w:t>
      </w:r>
      <w:r w:rsidRPr="00BD2FDE">
        <w:rPr>
          <w:rFonts w:eastAsia="Calibri"/>
          <w:lang w:val="en-GB" w:eastAsia="en-US"/>
        </w:rPr>
        <w:t xml:space="preserve">. Nowadays, global aquatic food consumption is estimated at 158 million tonnes, up from 28 million tonnes in 1961. Since 1961, consumption has increased by approximately 3% annually, this increase is due both to an increase in per capita consumption, but also to an average increase in world population </w:t>
      </w:r>
      <w:r w:rsidRPr="00BD2FDE">
        <w:rPr>
          <w:rFonts w:eastAsia="Calibri"/>
          <w:noProof/>
          <w:lang w:val="en-GB" w:eastAsia="en-US"/>
        </w:rPr>
        <w:t>(FAO, 2022)</w:t>
      </w:r>
      <w:r w:rsidRPr="00BD2FDE">
        <w:rPr>
          <w:rFonts w:eastAsia="Calibri"/>
          <w:lang w:val="en-GB" w:eastAsia="en-US"/>
        </w:rPr>
        <w:t xml:space="preserve">. Increased consumption of seafood has created jobs for the community </w:t>
      </w:r>
      <w:r w:rsidRPr="00BD2FDE">
        <w:rPr>
          <w:rFonts w:eastAsia="Calibri"/>
          <w:noProof/>
          <w:lang w:val="en-GB" w:eastAsia="en-US"/>
        </w:rPr>
        <w:t>(Shamsuzzaman et al., 2020)</w:t>
      </w:r>
      <w:r w:rsidRPr="00BD2FDE">
        <w:rPr>
          <w:rFonts w:eastAsia="Calibri"/>
          <w:lang w:val="en-GB" w:eastAsia="en-US"/>
        </w:rPr>
        <w:t xml:space="preserve">, but is reducing natural fish stocks in the sea, and could be dangerous for the environment </w:t>
      </w:r>
      <w:r w:rsidRPr="00BD2FDE">
        <w:rPr>
          <w:rFonts w:eastAsia="Calibri"/>
          <w:noProof/>
          <w:lang w:val="en-GB" w:eastAsia="en-US"/>
        </w:rPr>
        <w:t>(Verbeke et al., 2007)</w:t>
      </w:r>
      <w:r w:rsidRPr="00BD2FDE">
        <w:rPr>
          <w:rFonts w:eastAsia="Calibri"/>
          <w:lang w:val="en-GB" w:eastAsia="en-US"/>
        </w:rPr>
        <w:t xml:space="preserve">. </w:t>
      </w:r>
      <w:r>
        <w:rPr>
          <w:rFonts w:eastAsia="Calibri"/>
          <w:lang w:val="en-GB" w:eastAsia="en-US"/>
        </w:rPr>
        <w:t>Over the years</w:t>
      </w:r>
      <w:r w:rsidRPr="00BD2FDE">
        <w:rPr>
          <w:rFonts w:eastAsia="Calibri"/>
          <w:lang w:val="en-GB" w:eastAsia="en-US"/>
        </w:rPr>
        <w:t xml:space="preserve">, subjects have become more sensitive to issues of environmental sustainability and traceability of the products they buy </w:t>
      </w:r>
      <w:r w:rsidRPr="00BD2FDE">
        <w:rPr>
          <w:rFonts w:eastAsia="Calibri"/>
          <w:noProof/>
          <w:lang w:val="en-GB" w:eastAsia="en-US"/>
        </w:rPr>
        <w:t>(Pucci et al., 2020)</w:t>
      </w:r>
      <w:r w:rsidRPr="00BD2FDE">
        <w:rPr>
          <w:rFonts w:eastAsia="Calibri"/>
          <w:lang w:val="en-GB" w:eastAsia="en-US"/>
        </w:rPr>
        <w:t>. Hence, some brands have joined sustainability and traceability programs to inform and guide subjects toward sustainable purchasing choices (</w:t>
      </w:r>
      <w:r w:rsidRPr="00BD2FDE">
        <w:rPr>
          <w:rFonts w:eastAsia="Calibri"/>
          <w:noProof/>
          <w:lang w:val="en-GB" w:eastAsia="en-US"/>
        </w:rPr>
        <w:t xml:space="preserve">Van Loo </w:t>
      </w:r>
      <w:r w:rsidRPr="00BD2FDE">
        <w:rPr>
          <w:rFonts w:eastAsia="Calibri"/>
          <w:i/>
          <w:noProof/>
          <w:lang w:val="en-GB" w:eastAsia="en-US"/>
        </w:rPr>
        <w:t>et al.</w:t>
      </w:r>
      <w:r w:rsidRPr="00BD2FDE">
        <w:rPr>
          <w:rFonts w:eastAsia="Calibri"/>
          <w:noProof/>
          <w:lang w:val="en-GB" w:eastAsia="en-US"/>
        </w:rPr>
        <w:t>, 2015)</w:t>
      </w:r>
      <w:r w:rsidRPr="00BD2FDE">
        <w:rPr>
          <w:rFonts w:eastAsia="Calibri"/>
          <w:lang w:val="en-GB" w:eastAsia="en-US"/>
        </w:rPr>
        <w:t xml:space="preserve">. Moreover, the increasing trend in fish consumption increase </w:t>
      </w:r>
      <w:r>
        <w:rPr>
          <w:rFonts w:eastAsia="Calibri"/>
          <w:lang w:val="en-GB" w:eastAsia="en-US"/>
        </w:rPr>
        <w:t>fraud</w:t>
      </w:r>
      <w:r w:rsidRPr="00BD2FDE">
        <w:rPr>
          <w:rFonts w:eastAsia="Calibri"/>
          <w:lang w:val="en-GB" w:eastAsia="en-US"/>
        </w:rPr>
        <w:t xml:space="preserve"> related to fish authenticity and quality, especially for less experienced subjects </w:t>
      </w:r>
      <w:r w:rsidRPr="00BD2FDE">
        <w:rPr>
          <w:rFonts w:eastAsia="Calibri"/>
          <w:noProof/>
          <w:lang w:val="en-GB" w:eastAsia="en-US"/>
        </w:rPr>
        <w:t>(Giusti et al., 2019)</w:t>
      </w:r>
      <w:r w:rsidRPr="00BD2FDE">
        <w:rPr>
          <w:rFonts w:eastAsia="Calibri"/>
          <w:lang w:val="en-GB" w:eastAsia="en-US"/>
        </w:rPr>
        <w:t>. Finally, subjects are not always able to assess the quality of the species they buy, as not all the specific attributes of each fish species are known, and furthermore</w:t>
      </w:r>
      <w:r>
        <w:rPr>
          <w:rFonts w:eastAsia="Calibri"/>
          <w:lang w:val="en-GB" w:eastAsia="en-US"/>
        </w:rPr>
        <w:t>,</w:t>
      </w:r>
      <w:r w:rsidRPr="00BD2FDE">
        <w:rPr>
          <w:rFonts w:eastAsia="Calibri"/>
          <w:lang w:val="en-GB" w:eastAsia="en-US"/>
        </w:rPr>
        <w:t xml:space="preserve"> there are no standard methods for assessing the freshness of fish. There</w:t>
      </w:r>
      <w:r>
        <w:rPr>
          <w:rFonts w:eastAsia="Calibri"/>
          <w:lang w:val="en-GB" w:eastAsia="en-US"/>
        </w:rPr>
        <w:t>by</w:t>
      </w:r>
      <w:r w:rsidRPr="00BD2FDE">
        <w:rPr>
          <w:rFonts w:eastAsia="Calibri"/>
          <w:lang w:val="en-GB" w:eastAsia="en-US"/>
        </w:rPr>
        <w:t xml:space="preserve">, this process can be difficult during purchase (Freitas et al., 2021). Therefore, this PhD project aimed to valorise Mediterranean fish products through a multidisciplinary approach concerning the </w:t>
      </w:r>
      <w:r w:rsidRPr="00BD2FDE">
        <w:rPr>
          <w:rFonts w:eastAsia="Calibri"/>
          <w:lang w:val="en-US" w:eastAsia="en-US"/>
        </w:rPr>
        <w:t>study of consumer behavior toward seafood products, and through the development and optimization of descriptive sensory methods to assess the authenticity and quality of Mediterranean seafood products. To achieve the set objectives, the following activities were conducted:</w:t>
      </w:r>
    </w:p>
    <w:p w14:paraId="3389DB1C" w14:textId="77777777" w:rsidR="00603B8E" w:rsidRPr="00BD2FDE" w:rsidRDefault="00603B8E" w:rsidP="00603B8E">
      <w:pPr>
        <w:suppressAutoHyphens w:val="0"/>
        <w:autoSpaceDE w:val="0"/>
        <w:autoSpaceDN w:val="0"/>
        <w:adjustRightInd w:val="0"/>
        <w:jc w:val="both"/>
        <w:rPr>
          <w:rFonts w:eastAsia="Calibri"/>
          <w:lang w:val="en-GB" w:eastAsia="en-US"/>
        </w:rPr>
      </w:pPr>
      <w:r w:rsidRPr="00BD2FDE">
        <w:rPr>
          <w:rFonts w:eastAsia="Calibri"/>
          <w:lang w:val="en-GB" w:eastAsia="en-US"/>
        </w:rPr>
        <w:t>A1) Study of subjects’ behaviour towards fish products. This activity had a particular focus on fish product consumption habits, purchasing behaviour and the importance of fish traceability and sustainability.</w:t>
      </w:r>
    </w:p>
    <w:p w14:paraId="4AA79B4F" w14:textId="77777777" w:rsidR="00603B8E" w:rsidRPr="00BD2FDE" w:rsidRDefault="00603B8E" w:rsidP="00603B8E">
      <w:pPr>
        <w:suppressAutoHyphens w:val="0"/>
        <w:autoSpaceDE w:val="0"/>
        <w:autoSpaceDN w:val="0"/>
        <w:adjustRightInd w:val="0"/>
        <w:jc w:val="both"/>
        <w:rPr>
          <w:rFonts w:eastAsia="Calibri"/>
          <w:lang w:val="en-GB" w:eastAsia="en-US"/>
        </w:rPr>
      </w:pPr>
      <w:r w:rsidRPr="00BD2FDE">
        <w:rPr>
          <w:rFonts w:eastAsia="Calibri"/>
          <w:lang w:val="en-GB" w:eastAsia="en-US"/>
        </w:rPr>
        <w:t xml:space="preserve">A2) Consumer </w:t>
      </w:r>
      <w:r>
        <w:rPr>
          <w:rFonts w:eastAsia="Calibri"/>
          <w:lang w:val="en-GB" w:eastAsia="en-US"/>
        </w:rPr>
        <w:t xml:space="preserve">study </w:t>
      </w:r>
      <w:r w:rsidRPr="00BD2FDE">
        <w:rPr>
          <w:rFonts w:eastAsia="Calibri"/>
          <w:lang w:val="en-GB" w:eastAsia="en-US"/>
        </w:rPr>
        <w:t xml:space="preserve">to assess the </w:t>
      </w:r>
      <w:r>
        <w:rPr>
          <w:rFonts w:eastAsia="Calibri"/>
          <w:lang w:val="en-GB" w:eastAsia="en-US"/>
        </w:rPr>
        <w:t>effect</w:t>
      </w:r>
      <w:r w:rsidRPr="00BD2FDE">
        <w:rPr>
          <w:rFonts w:eastAsia="Calibri"/>
          <w:lang w:val="en-GB" w:eastAsia="en-US"/>
        </w:rPr>
        <w:t xml:space="preserve"> of external variables provided to the subjects when purchasing or consuming fish products.</w:t>
      </w:r>
    </w:p>
    <w:p w14:paraId="1AFE133F" w14:textId="77777777" w:rsidR="00603B8E" w:rsidRPr="00BD2FDE" w:rsidRDefault="00603B8E" w:rsidP="00603B8E">
      <w:pPr>
        <w:suppressAutoHyphens w:val="0"/>
        <w:autoSpaceDE w:val="0"/>
        <w:autoSpaceDN w:val="0"/>
        <w:adjustRightInd w:val="0"/>
        <w:jc w:val="both"/>
        <w:rPr>
          <w:rFonts w:eastAsia="Calibri"/>
          <w:lang w:val="en-GB" w:eastAsia="en-US"/>
        </w:rPr>
      </w:pPr>
      <w:r w:rsidRPr="00BD2FDE">
        <w:rPr>
          <w:rFonts w:eastAsia="Calibri"/>
          <w:lang w:val="en-GB" w:eastAsia="en-US"/>
        </w:rPr>
        <w:t xml:space="preserve">A3) Descriptive </w:t>
      </w:r>
      <w:r>
        <w:rPr>
          <w:rFonts w:eastAsia="Calibri"/>
          <w:lang w:val="en-GB" w:eastAsia="en-US"/>
        </w:rPr>
        <w:t xml:space="preserve">sensory </w:t>
      </w:r>
      <w:r w:rsidRPr="00BD2FDE">
        <w:rPr>
          <w:rFonts w:eastAsia="Calibri"/>
          <w:lang w:val="en-GB" w:eastAsia="en-US"/>
        </w:rPr>
        <w:t>analysis to attest to the authenticity of different fish species.</w:t>
      </w:r>
    </w:p>
    <w:p w14:paraId="203520CB" w14:textId="77777777" w:rsidR="00603B8E" w:rsidRPr="00BD2FDE" w:rsidRDefault="00603B8E" w:rsidP="00603B8E">
      <w:pPr>
        <w:suppressAutoHyphens w:val="0"/>
        <w:autoSpaceDE w:val="0"/>
        <w:autoSpaceDN w:val="0"/>
        <w:adjustRightInd w:val="0"/>
        <w:jc w:val="both"/>
        <w:rPr>
          <w:rFonts w:eastAsia="Calibri"/>
          <w:lang w:val="en-GB" w:eastAsia="en-US"/>
        </w:rPr>
      </w:pPr>
      <w:r w:rsidRPr="00BD2FDE">
        <w:rPr>
          <w:rFonts w:eastAsia="Calibri"/>
          <w:lang w:val="en-GB" w:eastAsia="en-US"/>
        </w:rPr>
        <w:t>A4) Quality index method for assessing the quality and freshness of fish species during the purchase time.</w:t>
      </w:r>
    </w:p>
    <w:p w14:paraId="3137DB79" w14:textId="77777777" w:rsidR="00603B8E" w:rsidRPr="00BD2FDE" w:rsidRDefault="00603B8E" w:rsidP="00603B8E">
      <w:pPr>
        <w:suppressAutoHyphens w:val="0"/>
        <w:autoSpaceDE w:val="0"/>
        <w:autoSpaceDN w:val="0"/>
        <w:adjustRightInd w:val="0"/>
        <w:jc w:val="both"/>
        <w:rPr>
          <w:rFonts w:eastAsia="Calibri"/>
          <w:lang w:val="en-GB" w:eastAsia="en-US"/>
        </w:rPr>
      </w:pPr>
      <w:r w:rsidRPr="00BD2FDE">
        <w:rPr>
          <w:rFonts w:eastAsia="Calibri"/>
          <w:lang w:val="en-GB" w:eastAsia="en-US"/>
        </w:rPr>
        <w:t xml:space="preserve">A5) Study of subjects’ behaviour in northern Europe. This activity was carried out during the PhD student's time abroad at Nofima </w:t>
      </w:r>
      <w:r>
        <w:rPr>
          <w:rFonts w:eastAsia="Calibri"/>
          <w:lang w:val="en-GB" w:eastAsia="en-US"/>
        </w:rPr>
        <w:t>Research</w:t>
      </w:r>
      <w:r w:rsidRPr="00BD2FDE">
        <w:rPr>
          <w:rFonts w:eastAsia="Calibri"/>
          <w:lang w:val="en-GB" w:eastAsia="en-US"/>
        </w:rPr>
        <w:t xml:space="preserve"> </w:t>
      </w:r>
      <w:r>
        <w:rPr>
          <w:rFonts w:eastAsia="Calibri"/>
          <w:lang w:val="en-GB" w:eastAsia="en-US"/>
        </w:rPr>
        <w:t>center</w:t>
      </w:r>
      <w:r w:rsidRPr="00BD2FDE">
        <w:rPr>
          <w:rFonts w:eastAsia="Calibri"/>
          <w:lang w:val="en-GB" w:eastAsia="en-US"/>
        </w:rPr>
        <w:t xml:space="preserve"> in Tromsø and Ås</w:t>
      </w:r>
      <w:r>
        <w:rPr>
          <w:rFonts w:eastAsia="Calibri"/>
          <w:lang w:val="en-GB" w:eastAsia="en-US"/>
        </w:rPr>
        <w:t xml:space="preserve"> (Norway)</w:t>
      </w:r>
      <w:r w:rsidRPr="00BD2FDE">
        <w:rPr>
          <w:rFonts w:eastAsia="Calibri"/>
          <w:lang w:val="en-GB" w:eastAsia="en-US"/>
        </w:rPr>
        <w:t xml:space="preserve">. The activity focused on the perceptions of Northern European subjects towards the traceability and sustainability of red king crab. In addition, a descriptive analysis test was carried out with a trained panel to test the differences </w:t>
      </w:r>
      <w:r>
        <w:rPr>
          <w:rFonts w:eastAsia="Calibri"/>
          <w:lang w:val="en-GB" w:eastAsia="en-US"/>
        </w:rPr>
        <w:t>between</w:t>
      </w:r>
      <w:r w:rsidRPr="00BD2FDE">
        <w:rPr>
          <w:rFonts w:eastAsia="Calibri"/>
          <w:lang w:val="en-GB" w:eastAsia="en-US"/>
        </w:rPr>
        <w:t xml:space="preserve"> crabs from capture-based</w:t>
      </w:r>
      <w:r>
        <w:rPr>
          <w:rFonts w:eastAsia="Calibri"/>
          <w:lang w:val="en-GB" w:eastAsia="en-US"/>
        </w:rPr>
        <w:t xml:space="preserve"> </w:t>
      </w:r>
      <w:r w:rsidRPr="00BD2FDE">
        <w:rPr>
          <w:rFonts w:eastAsia="Calibri"/>
          <w:lang w:val="en-GB" w:eastAsia="en-US"/>
        </w:rPr>
        <w:t>aquaculture and wild.</w:t>
      </w:r>
    </w:p>
    <w:p w14:paraId="2D9BB2D1" w14:textId="77777777" w:rsidR="00603B8E" w:rsidRPr="00603B8E" w:rsidRDefault="00603B8E" w:rsidP="00603B8E">
      <w:pPr>
        <w:keepNext/>
        <w:shd w:val="clear" w:color="auto" w:fill="FFFFFF"/>
        <w:spacing w:before="240" w:after="120"/>
        <w:jc w:val="both"/>
        <w:outlineLvl w:val="0"/>
        <w:rPr>
          <w:b/>
          <w:bCs/>
          <w:color w:val="000000"/>
          <w:spacing w:val="-2"/>
          <w:sz w:val="24"/>
          <w:szCs w:val="52"/>
          <w:lang w:val="en-GB"/>
        </w:rPr>
      </w:pPr>
      <w:r w:rsidRPr="00603B8E">
        <w:rPr>
          <w:b/>
          <w:bCs/>
          <w:color w:val="000000"/>
          <w:spacing w:val="-2"/>
          <w:sz w:val="24"/>
          <w:szCs w:val="52"/>
          <w:lang w:val="en-GB"/>
        </w:rPr>
        <w:lastRenderedPageBreak/>
        <w:t>2. Materials and Methods</w:t>
      </w:r>
    </w:p>
    <w:p w14:paraId="4927C32F" w14:textId="77777777" w:rsidR="00603B8E" w:rsidRPr="00603B8E" w:rsidRDefault="00603B8E" w:rsidP="00603B8E">
      <w:pPr>
        <w:rPr>
          <w:lang w:val="en-GB"/>
        </w:rPr>
      </w:pPr>
      <w:r w:rsidRPr="00603B8E">
        <w:rPr>
          <w:lang w:val="en-GB"/>
        </w:rPr>
        <w:t>First, an online questionnaire (A1) was filled out by 2000 subjects from both Italy and Spain. The questionnaire collected information on fish consumption and purchasing habits (frequency of consumption, types of purchased products, places of purchasing, etc.) and the perception and importance of fish traceability and sustainability (1-7 Likert scale). Subjects were equally distributed for social-demographic information. Then, a consumer test (A2) was conducted with 100 Italian and 100 Spanish subjects, by using a blind-info procedure: in the first session the subjects evaluated a sample of bluefin tuna (</w:t>
      </w:r>
      <w:r w:rsidRPr="00603B8E">
        <w:rPr>
          <w:i/>
          <w:iCs/>
          <w:lang w:val="en-GB"/>
        </w:rPr>
        <w:t xml:space="preserve">Thunnus thynnus, </w:t>
      </w:r>
      <w:r w:rsidRPr="00603B8E">
        <w:rPr>
          <w:iCs/>
          <w:lang w:val="en-GB"/>
        </w:rPr>
        <w:t>both raw and cooked</w:t>
      </w:r>
      <w:r w:rsidRPr="00603B8E">
        <w:rPr>
          <w:lang w:val="en-GB"/>
        </w:rPr>
        <w:t>) and rated their liking for specific sensory characteristics, using a 9-point Likert scale (1: Extremely disliked; 9: Extremely liked), without sample information; in the second one, one week later, the same subjects performed the same evaluation but having been informed that the sample had been caught according to the terms of the Marine Stewardship Council (MSC) sustainability label. Subsequently, a classical descriptive analysis (QDA) was performed (A3) both of yellowfin tuna (</w:t>
      </w:r>
      <w:r w:rsidRPr="00603B8E">
        <w:rPr>
          <w:i/>
          <w:iCs/>
          <w:lang w:val="en-GB"/>
        </w:rPr>
        <w:t xml:space="preserve">Thunnus albacares) </w:t>
      </w:r>
      <w:r w:rsidRPr="00603B8E">
        <w:rPr>
          <w:lang w:val="en-GB"/>
        </w:rPr>
        <w:t>and bluefin tuna (</w:t>
      </w:r>
      <w:r w:rsidRPr="00603B8E">
        <w:rPr>
          <w:i/>
          <w:iCs/>
          <w:lang w:val="en-GB"/>
        </w:rPr>
        <w:t>Thunnus thynnus</w:t>
      </w:r>
      <w:r w:rsidRPr="00603B8E">
        <w:rPr>
          <w:lang w:val="en-GB"/>
        </w:rPr>
        <w:t>), identifying their peculiar sensory characteristics. Finally, Quality Index Method (QIM) (A4) was applied to assess the quality and freshness of fresh anchovies (</w:t>
      </w:r>
      <w:r w:rsidRPr="00603B8E">
        <w:rPr>
          <w:i/>
          <w:iCs/>
          <w:lang w:val="en-GB"/>
        </w:rPr>
        <w:t>Engraulis encrasicolus</w:t>
      </w:r>
      <w:r w:rsidRPr="00603B8E">
        <w:rPr>
          <w:lang w:val="en-GB"/>
        </w:rPr>
        <w:t>), stored by using a static electric field generator (SEF). Fresh anchovies were stored in polystyrene containers covered with melted ice and placed in two refrigerated cells at 4±1 °C. Only one of the two cells was equipped with the SEF generator. The anchovies from shelf-life day 1 to day 9 were evaluated by 9 assessors who used an optimized QIM protocol (Fiorile et al., 2023).</w:t>
      </w:r>
    </w:p>
    <w:p w14:paraId="1577B1F3" w14:textId="77777777" w:rsidR="00603B8E" w:rsidRPr="00603B8E" w:rsidRDefault="00603B8E" w:rsidP="00603B8E">
      <w:pPr>
        <w:rPr>
          <w:lang w:val="en-GB"/>
        </w:rPr>
      </w:pPr>
      <w:r w:rsidRPr="00603B8E">
        <w:rPr>
          <w:lang w:val="en-GB"/>
        </w:rPr>
        <w:t xml:space="preserve">To assess the perception of traceability and sustainability by Northern European subjects, an online questionnaire was sent out. Subjects were shown pictures of red king crab in different settings and then a list of attributes was provided to them. The CATA method was used to collect responses to this questionnaire. Finally, again a QDA was carried out to characterise the two samples (capture-based aquaculture and wild) and to highlight the differences between them (A5). </w:t>
      </w:r>
    </w:p>
    <w:p w14:paraId="2BF282E2" w14:textId="77777777" w:rsidR="00603B8E" w:rsidRPr="00603B8E" w:rsidRDefault="00603B8E" w:rsidP="00603B8E">
      <w:pPr>
        <w:rPr>
          <w:lang w:val="en-GB"/>
        </w:rPr>
      </w:pPr>
      <w:r w:rsidRPr="00603B8E">
        <w:rPr>
          <w:lang w:val="en-GB"/>
        </w:rPr>
        <w:t xml:space="preserve">The respondents to the online questionnaire were grouped for provenance (Italy and Spain), gender, and age (4 age groups) for 16 observations. Multifactorial analysis (MFA) was used to study the relationship between the observations and all the collected variables (A1). Paired sample t-test was used to find differences between the two experimental conditions in the consumer test (A2), to find differences between the two tuna species in the QDA (A3) and finally to find differences between the two storage conditions in the QIM (A4). Linear regression was used to describe the increment of QI during storage time for both trials (A4). The confidence level was 95% in every statistical test used. XLSTAT statistical software (v.2016.02, Addinsoft) was used for data analysis. </w:t>
      </w:r>
    </w:p>
    <w:p w14:paraId="1193D625" w14:textId="77777777" w:rsidR="00603B8E" w:rsidRPr="00603B8E" w:rsidRDefault="00603B8E" w:rsidP="00603B8E">
      <w:pPr>
        <w:rPr>
          <w:lang w:val="en-GB"/>
        </w:rPr>
      </w:pPr>
      <w:r w:rsidRPr="00603B8E">
        <w:rPr>
          <w:lang w:val="en-GB"/>
        </w:rPr>
        <w:t>The data analysis of A5 is still in progress, thus the results are not illustrated here. In this manuscript, only the main results are discussed.</w:t>
      </w:r>
    </w:p>
    <w:p w14:paraId="264A25F2" w14:textId="7E38A6D5" w:rsidR="00603B8E" w:rsidRDefault="007D40F9" w:rsidP="00603B8E">
      <w:pPr>
        <w:pStyle w:val="Titolo1"/>
        <w:tabs>
          <w:tab w:val="left" w:pos="567"/>
        </w:tabs>
        <w:spacing w:before="240" w:after="120"/>
        <w:ind w:right="0"/>
        <w:jc w:val="both"/>
        <w:rPr>
          <w:b/>
          <w:bCs/>
          <w:color w:val="000000"/>
          <w:sz w:val="24"/>
          <w:lang w:val="en-GB"/>
        </w:rPr>
      </w:pPr>
      <w:r>
        <w:rPr>
          <w:b/>
          <w:bCs/>
          <w:color w:val="000000"/>
          <w:sz w:val="24"/>
          <w:lang w:val="en-GB"/>
        </w:rPr>
        <w:t>3.</w:t>
      </w:r>
      <w:r w:rsidR="00603B8E">
        <w:rPr>
          <w:b/>
          <w:bCs/>
          <w:color w:val="000000"/>
          <w:sz w:val="24"/>
          <w:lang w:val="en-GB"/>
        </w:rPr>
        <w:t xml:space="preserve"> Results and discussion</w:t>
      </w:r>
    </w:p>
    <w:p w14:paraId="059E6F49" w14:textId="77777777" w:rsidR="00603B8E" w:rsidRPr="00603B8E" w:rsidRDefault="00603B8E" w:rsidP="00603B8E">
      <w:pPr>
        <w:pStyle w:val="Titolo2"/>
        <w:jc w:val="both"/>
        <w:rPr>
          <w:b/>
          <w:bCs/>
          <w:sz w:val="20"/>
          <w:lang w:val="en-GB"/>
        </w:rPr>
      </w:pPr>
      <w:r w:rsidRPr="00603B8E">
        <w:rPr>
          <w:b/>
          <w:bCs/>
          <w:sz w:val="20"/>
          <w:lang w:val="en-GB"/>
        </w:rPr>
        <w:t>3.1. Online questionnaire</w:t>
      </w:r>
    </w:p>
    <w:p w14:paraId="2A200A1B" w14:textId="77777777" w:rsidR="00603B8E" w:rsidRDefault="00603B8E" w:rsidP="00603B8E">
      <w:pPr>
        <w:jc w:val="both"/>
        <w:rPr>
          <w:lang w:val="en-US"/>
        </w:rPr>
      </w:pPr>
      <w:r w:rsidRPr="009313EE">
        <w:rPr>
          <w:lang w:val="en-GB"/>
        </w:rPr>
        <w:t>Figure 1a is a representation of the subjects on the first two dimensions extracted by MFA accounting for 62.94% of the variance. Subjects were well separated in terms of provenance and age</w:t>
      </w:r>
      <w:r>
        <w:rPr>
          <w:lang w:val="en-GB"/>
        </w:rPr>
        <w:t>, indeed Spanish subjects are located in the upper part of the graph, while the Italian subjects are located in the lower part of the graph; as well as, the younger subjects are located in the left part of the graph, while the adults are in the right part of the graph</w:t>
      </w:r>
      <w:r w:rsidRPr="009313EE">
        <w:rPr>
          <w:lang w:val="en-GB"/>
        </w:rPr>
        <w:t xml:space="preserve">. Figure 1b allows observing the variables which characterize the subjects and the associations among them. </w:t>
      </w:r>
      <w:r>
        <w:rPr>
          <w:lang w:val="en-GB"/>
        </w:rPr>
        <w:t>Adult</w:t>
      </w:r>
      <w:r w:rsidRPr="009313EE">
        <w:rPr>
          <w:lang w:val="en-GB"/>
        </w:rPr>
        <w:t xml:space="preserve"> Spanish subjects consume more fish than Italian ones, on the other hand, Italian subjects like fish more than Spanish. Also, </w:t>
      </w:r>
      <w:r>
        <w:rPr>
          <w:lang w:val="en-GB"/>
        </w:rPr>
        <w:t>adult</w:t>
      </w:r>
      <w:r w:rsidRPr="009313EE">
        <w:rPr>
          <w:lang w:val="en-GB"/>
        </w:rPr>
        <w:t xml:space="preserve"> Spanish subjects consume more fresh fish, while </w:t>
      </w:r>
      <w:r>
        <w:rPr>
          <w:lang w:val="en-GB"/>
        </w:rPr>
        <w:t>adult</w:t>
      </w:r>
      <w:r w:rsidRPr="009313EE">
        <w:rPr>
          <w:lang w:val="en-GB"/>
        </w:rPr>
        <w:t xml:space="preserve"> Italian subjects are more familiar with frozen and canned fish. Focusing the attention on sustainability and traceability, young subjects </w:t>
      </w:r>
      <w:r>
        <w:rPr>
          <w:lang w:val="en-GB"/>
        </w:rPr>
        <w:t>resulted</w:t>
      </w:r>
      <w:r w:rsidRPr="009313EE">
        <w:rPr>
          <w:lang w:val="en-GB"/>
        </w:rPr>
        <w:t xml:space="preserve"> more familiar with </w:t>
      </w:r>
      <w:r>
        <w:rPr>
          <w:lang w:val="en-GB"/>
        </w:rPr>
        <w:t xml:space="preserve">sustainability </w:t>
      </w:r>
      <w:r w:rsidRPr="009313EE">
        <w:rPr>
          <w:lang w:val="en-GB"/>
        </w:rPr>
        <w:t>label</w:t>
      </w:r>
      <w:r>
        <w:rPr>
          <w:lang w:val="en-GB"/>
        </w:rPr>
        <w:t>s</w:t>
      </w:r>
      <w:r w:rsidRPr="009313EE">
        <w:rPr>
          <w:lang w:val="en-GB"/>
        </w:rPr>
        <w:t xml:space="preserve"> than adult ones</w:t>
      </w:r>
      <w:r>
        <w:rPr>
          <w:lang w:val="en-GB"/>
        </w:rPr>
        <w:t xml:space="preserve">, while the adults were more </w:t>
      </w:r>
      <w:r w:rsidRPr="006277CE">
        <w:rPr>
          <w:lang w:val="en-GB"/>
        </w:rPr>
        <w:t>interested in traceability</w:t>
      </w:r>
      <w:r>
        <w:rPr>
          <w:lang w:val="en-GB"/>
        </w:rPr>
        <w:t xml:space="preserve">. </w:t>
      </w:r>
      <w:r w:rsidRPr="00942743">
        <w:rPr>
          <w:lang w:val="en-GB"/>
        </w:rPr>
        <w:t xml:space="preserve">Although </w:t>
      </w:r>
      <w:r>
        <w:rPr>
          <w:lang w:val="en-GB"/>
        </w:rPr>
        <w:t>subjects</w:t>
      </w:r>
      <w:r w:rsidRPr="00942743">
        <w:rPr>
          <w:lang w:val="en-GB"/>
        </w:rPr>
        <w:t xml:space="preserve"> have become more sensitive to environmental issues</w:t>
      </w:r>
      <w:r>
        <w:rPr>
          <w:lang w:val="en-GB"/>
        </w:rPr>
        <w:t xml:space="preserve"> </w:t>
      </w:r>
      <w:r w:rsidRPr="006E1FC0">
        <w:rPr>
          <w:rFonts w:eastAsia="Calibri"/>
          <w:noProof/>
          <w:lang w:val="en-GB" w:eastAsia="en-US"/>
        </w:rPr>
        <w:t>(Pucci et al., 2020)</w:t>
      </w:r>
      <w:r w:rsidRPr="00942743">
        <w:rPr>
          <w:lang w:val="en-GB"/>
        </w:rPr>
        <w:t xml:space="preserve">, our results confirm the low awareness of fish sustainability labels due to </w:t>
      </w:r>
      <w:r>
        <w:rPr>
          <w:lang w:val="en-GB"/>
        </w:rPr>
        <w:t xml:space="preserve">a </w:t>
      </w:r>
      <w:r w:rsidRPr="00942743">
        <w:rPr>
          <w:lang w:val="en-GB"/>
        </w:rPr>
        <w:t>lack of information on this topic, as reported by</w:t>
      </w:r>
      <w:r>
        <w:rPr>
          <w:lang w:val="en-GB"/>
        </w:rPr>
        <w:t xml:space="preserve"> </w:t>
      </w:r>
      <w:r w:rsidRPr="00942743">
        <w:rPr>
          <w:lang w:val="en-US"/>
        </w:rPr>
        <w:t xml:space="preserve">Garcìa-Herrero </w:t>
      </w:r>
      <w:r w:rsidRPr="00942743">
        <w:rPr>
          <w:i/>
          <w:iCs/>
          <w:lang w:val="en-US"/>
        </w:rPr>
        <w:t>et al</w:t>
      </w:r>
      <w:r w:rsidRPr="00942743">
        <w:rPr>
          <w:lang w:val="en-US"/>
        </w:rPr>
        <w:t xml:space="preserve">. </w:t>
      </w:r>
      <w:r>
        <w:rPr>
          <w:lang w:val="en-US"/>
        </w:rPr>
        <w:t>(</w:t>
      </w:r>
      <w:r w:rsidRPr="00942743">
        <w:rPr>
          <w:lang w:val="en-US"/>
        </w:rPr>
        <w:t>2019</w:t>
      </w:r>
      <w:r>
        <w:rPr>
          <w:lang w:val="en-US"/>
        </w:rPr>
        <w:t>).</w:t>
      </w:r>
    </w:p>
    <w:p w14:paraId="2A306555" w14:textId="54FDEF26" w:rsidR="00603B8E" w:rsidRPr="00C868CD" w:rsidRDefault="00603B8E" w:rsidP="00603B8E">
      <w:pPr>
        <w:suppressAutoHyphens w:val="0"/>
        <w:autoSpaceDE w:val="0"/>
        <w:autoSpaceDN w:val="0"/>
        <w:adjustRightInd w:val="0"/>
        <w:spacing w:before="300" w:after="300" w:line="259" w:lineRule="auto"/>
        <w:jc w:val="center"/>
        <w:rPr>
          <w:rFonts w:eastAsia="Calibri"/>
          <w:i/>
          <w:iCs/>
          <w:sz w:val="18"/>
          <w:szCs w:val="18"/>
          <w:lang w:val="en-GB" w:eastAsia="en-US"/>
        </w:rPr>
      </w:pPr>
      <w:r w:rsidRPr="00516186">
        <w:rPr>
          <w:rFonts w:ascii="Arial" w:eastAsia="Calibri" w:hAnsi="Arial" w:cs="Arial"/>
          <w:noProof/>
          <w:sz w:val="22"/>
          <w:szCs w:val="24"/>
          <w:lang w:val="en-GB" w:eastAsia="en-GB"/>
        </w:rPr>
        <w:lastRenderedPageBreak/>
        <w:drawing>
          <wp:inline distT="0" distB="0" distL="0" distR="0" wp14:anchorId="5262ED0D" wp14:editId="16176ED4">
            <wp:extent cx="2520000" cy="2520000"/>
            <wp:effectExtent l="0" t="0" r="13970" b="13970"/>
            <wp:docPr id="1299327665" name="Grafico 12993276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516186">
        <w:rPr>
          <w:rFonts w:ascii="Arial" w:eastAsia="Calibri" w:hAnsi="Arial" w:cs="Arial"/>
          <w:noProof/>
          <w:sz w:val="24"/>
          <w:szCs w:val="24"/>
          <w:lang w:val="en-GB" w:eastAsia="en-GB"/>
        </w:rPr>
        <w:drawing>
          <wp:inline distT="0" distB="0" distL="0" distR="0" wp14:anchorId="2F6F3FF7" wp14:editId="7A21FFC2">
            <wp:extent cx="2520000" cy="2520000"/>
            <wp:effectExtent l="0" t="0" r="13970" b="13970"/>
            <wp:docPr id="1447104200" name="Grafico 1447104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eastAsia="Calibri"/>
          <w:lang w:val="en-GB" w:eastAsia="en-US"/>
        </w:rPr>
        <w:t xml:space="preserve">                </w:t>
      </w:r>
      <w:r w:rsidRPr="00C868CD">
        <w:rPr>
          <w:rFonts w:eastAsia="Calibri"/>
          <w:lang w:val="en-GB" w:eastAsia="en-US"/>
        </w:rPr>
        <w:t xml:space="preserve">        </w:t>
      </w:r>
      <w:r w:rsidRPr="00E218B9">
        <w:rPr>
          <w:rFonts w:eastAsia="Calibri"/>
          <w:b/>
          <w:bCs/>
          <w:sz w:val="18"/>
          <w:szCs w:val="18"/>
          <w:lang w:val="en-GB" w:eastAsia="en-US"/>
        </w:rPr>
        <w:t>Figure 1</w:t>
      </w:r>
      <w:r w:rsidRPr="00C868CD">
        <w:rPr>
          <w:rFonts w:eastAsia="Calibri"/>
          <w:i/>
          <w:iCs/>
          <w:sz w:val="18"/>
          <w:szCs w:val="18"/>
          <w:lang w:val="en-GB" w:eastAsia="en-US"/>
        </w:rPr>
        <w:t>- Observation map</w:t>
      </w:r>
      <w:r w:rsidR="00E218B9">
        <w:rPr>
          <w:rFonts w:eastAsia="Calibri"/>
          <w:i/>
          <w:iCs/>
          <w:sz w:val="18"/>
          <w:szCs w:val="18"/>
          <w:lang w:val="en-GB" w:eastAsia="en-US"/>
        </w:rPr>
        <w:t xml:space="preserve"> (</w:t>
      </w:r>
      <w:r w:rsidR="00E218B9" w:rsidRPr="00E218B9">
        <w:rPr>
          <w:rFonts w:eastAsia="Calibri"/>
          <w:b/>
          <w:bCs/>
          <w:i/>
          <w:iCs/>
          <w:sz w:val="18"/>
          <w:szCs w:val="18"/>
          <w:lang w:val="en-GB" w:eastAsia="en-US"/>
        </w:rPr>
        <w:t>a</w:t>
      </w:r>
      <w:r w:rsidR="00E218B9">
        <w:rPr>
          <w:rFonts w:eastAsia="Calibri"/>
          <w:i/>
          <w:iCs/>
          <w:sz w:val="18"/>
          <w:szCs w:val="18"/>
          <w:lang w:val="en-GB" w:eastAsia="en-US"/>
        </w:rPr>
        <w:t xml:space="preserve">) and </w:t>
      </w:r>
      <w:r w:rsidRPr="00C868CD">
        <w:rPr>
          <w:rFonts w:eastAsia="Calibri"/>
          <w:i/>
          <w:iCs/>
          <w:sz w:val="18"/>
          <w:szCs w:val="18"/>
          <w:lang w:val="en-GB" w:eastAsia="en-US"/>
        </w:rPr>
        <w:t>Variables map</w:t>
      </w:r>
      <w:r w:rsidR="00E218B9">
        <w:rPr>
          <w:rFonts w:eastAsia="Calibri"/>
          <w:i/>
          <w:iCs/>
          <w:sz w:val="18"/>
          <w:szCs w:val="18"/>
          <w:lang w:val="en-GB" w:eastAsia="en-US"/>
        </w:rPr>
        <w:t xml:space="preserve"> (</w:t>
      </w:r>
      <w:r w:rsidR="00E218B9" w:rsidRPr="00E218B9">
        <w:rPr>
          <w:rFonts w:eastAsia="Calibri"/>
          <w:b/>
          <w:bCs/>
          <w:i/>
          <w:iCs/>
          <w:sz w:val="18"/>
          <w:szCs w:val="18"/>
          <w:lang w:val="en-GB" w:eastAsia="en-US"/>
        </w:rPr>
        <w:t>b</w:t>
      </w:r>
      <w:r w:rsidR="00E218B9">
        <w:rPr>
          <w:rFonts w:eastAsia="Calibri"/>
          <w:i/>
          <w:iCs/>
          <w:sz w:val="18"/>
          <w:szCs w:val="18"/>
          <w:lang w:val="en-GB" w:eastAsia="en-US"/>
        </w:rPr>
        <w:t>)</w:t>
      </w:r>
      <w:r w:rsidRPr="00C868CD">
        <w:rPr>
          <w:rFonts w:eastAsia="Calibri"/>
          <w:i/>
          <w:iCs/>
          <w:sz w:val="18"/>
          <w:szCs w:val="18"/>
          <w:lang w:val="en-GB" w:eastAsia="en-US"/>
        </w:rPr>
        <w:t xml:space="preserve"> – MFA results</w:t>
      </w:r>
    </w:p>
    <w:p w14:paraId="1DAC3836" w14:textId="3776F39E" w:rsidR="00603B8E" w:rsidRPr="00603B8E" w:rsidRDefault="00603B8E" w:rsidP="00603B8E">
      <w:pPr>
        <w:pStyle w:val="Titolo2"/>
        <w:jc w:val="both"/>
        <w:rPr>
          <w:b/>
          <w:bCs/>
          <w:sz w:val="20"/>
          <w:lang w:val="en-GB"/>
        </w:rPr>
      </w:pPr>
      <w:r w:rsidRPr="00603B8E">
        <w:rPr>
          <w:b/>
          <w:bCs/>
          <w:sz w:val="20"/>
          <w:lang w:val="en-GB"/>
        </w:rPr>
        <w:t>3.2. Consumer test</w:t>
      </w:r>
    </w:p>
    <w:p w14:paraId="72F52A49" w14:textId="77777777" w:rsidR="00603B8E" w:rsidRPr="001752C5" w:rsidRDefault="00603B8E" w:rsidP="00603B8E">
      <w:pPr>
        <w:jc w:val="both"/>
        <w:rPr>
          <w:lang w:val="en-GB"/>
        </w:rPr>
      </w:pPr>
      <w:r w:rsidRPr="001752C5">
        <w:rPr>
          <w:lang w:val="en-GB"/>
        </w:rPr>
        <w:t>The consumer test carried out on 100 Italian and 100 Spanish subjects showed that liking scores for the attributes assessed on both raw and cooked tuna samples increased when the sustainability label information was provided</w:t>
      </w:r>
      <w:r>
        <w:rPr>
          <w:lang w:val="en-GB"/>
        </w:rPr>
        <w:t xml:space="preserve"> (Figure 2a-b)</w:t>
      </w:r>
      <w:r w:rsidRPr="001752C5">
        <w:rPr>
          <w:lang w:val="en-GB"/>
        </w:rPr>
        <w:t>. Specifically, statistical analysis showed significant differences in overall liking in Italy</w:t>
      </w:r>
      <w:r>
        <w:rPr>
          <w:lang w:val="en-GB"/>
        </w:rPr>
        <w:t xml:space="preserve"> </w:t>
      </w:r>
      <w:r w:rsidRPr="009313EE">
        <w:rPr>
          <w:lang w:val="en-GB"/>
        </w:rPr>
        <w:t>(p≤0.05)</w:t>
      </w:r>
      <w:r w:rsidRPr="001752C5">
        <w:rPr>
          <w:lang w:val="en-GB"/>
        </w:rPr>
        <w:t xml:space="preserve">, </w:t>
      </w:r>
      <w:r>
        <w:rPr>
          <w:lang w:val="en-GB"/>
        </w:rPr>
        <w:t>and in</w:t>
      </w:r>
      <w:r w:rsidRPr="001752C5">
        <w:rPr>
          <w:lang w:val="en-GB"/>
        </w:rPr>
        <w:t xml:space="preserve"> overall liking and appearance </w:t>
      </w:r>
      <w:r>
        <w:rPr>
          <w:lang w:val="en-GB"/>
        </w:rPr>
        <w:t xml:space="preserve">in Spain </w:t>
      </w:r>
      <w:r w:rsidRPr="009313EE">
        <w:rPr>
          <w:lang w:val="en-GB"/>
        </w:rPr>
        <w:t>(p≤0.05)</w:t>
      </w:r>
      <w:r w:rsidRPr="001752C5">
        <w:rPr>
          <w:lang w:val="en-GB"/>
        </w:rPr>
        <w:t>.</w:t>
      </w:r>
    </w:p>
    <w:p w14:paraId="426414FA" w14:textId="77777777" w:rsidR="00603B8E" w:rsidRDefault="00603B8E" w:rsidP="00603B8E">
      <w:pPr>
        <w:jc w:val="both"/>
        <w:rPr>
          <w:lang w:val="en-GB"/>
        </w:rPr>
      </w:pPr>
      <w:r w:rsidRPr="009313EE">
        <w:rPr>
          <w:lang w:val="en-GB"/>
        </w:rPr>
        <w:t xml:space="preserve">Despite </w:t>
      </w:r>
      <w:bookmarkStart w:id="2" w:name="_Hlk105061602"/>
      <w:r>
        <w:rPr>
          <w:lang w:val="en-GB"/>
        </w:rPr>
        <w:t xml:space="preserve">the </w:t>
      </w:r>
      <w:r w:rsidRPr="009313EE">
        <w:rPr>
          <w:lang w:val="en-GB"/>
        </w:rPr>
        <w:t xml:space="preserve">subjects </w:t>
      </w:r>
      <w:r>
        <w:rPr>
          <w:lang w:val="en-GB"/>
        </w:rPr>
        <w:t>demonstrated</w:t>
      </w:r>
      <w:r w:rsidRPr="009313EE">
        <w:rPr>
          <w:lang w:val="en-GB"/>
        </w:rPr>
        <w:t xml:space="preserve"> to have a limited knowledge of </w:t>
      </w:r>
      <w:r>
        <w:rPr>
          <w:lang w:val="en-GB"/>
        </w:rPr>
        <w:t xml:space="preserve">sustainability </w:t>
      </w:r>
      <w:r w:rsidRPr="009313EE">
        <w:rPr>
          <w:lang w:val="en-GB"/>
        </w:rPr>
        <w:t>labels and the different aspects they cover (Hoek et al., 2021)</w:t>
      </w:r>
      <w:bookmarkEnd w:id="2"/>
      <w:r w:rsidRPr="009313EE">
        <w:rPr>
          <w:lang w:val="en-GB"/>
        </w:rPr>
        <w:t xml:space="preserve">, the sustainability label information increased the evaluated scores. </w:t>
      </w:r>
      <w:r w:rsidRPr="00FB11E5">
        <w:rPr>
          <w:lang w:val="en-GB"/>
        </w:rPr>
        <w:t>As reported by other authors, the addition of external information (brand, labels) provided at the time of purchase can greatly influence product perceptions and choices</w:t>
      </w:r>
      <w:r>
        <w:rPr>
          <w:lang w:val="en-GB"/>
        </w:rPr>
        <w:t xml:space="preserve"> (</w:t>
      </w:r>
      <w:r w:rsidRPr="00FB11E5">
        <w:rPr>
          <w:lang w:val="en-GB"/>
        </w:rPr>
        <w:t>Olsen, 2003</w:t>
      </w:r>
      <w:r>
        <w:rPr>
          <w:lang w:val="en-GB"/>
        </w:rPr>
        <w:t xml:space="preserve">; </w:t>
      </w:r>
      <w:r w:rsidRPr="00FB11E5">
        <w:rPr>
          <w:lang w:val="en-GB"/>
        </w:rPr>
        <w:t>Altintzoglou and Heide, 2016)</w:t>
      </w:r>
      <w:r>
        <w:rPr>
          <w:lang w:val="en-GB"/>
        </w:rPr>
        <w:t xml:space="preserve">. </w:t>
      </w:r>
    </w:p>
    <w:p w14:paraId="14858860" w14:textId="66E65428" w:rsidR="00603B8E" w:rsidRPr="000A68F5" w:rsidRDefault="00E218B9" w:rsidP="00603B8E">
      <w:pPr>
        <w:spacing w:before="300" w:after="300"/>
        <w:jc w:val="center"/>
        <w:rPr>
          <w:rFonts w:eastAsia="Calibri"/>
          <w:i/>
          <w:iCs/>
          <w:sz w:val="18"/>
          <w:szCs w:val="18"/>
          <w:lang w:val="en-GB" w:eastAsia="en-US"/>
        </w:rPr>
      </w:pPr>
      <w:r>
        <w:rPr>
          <w:noProof/>
        </w:rPr>
        <mc:AlternateContent>
          <mc:Choice Requires="wps">
            <w:drawing>
              <wp:anchor distT="0" distB="0" distL="114300" distR="114300" simplePos="0" relativeHeight="251659264" behindDoc="0" locked="0" layoutInCell="1" allowOverlap="1" wp14:anchorId="5846D188" wp14:editId="4DF888D7">
                <wp:simplePos x="0" y="0"/>
                <wp:positionH relativeFrom="column">
                  <wp:posOffset>3230880</wp:posOffset>
                </wp:positionH>
                <wp:positionV relativeFrom="paragraph">
                  <wp:posOffset>281940</wp:posOffset>
                </wp:positionV>
                <wp:extent cx="281940" cy="297180"/>
                <wp:effectExtent l="0" t="0" r="0" b="0"/>
                <wp:wrapNone/>
                <wp:docPr id="2" name="Casella di testo 1"/>
                <wp:cNvGraphicFramePr/>
                <a:graphic xmlns:a="http://schemas.openxmlformats.org/drawingml/2006/main">
                  <a:graphicData uri="http://schemas.microsoft.com/office/word/2010/wordprocessingShape">
                    <wps:wsp>
                      <wps:cNvSpPr txBox="1"/>
                      <wps:spPr>
                        <a:xfrm>
                          <a:off x="0" y="0"/>
                          <a:ext cx="281940" cy="297180"/>
                        </a:xfrm>
                        <a:prstGeom prst="rect">
                          <a:avLst/>
                        </a:prstGeom>
                      </wps:spPr>
                      <wps:txbx>
                        <w:txbxContent>
                          <w:p w14:paraId="19BFA615" w14:textId="2F7E2C76" w:rsidR="00E218B9" w:rsidRDefault="00E218B9" w:rsidP="00E218B9">
                            <w:pPr>
                              <w:rPr>
                                <w:rFonts w:asciiTheme="minorHAnsi" w:hAnsi="Calibri" w:cstheme="minorBidi"/>
                                <w:b/>
                                <w:bCs/>
                              </w:rPr>
                            </w:pPr>
                            <w:r>
                              <w:rPr>
                                <w:rFonts w:asciiTheme="minorHAnsi" w:hAnsi="Calibri" w:cstheme="minorBidi"/>
                                <w:b/>
                                <w:bCs/>
                              </w:rPr>
                              <w:t>b</w:t>
                            </w:r>
                          </w:p>
                        </w:txbxContent>
                      </wps:txbx>
                      <wps:bodyPr wrap="square" rtlCol="0"/>
                    </wps:wsp>
                  </a:graphicData>
                </a:graphic>
              </wp:anchor>
            </w:drawing>
          </mc:Choice>
          <mc:Fallback>
            <w:pict>
              <v:shapetype w14:anchorId="5846D188" id="_x0000_t202" coordsize="21600,21600" o:spt="202" path="m,l,21600r21600,l21600,xe">
                <v:stroke joinstyle="miter"/>
                <v:path gradientshapeok="t" o:connecttype="rect"/>
              </v:shapetype>
              <v:shape id="Casella di testo 1" o:spid="_x0000_s1026" type="#_x0000_t202" style="position:absolute;left:0;text-align:left;margin-left:254.4pt;margin-top:22.2pt;width:22.2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" filled="f" stroked="f">
                <v:textbox>
                  <w:txbxContent>
                    <w:p w14:paraId="19BFA615" w14:textId="2F7E2C76" w:rsidR="00E218B9" w:rsidRDefault="00E218B9" w:rsidP="00E218B9">
                      <w:pPr>
                        <w:rPr>
                          <w:rFonts w:asciiTheme="minorHAnsi" w:hAnsi="Calibri" w:cstheme="minorBidi"/>
                          <w:b/>
                          <w:bCs/>
                        </w:rPr>
                      </w:pPr>
                      <w:r>
                        <w:rPr>
                          <w:rFonts w:asciiTheme="minorHAnsi" w:hAnsi="Calibri" w:cstheme="minorBidi"/>
                          <w:b/>
                          <w:bCs/>
                        </w:rPr>
                        <w:t>b</w:t>
                      </w:r>
                    </w:p>
                  </w:txbxContent>
                </v:textbox>
              </v:shape>
            </w:pict>
          </mc:Fallback>
        </mc:AlternateContent>
      </w:r>
      <w:r w:rsidR="00603B8E">
        <w:rPr>
          <w:noProof/>
        </w:rPr>
        <w:drawing>
          <wp:inline distT="0" distB="0" distL="0" distR="0" wp14:anchorId="4325FB81" wp14:editId="6F29F5C8">
            <wp:extent cx="2160000" cy="2160000"/>
            <wp:effectExtent l="0" t="0" r="0" b="0"/>
            <wp:docPr id="30359643" name="Grafico 30359643">
              <a:extLst xmlns:a="http://schemas.openxmlformats.org/drawingml/2006/main">
                <a:ext uri="{FF2B5EF4-FFF2-40B4-BE49-F238E27FC236}">
                  <a16:creationId xmlns:a16="http://schemas.microsoft.com/office/drawing/2014/main" id="{06AD6393-6E65-C6BF-F7C9-DBA164613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03B8E">
        <w:rPr>
          <w:noProof/>
        </w:rPr>
        <w:drawing>
          <wp:inline distT="0" distB="0" distL="0" distR="0" wp14:anchorId="467CC0AA" wp14:editId="3AF80ECD">
            <wp:extent cx="2160000" cy="2160000"/>
            <wp:effectExtent l="0" t="0" r="0" b="0"/>
            <wp:docPr id="17" name="Grafico 17">
              <a:extLst xmlns:a="http://schemas.openxmlformats.org/drawingml/2006/main">
                <a:ext uri="{FF2B5EF4-FFF2-40B4-BE49-F238E27FC236}">
                  <a16:creationId xmlns:a16="http://schemas.microsoft.com/office/drawing/2014/main" id="{AB55885E-ACA6-41BD-AF45-4337F2F7A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3" w:name="_Hlk134021176"/>
      <w:r w:rsidR="00603B8E">
        <w:rPr>
          <w:rFonts w:eastAsia="Calibri"/>
          <w:i/>
          <w:iCs/>
          <w:sz w:val="18"/>
          <w:szCs w:val="18"/>
          <w:lang w:val="en-GB" w:eastAsia="en-US"/>
        </w:rPr>
        <w:t xml:space="preserve">                                                   </w:t>
      </w:r>
      <w:r w:rsidR="00603B8E" w:rsidRPr="00E218B9">
        <w:rPr>
          <w:rFonts w:eastAsia="Calibri"/>
          <w:b/>
          <w:bCs/>
          <w:sz w:val="18"/>
          <w:szCs w:val="18"/>
          <w:lang w:val="en-GB" w:eastAsia="en-US"/>
        </w:rPr>
        <w:t>Figure 2</w:t>
      </w:r>
      <w:r w:rsidR="00603B8E" w:rsidRPr="00C868CD">
        <w:rPr>
          <w:rFonts w:eastAsia="Calibri"/>
          <w:i/>
          <w:iCs/>
          <w:sz w:val="18"/>
          <w:szCs w:val="18"/>
          <w:lang w:val="en-GB" w:eastAsia="en-US"/>
        </w:rPr>
        <w:t xml:space="preserve">- </w:t>
      </w:r>
      <w:r w:rsidR="00603B8E">
        <w:rPr>
          <w:rFonts w:eastAsia="Calibri"/>
          <w:i/>
          <w:iCs/>
          <w:sz w:val="18"/>
          <w:szCs w:val="18"/>
          <w:lang w:val="en-GB" w:eastAsia="en-US"/>
        </w:rPr>
        <w:t>Average liking score in Italy</w:t>
      </w:r>
      <w:r>
        <w:rPr>
          <w:rFonts w:eastAsia="Calibri"/>
          <w:i/>
          <w:iCs/>
          <w:sz w:val="18"/>
          <w:szCs w:val="18"/>
          <w:lang w:val="en-GB" w:eastAsia="en-US"/>
        </w:rPr>
        <w:t xml:space="preserve"> (</w:t>
      </w:r>
      <w:r>
        <w:rPr>
          <w:rFonts w:eastAsia="Calibri"/>
          <w:b/>
          <w:bCs/>
          <w:i/>
          <w:iCs/>
          <w:sz w:val="18"/>
          <w:szCs w:val="18"/>
          <w:lang w:val="en-GB" w:eastAsia="en-US"/>
        </w:rPr>
        <w:t>a)</w:t>
      </w:r>
      <w:r>
        <w:rPr>
          <w:rFonts w:eastAsia="Calibri"/>
          <w:i/>
          <w:iCs/>
          <w:sz w:val="18"/>
          <w:szCs w:val="18"/>
          <w:lang w:val="en-GB" w:eastAsia="en-US"/>
        </w:rPr>
        <w:t>and</w:t>
      </w:r>
      <w:r w:rsidR="00603B8E" w:rsidRPr="00C868CD">
        <w:rPr>
          <w:rFonts w:eastAsia="Calibri"/>
          <w:i/>
          <w:iCs/>
          <w:sz w:val="18"/>
          <w:szCs w:val="18"/>
          <w:lang w:val="en-GB" w:eastAsia="en-US"/>
        </w:rPr>
        <w:t xml:space="preserve"> </w:t>
      </w:r>
      <w:r>
        <w:rPr>
          <w:rFonts w:eastAsia="Calibri"/>
          <w:i/>
          <w:iCs/>
          <w:sz w:val="18"/>
          <w:szCs w:val="18"/>
          <w:lang w:val="en-GB" w:eastAsia="en-US"/>
        </w:rPr>
        <w:t>a</w:t>
      </w:r>
      <w:r w:rsidR="00603B8E">
        <w:rPr>
          <w:rFonts w:eastAsia="Calibri"/>
          <w:i/>
          <w:iCs/>
          <w:sz w:val="18"/>
          <w:szCs w:val="18"/>
          <w:lang w:val="en-GB" w:eastAsia="en-US"/>
        </w:rPr>
        <w:t>verage liking score in Spain</w:t>
      </w:r>
      <w:r>
        <w:rPr>
          <w:rFonts w:eastAsia="Calibri"/>
          <w:i/>
          <w:iCs/>
          <w:sz w:val="18"/>
          <w:szCs w:val="18"/>
          <w:lang w:val="en-GB" w:eastAsia="en-US"/>
        </w:rPr>
        <w:t xml:space="preserve"> (</w:t>
      </w:r>
      <w:r>
        <w:rPr>
          <w:rFonts w:eastAsia="Calibri"/>
          <w:b/>
          <w:bCs/>
          <w:i/>
          <w:iCs/>
          <w:sz w:val="18"/>
          <w:szCs w:val="18"/>
          <w:lang w:val="en-GB" w:eastAsia="en-US"/>
        </w:rPr>
        <w:t>b</w:t>
      </w:r>
      <w:r>
        <w:rPr>
          <w:rFonts w:eastAsia="Calibri"/>
          <w:i/>
          <w:iCs/>
          <w:sz w:val="18"/>
          <w:szCs w:val="18"/>
          <w:lang w:val="en-GB" w:eastAsia="en-US"/>
        </w:rPr>
        <w:t>)</w:t>
      </w:r>
      <w:r w:rsidR="00603B8E">
        <w:rPr>
          <w:rFonts w:eastAsia="Calibri"/>
          <w:i/>
          <w:iCs/>
          <w:sz w:val="18"/>
          <w:szCs w:val="18"/>
          <w:lang w:val="en-GB" w:eastAsia="en-US"/>
        </w:rPr>
        <w:t xml:space="preserve">. </w:t>
      </w:r>
      <w:r w:rsidR="00603B8E" w:rsidRPr="000A68F5">
        <w:rPr>
          <w:rFonts w:eastAsia="Calibri"/>
          <w:i/>
          <w:iCs/>
          <w:sz w:val="18"/>
          <w:szCs w:val="18"/>
          <w:lang w:val="en-GB" w:eastAsia="en-US"/>
        </w:rPr>
        <w:t>Asterisks indicate significant differences (* p&lt;0.05; ** p&lt;0.01; *** p&lt;0.001)</w:t>
      </w:r>
    </w:p>
    <w:bookmarkEnd w:id="3"/>
    <w:p w14:paraId="61CD7E46" w14:textId="77777777" w:rsidR="00603B8E" w:rsidRPr="00603B8E" w:rsidRDefault="00603B8E" w:rsidP="00603B8E">
      <w:pPr>
        <w:pStyle w:val="Titolo2"/>
        <w:jc w:val="both"/>
        <w:rPr>
          <w:b/>
          <w:bCs/>
          <w:sz w:val="20"/>
          <w:lang w:val="en-GB"/>
        </w:rPr>
      </w:pPr>
      <w:r w:rsidRPr="00603B8E">
        <w:rPr>
          <w:b/>
          <w:bCs/>
          <w:sz w:val="20"/>
          <w:lang w:val="en-GB"/>
        </w:rPr>
        <w:t>3.3. Descriptive analysis</w:t>
      </w:r>
    </w:p>
    <w:p w14:paraId="23723480" w14:textId="77777777" w:rsidR="00603B8E" w:rsidRPr="00870593" w:rsidRDefault="00603B8E" w:rsidP="00603B8E">
      <w:pPr>
        <w:jc w:val="both"/>
        <w:rPr>
          <w:lang w:val="en-GB"/>
        </w:rPr>
      </w:pPr>
      <w:r w:rsidRPr="00870593">
        <w:rPr>
          <w:lang w:val="en-GB"/>
        </w:rPr>
        <w:t xml:space="preserve">Classical descriptive analysis (QDA) </w:t>
      </w:r>
      <w:r>
        <w:rPr>
          <w:lang w:val="en-GB"/>
        </w:rPr>
        <w:t>was useful</w:t>
      </w:r>
      <w:r w:rsidRPr="00870593">
        <w:rPr>
          <w:lang w:val="en-GB"/>
        </w:rPr>
        <w:t xml:space="preserve"> to characterise and discriminate the two tuna species treated. Preliminary </w:t>
      </w:r>
      <w:r>
        <w:rPr>
          <w:lang w:val="en-GB"/>
        </w:rPr>
        <w:t xml:space="preserve">focus groups were needed </w:t>
      </w:r>
      <w:r w:rsidRPr="00870593">
        <w:rPr>
          <w:lang w:val="en-GB"/>
        </w:rPr>
        <w:t xml:space="preserve">to draw up </w:t>
      </w:r>
      <w:r>
        <w:rPr>
          <w:lang w:val="en-GB"/>
        </w:rPr>
        <w:t>a</w:t>
      </w:r>
      <w:r w:rsidRPr="00870593">
        <w:rPr>
          <w:lang w:val="en-GB"/>
        </w:rPr>
        <w:t xml:space="preserve"> final list of five </w:t>
      </w:r>
      <w:r>
        <w:rPr>
          <w:lang w:val="en-GB"/>
        </w:rPr>
        <w:t xml:space="preserve">descriptive </w:t>
      </w:r>
      <w:r w:rsidRPr="00870593">
        <w:rPr>
          <w:lang w:val="en-GB"/>
        </w:rPr>
        <w:t>attributes for raw tuna and eleven for cooked tuna. The attributes were standardised for the two tuna species to have a single list.</w:t>
      </w:r>
    </w:p>
    <w:p w14:paraId="6F54C9A5" w14:textId="77777777" w:rsidR="00603B8E" w:rsidRDefault="00603B8E" w:rsidP="00603B8E">
      <w:pPr>
        <w:jc w:val="both"/>
        <w:rPr>
          <w:lang w:val="en-GB"/>
        </w:rPr>
      </w:pPr>
      <w:r>
        <w:rPr>
          <w:lang w:val="en-GB"/>
        </w:rPr>
        <w:t>Results showed that the two evaluated species were significantly different from each other in all the descriptive attributes when evaluated as raw (p</w:t>
      </w:r>
      <w:r w:rsidRPr="009313EE">
        <w:rPr>
          <w:lang w:val="en-GB"/>
        </w:rPr>
        <w:t>≤</w:t>
      </w:r>
      <w:r w:rsidRPr="00870593">
        <w:rPr>
          <w:lang w:val="en-GB"/>
        </w:rPr>
        <w:t>0.05). The cooking process, on the other hand, weakened the differences between the two species, in fact, of the eleven attributes assessed, only five showed statistically significant differences (p</w:t>
      </w:r>
      <w:r w:rsidRPr="009313EE">
        <w:rPr>
          <w:lang w:val="en-GB"/>
        </w:rPr>
        <w:t>≤</w:t>
      </w:r>
      <w:r w:rsidRPr="00870593">
        <w:rPr>
          <w:lang w:val="en-GB"/>
        </w:rPr>
        <w:t>0.05)</w:t>
      </w:r>
      <w:r>
        <w:rPr>
          <w:lang w:val="en-GB"/>
        </w:rPr>
        <w:t xml:space="preserve"> (Figure 3a-b)</w:t>
      </w:r>
      <w:r w:rsidRPr="00870593">
        <w:rPr>
          <w:lang w:val="en-GB"/>
        </w:rPr>
        <w:t>.</w:t>
      </w:r>
      <w:r>
        <w:rPr>
          <w:lang w:val="en-GB"/>
        </w:rPr>
        <w:t xml:space="preserve"> </w:t>
      </w:r>
      <w:r w:rsidRPr="008F794A">
        <w:rPr>
          <w:lang w:val="en-GB"/>
        </w:rPr>
        <w:t xml:space="preserve">The results of the descriptive analysis allowed the </w:t>
      </w:r>
      <w:r>
        <w:rPr>
          <w:lang w:val="en-GB"/>
        </w:rPr>
        <w:t>identify peculiar sensory for two tuna species and discriminate</w:t>
      </w:r>
      <w:r w:rsidRPr="008F794A">
        <w:rPr>
          <w:lang w:val="en-GB"/>
        </w:rPr>
        <w:t xml:space="preserve"> between </w:t>
      </w:r>
      <w:r>
        <w:rPr>
          <w:lang w:val="en-GB"/>
        </w:rPr>
        <w:t>them</w:t>
      </w:r>
      <w:r w:rsidRPr="008F794A">
        <w:rPr>
          <w:lang w:val="en-GB"/>
        </w:rPr>
        <w:t>. Although they may seem similar, yellowfin tuna (</w:t>
      </w:r>
      <w:r w:rsidRPr="00CA039A">
        <w:rPr>
          <w:i/>
          <w:iCs/>
          <w:lang w:val="en-GB"/>
        </w:rPr>
        <w:t>Thunnus albacares</w:t>
      </w:r>
      <w:r w:rsidRPr="008F794A">
        <w:rPr>
          <w:lang w:val="en-GB"/>
        </w:rPr>
        <w:t xml:space="preserve">) and </w:t>
      </w:r>
      <w:r>
        <w:rPr>
          <w:lang w:val="en-GB"/>
        </w:rPr>
        <w:t>bluefin tuna</w:t>
      </w:r>
      <w:r w:rsidRPr="008F794A">
        <w:rPr>
          <w:lang w:val="en-GB"/>
        </w:rPr>
        <w:t xml:space="preserve"> (</w:t>
      </w:r>
      <w:r w:rsidRPr="00CA039A">
        <w:rPr>
          <w:i/>
          <w:iCs/>
          <w:lang w:val="en-GB"/>
        </w:rPr>
        <w:t>Thunnus thynnus</w:t>
      </w:r>
      <w:r w:rsidRPr="008F794A">
        <w:rPr>
          <w:lang w:val="en-GB"/>
        </w:rPr>
        <w:t>) have substantial nutritional and economic differences. As reported by</w:t>
      </w:r>
      <w:r>
        <w:rPr>
          <w:lang w:val="en-GB"/>
        </w:rPr>
        <w:t xml:space="preserve"> </w:t>
      </w:r>
      <w:r w:rsidRPr="008F794A">
        <w:rPr>
          <w:noProof/>
          <w:lang w:val="en-GB"/>
        </w:rPr>
        <w:t>Cutarelli et al. (2014</w:t>
      </w:r>
      <w:r w:rsidRPr="008F794A">
        <w:rPr>
          <w:lang w:val="en-GB"/>
        </w:rPr>
        <w:t xml:space="preserve">) one of the possible fraud in the fisheries sector is </w:t>
      </w:r>
      <w:r>
        <w:rPr>
          <w:lang w:val="en-GB"/>
        </w:rPr>
        <w:t>misleading</w:t>
      </w:r>
      <w:r w:rsidRPr="008F794A">
        <w:rPr>
          <w:lang w:val="en-GB"/>
        </w:rPr>
        <w:t xml:space="preserve"> species substitution (e.g. less valuable species sold in place of more valuable species).</w:t>
      </w:r>
    </w:p>
    <w:p w14:paraId="22C8B328" w14:textId="79EECDDB" w:rsidR="00603B8E" w:rsidRPr="00BD7FEC" w:rsidRDefault="00603B8E" w:rsidP="00603B8E">
      <w:pPr>
        <w:spacing w:before="300" w:after="300"/>
        <w:jc w:val="center"/>
        <w:rPr>
          <w:noProof/>
          <w:lang w:val="en-GB"/>
        </w:rPr>
      </w:pPr>
      <w:r>
        <w:rPr>
          <w:noProof/>
        </w:rPr>
        <w:lastRenderedPageBreak/>
        <w:drawing>
          <wp:inline distT="0" distB="0" distL="0" distR="0" wp14:anchorId="595CAE88" wp14:editId="540BFA80">
            <wp:extent cx="2880000" cy="2880000"/>
            <wp:effectExtent l="0" t="0" r="0" b="0"/>
            <wp:docPr id="18" name="Grafico 18">
              <a:extLst xmlns:a="http://schemas.openxmlformats.org/drawingml/2006/main">
                <a:ext uri="{FF2B5EF4-FFF2-40B4-BE49-F238E27FC236}">
                  <a16:creationId xmlns:a16="http://schemas.microsoft.com/office/drawing/2014/main" id="{E4EF56E5-5B5F-0CE4-E377-54997C1C3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4C5C189C" wp14:editId="204B145E">
            <wp:extent cx="2880000" cy="2880000"/>
            <wp:effectExtent l="0" t="0" r="0" b="0"/>
            <wp:docPr id="19" name="Grafico 19">
              <a:extLst xmlns:a="http://schemas.openxmlformats.org/drawingml/2006/main">
                <a:ext uri="{FF2B5EF4-FFF2-40B4-BE49-F238E27FC236}">
                  <a16:creationId xmlns:a16="http://schemas.microsoft.com/office/drawing/2014/main" id="{738EBFB5-2D83-D02D-26F7-E1412B6C5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4" w:name="_Hlk134023187"/>
      <w:r>
        <w:rPr>
          <w:rFonts w:eastAsia="Calibri"/>
          <w:i/>
          <w:iCs/>
          <w:sz w:val="18"/>
          <w:szCs w:val="18"/>
          <w:lang w:val="en-GB" w:eastAsia="en-US"/>
        </w:rPr>
        <w:t xml:space="preserve">  </w:t>
      </w:r>
      <w:r w:rsidRPr="00E218B9">
        <w:rPr>
          <w:rFonts w:eastAsia="Calibri"/>
          <w:b/>
          <w:bCs/>
          <w:sz w:val="18"/>
          <w:szCs w:val="18"/>
          <w:lang w:val="en-GB" w:eastAsia="en-US"/>
        </w:rPr>
        <w:t>Figure 3</w:t>
      </w:r>
      <w:r w:rsidRPr="00C868CD">
        <w:rPr>
          <w:rFonts w:eastAsia="Calibri"/>
          <w:i/>
          <w:iCs/>
          <w:sz w:val="18"/>
          <w:szCs w:val="18"/>
          <w:lang w:val="en-GB" w:eastAsia="en-US"/>
        </w:rPr>
        <w:t>-</w:t>
      </w:r>
      <w:r>
        <w:rPr>
          <w:rFonts w:eastAsia="Calibri"/>
          <w:i/>
          <w:iCs/>
          <w:sz w:val="18"/>
          <w:szCs w:val="18"/>
          <w:lang w:val="en-GB" w:eastAsia="en-US"/>
        </w:rPr>
        <w:t>Raw tuna evaluation</w:t>
      </w:r>
      <w:r w:rsidR="00E218B9">
        <w:rPr>
          <w:rFonts w:eastAsia="Calibri"/>
          <w:i/>
          <w:iCs/>
          <w:sz w:val="18"/>
          <w:szCs w:val="18"/>
          <w:lang w:val="en-GB" w:eastAsia="en-US"/>
        </w:rPr>
        <w:t xml:space="preserve"> (</w:t>
      </w:r>
      <w:r w:rsidR="00E218B9">
        <w:rPr>
          <w:rFonts w:eastAsia="Calibri"/>
          <w:b/>
          <w:bCs/>
          <w:i/>
          <w:iCs/>
          <w:sz w:val="18"/>
          <w:szCs w:val="18"/>
          <w:lang w:val="en-GB" w:eastAsia="en-US"/>
        </w:rPr>
        <w:t>a</w:t>
      </w:r>
      <w:r w:rsidR="00E218B9">
        <w:rPr>
          <w:rFonts w:eastAsia="Calibri"/>
          <w:i/>
          <w:iCs/>
          <w:sz w:val="18"/>
          <w:szCs w:val="18"/>
          <w:lang w:val="en-GB" w:eastAsia="en-US"/>
        </w:rPr>
        <w:t>)and</w:t>
      </w:r>
      <w:r w:rsidRPr="00C868CD">
        <w:rPr>
          <w:rFonts w:eastAsia="Calibri"/>
          <w:i/>
          <w:iCs/>
          <w:sz w:val="18"/>
          <w:szCs w:val="18"/>
          <w:lang w:val="en-GB" w:eastAsia="en-US"/>
        </w:rPr>
        <w:t xml:space="preserve"> </w:t>
      </w:r>
      <w:r>
        <w:rPr>
          <w:rFonts w:eastAsia="Calibri"/>
          <w:i/>
          <w:iCs/>
          <w:sz w:val="18"/>
          <w:szCs w:val="18"/>
          <w:lang w:val="en-GB" w:eastAsia="en-US"/>
        </w:rPr>
        <w:t>Cooked tuna evaluation</w:t>
      </w:r>
      <w:r w:rsidR="00AB1771">
        <w:rPr>
          <w:rFonts w:eastAsia="Calibri"/>
          <w:i/>
          <w:iCs/>
          <w:sz w:val="18"/>
          <w:szCs w:val="18"/>
          <w:lang w:val="en-GB" w:eastAsia="en-US"/>
        </w:rPr>
        <w:t xml:space="preserve"> (</w:t>
      </w:r>
      <w:r w:rsidR="00AB1771">
        <w:rPr>
          <w:rFonts w:eastAsia="Calibri"/>
          <w:b/>
          <w:bCs/>
          <w:i/>
          <w:iCs/>
          <w:sz w:val="18"/>
          <w:szCs w:val="18"/>
          <w:lang w:val="en-GB" w:eastAsia="en-US"/>
        </w:rPr>
        <w:t>b</w:t>
      </w:r>
      <w:r w:rsidR="00AB1771">
        <w:rPr>
          <w:rFonts w:eastAsia="Calibri"/>
          <w:i/>
          <w:iCs/>
          <w:sz w:val="18"/>
          <w:szCs w:val="18"/>
          <w:lang w:val="en-GB" w:eastAsia="en-US"/>
        </w:rPr>
        <w:t>)</w:t>
      </w:r>
      <w:r>
        <w:rPr>
          <w:noProof/>
          <w:lang w:val="en-GB"/>
        </w:rPr>
        <w:t xml:space="preserve">. </w:t>
      </w:r>
      <w:r w:rsidRPr="000A68F5">
        <w:rPr>
          <w:rFonts w:eastAsia="Calibri"/>
          <w:i/>
          <w:iCs/>
          <w:sz w:val="18"/>
          <w:szCs w:val="18"/>
          <w:lang w:val="en-GB" w:eastAsia="en-US"/>
        </w:rPr>
        <w:t>Asterisks indicate significant differences (* p&lt;0.05; ** p&lt;0.01; *** p&lt;0.001)</w:t>
      </w:r>
    </w:p>
    <w:bookmarkEnd w:id="4"/>
    <w:p w14:paraId="088DD4E2" w14:textId="77777777" w:rsidR="00603B8E" w:rsidRPr="00603B8E" w:rsidRDefault="00603B8E" w:rsidP="00603B8E">
      <w:pPr>
        <w:pStyle w:val="Titolo2"/>
        <w:jc w:val="both"/>
        <w:rPr>
          <w:b/>
          <w:bCs/>
          <w:sz w:val="20"/>
          <w:lang w:val="en-GB"/>
        </w:rPr>
      </w:pPr>
      <w:r w:rsidRPr="00603B8E">
        <w:rPr>
          <w:b/>
          <w:bCs/>
          <w:sz w:val="20"/>
          <w:lang w:val="en-GB"/>
        </w:rPr>
        <w:t>3.4. Quality Index Method</w:t>
      </w:r>
    </w:p>
    <w:p w14:paraId="442CA34A" w14:textId="77777777" w:rsidR="00603B8E" w:rsidRDefault="00603B8E" w:rsidP="00603B8E">
      <w:pPr>
        <w:jc w:val="both"/>
        <w:rPr>
          <w:lang w:val="en-GB"/>
        </w:rPr>
      </w:pPr>
      <w:r>
        <w:rPr>
          <w:lang w:val="en-GB"/>
        </w:rPr>
        <w:t>This activity aimed t</w:t>
      </w:r>
      <w:r w:rsidRPr="00963203">
        <w:rPr>
          <w:lang w:val="en-GB"/>
        </w:rPr>
        <w:t>o assess the freshness of anchovies using the QIM and to compare the evolution of the quality index (QI) over time between two different storage conditions: classic refrigeration and refrigeration with a static electric field (SEF).</w:t>
      </w:r>
      <w:r>
        <w:rPr>
          <w:lang w:val="en-GB"/>
        </w:rPr>
        <w:t xml:space="preserve"> As reported in Figure 4, t</w:t>
      </w:r>
      <w:r w:rsidRPr="00963203">
        <w:rPr>
          <w:lang w:val="en-GB"/>
        </w:rPr>
        <w:t>he maximum score achieved by the anchovies was 20 in the classic storage condition and 15 in the trial with SEF.</w:t>
      </w:r>
      <w:r>
        <w:rPr>
          <w:lang w:val="en-GB"/>
        </w:rPr>
        <w:t xml:space="preserve"> </w:t>
      </w:r>
      <w:r w:rsidRPr="007D6638">
        <w:rPr>
          <w:lang w:val="en-GB"/>
        </w:rPr>
        <w:t>Describing the QI increment by using linear regression (R</w:t>
      </w:r>
      <w:r w:rsidRPr="007D6638">
        <w:rPr>
          <w:vertAlign w:val="superscript"/>
          <w:lang w:val="en-GB"/>
        </w:rPr>
        <w:t>2</w:t>
      </w:r>
      <w:r w:rsidRPr="007D6638">
        <w:rPr>
          <w:lang w:val="en-GB"/>
        </w:rPr>
        <w:t xml:space="preserve">=0.97 for </w:t>
      </w:r>
      <w:r>
        <w:rPr>
          <w:lang w:val="en-GB"/>
        </w:rPr>
        <w:t xml:space="preserve">the </w:t>
      </w:r>
      <w:r w:rsidRPr="007D6638">
        <w:rPr>
          <w:lang w:val="en-GB"/>
        </w:rPr>
        <w:t>control sample, R</w:t>
      </w:r>
      <w:r w:rsidRPr="007D6638">
        <w:rPr>
          <w:vertAlign w:val="superscript"/>
          <w:lang w:val="en-GB"/>
        </w:rPr>
        <w:t>2</w:t>
      </w:r>
      <w:r w:rsidRPr="007D6638">
        <w:rPr>
          <w:lang w:val="en-GB"/>
        </w:rPr>
        <w:t>=0.96 for SEF samples), as required by the QI method, results clearly showed that the SEF technology was able to reduce the QI score increment rate (slope = 2.0 day-1) compared to the control sample (slope = 2.5 day-2).</w:t>
      </w:r>
      <w:r>
        <w:rPr>
          <w:lang w:val="en-GB"/>
        </w:rPr>
        <w:t xml:space="preserve"> </w:t>
      </w:r>
      <w:r w:rsidRPr="007D6638">
        <w:rPr>
          <w:lang w:val="en-GB"/>
        </w:rPr>
        <w:t xml:space="preserve">The results obtained by anchovies preserved in the classical condition are consistent with other studies on </w:t>
      </w:r>
      <w:r w:rsidRPr="007D6638">
        <w:rPr>
          <w:lang w:val="en-US"/>
        </w:rPr>
        <w:t xml:space="preserve">anchovies’ QIM </w:t>
      </w:r>
      <w:r w:rsidRPr="009736FA">
        <w:rPr>
          <w:noProof/>
          <w:lang w:val="en-GB"/>
        </w:rPr>
        <w:t>(Massa, Manca and Yeannes, 2012</w:t>
      </w:r>
      <w:r w:rsidRPr="009736FA">
        <w:rPr>
          <w:lang w:val="en-GB"/>
        </w:rPr>
        <w:t xml:space="preserve">; </w:t>
      </w:r>
      <w:r w:rsidRPr="009736FA">
        <w:rPr>
          <w:noProof/>
          <w:lang w:val="en-GB"/>
        </w:rPr>
        <w:t xml:space="preserve">Pons-Sánchez-Cascado </w:t>
      </w:r>
      <w:r w:rsidRPr="009736FA">
        <w:rPr>
          <w:i/>
          <w:noProof/>
          <w:lang w:val="en-GB"/>
        </w:rPr>
        <w:t>et al.</w:t>
      </w:r>
      <w:r w:rsidRPr="009736FA">
        <w:rPr>
          <w:noProof/>
          <w:lang w:val="en-GB"/>
        </w:rPr>
        <w:t>, 2006)</w:t>
      </w:r>
      <w:r w:rsidRPr="009736FA">
        <w:rPr>
          <w:lang w:val="en-GB"/>
        </w:rPr>
        <w:t xml:space="preserve">. </w:t>
      </w:r>
      <w:r w:rsidRPr="00186AE7">
        <w:rPr>
          <w:lang w:val="en-GB"/>
        </w:rPr>
        <w:t>The improved condition of anchovies reported during storage with SEF is in agreement with other studies</w:t>
      </w:r>
      <w:r>
        <w:rPr>
          <w:lang w:val="en-GB"/>
        </w:rPr>
        <w:t xml:space="preserve"> (</w:t>
      </w:r>
      <w:r w:rsidRPr="007D6638">
        <w:rPr>
          <w:noProof/>
          <w:lang w:val="en-GB"/>
        </w:rPr>
        <w:t xml:space="preserve">Xanthakis </w:t>
      </w:r>
      <w:r w:rsidRPr="007D6638">
        <w:rPr>
          <w:i/>
          <w:noProof/>
          <w:lang w:val="en-GB"/>
        </w:rPr>
        <w:t>et al.</w:t>
      </w:r>
      <w:r w:rsidRPr="007D6638">
        <w:rPr>
          <w:noProof/>
          <w:lang w:val="en-GB"/>
        </w:rPr>
        <w:t>, 2013</w:t>
      </w:r>
      <w:r>
        <w:rPr>
          <w:noProof/>
          <w:lang w:val="en-GB"/>
        </w:rPr>
        <w:t>;</w:t>
      </w:r>
      <w:r w:rsidRPr="007D6638">
        <w:rPr>
          <w:lang w:val="en-GB"/>
        </w:rPr>
        <w:t xml:space="preserve"> </w:t>
      </w:r>
      <w:r w:rsidRPr="007D6638">
        <w:rPr>
          <w:noProof/>
          <w:lang w:val="en-GB"/>
        </w:rPr>
        <w:t>Dalvi-Isfahan, Hamdami and Le-Bail, 2016)</w:t>
      </w:r>
      <w:r>
        <w:rPr>
          <w:lang w:val="en-GB"/>
        </w:rPr>
        <w:t>. Moreover, a</w:t>
      </w:r>
      <w:r w:rsidRPr="007D6638">
        <w:rPr>
          <w:lang w:val="en-GB"/>
        </w:rPr>
        <w:t>s evidenced by the paired</w:t>
      </w:r>
      <w:r>
        <w:rPr>
          <w:lang w:val="en-GB"/>
        </w:rPr>
        <w:t xml:space="preserve"> </w:t>
      </w:r>
      <w:r w:rsidRPr="007D6638">
        <w:rPr>
          <w:lang w:val="en-GB"/>
        </w:rPr>
        <w:t>samples t-test, the two methods showed statistically significant differences (p≤0.05). There is a first difference after a three-day of shelf-life. But the differences are evident from day 7 onwards</w:t>
      </w:r>
      <w:r>
        <w:rPr>
          <w:lang w:val="en-GB"/>
        </w:rPr>
        <w:t xml:space="preserve"> (Figure 4)</w:t>
      </w:r>
      <w:r w:rsidRPr="007D6638">
        <w:rPr>
          <w:lang w:val="en-GB"/>
        </w:rPr>
        <w:t xml:space="preserve">. Thus, since the scores of the two trials are similar for short </w:t>
      </w:r>
      <w:r>
        <w:rPr>
          <w:lang w:val="en-GB"/>
        </w:rPr>
        <w:t>shelf life</w:t>
      </w:r>
      <w:r w:rsidRPr="007D6638">
        <w:rPr>
          <w:lang w:val="en-GB"/>
        </w:rPr>
        <w:t>, the preservative effect of the static electric field produced by SEF is more evident for longer shelf</w:t>
      </w:r>
      <w:r>
        <w:rPr>
          <w:lang w:val="en-GB"/>
        </w:rPr>
        <w:t xml:space="preserve"> </w:t>
      </w:r>
      <w:r w:rsidRPr="007D6638">
        <w:rPr>
          <w:lang w:val="en-GB"/>
        </w:rPr>
        <w:t>life.</w:t>
      </w:r>
    </w:p>
    <w:p w14:paraId="7F8128C4" w14:textId="77777777" w:rsidR="00603B8E" w:rsidRDefault="00603B8E" w:rsidP="00603B8E">
      <w:pPr>
        <w:jc w:val="center"/>
        <w:rPr>
          <w:lang w:val="en-GB"/>
        </w:rPr>
      </w:pPr>
      <w:r>
        <w:rPr>
          <w:noProof/>
        </w:rPr>
        <w:drawing>
          <wp:inline distT="0" distB="0" distL="0" distR="0" wp14:anchorId="34D7BBA3" wp14:editId="5346384D">
            <wp:extent cx="2880000" cy="2880000"/>
            <wp:effectExtent l="0" t="0" r="0" b="0"/>
            <wp:docPr id="20" name="Grafico 20">
              <a:extLst xmlns:a="http://schemas.openxmlformats.org/drawingml/2006/main">
                <a:ext uri="{FF2B5EF4-FFF2-40B4-BE49-F238E27FC236}">
                  <a16:creationId xmlns:a16="http://schemas.microsoft.com/office/drawing/2014/main" id="{CCFC527C-B7A0-42CE-A353-5906DA6AF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B2C471" w14:textId="3B95C89A" w:rsidR="007D40F9" w:rsidRPr="00603B8E" w:rsidRDefault="00603B8E" w:rsidP="00603B8E">
      <w:pPr>
        <w:spacing w:before="300" w:after="300"/>
        <w:jc w:val="center"/>
        <w:rPr>
          <w:noProof/>
          <w:lang w:val="en-GB"/>
        </w:rPr>
      </w:pPr>
      <w:r w:rsidRPr="00E218B9">
        <w:rPr>
          <w:rFonts w:eastAsia="Calibri"/>
          <w:b/>
          <w:bCs/>
          <w:sz w:val="18"/>
          <w:szCs w:val="18"/>
          <w:lang w:val="en-GB" w:eastAsia="en-US"/>
        </w:rPr>
        <w:t>Figure 4</w:t>
      </w:r>
      <w:r w:rsidRPr="00C868CD">
        <w:rPr>
          <w:rFonts w:eastAsia="Calibri"/>
          <w:i/>
          <w:iCs/>
          <w:sz w:val="18"/>
          <w:szCs w:val="18"/>
          <w:lang w:val="en-GB" w:eastAsia="en-US"/>
        </w:rPr>
        <w:t>-</w:t>
      </w:r>
      <w:r>
        <w:rPr>
          <w:rFonts w:eastAsia="Calibri"/>
          <w:i/>
          <w:iCs/>
          <w:sz w:val="18"/>
          <w:szCs w:val="18"/>
          <w:lang w:val="en-GB" w:eastAsia="en-US"/>
        </w:rPr>
        <w:t>QIM results, comparison between the two different trials</w:t>
      </w:r>
      <w:r>
        <w:rPr>
          <w:noProof/>
          <w:lang w:val="en-GB"/>
        </w:rPr>
        <w:t xml:space="preserve">. </w:t>
      </w:r>
      <w:r w:rsidRPr="000A68F5">
        <w:rPr>
          <w:rFonts w:eastAsia="Calibri"/>
          <w:i/>
          <w:iCs/>
          <w:sz w:val="18"/>
          <w:szCs w:val="18"/>
          <w:lang w:val="en-GB" w:eastAsia="en-US"/>
        </w:rPr>
        <w:t>Asterisks indicate significant differences (* p&lt;0.05; ** p&lt;0.01; *** p&lt;0.001)</w:t>
      </w:r>
    </w:p>
    <w:p w14:paraId="09B5672E" w14:textId="49531156" w:rsidR="00603B8E" w:rsidRDefault="00603B8E" w:rsidP="00603B8E">
      <w:pPr>
        <w:spacing w:before="240" w:after="120"/>
        <w:jc w:val="both"/>
        <w:rPr>
          <w:b/>
          <w:bCs/>
          <w:sz w:val="24"/>
          <w:szCs w:val="24"/>
          <w:lang w:val="en-GB"/>
        </w:rPr>
      </w:pPr>
      <w:r w:rsidRPr="00555621">
        <w:rPr>
          <w:b/>
          <w:bCs/>
          <w:sz w:val="24"/>
          <w:szCs w:val="24"/>
          <w:lang w:val="en-GB"/>
        </w:rPr>
        <w:t xml:space="preserve">4. </w:t>
      </w:r>
      <w:r w:rsidRPr="00603B8E">
        <w:rPr>
          <w:b/>
          <w:bCs/>
          <w:color w:val="000000"/>
          <w:spacing w:val="-2"/>
          <w:sz w:val="24"/>
          <w:szCs w:val="52"/>
          <w:lang w:val="en-GB"/>
        </w:rPr>
        <w:t xml:space="preserve">Conclusion and </w:t>
      </w:r>
      <w:r>
        <w:rPr>
          <w:b/>
          <w:bCs/>
          <w:color w:val="000000"/>
          <w:spacing w:val="-2"/>
          <w:sz w:val="24"/>
          <w:szCs w:val="52"/>
          <w:lang w:val="en-GB"/>
        </w:rPr>
        <w:t>F</w:t>
      </w:r>
      <w:r w:rsidRPr="00603B8E">
        <w:rPr>
          <w:b/>
          <w:bCs/>
          <w:color w:val="000000"/>
          <w:spacing w:val="-2"/>
          <w:sz w:val="24"/>
          <w:szCs w:val="52"/>
          <w:lang w:val="en-GB"/>
        </w:rPr>
        <w:t xml:space="preserve">uture </w:t>
      </w:r>
      <w:r>
        <w:rPr>
          <w:b/>
          <w:bCs/>
          <w:color w:val="000000"/>
          <w:spacing w:val="-2"/>
          <w:sz w:val="24"/>
          <w:szCs w:val="52"/>
          <w:lang w:val="en-GB"/>
        </w:rPr>
        <w:t>P</w:t>
      </w:r>
      <w:r w:rsidRPr="00603B8E">
        <w:rPr>
          <w:b/>
          <w:bCs/>
          <w:color w:val="000000"/>
          <w:spacing w:val="-2"/>
          <w:sz w:val="24"/>
          <w:szCs w:val="52"/>
          <w:lang w:val="en-GB"/>
        </w:rPr>
        <w:t>erspectives</w:t>
      </w:r>
    </w:p>
    <w:p w14:paraId="0F4413AD" w14:textId="77777777" w:rsidR="00603B8E" w:rsidRPr="000F67E8" w:rsidRDefault="00603B8E" w:rsidP="00603B8E">
      <w:pPr>
        <w:jc w:val="both"/>
        <w:rPr>
          <w:b/>
          <w:bCs/>
          <w:sz w:val="24"/>
          <w:szCs w:val="24"/>
          <w:lang w:val="en-GB"/>
        </w:rPr>
      </w:pPr>
      <w:r w:rsidRPr="000F67E8">
        <w:rPr>
          <w:lang w:val="en-GB"/>
        </w:rPr>
        <w:lastRenderedPageBreak/>
        <w:t>Th</w:t>
      </w:r>
      <w:r>
        <w:rPr>
          <w:lang w:val="en-GB"/>
        </w:rPr>
        <w:t>is PhD project aimed</w:t>
      </w:r>
      <w:r w:rsidRPr="000F67E8">
        <w:rPr>
          <w:lang w:val="en-GB"/>
        </w:rPr>
        <w:t xml:space="preserve"> to </w:t>
      </w:r>
      <w:r>
        <w:rPr>
          <w:lang w:val="en-GB"/>
        </w:rPr>
        <w:t>foster</w:t>
      </w:r>
      <w:r w:rsidRPr="000F67E8">
        <w:rPr>
          <w:lang w:val="en-GB"/>
        </w:rPr>
        <w:t xml:space="preserve"> Mediterranean fish products. To achieve this, activities started with an online questionnaire to find out current knowledge about fish products in two developed countries, where fishing is a source of income and part of the culinary culture. The results of the questionnaire reported </w:t>
      </w:r>
      <w:r>
        <w:rPr>
          <w:lang w:val="en-GB"/>
        </w:rPr>
        <w:t>information o</w:t>
      </w:r>
      <w:r w:rsidRPr="000F67E8">
        <w:rPr>
          <w:lang w:val="en-GB"/>
        </w:rPr>
        <w:t xml:space="preserve">n the consumption habits of both populations </w:t>
      </w:r>
      <w:r>
        <w:rPr>
          <w:lang w:val="en-GB"/>
        </w:rPr>
        <w:t>concerning</w:t>
      </w:r>
      <w:r w:rsidRPr="000F67E8">
        <w:rPr>
          <w:lang w:val="en-GB"/>
        </w:rPr>
        <w:t xml:space="preserve"> fish products, and the subjects' interest in fish traceability and sustainability emerged, even though the topic is not fully known to all subjects. </w:t>
      </w:r>
      <w:r>
        <w:rPr>
          <w:lang w:val="en-GB"/>
        </w:rPr>
        <w:t>Indeed</w:t>
      </w:r>
      <w:r w:rsidRPr="000F67E8">
        <w:rPr>
          <w:lang w:val="en-GB"/>
        </w:rPr>
        <w:t xml:space="preserve">, the consumer test showed how the addition of external information can influence the </w:t>
      </w:r>
      <w:r>
        <w:rPr>
          <w:lang w:val="en-GB"/>
        </w:rPr>
        <w:t>subjects</w:t>
      </w:r>
      <w:r w:rsidRPr="000F67E8">
        <w:rPr>
          <w:lang w:val="en-GB"/>
        </w:rPr>
        <w:t xml:space="preserve">' final </w:t>
      </w:r>
      <w:r>
        <w:rPr>
          <w:lang w:val="en-GB"/>
        </w:rPr>
        <w:t>judgment</w:t>
      </w:r>
      <w:r w:rsidRPr="000F67E8">
        <w:rPr>
          <w:lang w:val="en-GB"/>
        </w:rPr>
        <w:t xml:space="preserve"> of liking. The descriptive analysis, on the other hand, can improve the knowledge of the fish species commonly found on the market. Finally, the quality index method showed itself to be easy to use in assessing the freshness of fresh anchovies. Furthermore, by combining normal refrigeration with a static electric field, the quality index can be reduced and thus the shelf life of anchovies can be increased. Future activities can be concentrated on other Mediterranean fish species, and dissemination campaigns should be promoted to better inform people about what they are buying, and to promote the purchase of traceable, sustainable fish and above all avoid fraud. </w:t>
      </w:r>
    </w:p>
    <w:p w14:paraId="13635C55" w14:textId="77777777" w:rsidR="00603B8E" w:rsidRPr="00603B8E" w:rsidRDefault="00603B8E" w:rsidP="00603B8E">
      <w:pPr>
        <w:pStyle w:val="Titolo1"/>
        <w:tabs>
          <w:tab w:val="left" w:pos="567"/>
        </w:tabs>
        <w:spacing w:before="240" w:after="120"/>
        <w:ind w:right="0"/>
        <w:jc w:val="both"/>
        <w:rPr>
          <w:b/>
          <w:bCs/>
          <w:color w:val="000000"/>
          <w:sz w:val="24"/>
          <w:lang w:val="en-GB"/>
        </w:rPr>
      </w:pPr>
      <w:r w:rsidRPr="00603B8E">
        <w:rPr>
          <w:b/>
          <w:bCs/>
          <w:color w:val="000000"/>
          <w:sz w:val="24"/>
          <w:lang w:val="en-GB"/>
        </w:rPr>
        <w:t>5. References</w:t>
      </w:r>
    </w:p>
    <w:p w14:paraId="65D9EC8A" w14:textId="4D33B3BE" w:rsidR="00603B8E" w:rsidRPr="00603B8E" w:rsidRDefault="00603B8E" w:rsidP="00603B8E">
      <w:pPr>
        <w:autoSpaceDE w:val="0"/>
        <w:autoSpaceDN w:val="0"/>
        <w:adjustRightInd w:val="0"/>
        <w:ind w:left="480" w:hanging="480"/>
        <w:rPr>
          <w:noProof/>
          <w:sz w:val="18"/>
          <w:szCs w:val="22"/>
          <w:lang w:val="en-US"/>
        </w:rPr>
      </w:pPr>
      <w:r w:rsidRPr="00603B8E">
        <w:rPr>
          <w:noProof/>
          <w:sz w:val="18"/>
          <w:szCs w:val="22"/>
          <w:lang w:val="en-GB"/>
        </w:rPr>
        <w:t xml:space="preserve">Altintzoglou T, &amp; Heide M (2016) Fish Quality and Consumers: How Do Consumers’ Knowledge About and Involvement in Fish Quality Define Factors That Influence Fish Buying Behavior? </w:t>
      </w:r>
      <w:r w:rsidRPr="00603B8E">
        <w:rPr>
          <w:noProof/>
          <w:sz w:val="18"/>
          <w:szCs w:val="22"/>
          <w:lang w:val="en-US"/>
        </w:rPr>
        <w:t xml:space="preserve">J. Aquat, 25(6), 885–894. </w:t>
      </w:r>
    </w:p>
    <w:p w14:paraId="745444CB" w14:textId="38A5D6F1" w:rsidR="00603B8E" w:rsidRPr="00E218B9" w:rsidRDefault="00603B8E" w:rsidP="00603B8E">
      <w:pPr>
        <w:autoSpaceDE w:val="0"/>
        <w:autoSpaceDN w:val="0"/>
        <w:adjustRightInd w:val="0"/>
        <w:ind w:left="480" w:hanging="480"/>
        <w:rPr>
          <w:noProof/>
          <w:sz w:val="18"/>
          <w:szCs w:val="22"/>
          <w:lang w:val="en-GB"/>
        </w:rPr>
      </w:pPr>
      <w:r w:rsidRPr="00603B8E">
        <w:rPr>
          <w:noProof/>
          <w:sz w:val="18"/>
          <w:szCs w:val="22"/>
          <w:lang w:val="en-GB"/>
        </w:rPr>
        <w:t xml:space="preserve">Carlucci D, Nocella G, De Devitiis B, Viscecchia R, Bimbo F, &amp; Nardone G (2015) Consumer purchasing behaviour towards fish and seafood products. Patterns and insights from a sample of international studies, Appetite, 84, 212–227. </w:t>
      </w:r>
    </w:p>
    <w:p w14:paraId="5FE017B4" w14:textId="3B048D19" w:rsidR="00603B8E" w:rsidRPr="00E218B9" w:rsidRDefault="00603B8E" w:rsidP="00603B8E">
      <w:pPr>
        <w:autoSpaceDE w:val="0"/>
        <w:autoSpaceDN w:val="0"/>
        <w:adjustRightInd w:val="0"/>
        <w:ind w:left="480" w:hanging="480"/>
        <w:rPr>
          <w:noProof/>
          <w:sz w:val="18"/>
          <w:szCs w:val="22"/>
          <w:lang w:val="en-GB"/>
        </w:rPr>
      </w:pPr>
      <w:r w:rsidRPr="00E218B9">
        <w:rPr>
          <w:noProof/>
          <w:sz w:val="18"/>
          <w:szCs w:val="22"/>
          <w:lang w:val="en-GB"/>
        </w:rPr>
        <w:t xml:space="preserve">Cutarelli A, Amoroso M G, De Roma A, Girardi S, Galiero G, Guarino A, &amp; Corrado F (2014) Italian market fish species identification and commercial frauds revealing by DNA sequencing, Food Control, 37(1), 46–50. </w:t>
      </w:r>
    </w:p>
    <w:p w14:paraId="32FA4D40" w14:textId="0DA62C77" w:rsidR="00603B8E" w:rsidRPr="00603B8E" w:rsidRDefault="00603B8E" w:rsidP="00603B8E">
      <w:pPr>
        <w:autoSpaceDE w:val="0"/>
        <w:autoSpaceDN w:val="0"/>
        <w:adjustRightInd w:val="0"/>
        <w:ind w:left="480" w:hanging="480"/>
        <w:rPr>
          <w:noProof/>
          <w:sz w:val="18"/>
          <w:szCs w:val="22"/>
          <w:lang w:val="en-GB"/>
        </w:rPr>
      </w:pPr>
      <w:r w:rsidRPr="00603B8E">
        <w:rPr>
          <w:noProof/>
          <w:sz w:val="18"/>
          <w:szCs w:val="22"/>
          <w:lang w:val="en-GB"/>
        </w:rPr>
        <w:t>Dalvi-Isfahan M, Hamdami N, &amp; Le-Bail A (2016) Effect of freezing under electrostatic field on the quality of lamb meat, IFSET</w:t>
      </w:r>
      <w:r w:rsidRPr="00603B8E">
        <w:rPr>
          <w:i/>
          <w:iCs/>
          <w:noProof/>
          <w:sz w:val="18"/>
          <w:szCs w:val="22"/>
          <w:lang w:val="en-GB"/>
        </w:rPr>
        <w:t xml:space="preserve"> </w:t>
      </w:r>
      <w:r w:rsidRPr="00603B8E">
        <w:rPr>
          <w:noProof/>
          <w:sz w:val="18"/>
          <w:szCs w:val="22"/>
          <w:lang w:val="en-GB"/>
        </w:rPr>
        <w:t xml:space="preserve">(Vol. 37). Elsevier B.V. </w:t>
      </w:r>
    </w:p>
    <w:p w14:paraId="47726990" w14:textId="6BD9628A" w:rsidR="00603B8E" w:rsidRPr="00603B8E" w:rsidRDefault="00603B8E" w:rsidP="00603B8E">
      <w:pPr>
        <w:autoSpaceDE w:val="0"/>
        <w:autoSpaceDN w:val="0"/>
        <w:adjustRightInd w:val="0"/>
        <w:ind w:left="480" w:hanging="480"/>
        <w:rPr>
          <w:noProof/>
          <w:sz w:val="18"/>
          <w:szCs w:val="22"/>
          <w:lang w:val="en-US"/>
        </w:rPr>
      </w:pPr>
      <w:r w:rsidRPr="00603B8E">
        <w:rPr>
          <w:noProof/>
          <w:sz w:val="18"/>
          <w:szCs w:val="22"/>
          <w:lang w:val="en-GB"/>
        </w:rPr>
        <w:t xml:space="preserve">FAO (2022). In Brief to The State of World Fisheries and Aquaculture 2022. In </w:t>
      </w:r>
      <w:r w:rsidRPr="00603B8E">
        <w:rPr>
          <w:i/>
          <w:iCs/>
          <w:noProof/>
          <w:sz w:val="18"/>
          <w:szCs w:val="22"/>
          <w:lang w:val="en-GB"/>
        </w:rPr>
        <w:t>In Brief to The State of World Fisheries and Aquaculture 2022</w:t>
      </w:r>
      <w:r w:rsidRPr="00603B8E">
        <w:rPr>
          <w:noProof/>
          <w:sz w:val="18"/>
          <w:szCs w:val="22"/>
          <w:lang w:val="en-GB"/>
        </w:rPr>
        <w:t xml:space="preserve">. </w:t>
      </w:r>
    </w:p>
    <w:p w14:paraId="0B48A6F0" w14:textId="77777777" w:rsidR="00603B8E" w:rsidRPr="00603B8E" w:rsidRDefault="00603B8E" w:rsidP="00603B8E">
      <w:pPr>
        <w:autoSpaceDE w:val="0"/>
        <w:autoSpaceDN w:val="0"/>
        <w:adjustRightInd w:val="0"/>
        <w:ind w:left="480" w:hanging="480"/>
        <w:rPr>
          <w:noProof/>
          <w:sz w:val="18"/>
          <w:szCs w:val="22"/>
          <w:lang w:val="en-GB"/>
        </w:rPr>
      </w:pPr>
      <w:r w:rsidRPr="00603B8E">
        <w:rPr>
          <w:noProof/>
          <w:sz w:val="18"/>
          <w:szCs w:val="22"/>
          <w:lang w:val="en-GB"/>
        </w:rPr>
        <w:t>Fiorile G, Puleo S, Masi P, Torrieri E, Di Monaco R (2023) Quality Index Method to evaluate the freshness of anchovies (</w:t>
      </w:r>
      <w:r w:rsidRPr="00603B8E">
        <w:rPr>
          <w:i/>
          <w:iCs/>
          <w:noProof/>
          <w:sz w:val="18"/>
          <w:szCs w:val="22"/>
          <w:lang w:val="en-GB"/>
        </w:rPr>
        <w:t>Engraulis encrasicolus</w:t>
      </w:r>
      <w:r w:rsidRPr="00603B8E">
        <w:rPr>
          <w:noProof/>
          <w:sz w:val="18"/>
          <w:szCs w:val="22"/>
          <w:lang w:val="en-GB"/>
        </w:rPr>
        <w:t>), Food Packag. (Submitted)</w:t>
      </w:r>
    </w:p>
    <w:p w14:paraId="7D38EEB2" w14:textId="47DFB2C1" w:rsidR="00603B8E" w:rsidRPr="00603B8E" w:rsidRDefault="00603B8E" w:rsidP="00603B8E">
      <w:pPr>
        <w:autoSpaceDE w:val="0"/>
        <w:autoSpaceDN w:val="0"/>
        <w:adjustRightInd w:val="0"/>
        <w:ind w:left="480" w:hanging="480"/>
        <w:rPr>
          <w:noProof/>
          <w:sz w:val="18"/>
          <w:szCs w:val="22"/>
          <w:lang w:val="en-US"/>
        </w:rPr>
      </w:pPr>
      <w:r w:rsidRPr="00603B8E">
        <w:rPr>
          <w:noProof/>
          <w:sz w:val="18"/>
          <w:szCs w:val="22"/>
          <w:lang w:val="en-GB"/>
        </w:rPr>
        <w:t xml:space="preserve">Garcìa-Herrero L, De Menna F and Vittuari M (2019) “Sustainability concerns and practices in the chocolate life cycle: integrating consumers’ perceptions and experts’ knowledge”, Sustain. </w:t>
      </w:r>
      <w:r w:rsidRPr="00603B8E">
        <w:rPr>
          <w:noProof/>
          <w:sz w:val="18"/>
          <w:szCs w:val="22"/>
          <w:lang w:val="en-US"/>
        </w:rPr>
        <w:t>Prod. Consum</w:t>
      </w:r>
      <w:r w:rsidRPr="00603B8E">
        <w:rPr>
          <w:i/>
          <w:iCs/>
          <w:noProof/>
          <w:sz w:val="18"/>
          <w:szCs w:val="22"/>
          <w:lang w:val="en-US"/>
        </w:rPr>
        <w:t xml:space="preserve">, </w:t>
      </w:r>
      <w:r w:rsidRPr="00603B8E">
        <w:rPr>
          <w:noProof/>
          <w:sz w:val="18"/>
          <w:szCs w:val="22"/>
          <w:lang w:val="en-US"/>
        </w:rPr>
        <w:t xml:space="preserve">Vol. 20, pp. 117-127. </w:t>
      </w:r>
    </w:p>
    <w:p w14:paraId="0C2A14A2" w14:textId="513DB899" w:rsidR="00603B8E" w:rsidRPr="00603B8E" w:rsidRDefault="00603B8E" w:rsidP="00603B8E">
      <w:pPr>
        <w:autoSpaceDE w:val="0"/>
        <w:autoSpaceDN w:val="0"/>
        <w:adjustRightInd w:val="0"/>
        <w:ind w:left="480" w:hanging="480"/>
        <w:rPr>
          <w:noProof/>
          <w:sz w:val="18"/>
          <w:szCs w:val="22"/>
          <w:lang w:val="en-GB"/>
        </w:rPr>
      </w:pPr>
      <w:r w:rsidRPr="00603B8E">
        <w:rPr>
          <w:noProof/>
          <w:sz w:val="18"/>
          <w:szCs w:val="22"/>
          <w:lang w:val="en-GB"/>
        </w:rPr>
        <w:t xml:space="preserve">Giusti A, Tinacci L, Sotelo CG, Acutis PL, Ielasi N, &amp; Armani A (2019) Authentication of ready-to-eat anchovy products sold on the Italian market by BLAST analysis of a highly informative cytochrome b gene fragment, Food Control, 97(September 2018), 50–57. </w:t>
      </w:r>
    </w:p>
    <w:p w14:paraId="456648F8" w14:textId="24B51044" w:rsidR="00603B8E" w:rsidRPr="00E218B9" w:rsidRDefault="00603B8E" w:rsidP="00603B8E">
      <w:pPr>
        <w:autoSpaceDE w:val="0"/>
        <w:autoSpaceDN w:val="0"/>
        <w:adjustRightInd w:val="0"/>
        <w:ind w:left="480" w:hanging="480"/>
        <w:rPr>
          <w:noProof/>
          <w:sz w:val="18"/>
          <w:szCs w:val="22"/>
          <w:lang w:val="en-GB"/>
        </w:rPr>
      </w:pPr>
      <w:r w:rsidRPr="00603B8E">
        <w:rPr>
          <w:noProof/>
          <w:sz w:val="18"/>
          <w:szCs w:val="22"/>
          <w:lang w:val="en-GB"/>
        </w:rPr>
        <w:t xml:space="preserve">Hoek AC, Malekpour S, Raven R, Court E, &amp; Byrne E (2021) “Towards environmentally sustainable food systems: decision-making factors in sustainable food production and consumption.”, Sustain. </w:t>
      </w:r>
      <w:r w:rsidRPr="00E218B9">
        <w:rPr>
          <w:noProof/>
          <w:sz w:val="18"/>
          <w:szCs w:val="22"/>
          <w:lang w:val="en-GB"/>
        </w:rPr>
        <w:t xml:space="preserve">Prod. Consum, </w:t>
      </w:r>
      <w:r w:rsidRPr="00E218B9">
        <w:rPr>
          <w:i/>
          <w:iCs/>
          <w:noProof/>
          <w:sz w:val="18"/>
          <w:szCs w:val="22"/>
          <w:lang w:val="en-GB"/>
        </w:rPr>
        <w:t>26</w:t>
      </w:r>
      <w:r w:rsidRPr="00E218B9">
        <w:rPr>
          <w:noProof/>
          <w:sz w:val="18"/>
          <w:szCs w:val="22"/>
          <w:lang w:val="en-GB"/>
        </w:rPr>
        <w:t xml:space="preserve">, 610–626. </w:t>
      </w:r>
    </w:p>
    <w:p w14:paraId="000A1BD4" w14:textId="61696E30" w:rsidR="00603B8E" w:rsidRPr="00603B8E" w:rsidRDefault="00603B8E" w:rsidP="00603B8E">
      <w:pPr>
        <w:autoSpaceDE w:val="0"/>
        <w:autoSpaceDN w:val="0"/>
        <w:adjustRightInd w:val="0"/>
        <w:ind w:left="480" w:hanging="480"/>
        <w:rPr>
          <w:noProof/>
          <w:sz w:val="18"/>
          <w:szCs w:val="22"/>
          <w:lang w:val="en-GB"/>
        </w:rPr>
      </w:pPr>
      <w:r w:rsidRPr="00E218B9">
        <w:rPr>
          <w:noProof/>
          <w:sz w:val="18"/>
          <w:szCs w:val="22"/>
          <w:lang w:val="en-GB"/>
        </w:rPr>
        <w:t xml:space="preserve">Massa AE, Manca E, &amp; Yeannes MI (2012). </w:t>
      </w:r>
      <w:r w:rsidRPr="00603B8E">
        <w:rPr>
          <w:noProof/>
          <w:sz w:val="18"/>
          <w:szCs w:val="22"/>
          <w:lang w:val="en-GB"/>
        </w:rPr>
        <w:t xml:space="preserve">Development of quality index method for anchovy (Engraulis anchoita) stored in ice: Assessment of its shelf-life by chemical and sensory methods, Food Sci Technol Int, 18(4), 339–351. </w:t>
      </w:r>
    </w:p>
    <w:p w14:paraId="1EDA3D4E" w14:textId="71839EA1" w:rsidR="00603B8E" w:rsidRPr="00603B8E" w:rsidRDefault="00603B8E" w:rsidP="00603B8E">
      <w:pPr>
        <w:autoSpaceDE w:val="0"/>
        <w:autoSpaceDN w:val="0"/>
        <w:adjustRightInd w:val="0"/>
        <w:ind w:left="480" w:hanging="480"/>
        <w:rPr>
          <w:noProof/>
          <w:sz w:val="18"/>
          <w:szCs w:val="22"/>
          <w:lang w:val="en-GB"/>
        </w:rPr>
      </w:pPr>
      <w:r w:rsidRPr="00603B8E">
        <w:rPr>
          <w:noProof/>
          <w:sz w:val="18"/>
          <w:szCs w:val="22"/>
          <w:lang w:val="en-GB"/>
        </w:rPr>
        <w:t xml:space="preserve">Olsen SO (2003) Understanding the relationship between age and seafood consumption: The mediating role of attitude, health and involvement and convenience, Food Qual Prefer, 14(3), 199–209. </w:t>
      </w:r>
    </w:p>
    <w:p w14:paraId="356E9009" w14:textId="1D4169C6" w:rsidR="00603B8E" w:rsidRPr="00603B8E" w:rsidRDefault="00603B8E" w:rsidP="00603B8E">
      <w:pPr>
        <w:autoSpaceDE w:val="0"/>
        <w:autoSpaceDN w:val="0"/>
        <w:adjustRightInd w:val="0"/>
        <w:ind w:left="480" w:hanging="480"/>
        <w:rPr>
          <w:noProof/>
          <w:sz w:val="18"/>
          <w:szCs w:val="22"/>
          <w:lang w:val="en-GB"/>
        </w:rPr>
      </w:pPr>
      <w:r w:rsidRPr="00603B8E">
        <w:rPr>
          <w:noProof/>
          <w:sz w:val="18"/>
          <w:szCs w:val="22"/>
          <w:lang w:val="en-GB"/>
        </w:rPr>
        <w:t xml:space="preserve">Pons-Sánchez-Cascado S, Vidal-Carou MC, Nunes ML, &amp; Veciana-Nogués MT (2006) Sensory analysis to assess the freshness of Mediterranean anchovies (Engraulis encrasicholus) stored in ice, Food Control, 17(7), 564–569. </w:t>
      </w:r>
    </w:p>
    <w:p w14:paraId="6D98814F" w14:textId="32EF3141" w:rsidR="00603B8E" w:rsidRPr="00603B8E" w:rsidRDefault="00603B8E" w:rsidP="00603B8E">
      <w:pPr>
        <w:autoSpaceDE w:val="0"/>
        <w:autoSpaceDN w:val="0"/>
        <w:adjustRightInd w:val="0"/>
        <w:ind w:left="480" w:hanging="480"/>
        <w:rPr>
          <w:noProof/>
          <w:sz w:val="18"/>
          <w:szCs w:val="22"/>
          <w:lang w:val="en-GB"/>
        </w:rPr>
      </w:pPr>
      <w:r w:rsidRPr="00603B8E">
        <w:rPr>
          <w:noProof/>
          <w:sz w:val="18"/>
          <w:szCs w:val="22"/>
          <w:lang w:val="en-GB"/>
        </w:rPr>
        <w:t xml:space="preserve">Pucci T, Casprini E, Galati A, &amp; Zanni L (2020) The virtuous cycle of stakeholder engagement in developing a sustainability culture: Salcheto winery, J. Bus. Res, 119(March 2018), 364–376. </w:t>
      </w:r>
    </w:p>
    <w:p w14:paraId="0EA59DF3" w14:textId="2CBB927B" w:rsidR="00603B8E" w:rsidRPr="00603B8E" w:rsidRDefault="00603B8E" w:rsidP="00603B8E">
      <w:pPr>
        <w:autoSpaceDE w:val="0"/>
        <w:autoSpaceDN w:val="0"/>
        <w:adjustRightInd w:val="0"/>
        <w:ind w:left="480" w:hanging="480"/>
        <w:rPr>
          <w:noProof/>
          <w:sz w:val="18"/>
          <w:szCs w:val="22"/>
          <w:lang w:val="en-GB"/>
        </w:rPr>
      </w:pPr>
      <w:r w:rsidRPr="00603B8E">
        <w:rPr>
          <w:noProof/>
          <w:sz w:val="18"/>
          <w:szCs w:val="22"/>
          <w:lang w:val="en-GB"/>
        </w:rPr>
        <w:t xml:space="preserve">Shamsuzzaman MM, Hoque Mozumder MM, Mitu SJ, Ahamad AF, &amp; Bhyuian MS (2020) The economic contribution of fish and fish trade in Bangladesh, Fish. aquac. j., 5(4), 174–181. </w:t>
      </w:r>
    </w:p>
    <w:p w14:paraId="02A93CA3" w14:textId="31DE003B" w:rsidR="00603B8E" w:rsidRPr="00603B8E" w:rsidRDefault="00603B8E" w:rsidP="00603B8E">
      <w:pPr>
        <w:autoSpaceDE w:val="0"/>
        <w:autoSpaceDN w:val="0"/>
        <w:adjustRightInd w:val="0"/>
        <w:ind w:left="480" w:hanging="480"/>
        <w:rPr>
          <w:noProof/>
          <w:sz w:val="18"/>
          <w:szCs w:val="22"/>
          <w:lang w:val="en-US"/>
        </w:rPr>
      </w:pPr>
      <w:r w:rsidRPr="00603B8E">
        <w:rPr>
          <w:noProof/>
          <w:sz w:val="18"/>
          <w:szCs w:val="22"/>
          <w:lang w:val="en-GB"/>
        </w:rPr>
        <w:t xml:space="preserve">Van Loo EJ, Caputo V, Nayga RM, Seo HS, Zhang B, &amp; Verbeke W (2015) Sustainability labels on coffee: Consumer preferences, willingness-to-pay and visual attention to attributes, </w:t>
      </w:r>
      <w:r w:rsidRPr="00603B8E">
        <w:rPr>
          <w:noProof/>
          <w:sz w:val="18"/>
          <w:szCs w:val="22"/>
          <w:lang w:val="en-US"/>
        </w:rPr>
        <w:t xml:space="preserve">Ecol Econ, 118, 215–225. </w:t>
      </w:r>
    </w:p>
    <w:p w14:paraId="3187E606" w14:textId="12B7D7C9" w:rsidR="00603B8E" w:rsidRPr="00603B8E" w:rsidRDefault="00603B8E" w:rsidP="00603B8E">
      <w:pPr>
        <w:autoSpaceDE w:val="0"/>
        <w:autoSpaceDN w:val="0"/>
        <w:adjustRightInd w:val="0"/>
        <w:ind w:left="480" w:hanging="480"/>
        <w:rPr>
          <w:noProof/>
          <w:sz w:val="18"/>
          <w:szCs w:val="22"/>
          <w:lang w:val="en-US"/>
        </w:rPr>
      </w:pPr>
      <w:r w:rsidRPr="00603B8E">
        <w:rPr>
          <w:noProof/>
          <w:sz w:val="18"/>
          <w:szCs w:val="22"/>
          <w:lang w:val="en-US"/>
        </w:rPr>
        <w:t xml:space="preserve">Verbeke W, Vanhonacker F, Sioen I, Van Camp J, &amp; De Henauw S (2007) </w:t>
      </w:r>
      <w:r w:rsidRPr="00603B8E">
        <w:rPr>
          <w:noProof/>
          <w:sz w:val="18"/>
          <w:szCs w:val="22"/>
          <w:lang w:val="en-GB"/>
        </w:rPr>
        <w:t xml:space="preserve">Perceived importance of sustainability and ethics related to fish: A consumer behavior perspective, </w:t>
      </w:r>
      <w:r w:rsidRPr="00603B8E">
        <w:rPr>
          <w:noProof/>
          <w:sz w:val="18"/>
          <w:szCs w:val="22"/>
          <w:lang w:val="en-US"/>
        </w:rPr>
        <w:t>Ambio, 36(7), 580–585.</w:t>
      </w:r>
    </w:p>
    <w:p w14:paraId="45903F7C" w14:textId="790A1440" w:rsidR="00603B8E" w:rsidRPr="00603B8E" w:rsidRDefault="00603B8E" w:rsidP="00603B8E">
      <w:pPr>
        <w:autoSpaceDE w:val="0"/>
        <w:autoSpaceDN w:val="0"/>
        <w:adjustRightInd w:val="0"/>
        <w:ind w:left="480" w:hanging="480"/>
        <w:rPr>
          <w:noProof/>
          <w:sz w:val="18"/>
          <w:szCs w:val="18"/>
          <w:lang w:val="en-GB"/>
        </w:rPr>
      </w:pPr>
      <w:r w:rsidRPr="00603B8E">
        <w:rPr>
          <w:noProof/>
          <w:sz w:val="18"/>
          <w:szCs w:val="22"/>
          <w:lang w:val="en-US"/>
        </w:rPr>
        <w:t xml:space="preserve">Xanthakis E, Havet M, Chevallier S, Abadie J, &amp; Le-Bail A (2013) </w:t>
      </w:r>
      <w:r w:rsidRPr="00603B8E">
        <w:rPr>
          <w:noProof/>
          <w:sz w:val="18"/>
          <w:szCs w:val="22"/>
          <w:lang w:val="en-GB"/>
        </w:rPr>
        <w:t xml:space="preserve">Effect of static electric field on ice crystal size reduction during freezing of pork meat, IFSET, </w:t>
      </w:r>
      <w:r w:rsidRPr="00603B8E">
        <w:rPr>
          <w:i/>
          <w:iCs/>
          <w:noProof/>
          <w:sz w:val="18"/>
          <w:szCs w:val="22"/>
          <w:lang w:val="en-GB"/>
        </w:rPr>
        <w:t>20</w:t>
      </w:r>
      <w:r w:rsidRPr="00603B8E">
        <w:rPr>
          <w:noProof/>
          <w:sz w:val="18"/>
          <w:szCs w:val="22"/>
          <w:lang w:val="en-GB"/>
        </w:rPr>
        <w:t xml:space="preserve">, 115–120. </w:t>
      </w:r>
    </w:p>
    <w:p w14:paraId="523308C9" w14:textId="77777777" w:rsidR="008604A1" w:rsidRPr="00E218B9" w:rsidRDefault="00000000">
      <w:pPr>
        <w:rPr>
          <w:lang w:val="en-GB"/>
        </w:rPr>
      </w:pPr>
    </w:p>
    <w:sectPr w:rsidR="008604A1" w:rsidRPr="00E218B9" w:rsidSect="00D07C89">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149F7" w14:textId="77777777" w:rsidR="007979CF" w:rsidRDefault="007979CF">
      <w:r>
        <w:separator/>
      </w:r>
    </w:p>
  </w:endnote>
  <w:endnote w:type="continuationSeparator" w:id="0">
    <w:p w14:paraId="1396F7C3" w14:textId="77777777" w:rsidR="007979CF" w:rsidRDefault="00797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192A" w14:textId="77777777" w:rsidR="00746B7D" w:rsidRDefault="0000000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8BA" w14:textId="77777777" w:rsidR="00746B7D" w:rsidRDefault="00000000">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5AF2" w14:textId="77777777" w:rsidR="00746B7D" w:rsidRDefault="000000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1409E" w14:textId="77777777" w:rsidR="007979CF" w:rsidRDefault="007979CF">
      <w:r>
        <w:separator/>
      </w:r>
    </w:p>
  </w:footnote>
  <w:footnote w:type="continuationSeparator" w:id="0">
    <w:p w14:paraId="40E2BF48" w14:textId="77777777" w:rsidR="007979CF" w:rsidRDefault="00797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B5A6" w14:textId="77777777" w:rsidR="00746B7D" w:rsidRDefault="0000000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C4AC" w14:textId="77777777" w:rsidR="00746B7D" w:rsidRDefault="0000000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97DC" w14:textId="77777777" w:rsidR="00746B7D" w:rsidRDefault="0000000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F9"/>
    <w:rsid w:val="0009321E"/>
    <w:rsid w:val="001C2202"/>
    <w:rsid w:val="005D5344"/>
    <w:rsid w:val="005D6E1F"/>
    <w:rsid w:val="00603B8E"/>
    <w:rsid w:val="00607689"/>
    <w:rsid w:val="00645545"/>
    <w:rsid w:val="007979CF"/>
    <w:rsid w:val="007D40F9"/>
    <w:rsid w:val="00AB1771"/>
    <w:rsid w:val="00D07C89"/>
    <w:rsid w:val="00D801C4"/>
    <w:rsid w:val="00E017E5"/>
    <w:rsid w:val="00E218B9"/>
    <w:rsid w:val="00F86D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8C1C"/>
  <w15:chartTrackingRefBased/>
  <w15:docId w15:val="{42A0A952-55AD-D640-898B-CF973B9E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40F9"/>
    <w:pPr>
      <w:widowControl w:val="0"/>
      <w:suppressAutoHyphens/>
    </w:pPr>
    <w:rPr>
      <w:rFonts w:ascii="Times New Roman" w:eastAsia="Times New Roman" w:hAnsi="Times New Roman" w:cs="Times New Roman"/>
      <w:sz w:val="20"/>
      <w:szCs w:val="20"/>
      <w:lang w:eastAsia="zh-CN"/>
    </w:rPr>
  </w:style>
  <w:style w:type="paragraph" w:styleId="Titolo1">
    <w:name w:val="heading 1"/>
    <w:basedOn w:val="Normale"/>
    <w:next w:val="Normale"/>
    <w:link w:val="Titolo1Carattere"/>
    <w:uiPriority w:val="9"/>
    <w:qFormat/>
    <w:rsid w:val="007D40F9"/>
    <w:pPr>
      <w:keepNext/>
      <w:shd w:val="clear" w:color="auto" w:fill="FFFFFF"/>
      <w:spacing w:before="820"/>
      <w:ind w:right="320"/>
      <w:jc w:val="center"/>
      <w:outlineLvl w:val="0"/>
    </w:pPr>
    <w:rPr>
      <w:color w:val="850C13"/>
      <w:spacing w:val="-2"/>
      <w:sz w:val="52"/>
      <w:szCs w:val="52"/>
      <w:lang w:val="en-US"/>
    </w:rPr>
  </w:style>
  <w:style w:type="paragraph" w:styleId="Titolo2">
    <w:name w:val="heading 2"/>
    <w:basedOn w:val="Normale"/>
    <w:next w:val="Normale"/>
    <w:link w:val="Titolo2Carattere"/>
    <w:uiPriority w:val="9"/>
    <w:unhideWhenUsed/>
    <w:qFormat/>
    <w:rsid w:val="007D40F9"/>
    <w:pPr>
      <w:keepNext/>
      <w:outlineLvl w:val="1"/>
    </w:pPr>
    <w:rPr>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D40F9"/>
    <w:rPr>
      <w:rFonts w:ascii="Times New Roman" w:eastAsia="Times New Roman" w:hAnsi="Times New Roman" w:cs="Times New Roman"/>
      <w:color w:val="850C13"/>
      <w:spacing w:val="-2"/>
      <w:sz w:val="52"/>
      <w:szCs w:val="52"/>
      <w:shd w:val="clear" w:color="auto" w:fill="FFFFFF"/>
      <w:lang w:val="en-US" w:eastAsia="zh-CN"/>
    </w:rPr>
  </w:style>
  <w:style w:type="character" w:customStyle="1" w:styleId="Titolo2Carattere">
    <w:name w:val="Titolo 2 Carattere"/>
    <w:basedOn w:val="Carpredefinitoparagrafo"/>
    <w:link w:val="Titolo2"/>
    <w:uiPriority w:val="9"/>
    <w:rsid w:val="007D40F9"/>
    <w:rPr>
      <w:rFonts w:ascii="Times New Roman" w:eastAsia="Times New Roman" w:hAnsi="Times New Roman" w:cs="Times New Roman"/>
      <w:sz w:val="32"/>
      <w:szCs w:val="20"/>
      <w:lang w:eastAsia="zh-CN"/>
    </w:rPr>
  </w:style>
  <w:style w:type="paragraph" w:styleId="Titolo">
    <w:name w:val="Title"/>
    <w:basedOn w:val="Normale"/>
    <w:next w:val="Normale"/>
    <w:link w:val="TitoloCarattere"/>
    <w:uiPriority w:val="10"/>
    <w:qFormat/>
    <w:rsid w:val="007D40F9"/>
    <w:pPr>
      <w:widowControl/>
      <w:spacing w:before="720" w:after="120" w:line="264" w:lineRule="auto"/>
      <w:jc w:val="center"/>
    </w:pPr>
    <w:rPr>
      <w:b/>
      <w:kern w:val="2"/>
      <w:sz w:val="28"/>
      <w:lang w:val="nl-NL"/>
    </w:rPr>
  </w:style>
  <w:style w:type="character" w:customStyle="1" w:styleId="TitoloCarattere">
    <w:name w:val="Titolo Carattere"/>
    <w:basedOn w:val="Carpredefinitoparagrafo"/>
    <w:link w:val="Titolo"/>
    <w:uiPriority w:val="10"/>
    <w:rsid w:val="007D40F9"/>
    <w:rPr>
      <w:rFonts w:ascii="Times New Roman" w:eastAsia="Times New Roman" w:hAnsi="Times New Roman" w:cs="Times New Roman"/>
      <w:b/>
      <w:kern w:val="2"/>
      <w:sz w:val="28"/>
      <w:szCs w:val="20"/>
      <w:lang w:val="nl-NL" w:eastAsia="zh-CN"/>
    </w:rPr>
  </w:style>
  <w:style w:type="paragraph" w:styleId="Corpodeltesto2">
    <w:name w:val="Body Text 2"/>
    <w:basedOn w:val="Normale"/>
    <w:link w:val="Corpodeltesto2Carattere"/>
    <w:qFormat/>
    <w:rsid w:val="007D40F9"/>
    <w:pPr>
      <w:shd w:val="clear" w:color="auto" w:fill="FFFFFF"/>
    </w:pPr>
    <w:rPr>
      <w:b/>
      <w:bCs/>
      <w:i/>
      <w:iCs/>
      <w:sz w:val="28"/>
    </w:rPr>
  </w:style>
  <w:style w:type="character" w:customStyle="1" w:styleId="Corpodeltesto2Carattere">
    <w:name w:val="Corpo del testo 2 Carattere"/>
    <w:basedOn w:val="Carpredefinitoparagrafo"/>
    <w:link w:val="Corpodeltesto2"/>
    <w:rsid w:val="007D40F9"/>
    <w:rPr>
      <w:rFonts w:ascii="Times New Roman" w:eastAsia="Times New Roman" w:hAnsi="Times New Roman" w:cs="Times New Roman"/>
      <w:b/>
      <w:bCs/>
      <w:i/>
      <w:iCs/>
      <w:sz w:val="28"/>
      <w:szCs w:val="20"/>
      <w:shd w:val="clear" w:color="auto" w:fill="FFFFFF"/>
      <w:lang w:eastAsia="zh-CN"/>
    </w:rPr>
  </w:style>
  <w:style w:type="paragraph" w:styleId="Intestazione">
    <w:name w:val="header"/>
    <w:basedOn w:val="Normale"/>
    <w:link w:val="IntestazioneCarattere"/>
    <w:rsid w:val="007D40F9"/>
    <w:pPr>
      <w:widowControl/>
      <w:tabs>
        <w:tab w:val="center" w:pos="4819"/>
        <w:tab w:val="right" w:pos="9638"/>
      </w:tabs>
      <w:spacing w:line="264" w:lineRule="auto"/>
      <w:jc w:val="both"/>
    </w:pPr>
    <w:rPr>
      <w:kern w:val="2"/>
      <w:lang w:val="nl-NL"/>
    </w:rPr>
  </w:style>
  <w:style w:type="character" w:customStyle="1" w:styleId="IntestazioneCarattere">
    <w:name w:val="Intestazione Carattere"/>
    <w:basedOn w:val="Carpredefinitoparagrafo"/>
    <w:link w:val="Intestazione"/>
    <w:rsid w:val="007D40F9"/>
    <w:rPr>
      <w:rFonts w:ascii="Times New Roman" w:eastAsia="Times New Roman" w:hAnsi="Times New Roman" w:cs="Times New Roman"/>
      <w:kern w:val="2"/>
      <w:sz w:val="20"/>
      <w:szCs w:val="20"/>
      <w:lang w:val="nl-NL" w:eastAsia="zh-CN"/>
    </w:rPr>
  </w:style>
  <w:style w:type="paragraph" w:styleId="Rientrocorpodeltesto2">
    <w:name w:val="Body Text Indent 2"/>
    <w:basedOn w:val="Normale"/>
    <w:link w:val="Rientrocorpodeltesto2Carattere"/>
    <w:qFormat/>
    <w:rsid w:val="007D40F9"/>
    <w:pPr>
      <w:widowControl/>
      <w:ind w:firstLine="426"/>
      <w:jc w:val="both"/>
      <w:textAlignment w:val="baseline"/>
    </w:pPr>
    <w:rPr>
      <w:bCs/>
      <w:sz w:val="24"/>
      <w:lang w:val="en-GB"/>
    </w:rPr>
  </w:style>
  <w:style w:type="character" w:customStyle="1" w:styleId="Rientrocorpodeltesto2Carattere">
    <w:name w:val="Rientro corpo del testo 2 Carattere"/>
    <w:basedOn w:val="Carpredefinitoparagrafo"/>
    <w:link w:val="Rientrocorpodeltesto2"/>
    <w:rsid w:val="007D40F9"/>
    <w:rPr>
      <w:rFonts w:ascii="Times New Roman" w:eastAsia="Times New Roman" w:hAnsi="Times New Roman" w:cs="Times New Roman"/>
      <w:bCs/>
      <w:szCs w:val="20"/>
      <w:lang w:val="en-GB" w:eastAsia="zh-CN"/>
    </w:rPr>
  </w:style>
  <w:style w:type="paragraph" w:styleId="Pidipagina">
    <w:name w:val="footer"/>
    <w:basedOn w:val="Normale"/>
    <w:link w:val="PidipaginaCarattere"/>
    <w:rsid w:val="007D40F9"/>
    <w:pPr>
      <w:tabs>
        <w:tab w:val="center" w:pos="4153"/>
        <w:tab w:val="right" w:pos="8306"/>
      </w:tabs>
    </w:pPr>
  </w:style>
  <w:style w:type="character" w:customStyle="1" w:styleId="PidipaginaCarattere">
    <w:name w:val="Piè di pagina Carattere"/>
    <w:basedOn w:val="Carpredefinitoparagrafo"/>
    <w:link w:val="Pidipagina"/>
    <w:rsid w:val="007D40F9"/>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iovanni.fiorile@unina.it" TargetMode="Externa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942731238862716E-2"/>
          <c:y val="3.3804548248309772E-2"/>
          <c:w val="0.90738792475355301"/>
          <c:h val="0.84863741294784367"/>
        </c:manualLayout>
      </c:layout>
      <c:scatterChart>
        <c:scatterStyle val="lineMarker"/>
        <c:varyColors val="0"/>
        <c:ser>
          <c:idx val="0"/>
          <c:order val="0"/>
          <c:spPr>
            <a:ln w="19028">
              <a:noFill/>
            </a:ln>
          </c:spPr>
          <c:marker>
            <c:symbol val="circle"/>
            <c:size val="2"/>
            <c:spPr>
              <a:noFill/>
              <a:ln>
                <a:solidFill>
                  <a:sysClr val="windowText" lastClr="000000"/>
                </a:solidFill>
                <a:prstDash val="solid"/>
              </a:ln>
            </c:spPr>
          </c:marker>
          <c:dLbls>
            <c:dLbl>
              <c:idx val="0"/>
              <c:layout>
                <c:manualLayout>
                  <c:x val="-7.8495108532067287E-2"/>
                  <c:y val="4.4438877491284785E-2"/>
                </c:manualLayout>
              </c:layout>
              <c:tx>
                <c:rich>
                  <a:bodyPr/>
                  <a:lstStyle/>
                  <a:p>
                    <a:r>
                      <a:rPr lang="en-US">
                        <a:solidFill>
                          <a:sysClr val="windowText" lastClr="000000"/>
                        </a:solidFill>
                      </a:rPr>
                      <a:t>ITA_M1</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6AF-42CC-AE02-D46EB78E92CA}"/>
                </c:ext>
              </c:extLst>
            </c:dLbl>
            <c:dLbl>
              <c:idx val="1"/>
              <c:layout>
                <c:manualLayout>
                  <c:x val="-0.12149414959622873"/>
                  <c:y val="-2.8192193490883966E-2"/>
                </c:manualLayout>
              </c:layout>
              <c:tx>
                <c:rich>
                  <a:bodyPr/>
                  <a:lstStyle/>
                  <a:p>
                    <a:r>
                      <a:rPr lang="en-US">
                        <a:solidFill>
                          <a:sysClr val="windowText" lastClr="000000"/>
                        </a:solidFill>
                      </a:rPr>
                      <a:t>ITA_M2</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6AF-42CC-AE02-D46EB78E92CA}"/>
                </c:ext>
              </c:extLst>
            </c:dLbl>
            <c:dLbl>
              <c:idx val="2"/>
              <c:layout>
                <c:manualLayout>
                  <c:x val="-5.7221950567249207E-2"/>
                  <c:y val="3.1926945166683367E-2"/>
                </c:manualLayout>
              </c:layout>
              <c:tx>
                <c:rich>
                  <a:bodyPr/>
                  <a:lstStyle/>
                  <a:p>
                    <a:r>
                      <a:rPr lang="en-US">
                        <a:solidFill>
                          <a:sysClr val="windowText" lastClr="000000"/>
                        </a:solidFill>
                      </a:rPr>
                      <a:t>ITA_M3</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6AF-42CC-AE02-D46EB78E92CA}"/>
                </c:ext>
              </c:extLst>
            </c:dLbl>
            <c:dLbl>
              <c:idx val="3"/>
              <c:layout>
                <c:manualLayout>
                  <c:x val="5.3758592098681994E-3"/>
                  <c:y val="2.7694068382108632E-2"/>
                </c:manualLayout>
              </c:layout>
              <c:tx>
                <c:rich>
                  <a:bodyPr/>
                  <a:lstStyle/>
                  <a:p>
                    <a:r>
                      <a:rPr lang="en-US">
                        <a:solidFill>
                          <a:sysClr val="windowText" lastClr="000000"/>
                        </a:solidFill>
                      </a:rPr>
                      <a:t>ITA_M4</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6AF-42CC-AE02-D46EB78E92CA}"/>
                </c:ext>
              </c:extLst>
            </c:dLbl>
            <c:dLbl>
              <c:idx val="4"/>
              <c:layout>
                <c:manualLayout>
                  <c:x val="-2.3584674482124243E-2"/>
                  <c:y val="-3.2611504606800297E-2"/>
                </c:manualLayout>
              </c:layout>
              <c:tx>
                <c:rich>
                  <a:bodyPr/>
                  <a:lstStyle/>
                  <a:p>
                    <a:r>
                      <a:rPr lang="en-US">
                        <a:solidFill>
                          <a:sysClr val="windowText" lastClr="000000"/>
                        </a:solidFill>
                      </a:rPr>
                      <a:t>ITA_F1</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6AF-42CC-AE02-D46EB78E92CA}"/>
                </c:ext>
              </c:extLst>
            </c:dLbl>
            <c:dLbl>
              <c:idx val="5"/>
              <c:layout>
                <c:manualLayout>
                  <c:x val="-1.4518982341929441E-2"/>
                  <c:y val="3.4391992025779097E-2"/>
                </c:manualLayout>
              </c:layout>
              <c:tx>
                <c:rich>
                  <a:bodyPr/>
                  <a:lstStyle/>
                  <a:p>
                    <a:r>
                      <a:rPr lang="en-US">
                        <a:solidFill>
                          <a:sysClr val="windowText" lastClr="000000"/>
                        </a:solidFill>
                      </a:rPr>
                      <a:t>ITA_F2</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6AF-42CC-AE02-D46EB78E92CA}"/>
                </c:ext>
              </c:extLst>
            </c:dLbl>
            <c:dLbl>
              <c:idx val="6"/>
              <c:layout>
                <c:manualLayout>
                  <c:x val="-3.0838123350265931E-4"/>
                  <c:y val="1.0949259272932355E-2"/>
                </c:manualLayout>
              </c:layout>
              <c:tx>
                <c:rich>
                  <a:bodyPr/>
                  <a:lstStyle/>
                  <a:p>
                    <a:r>
                      <a:rPr lang="en-US">
                        <a:solidFill>
                          <a:sysClr val="windowText" lastClr="000000"/>
                        </a:solidFill>
                      </a:rPr>
                      <a:t>ITA_F3</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6AF-42CC-AE02-D46EB78E92CA}"/>
                </c:ext>
              </c:extLst>
            </c:dLbl>
            <c:dLbl>
              <c:idx val="7"/>
              <c:layout>
                <c:manualLayout>
                  <c:x val="-3.1505014551880366E-3"/>
                  <c:y val="3.4391992025778972E-2"/>
                </c:manualLayout>
              </c:layout>
              <c:tx>
                <c:rich>
                  <a:bodyPr/>
                  <a:lstStyle/>
                  <a:p>
                    <a:r>
                      <a:rPr lang="en-US">
                        <a:solidFill>
                          <a:sysClr val="windowText" lastClr="000000"/>
                        </a:solidFill>
                      </a:rPr>
                      <a:t>ITA_F4</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6AF-42CC-AE02-D46EB78E92CA}"/>
                </c:ext>
              </c:extLst>
            </c:dLbl>
            <c:dLbl>
              <c:idx val="8"/>
              <c:layout>
                <c:manualLayout>
                  <c:x val="-5.114249876076845E-2"/>
                  <c:y val="-3.7186661111433442E-2"/>
                </c:manualLayout>
              </c:layout>
              <c:tx>
                <c:rich>
                  <a:bodyPr/>
                  <a:lstStyle/>
                  <a:p>
                    <a:r>
                      <a:rPr lang="en-US" sz="500"/>
                      <a:t>SPA_M1</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6AF-42CC-AE02-D46EB78E92CA}"/>
                </c:ext>
              </c:extLst>
            </c:dLbl>
            <c:dLbl>
              <c:idx val="9"/>
              <c:layout>
                <c:manualLayout>
                  <c:x val="7.9319888342247683E-4"/>
                  <c:y val="-1.7429487980669084E-3"/>
                </c:manualLayout>
              </c:layout>
              <c:tx>
                <c:rich>
                  <a:bodyPr/>
                  <a:lstStyle/>
                  <a:p>
                    <a:r>
                      <a:rPr lang="en-US"/>
                      <a:t>SPA_M2</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6AF-42CC-AE02-D46EB78E92CA}"/>
                </c:ext>
              </c:extLst>
            </c:dLbl>
            <c:dLbl>
              <c:idx val="10"/>
              <c:layout>
                <c:manualLayout>
                  <c:x val="-1.8734495618770972E-2"/>
                  <c:y val="3.721197609843311E-2"/>
                </c:manualLayout>
              </c:layout>
              <c:tx>
                <c:rich>
                  <a:bodyPr/>
                  <a:lstStyle/>
                  <a:p>
                    <a:r>
                      <a:rPr lang="en-US"/>
                      <a:t>SPA_M3</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6AF-42CC-AE02-D46EB78E92CA}"/>
                </c:ext>
              </c:extLst>
            </c:dLbl>
            <c:dLbl>
              <c:idx val="11"/>
              <c:layout>
                <c:manualLayout>
                  <c:x val="-5.1652513877715085E-2"/>
                  <c:y val="-3.753526957824177E-2"/>
                </c:manualLayout>
              </c:layout>
              <c:tx>
                <c:rich>
                  <a:bodyPr/>
                  <a:lstStyle/>
                  <a:p>
                    <a:r>
                      <a:rPr lang="en-US"/>
                      <a:t>SPA_M4</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6AF-42CC-AE02-D46EB78E92CA}"/>
                </c:ext>
              </c:extLst>
            </c:dLbl>
            <c:dLbl>
              <c:idx val="12"/>
              <c:layout>
                <c:manualLayout>
                  <c:x val="-3.5473017201541009E-2"/>
                  <c:y val="-3.8419184540981269E-2"/>
                </c:manualLayout>
              </c:layout>
              <c:tx>
                <c:rich>
                  <a:bodyPr/>
                  <a:lstStyle/>
                  <a:p>
                    <a:r>
                      <a:rPr lang="en-US"/>
                      <a:t>SPA_F1</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6AF-42CC-AE02-D46EB78E92CA}"/>
                </c:ext>
              </c:extLst>
            </c:dLbl>
            <c:dLbl>
              <c:idx val="13"/>
              <c:layout>
                <c:manualLayout>
                  <c:x val="-5.3627328354001136E-2"/>
                  <c:y val="-3.1372578427696536E-2"/>
                </c:manualLayout>
              </c:layout>
              <c:tx>
                <c:rich>
                  <a:bodyPr/>
                  <a:lstStyle/>
                  <a:p>
                    <a:r>
                      <a:rPr lang="en-US"/>
                      <a:t>SPA_F2</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6AF-42CC-AE02-D46EB78E92CA}"/>
                </c:ext>
              </c:extLst>
            </c:dLbl>
            <c:dLbl>
              <c:idx val="14"/>
              <c:layout>
                <c:manualLayout>
                  <c:x val="2.8103446222021039E-3"/>
                  <c:y val="2.4898554347373243E-3"/>
                </c:manualLayout>
              </c:layout>
              <c:tx>
                <c:rich>
                  <a:bodyPr/>
                  <a:lstStyle/>
                  <a:p>
                    <a:r>
                      <a:rPr lang="en-US"/>
                      <a:t>SPA_F3</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6AF-42CC-AE02-D46EB78E92CA}"/>
                </c:ext>
              </c:extLst>
            </c:dLbl>
            <c:dLbl>
              <c:idx val="15"/>
              <c:layout>
                <c:manualLayout>
                  <c:x val="-0.10703111450275764"/>
                  <c:y val="-2.2023247596394725E-2"/>
                </c:manualLayout>
              </c:layout>
              <c:tx>
                <c:rich>
                  <a:bodyPr/>
                  <a:lstStyle/>
                  <a:p>
                    <a:r>
                      <a:rPr lang="en-US"/>
                      <a:t>SPA_F4</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6AF-42CC-AE02-D46EB78E92CA}"/>
                </c:ext>
              </c:extLst>
            </c:dLbl>
            <c:spPr>
              <a:solidFill>
                <a:sysClr val="window" lastClr="FFFFFF"/>
              </a:solidFill>
              <a:ln>
                <a:noFill/>
              </a:ln>
              <a:effectLst/>
            </c:spPr>
            <c:txPr>
              <a:bodyPr wrap="square" lIns="38100" tIns="19050" rIns="38100" bIns="19050" anchor="ctr">
                <a:spAutoFit/>
              </a:bodyPr>
              <a:lstStyle/>
              <a:p>
                <a:pPr>
                  <a:defRPr sz="500">
                    <a:solidFill>
                      <a:sysClr val="windowText" lastClr="000000"/>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MFA!$C$2877:$C$2892</c:f>
              <c:numCache>
                <c:formatCode>0.000</c:formatCode>
                <c:ptCount val="16"/>
                <c:pt idx="0">
                  <c:v>-5.1918036444167281</c:v>
                </c:pt>
                <c:pt idx="1">
                  <c:v>-5.0287092938419375</c:v>
                </c:pt>
                <c:pt idx="2">
                  <c:v>-1.402900554357277</c:v>
                </c:pt>
                <c:pt idx="3">
                  <c:v>1.8253066233159987</c:v>
                </c:pt>
                <c:pt idx="4">
                  <c:v>-4.4221629182837807</c:v>
                </c:pt>
                <c:pt idx="5">
                  <c:v>0.28419276349967626</c:v>
                </c:pt>
                <c:pt idx="6">
                  <c:v>2.6764393391289962</c:v>
                </c:pt>
                <c:pt idx="7">
                  <c:v>4.6445262056632002</c:v>
                </c:pt>
                <c:pt idx="8">
                  <c:v>-4.7104033615195107</c:v>
                </c:pt>
                <c:pt idx="9">
                  <c:v>1.9893736967006397</c:v>
                </c:pt>
                <c:pt idx="10">
                  <c:v>5.0600694770816963</c:v>
                </c:pt>
                <c:pt idx="11">
                  <c:v>7.579572883763074</c:v>
                </c:pt>
                <c:pt idx="12">
                  <c:v>-7.3047710717801877</c:v>
                </c:pt>
                <c:pt idx="13">
                  <c:v>-2.2333680746170415</c:v>
                </c:pt>
                <c:pt idx="14">
                  <c:v>1.5696886816587603</c:v>
                </c:pt>
                <c:pt idx="15">
                  <c:v>4.6649492480044064</c:v>
                </c:pt>
              </c:numCache>
            </c:numRef>
          </c:xVal>
          <c:yVal>
            <c:numRef>
              <c:f>MFA!$D$2877:$D$2892</c:f>
              <c:numCache>
                <c:formatCode>0.000</c:formatCode>
                <c:ptCount val="16"/>
                <c:pt idx="0">
                  <c:v>-1.7430625051123125</c:v>
                </c:pt>
                <c:pt idx="1">
                  <c:v>-1.406144742213568</c:v>
                </c:pt>
                <c:pt idx="2">
                  <c:v>-1.4892182732459458</c:v>
                </c:pt>
                <c:pt idx="3">
                  <c:v>-2.0375538666058892</c:v>
                </c:pt>
                <c:pt idx="4">
                  <c:v>-1.379431010652697</c:v>
                </c:pt>
                <c:pt idx="5">
                  <c:v>-4.3766142548898825</c:v>
                </c:pt>
                <c:pt idx="6">
                  <c:v>-3.403197468128548</c:v>
                </c:pt>
                <c:pt idx="7">
                  <c:v>-4.0462398003589595</c:v>
                </c:pt>
                <c:pt idx="8">
                  <c:v>2.8774872559028526</c:v>
                </c:pt>
                <c:pt idx="9">
                  <c:v>1.714427294565066</c:v>
                </c:pt>
                <c:pt idx="10">
                  <c:v>2.4694375694141626</c:v>
                </c:pt>
                <c:pt idx="11">
                  <c:v>2.8396718263477774</c:v>
                </c:pt>
                <c:pt idx="12">
                  <c:v>3.778120450134137</c:v>
                </c:pt>
                <c:pt idx="13">
                  <c:v>1.9423968235785827</c:v>
                </c:pt>
                <c:pt idx="14">
                  <c:v>1.0523192188815997</c:v>
                </c:pt>
                <c:pt idx="15">
                  <c:v>3.2076014823836165</c:v>
                </c:pt>
              </c:numCache>
            </c:numRef>
          </c:yVal>
          <c:smooth val="0"/>
          <c:extLst>
            <c:ext xmlns:c16="http://schemas.microsoft.com/office/drawing/2014/chart" uri="{C3380CC4-5D6E-409C-BE32-E72D297353CC}">
              <c16:uniqueId val="{00000010-46AF-42CC-AE02-D46EB78E92CA}"/>
            </c:ext>
          </c:extLst>
        </c:ser>
        <c:dLbls>
          <c:showLegendKey val="0"/>
          <c:showVal val="0"/>
          <c:showCatName val="0"/>
          <c:showSerName val="0"/>
          <c:showPercent val="0"/>
          <c:showBubbleSize val="0"/>
        </c:dLbls>
        <c:axId val="174146559"/>
        <c:axId val="1"/>
      </c:scatterChart>
      <c:valAx>
        <c:axId val="174146559"/>
        <c:scaling>
          <c:orientation val="minMax"/>
          <c:max val="8"/>
          <c:min val="-8"/>
        </c:scaling>
        <c:delete val="0"/>
        <c:axPos val="b"/>
        <c:title>
          <c:tx>
            <c:rich>
              <a:bodyPr/>
              <a:lstStyle/>
              <a:p>
                <a:pPr>
                  <a:defRPr sz="600" b="1" i="0" u="none" strike="noStrike" baseline="0">
                    <a:solidFill>
                      <a:srgbClr val="000000"/>
                    </a:solidFill>
                    <a:latin typeface="Calibri"/>
                    <a:ea typeface="Calibri"/>
                    <a:cs typeface="Calibri"/>
                  </a:defRPr>
                </a:pPr>
                <a:r>
                  <a:rPr lang="it-IT" sz="600"/>
                  <a:t>F1 (45.38 %)</a:t>
                </a:r>
              </a:p>
            </c:rich>
          </c:tx>
          <c:overlay val="0"/>
        </c:title>
        <c:numFmt formatCode="General" sourceLinked="0"/>
        <c:majorTickMark val="cross"/>
        <c:minorTickMark val="none"/>
        <c:tickLblPos val="low"/>
        <c:txPr>
          <a:bodyPr rot="0" vert="horz"/>
          <a:lstStyle/>
          <a:p>
            <a:pPr>
              <a:defRPr sz="600" b="0" i="0" u="none" strike="noStrike" baseline="0">
                <a:solidFill>
                  <a:srgbClr val="000000"/>
                </a:solidFill>
                <a:latin typeface="Calibri"/>
                <a:ea typeface="Calibri"/>
                <a:cs typeface="Calibri"/>
              </a:defRPr>
            </a:pPr>
            <a:endParaRPr lang="it-IT"/>
          </a:p>
        </c:txPr>
        <c:crossAx val="1"/>
        <c:crosses val="autoZero"/>
        <c:crossBetween val="midCat"/>
        <c:majorUnit val="2"/>
      </c:valAx>
      <c:valAx>
        <c:axId val="1"/>
        <c:scaling>
          <c:orientation val="minMax"/>
          <c:max val="6"/>
          <c:min val="-6"/>
        </c:scaling>
        <c:delete val="0"/>
        <c:axPos val="l"/>
        <c:title>
          <c:tx>
            <c:rich>
              <a:bodyPr/>
              <a:lstStyle/>
              <a:p>
                <a:pPr>
                  <a:defRPr sz="600" b="1" i="0" u="none" strike="noStrike" baseline="0">
                    <a:solidFill>
                      <a:srgbClr val="000000"/>
                    </a:solidFill>
                    <a:latin typeface="Calibri"/>
                    <a:ea typeface="Calibri"/>
                    <a:cs typeface="Calibri"/>
                  </a:defRPr>
                </a:pPr>
                <a:r>
                  <a:rPr lang="it-IT" sz="600"/>
                  <a:t>F2 (17.56 %)</a:t>
                </a:r>
              </a:p>
            </c:rich>
          </c:tx>
          <c:layout>
            <c:manualLayout>
              <c:xMode val="edge"/>
              <c:yMode val="edge"/>
              <c:x val="5.3379794259588559E-4"/>
              <c:y val="0.40202287592075187"/>
            </c:manualLayout>
          </c:layout>
          <c:overlay val="0"/>
        </c:title>
        <c:numFmt formatCode="General" sourceLinked="0"/>
        <c:majorTickMark val="cross"/>
        <c:minorTickMark val="none"/>
        <c:tickLblPos val="low"/>
        <c:txPr>
          <a:bodyPr/>
          <a:lstStyle/>
          <a:p>
            <a:pPr>
              <a:defRPr sz="500"/>
            </a:pPr>
            <a:endParaRPr lang="it-IT"/>
          </a:p>
        </c:txPr>
        <c:crossAx val="174146559"/>
        <c:crosses val="autoZero"/>
        <c:crossBetween val="midCat"/>
        <c:majorUnit val="2"/>
      </c:valAx>
      <c:spPr>
        <a:ln>
          <a:solidFill>
            <a:srgbClr val="808080"/>
          </a:solidFill>
          <a:prstDash val="solid"/>
        </a:ln>
      </c:spPr>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801517175190087E-2"/>
          <c:y val="1.3437709341215191E-2"/>
          <c:w val="0.90380073270817862"/>
          <c:h val="0.89012536574922096"/>
        </c:manualLayout>
      </c:layout>
      <c:scatterChart>
        <c:scatterStyle val="lineMarker"/>
        <c:varyColors val="0"/>
        <c:ser>
          <c:idx val="0"/>
          <c:order val="0"/>
          <c:spPr>
            <a:ln w="19028">
              <a:noFill/>
            </a:ln>
          </c:spPr>
          <c:marker>
            <c:symbol val="circle"/>
            <c:size val="2"/>
            <c:spPr>
              <a:solidFill>
                <a:srgbClr val="FF0000"/>
              </a:solidFill>
              <a:ln>
                <a:solidFill>
                  <a:srgbClr val="FF0000"/>
                </a:solidFill>
                <a:prstDash val="solid"/>
              </a:ln>
            </c:spPr>
          </c:marker>
          <c:dPt>
            <c:idx val="1"/>
            <c:marker>
              <c:spPr>
                <a:solidFill>
                  <a:srgbClr val="3266FF"/>
                </a:solidFill>
                <a:ln>
                  <a:solidFill>
                    <a:srgbClr val="3266FF"/>
                  </a:solidFill>
                  <a:prstDash val="solid"/>
                </a:ln>
              </c:spPr>
            </c:marker>
            <c:bubble3D val="0"/>
            <c:extLst>
              <c:ext xmlns:c16="http://schemas.microsoft.com/office/drawing/2014/chart" uri="{C3380CC4-5D6E-409C-BE32-E72D297353CC}">
                <c16:uniqueId val="{00000000-CD1F-4D8C-8FD4-787D3F03140D}"/>
              </c:ext>
            </c:extLst>
          </c:dPt>
          <c:dPt>
            <c:idx val="2"/>
            <c:marker>
              <c:spPr>
                <a:solidFill>
                  <a:srgbClr val="007800"/>
                </a:solidFill>
                <a:ln>
                  <a:solidFill>
                    <a:srgbClr val="007800"/>
                  </a:solidFill>
                  <a:prstDash val="solid"/>
                </a:ln>
              </c:spPr>
            </c:marker>
            <c:bubble3D val="0"/>
            <c:extLst>
              <c:ext xmlns:c16="http://schemas.microsoft.com/office/drawing/2014/chart" uri="{C3380CC4-5D6E-409C-BE32-E72D297353CC}">
                <c16:uniqueId val="{00000001-CD1F-4D8C-8FD4-787D3F03140D}"/>
              </c:ext>
            </c:extLst>
          </c:dPt>
          <c:dPt>
            <c:idx val="3"/>
            <c:marker>
              <c:spPr>
                <a:solidFill>
                  <a:srgbClr val="C82896"/>
                </a:solidFill>
                <a:ln>
                  <a:solidFill>
                    <a:srgbClr val="C82896"/>
                  </a:solidFill>
                  <a:prstDash val="solid"/>
                </a:ln>
              </c:spPr>
            </c:marker>
            <c:bubble3D val="0"/>
            <c:extLst>
              <c:ext xmlns:c16="http://schemas.microsoft.com/office/drawing/2014/chart" uri="{C3380CC4-5D6E-409C-BE32-E72D297353CC}">
                <c16:uniqueId val="{00000002-CD1F-4D8C-8FD4-787D3F03140D}"/>
              </c:ext>
            </c:extLst>
          </c:dPt>
          <c:dPt>
            <c:idx val="4"/>
            <c:marker>
              <c:spPr>
                <a:solidFill>
                  <a:srgbClr val="FFFF87"/>
                </a:solidFill>
                <a:ln>
                  <a:solidFill>
                    <a:srgbClr val="FFFF87"/>
                  </a:solidFill>
                  <a:prstDash val="solid"/>
                </a:ln>
              </c:spPr>
            </c:marker>
            <c:bubble3D val="0"/>
            <c:extLst>
              <c:ext xmlns:c16="http://schemas.microsoft.com/office/drawing/2014/chart" uri="{C3380CC4-5D6E-409C-BE32-E72D297353CC}">
                <c16:uniqueId val="{00000003-CD1F-4D8C-8FD4-787D3F03140D}"/>
              </c:ext>
            </c:extLst>
          </c:dPt>
          <c:dPt>
            <c:idx val="5"/>
            <c:marker>
              <c:spPr>
                <a:solidFill>
                  <a:srgbClr val="5F5F5F"/>
                </a:solidFill>
                <a:ln>
                  <a:solidFill>
                    <a:srgbClr val="5F5F5F"/>
                  </a:solidFill>
                  <a:prstDash val="solid"/>
                </a:ln>
              </c:spPr>
            </c:marker>
            <c:bubble3D val="0"/>
            <c:extLst>
              <c:ext xmlns:c16="http://schemas.microsoft.com/office/drawing/2014/chart" uri="{C3380CC4-5D6E-409C-BE32-E72D297353CC}">
                <c16:uniqueId val="{00000004-CD1F-4D8C-8FD4-787D3F03140D}"/>
              </c:ext>
            </c:extLst>
          </c:dPt>
          <c:dPt>
            <c:idx val="6"/>
            <c:marker>
              <c:spPr>
                <a:solidFill>
                  <a:srgbClr val="780000"/>
                </a:solidFill>
                <a:ln>
                  <a:solidFill>
                    <a:srgbClr val="780000"/>
                  </a:solidFill>
                  <a:prstDash val="solid"/>
                </a:ln>
              </c:spPr>
            </c:marker>
            <c:bubble3D val="0"/>
            <c:extLst>
              <c:ext xmlns:c16="http://schemas.microsoft.com/office/drawing/2014/chart" uri="{C3380CC4-5D6E-409C-BE32-E72D297353CC}">
                <c16:uniqueId val="{00000005-CD1F-4D8C-8FD4-787D3F03140D}"/>
              </c:ext>
            </c:extLst>
          </c:dPt>
          <c:dPt>
            <c:idx val="7"/>
            <c:marker>
              <c:spPr>
                <a:solidFill>
                  <a:srgbClr val="000078"/>
                </a:solidFill>
                <a:ln>
                  <a:solidFill>
                    <a:srgbClr val="000078"/>
                  </a:solidFill>
                  <a:prstDash val="solid"/>
                </a:ln>
              </c:spPr>
            </c:marker>
            <c:bubble3D val="0"/>
            <c:extLst>
              <c:ext xmlns:c16="http://schemas.microsoft.com/office/drawing/2014/chart" uri="{C3380CC4-5D6E-409C-BE32-E72D297353CC}">
                <c16:uniqueId val="{00000006-CD1F-4D8C-8FD4-787D3F03140D}"/>
              </c:ext>
            </c:extLst>
          </c:dPt>
          <c:dPt>
            <c:idx val="8"/>
            <c:marker>
              <c:spPr>
                <a:solidFill>
                  <a:srgbClr val="06DC1A"/>
                </a:solidFill>
                <a:ln>
                  <a:solidFill>
                    <a:srgbClr val="06DC1A"/>
                  </a:solidFill>
                  <a:prstDash val="solid"/>
                </a:ln>
              </c:spPr>
            </c:marker>
            <c:bubble3D val="0"/>
            <c:extLst>
              <c:ext xmlns:c16="http://schemas.microsoft.com/office/drawing/2014/chart" uri="{C3380CC4-5D6E-409C-BE32-E72D297353CC}">
                <c16:uniqueId val="{00000007-CD1F-4D8C-8FD4-787D3F03140D}"/>
              </c:ext>
            </c:extLst>
          </c:dPt>
          <c:dPt>
            <c:idx val="9"/>
            <c:marker>
              <c:spPr>
                <a:solidFill>
                  <a:srgbClr val="EC14A4"/>
                </a:solidFill>
                <a:ln>
                  <a:solidFill>
                    <a:srgbClr val="EC14A4"/>
                  </a:solidFill>
                  <a:prstDash val="solid"/>
                </a:ln>
              </c:spPr>
            </c:marker>
            <c:bubble3D val="0"/>
            <c:extLst>
              <c:ext xmlns:c16="http://schemas.microsoft.com/office/drawing/2014/chart" uri="{C3380CC4-5D6E-409C-BE32-E72D297353CC}">
                <c16:uniqueId val="{00000008-CD1F-4D8C-8FD4-787D3F03140D}"/>
              </c:ext>
            </c:extLst>
          </c:dPt>
          <c:dPt>
            <c:idx val="10"/>
            <c:marker>
              <c:spPr>
                <a:solidFill>
                  <a:srgbClr val="FF5050"/>
                </a:solidFill>
                <a:ln>
                  <a:solidFill>
                    <a:srgbClr val="FF5050"/>
                  </a:solidFill>
                  <a:prstDash val="solid"/>
                </a:ln>
              </c:spPr>
            </c:marker>
            <c:bubble3D val="0"/>
            <c:extLst>
              <c:ext xmlns:c16="http://schemas.microsoft.com/office/drawing/2014/chart" uri="{C3380CC4-5D6E-409C-BE32-E72D297353CC}">
                <c16:uniqueId val="{00000009-CD1F-4D8C-8FD4-787D3F03140D}"/>
              </c:ext>
            </c:extLst>
          </c:dPt>
          <c:dPt>
            <c:idx val="11"/>
            <c:marker>
              <c:spPr>
                <a:solidFill>
                  <a:srgbClr val="B7F0FF"/>
                </a:solidFill>
                <a:ln>
                  <a:solidFill>
                    <a:srgbClr val="B7F0FF"/>
                  </a:solidFill>
                  <a:prstDash val="solid"/>
                </a:ln>
              </c:spPr>
            </c:marker>
            <c:bubble3D val="0"/>
            <c:extLst>
              <c:ext xmlns:c16="http://schemas.microsoft.com/office/drawing/2014/chart" uri="{C3380CC4-5D6E-409C-BE32-E72D297353CC}">
                <c16:uniqueId val="{0000000A-CD1F-4D8C-8FD4-787D3F03140D}"/>
              </c:ext>
            </c:extLst>
          </c:dPt>
          <c:dPt>
            <c:idx val="12"/>
            <c:marker>
              <c:spPr>
                <a:solidFill>
                  <a:srgbClr val="C0C0C0"/>
                </a:solidFill>
                <a:ln>
                  <a:solidFill>
                    <a:srgbClr val="C0C0C0"/>
                  </a:solidFill>
                  <a:prstDash val="solid"/>
                </a:ln>
              </c:spPr>
            </c:marker>
            <c:bubble3D val="0"/>
            <c:extLst>
              <c:ext xmlns:c16="http://schemas.microsoft.com/office/drawing/2014/chart" uri="{C3380CC4-5D6E-409C-BE32-E72D297353CC}">
                <c16:uniqueId val="{0000000B-CD1F-4D8C-8FD4-787D3F03140D}"/>
              </c:ext>
            </c:extLst>
          </c:dPt>
          <c:dPt>
            <c:idx val="13"/>
            <c:marker>
              <c:spPr>
                <a:solidFill>
                  <a:srgbClr val="FF9900"/>
                </a:solidFill>
                <a:ln>
                  <a:solidFill>
                    <a:srgbClr val="FF9900"/>
                  </a:solidFill>
                  <a:prstDash val="solid"/>
                </a:ln>
              </c:spPr>
            </c:marker>
            <c:bubble3D val="0"/>
            <c:extLst>
              <c:ext xmlns:c16="http://schemas.microsoft.com/office/drawing/2014/chart" uri="{C3380CC4-5D6E-409C-BE32-E72D297353CC}">
                <c16:uniqueId val="{0000000C-CD1F-4D8C-8FD4-787D3F03140D}"/>
              </c:ext>
            </c:extLst>
          </c:dPt>
          <c:dPt>
            <c:idx val="14"/>
            <c:marker>
              <c:spPr>
                <a:solidFill>
                  <a:srgbClr val="0000FF"/>
                </a:solidFill>
                <a:ln>
                  <a:solidFill>
                    <a:srgbClr val="0000FF"/>
                  </a:solidFill>
                  <a:prstDash val="solid"/>
                </a:ln>
              </c:spPr>
            </c:marker>
            <c:bubble3D val="0"/>
            <c:extLst>
              <c:ext xmlns:c16="http://schemas.microsoft.com/office/drawing/2014/chart" uri="{C3380CC4-5D6E-409C-BE32-E72D297353CC}">
                <c16:uniqueId val="{0000000D-CD1F-4D8C-8FD4-787D3F03140D}"/>
              </c:ext>
            </c:extLst>
          </c:dPt>
          <c:dPt>
            <c:idx val="15"/>
            <c:marker>
              <c:spPr>
                <a:solidFill>
                  <a:srgbClr val="99CC00"/>
                </a:solidFill>
                <a:ln>
                  <a:solidFill>
                    <a:srgbClr val="99CC00"/>
                  </a:solidFill>
                  <a:prstDash val="solid"/>
                </a:ln>
              </c:spPr>
            </c:marker>
            <c:bubble3D val="0"/>
            <c:extLst>
              <c:ext xmlns:c16="http://schemas.microsoft.com/office/drawing/2014/chart" uri="{C3380CC4-5D6E-409C-BE32-E72D297353CC}">
                <c16:uniqueId val="{0000000E-CD1F-4D8C-8FD4-787D3F03140D}"/>
              </c:ext>
            </c:extLst>
          </c:dPt>
          <c:dPt>
            <c:idx val="16"/>
            <c:marker>
              <c:spPr>
                <a:solidFill>
                  <a:srgbClr val="FF64FF"/>
                </a:solidFill>
                <a:ln>
                  <a:solidFill>
                    <a:srgbClr val="FF64FF"/>
                  </a:solidFill>
                  <a:prstDash val="solid"/>
                </a:ln>
              </c:spPr>
            </c:marker>
            <c:bubble3D val="0"/>
            <c:extLst>
              <c:ext xmlns:c16="http://schemas.microsoft.com/office/drawing/2014/chart" uri="{C3380CC4-5D6E-409C-BE32-E72D297353CC}">
                <c16:uniqueId val="{0000000F-CD1F-4D8C-8FD4-787D3F03140D}"/>
              </c:ext>
            </c:extLst>
          </c:dPt>
          <c:dPt>
            <c:idx val="17"/>
            <c:marker>
              <c:spPr>
                <a:solidFill>
                  <a:srgbClr val="FF6600"/>
                </a:solidFill>
                <a:ln>
                  <a:solidFill>
                    <a:srgbClr val="FF6600"/>
                  </a:solidFill>
                  <a:prstDash val="solid"/>
                </a:ln>
              </c:spPr>
            </c:marker>
            <c:bubble3D val="0"/>
            <c:extLst>
              <c:ext xmlns:c16="http://schemas.microsoft.com/office/drawing/2014/chart" uri="{C3380CC4-5D6E-409C-BE32-E72D297353CC}">
                <c16:uniqueId val="{00000010-CD1F-4D8C-8FD4-787D3F03140D}"/>
              </c:ext>
            </c:extLst>
          </c:dPt>
          <c:dPt>
            <c:idx val="18"/>
            <c:marker>
              <c:spPr>
                <a:solidFill>
                  <a:srgbClr val="64FF64"/>
                </a:solidFill>
                <a:ln>
                  <a:solidFill>
                    <a:srgbClr val="64FF64"/>
                  </a:solidFill>
                  <a:prstDash val="solid"/>
                </a:ln>
              </c:spPr>
            </c:marker>
            <c:bubble3D val="0"/>
            <c:extLst>
              <c:ext xmlns:c16="http://schemas.microsoft.com/office/drawing/2014/chart" uri="{C3380CC4-5D6E-409C-BE32-E72D297353CC}">
                <c16:uniqueId val="{00000011-CD1F-4D8C-8FD4-787D3F03140D}"/>
              </c:ext>
            </c:extLst>
          </c:dPt>
          <c:dPt>
            <c:idx val="19"/>
            <c:marker>
              <c:spPr>
                <a:solidFill>
                  <a:srgbClr val="FFCD00"/>
                </a:solidFill>
                <a:ln>
                  <a:solidFill>
                    <a:srgbClr val="FFCD00"/>
                  </a:solidFill>
                  <a:prstDash val="solid"/>
                </a:ln>
              </c:spPr>
            </c:marker>
            <c:bubble3D val="0"/>
            <c:extLst>
              <c:ext xmlns:c16="http://schemas.microsoft.com/office/drawing/2014/chart" uri="{C3380CC4-5D6E-409C-BE32-E72D297353CC}">
                <c16:uniqueId val="{00000012-CD1F-4D8C-8FD4-787D3F03140D}"/>
              </c:ext>
            </c:extLst>
          </c:dPt>
          <c:dPt>
            <c:idx val="20"/>
            <c:marker>
              <c:spPr>
                <a:solidFill>
                  <a:srgbClr val="4791FF"/>
                </a:solidFill>
                <a:ln>
                  <a:solidFill>
                    <a:srgbClr val="4791FF"/>
                  </a:solidFill>
                  <a:prstDash val="solid"/>
                </a:ln>
              </c:spPr>
            </c:marker>
            <c:bubble3D val="0"/>
            <c:extLst>
              <c:ext xmlns:c16="http://schemas.microsoft.com/office/drawing/2014/chart" uri="{C3380CC4-5D6E-409C-BE32-E72D297353CC}">
                <c16:uniqueId val="{00000013-CD1F-4D8C-8FD4-787D3F03140D}"/>
              </c:ext>
            </c:extLst>
          </c:dPt>
          <c:dPt>
            <c:idx val="21"/>
            <c:marker>
              <c:spPr>
                <a:solidFill>
                  <a:srgbClr val="99FF99"/>
                </a:solidFill>
                <a:ln>
                  <a:solidFill>
                    <a:srgbClr val="99FF99"/>
                  </a:solidFill>
                  <a:prstDash val="solid"/>
                </a:ln>
              </c:spPr>
            </c:marker>
            <c:bubble3D val="0"/>
            <c:extLst>
              <c:ext xmlns:c16="http://schemas.microsoft.com/office/drawing/2014/chart" uri="{C3380CC4-5D6E-409C-BE32-E72D297353CC}">
                <c16:uniqueId val="{00000014-CD1F-4D8C-8FD4-787D3F03140D}"/>
              </c:ext>
            </c:extLst>
          </c:dPt>
          <c:dPt>
            <c:idx val="22"/>
            <c:marker>
              <c:spPr>
                <a:solidFill>
                  <a:srgbClr val="FF8CFF"/>
                </a:solidFill>
                <a:ln>
                  <a:solidFill>
                    <a:srgbClr val="FF8CFF"/>
                  </a:solidFill>
                  <a:prstDash val="solid"/>
                </a:ln>
              </c:spPr>
            </c:marker>
            <c:bubble3D val="0"/>
            <c:extLst>
              <c:ext xmlns:c16="http://schemas.microsoft.com/office/drawing/2014/chart" uri="{C3380CC4-5D6E-409C-BE32-E72D297353CC}">
                <c16:uniqueId val="{00000015-CD1F-4D8C-8FD4-787D3F03140D}"/>
              </c:ext>
            </c:extLst>
          </c:dPt>
          <c:dPt>
            <c:idx val="23"/>
            <c:marker>
              <c:spPr>
                <a:solidFill>
                  <a:srgbClr val="FF9966"/>
                </a:solidFill>
                <a:ln>
                  <a:solidFill>
                    <a:srgbClr val="FF9966"/>
                  </a:solidFill>
                  <a:prstDash val="solid"/>
                </a:ln>
              </c:spPr>
            </c:marker>
            <c:bubble3D val="0"/>
            <c:extLst>
              <c:ext xmlns:c16="http://schemas.microsoft.com/office/drawing/2014/chart" uri="{C3380CC4-5D6E-409C-BE32-E72D297353CC}">
                <c16:uniqueId val="{00000016-CD1F-4D8C-8FD4-787D3F03140D}"/>
              </c:ext>
            </c:extLst>
          </c:dPt>
          <c:dPt>
            <c:idx val="24"/>
            <c:marker>
              <c:spPr>
                <a:solidFill>
                  <a:srgbClr val="00FFFF"/>
                </a:solidFill>
                <a:ln>
                  <a:solidFill>
                    <a:srgbClr val="00FFFF"/>
                  </a:solidFill>
                  <a:prstDash val="solid"/>
                </a:ln>
              </c:spPr>
            </c:marker>
            <c:bubble3D val="0"/>
            <c:extLst>
              <c:ext xmlns:c16="http://schemas.microsoft.com/office/drawing/2014/chart" uri="{C3380CC4-5D6E-409C-BE32-E72D297353CC}">
                <c16:uniqueId val="{00000017-CD1F-4D8C-8FD4-787D3F03140D}"/>
              </c:ext>
            </c:extLst>
          </c:dPt>
          <c:dPt>
            <c:idx val="25"/>
            <c:marker>
              <c:spPr>
                <a:solidFill>
                  <a:srgbClr val="DDDDDD"/>
                </a:solidFill>
                <a:ln>
                  <a:solidFill>
                    <a:srgbClr val="DDDDDD"/>
                  </a:solidFill>
                  <a:prstDash val="solid"/>
                </a:ln>
              </c:spPr>
            </c:marker>
            <c:bubble3D val="0"/>
            <c:extLst>
              <c:ext xmlns:c16="http://schemas.microsoft.com/office/drawing/2014/chart" uri="{C3380CC4-5D6E-409C-BE32-E72D297353CC}">
                <c16:uniqueId val="{00000018-CD1F-4D8C-8FD4-787D3F03140D}"/>
              </c:ext>
            </c:extLst>
          </c:dPt>
          <c:dPt>
            <c:idx val="26"/>
            <c:marker>
              <c:spPr>
                <a:solidFill>
                  <a:srgbClr val="FFFF00"/>
                </a:solidFill>
                <a:ln>
                  <a:solidFill>
                    <a:srgbClr val="FFFF00"/>
                  </a:solidFill>
                  <a:prstDash val="solid"/>
                </a:ln>
              </c:spPr>
            </c:marker>
            <c:bubble3D val="0"/>
            <c:extLst>
              <c:ext xmlns:c16="http://schemas.microsoft.com/office/drawing/2014/chart" uri="{C3380CC4-5D6E-409C-BE32-E72D297353CC}">
                <c16:uniqueId val="{00000019-CD1F-4D8C-8FD4-787D3F03140D}"/>
              </c:ext>
            </c:extLst>
          </c:dPt>
          <c:dPt>
            <c:idx val="27"/>
            <c:marker>
              <c:spPr>
                <a:solidFill>
                  <a:srgbClr val="99CCFF"/>
                </a:solidFill>
                <a:ln>
                  <a:solidFill>
                    <a:srgbClr val="99CCFF"/>
                  </a:solidFill>
                  <a:prstDash val="solid"/>
                </a:ln>
              </c:spPr>
            </c:marker>
            <c:bubble3D val="0"/>
            <c:extLst>
              <c:ext xmlns:c16="http://schemas.microsoft.com/office/drawing/2014/chart" uri="{C3380CC4-5D6E-409C-BE32-E72D297353CC}">
                <c16:uniqueId val="{0000001A-CD1F-4D8C-8FD4-787D3F03140D}"/>
              </c:ext>
            </c:extLst>
          </c:dPt>
          <c:dPt>
            <c:idx val="28"/>
            <c:marker>
              <c:spPr>
                <a:solidFill>
                  <a:srgbClr val="B9FFCA"/>
                </a:solidFill>
                <a:ln>
                  <a:solidFill>
                    <a:srgbClr val="B9FFCA"/>
                  </a:solidFill>
                  <a:prstDash val="solid"/>
                </a:ln>
              </c:spPr>
            </c:marker>
            <c:bubble3D val="0"/>
            <c:extLst>
              <c:ext xmlns:c16="http://schemas.microsoft.com/office/drawing/2014/chart" uri="{C3380CC4-5D6E-409C-BE32-E72D297353CC}">
                <c16:uniqueId val="{0000001B-CD1F-4D8C-8FD4-787D3F03140D}"/>
              </c:ext>
            </c:extLst>
          </c:dPt>
          <c:dPt>
            <c:idx val="29"/>
            <c:marker>
              <c:spPr>
                <a:solidFill>
                  <a:srgbClr val="FFCDFF"/>
                </a:solidFill>
                <a:ln>
                  <a:solidFill>
                    <a:srgbClr val="FFCDFF"/>
                  </a:solidFill>
                  <a:prstDash val="solid"/>
                </a:ln>
              </c:spPr>
            </c:marker>
            <c:bubble3D val="0"/>
            <c:extLst>
              <c:ext xmlns:c16="http://schemas.microsoft.com/office/drawing/2014/chart" uri="{C3380CC4-5D6E-409C-BE32-E72D297353CC}">
                <c16:uniqueId val="{0000001C-CD1F-4D8C-8FD4-787D3F03140D}"/>
              </c:ext>
            </c:extLst>
          </c:dPt>
          <c:dPt>
            <c:idx val="30"/>
            <c:marker>
              <c:spPr>
                <a:solidFill>
                  <a:srgbClr val="FFCC99"/>
                </a:solidFill>
                <a:ln>
                  <a:solidFill>
                    <a:srgbClr val="FFCC99"/>
                  </a:solidFill>
                  <a:prstDash val="solid"/>
                </a:ln>
              </c:spPr>
            </c:marker>
            <c:bubble3D val="0"/>
            <c:extLst>
              <c:ext xmlns:c16="http://schemas.microsoft.com/office/drawing/2014/chart" uri="{C3380CC4-5D6E-409C-BE32-E72D297353CC}">
                <c16:uniqueId val="{0000001D-CD1F-4D8C-8FD4-787D3F03140D}"/>
              </c:ext>
            </c:extLst>
          </c:dPt>
          <c:dPt>
            <c:idx val="31"/>
            <c:marker>
              <c:spPr>
                <a:solidFill>
                  <a:srgbClr val="97FFFF"/>
                </a:solidFill>
                <a:ln>
                  <a:solidFill>
                    <a:srgbClr val="97FFFF"/>
                  </a:solidFill>
                  <a:prstDash val="solid"/>
                </a:ln>
              </c:spPr>
            </c:marker>
            <c:bubble3D val="0"/>
            <c:extLst>
              <c:ext xmlns:c16="http://schemas.microsoft.com/office/drawing/2014/chart" uri="{C3380CC4-5D6E-409C-BE32-E72D297353CC}">
                <c16:uniqueId val="{0000001E-CD1F-4D8C-8FD4-787D3F03140D}"/>
              </c:ext>
            </c:extLst>
          </c:dPt>
          <c:dPt>
            <c:idx val="32"/>
            <c:marker>
              <c:spPr>
                <a:solidFill>
                  <a:srgbClr val="969696"/>
                </a:solidFill>
                <a:ln>
                  <a:solidFill>
                    <a:srgbClr val="969696"/>
                  </a:solidFill>
                  <a:prstDash val="solid"/>
                </a:ln>
              </c:spPr>
            </c:marker>
            <c:bubble3D val="0"/>
            <c:extLst>
              <c:ext xmlns:c16="http://schemas.microsoft.com/office/drawing/2014/chart" uri="{C3380CC4-5D6E-409C-BE32-E72D297353CC}">
                <c16:uniqueId val="{0000001F-CD1F-4D8C-8FD4-787D3F03140D}"/>
              </c:ext>
            </c:extLst>
          </c:dPt>
          <c:dPt>
            <c:idx val="33"/>
            <c:marker>
              <c:spPr>
                <a:solidFill>
                  <a:srgbClr val="000000"/>
                </a:solidFill>
                <a:ln>
                  <a:solidFill>
                    <a:srgbClr val="000000"/>
                  </a:solidFill>
                  <a:prstDash val="solid"/>
                </a:ln>
              </c:spPr>
            </c:marker>
            <c:bubble3D val="0"/>
            <c:extLst>
              <c:ext xmlns:c16="http://schemas.microsoft.com/office/drawing/2014/chart" uri="{C3380CC4-5D6E-409C-BE32-E72D297353CC}">
                <c16:uniqueId val="{00000020-CD1F-4D8C-8FD4-787D3F03140D}"/>
              </c:ext>
            </c:extLst>
          </c:dPt>
          <c:dPt>
            <c:idx val="34"/>
            <c:marker>
              <c:spPr>
                <a:solidFill>
                  <a:srgbClr val="000000"/>
                </a:solidFill>
                <a:ln>
                  <a:solidFill>
                    <a:srgbClr val="000000"/>
                  </a:solidFill>
                  <a:prstDash val="solid"/>
                </a:ln>
              </c:spPr>
            </c:marker>
            <c:bubble3D val="0"/>
            <c:extLst>
              <c:ext xmlns:c16="http://schemas.microsoft.com/office/drawing/2014/chart" uri="{C3380CC4-5D6E-409C-BE32-E72D297353CC}">
                <c16:uniqueId val="{00000021-CD1F-4D8C-8FD4-787D3F03140D}"/>
              </c:ext>
            </c:extLst>
          </c:dPt>
          <c:dPt>
            <c:idx val="35"/>
            <c:marker>
              <c:spPr>
                <a:solidFill>
                  <a:srgbClr val="000000"/>
                </a:solidFill>
                <a:ln>
                  <a:solidFill>
                    <a:srgbClr val="000000"/>
                  </a:solidFill>
                  <a:prstDash val="solid"/>
                </a:ln>
              </c:spPr>
            </c:marker>
            <c:bubble3D val="0"/>
            <c:extLst>
              <c:ext xmlns:c16="http://schemas.microsoft.com/office/drawing/2014/chart" uri="{C3380CC4-5D6E-409C-BE32-E72D297353CC}">
                <c16:uniqueId val="{00000022-CD1F-4D8C-8FD4-787D3F03140D}"/>
              </c:ext>
            </c:extLst>
          </c:dPt>
          <c:dPt>
            <c:idx val="36"/>
            <c:marker>
              <c:spPr>
                <a:solidFill>
                  <a:srgbClr val="000000"/>
                </a:solidFill>
                <a:ln>
                  <a:solidFill>
                    <a:srgbClr val="000000"/>
                  </a:solidFill>
                  <a:prstDash val="solid"/>
                </a:ln>
              </c:spPr>
            </c:marker>
            <c:bubble3D val="0"/>
            <c:extLst>
              <c:ext xmlns:c16="http://schemas.microsoft.com/office/drawing/2014/chart" uri="{C3380CC4-5D6E-409C-BE32-E72D297353CC}">
                <c16:uniqueId val="{00000023-CD1F-4D8C-8FD4-787D3F03140D}"/>
              </c:ext>
            </c:extLst>
          </c:dPt>
          <c:dPt>
            <c:idx val="37"/>
            <c:marker>
              <c:spPr>
                <a:solidFill>
                  <a:srgbClr val="000000"/>
                </a:solidFill>
                <a:ln>
                  <a:solidFill>
                    <a:srgbClr val="000000"/>
                  </a:solidFill>
                  <a:prstDash val="solid"/>
                </a:ln>
              </c:spPr>
            </c:marker>
            <c:bubble3D val="0"/>
            <c:extLst>
              <c:ext xmlns:c16="http://schemas.microsoft.com/office/drawing/2014/chart" uri="{C3380CC4-5D6E-409C-BE32-E72D297353CC}">
                <c16:uniqueId val="{00000024-CD1F-4D8C-8FD4-787D3F03140D}"/>
              </c:ext>
            </c:extLst>
          </c:dPt>
          <c:dPt>
            <c:idx val="38"/>
            <c:marker>
              <c:spPr>
                <a:solidFill>
                  <a:srgbClr val="000000"/>
                </a:solidFill>
                <a:ln>
                  <a:solidFill>
                    <a:srgbClr val="000000"/>
                  </a:solidFill>
                  <a:prstDash val="solid"/>
                </a:ln>
              </c:spPr>
            </c:marker>
            <c:bubble3D val="0"/>
            <c:extLst>
              <c:ext xmlns:c16="http://schemas.microsoft.com/office/drawing/2014/chart" uri="{C3380CC4-5D6E-409C-BE32-E72D297353CC}">
                <c16:uniqueId val="{00000025-CD1F-4D8C-8FD4-787D3F03140D}"/>
              </c:ext>
            </c:extLst>
          </c:dPt>
          <c:dPt>
            <c:idx val="39"/>
            <c:marker>
              <c:spPr>
                <a:solidFill>
                  <a:srgbClr val="000000"/>
                </a:solidFill>
                <a:ln>
                  <a:solidFill>
                    <a:srgbClr val="000000"/>
                  </a:solidFill>
                  <a:prstDash val="solid"/>
                </a:ln>
              </c:spPr>
            </c:marker>
            <c:bubble3D val="0"/>
            <c:extLst>
              <c:ext xmlns:c16="http://schemas.microsoft.com/office/drawing/2014/chart" uri="{C3380CC4-5D6E-409C-BE32-E72D297353CC}">
                <c16:uniqueId val="{00000026-CD1F-4D8C-8FD4-787D3F03140D}"/>
              </c:ext>
            </c:extLst>
          </c:dPt>
          <c:dPt>
            <c:idx val="40"/>
            <c:marker>
              <c:spPr>
                <a:solidFill>
                  <a:srgbClr val="000000"/>
                </a:solidFill>
                <a:ln>
                  <a:solidFill>
                    <a:srgbClr val="000000"/>
                  </a:solidFill>
                  <a:prstDash val="solid"/>
                </a:ln>
              </c:spPr>
            </c:marker>
            <c:bubble3D val="0"/>
            <c:extLst>
              <c:ext xmlns:c16="http://schemas.microsoft.com/office/drawing/2014/chart" uri="{C3380CC4-5D6E-409C-BE32-E72D297353CC}">
                <c16:uniqueId val="{00000027-CD1F-4D8C-8FD4-787D3F03140D}"/>
              </c:ext>
            </c:extLst>
          </c:dPt>
          <c:dLbls>
            <c:dLbl>
              <c:idx val="0"/>
              <c:layout>
                <c:manualLayout>
                  <c:x val="2.9019643790160688E-2"/>
                  <c:y val="2.2489688788901327E-2"/>
                </c:manualLayout>
              </c:layout>
              <c:tx>
                <c:rich>
                  <a:bodyPr/>
                  <a:lstStyle/>
                  <a:p>
                    <a:r>
                      <a:rPr lang="en-US" sz="500">
                        <a:solidFill>
                          <a:schemeClr val="tx1"/>
                        </a:solidFill>
                      </a:rPr>
                      <a:t>MSC knoweledge</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CD1F-4D8C-8FD4-787D3F03140D}"/>
                </c:ext>
              </c:extLst>
            </c:dLbl>
            <c:dLbl>
              <c:idx val="1"/>
              <c:layout>
                <c:manualLayout>
                  <c:x val="-0.12642556081645387"/>
                  <c:y val="6.3959444918417943E-2"/>
                </c:manualLayout>
              </c:layout>
              <c:tx>
                <c:rich>
                  <a:bodyPr/>
                  <a:lstStyle/>
                  <a:p>
                    <a:r>
                      <a:rPr lang="en-US" sz="500">
                        <a:solidFill>
                          <a:schemeClr val="tx1"/>
                        </a:solidFill>
                      </a:rPr>
                      <a:t>Mediterranean origin</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D1F-4D8C-8FD4-787D3F03140D}"/>
                </c:ext>
              </c:extLst>
            </c:dLbl>
            <c:dLbl>
              <c:idx val="2"/>
              <c:layout>
                <c:manualLayout>
                  <c:x val="-9.4748150660445674E-2"/>
                  <c:y val="-1.3022821299880007E-2"/>
                </c:manualLayout>
              </c:layout>
              <c:tx>
                <c:rich>
                  <a:bodyPr/>
                  <a:lstStyle/>
                  <a:p>
                    <a:r>
                      <a:rPr lang="en-US" sz="500">
                        <a:solidFill>
                          <a:schemeClr val="tx1"/>
                        </a:solidFill>
                      </a:rPr>
                      <a:t>Traceability</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1F-4D8C-8FD4-787D3F03140D}"/>
                </c:ext>
              </c:extLst>
            </c:dLbl>
            <c:dLbl>
              <c:idx val="3"/>
              <c:layout>
                <c:manualLayout>
                  <c:x val="9.6017713014927009E-3"/>
                  <c:y val="1.2221750312347927E-2"/>
                </c:manualLayout>
              </c:layout>
              <c:tx>
                <c:rich>
                  <a:bodyPr/>
                  <a:lstStyle/>
                  <a:p>
                    <a:r>
                      <a:rPr lang="en-US" sz="500">
                        <a:solidFill>
                          <a:schemeClr val="tx1"/>
                        </a:solidFill>
                      </a:rPr>
                      <a:t>Fish liking</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D1F-4D8C-8FD4-787D3F03140D}"/>
                </c:ext>
              </c:extLst>
            </c:dLbl>
            <c:dLbl>
              <c:idx val="4"/>
              <c:layout>
                <c:manualLayout>
                  <c:x val="-0.16226625200533384"/>
                  <c:y val="-7.6852325366861776E-2"/>
                </c:manualLayout>
              </c:layout>
              <c:tx>
                <c:rich>
                  <a:bodyPr/>
                  <a:lstStyle/>
                  <a:p>
                    <a:r>
                      <a:rPr lang="en-US" sz="500">
                        <a:solidFill>
                          <a:schemeClr val="tx1"/>
                        </a:solidFill>
                      </a:rPr>
                      <a:t>Consumption frequency</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D1F-4D8C-8FD4-787D3F03140D}"/>
                </c:ext>
              </c:extLst>
            </c:dLbl>
            <c:dLbl>
              <c:idx val="5"/>
              <c:layout>
                <c:manualLayout>
                  <c:x val="-2.0242914979757085E-2"/>
                  <c:y val="-3.1372549019607843E-2"/>
                </c:manualLayout>
              </c:layout>
              <c:tx>
                <c:rich>
                  <a:bodyPr/>
                  <a:lstStyle/>
                  <a:p>
                    <a:r>
                      <a:rPr lang="en-US" sz="500">
                        <a:solidFill>
                          <a:schemeClr val="tx1"/>
                        </a:solidFill>
                      </a:rPr>
                      <a:t>Fam_fresh fish</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D1F-4D8C-8FD4-787D3F03140D}"/>
                </c:ext>
              </c:extLst>
            </c:dLbl>
            <c:dLbl>
              <c:idx val="6"/>
              <c:layout>
                <c:manualLayout>
                  <c:x val="-5.9047723807515912E-2"/>
                  <c:y val="-1.9479641316022055E-2"/>
                </c:manualLayout>
              </c:layout>
              <c:tx>
                <c:rich>
                  <a:bodyPr/>
                  <a:lstStyle/>
                  <a:p>
                    <a:r>
                      <a:rPr lang="en-US" sz="500">
                        <a:solidFill>
                          <a:schemeClr val="tx1"/>
                        </a:solidFill>
                      </a:rPr>
                      <a:t>Fam_frozen fish</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D1F-4D8C-8FD4-787D3F03140D}"/>
                </c:ext>
              </c:extLst>
            </c:dLbl>
            <c:dLbl>
              <c:idx val="7"/>
              <c:layout>
                <c:manualLayout>
                  <c:x val="-7.4071859465771578E-2"/>
                  <c:y val="-1.4054108938537167E-2"/>
                </c:manualLayout>
              </c:layout>
              <c:tx>
                <c:rich>
                  <a:bodyPr/>
                  <a:lstStyle/>
                  <a:p>
                    <a:r>
                      <a:rPr lang="en-US" sz="500">
                        <a:solidFill>
                          <a:schemeClr val="tx1"/>
                        </a:solidFill>
                      </a:rPr>
                      <a:t>Fam_Canned fish</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D1F-4D8C-8FD4-787D3F03140D}"/>
                </c:ext>
              </c:extLst>
            </c:dLbl>
            <c:dLbl>
              <c:idx val="8"/>
              <c:layout>
                <c:manualLayout>
                  <c:x val="2.0628271291466913E-3"/>
                  <c:y val="1.5050237364396064E-3"/>
                </c:manualLayout>
              </c:layout>
              <c:tx>
                <c:rich>
                  <a:bodyPr/>
                  <a:lstStyle/>
                  <a:p>
                    <a:r>
                      <a:rPr lang="en-US" sz="500">
                        <a:solidFill>
                          <a:schemeClr val="tx1"/>
                        </a:solidFill>
                      </a:rPr>
                      <a:t>Fam_processed fish</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D1F-4D8C-8FD4-787D3F03140D}"/>
                </c:ext>
              </c:extLst>
            </c:dLbl>
            <c:dLbl>
              <c:idx val="9"/>
              <c:delete val="1"/>
              <c:extLst>
                <c:ext xmlns:c15="http://schemas.microsoft.com/office/drawing/2012/chart" uri="{CE6537A1-D6FC-4f65-9D91-7224C49458BB}"/>
                <c:ext xmlns:c16="http://schemas.microsoft.com/office/drawing/2014/chart" uri="{C3380CC4-5D6E-409C-BE32-E72D297353CC}">
                  <c16:uniqueId val="{00000008-CD1F-4D8C-8FD4-787D3F03140D}"/>
                </c:ext>
              </c:extLst>
            </c:dLbl>
            <c:dLbl>
              <c:idx val="10"/>
              <c:delete val="1"/>
              <c:extLst>
                <c:ext xmlns:c15="http://schemas.microsoft.com/office/drawing/2012/chart" uri="{CE6537A1-D6FC-4f65-9D91-7224C49458BB}"/>
                <c:ext xmlns:c16="http://schemas.microsoft.com/office/drawing/2014/chart" uri="{C3380CC4-5D6E-409C-BE32-E72D297353CC}">
                  <c16:uniqueId val="{00000009-CD1F-4D8C-8FD4-787D3F03140D}"/>
                </c:ext>
              </c:extLst>
            </c:dLbl>
            <c:dLbl>
              <c:idx val="11"/>
              <c:delete val="1"/>
              <c:extLst>
                <c:ext xmlns:c15="http://schemas.microsoft.com/office/drawing/2012/chart" uri="{CE6537A1-D6FC-4f65-9D91-7224C49458BB}"/>
                <c:ext xmlns:c16="http://schemas.microsoft.com/office/drawing/2014/chart" uri="{C3380CC4-5D6E-409C-BE32-E72D297353CC}">
                  <c16:uniqueId val="{0000000A-CD1F-4D8C-8FD4-787D3F03140D}"/>
                </c:ext>
              </c:extLst>
            </c:dLbl>
            <c:dLbl>
              <c:idx val="12"/>
              <c:delete val="1"/>
              <c:extLst>
                <c:ext xmlns:c15="http://schemas.microsoft.com/office/drawing/2012/chart" uri="{CE6537A1-D6FC-4f65-9D91-7224C49458BB}"/>
                <c:ext xmlns:c16="http://schemas.microsoft.com/office/drawing/2014/chart" uri="{C3380CC4-5D6E-409C-BE32-E72D297353CC}">
                  <c16:uniqueId val="{0000000B-CD1F-4D8C-8FD4-787D3F03140D}"/>
                </c:ext>
              </c:extLst>
            </c:dLbl>
            <c:dLbl>
              <c:idx val="13"/>
              <c:delete val="1"/>
              <c:extLst>
                <c:ext xmlns:c15="http://schemas.microsoft.com/office/drawing/2012/chart" uri="{CE6537A1-D6FC-4f65-9D91-7224C49458BB}"/>
                <c:ext xmlns:c16="http://schemas.microsoft.com/office/drawing/2014/chart" uri="{C3380CC4-5D6E-409C-BE32-E72D297353CC}">
                  <c16:uniqueId val="{0000000C-CD1F-4D8C-8FD4-787D3F03140D}"/>
                </c:ext>
              </c:extLst>
            </c:dLbl>
            <c:dLbl>
              <c:idx val="14"/>
              <c:layout>
                <c:manualLayout>
                  <c:x val="-0.13376121010049155"/>
                  <c:y val="2.02926474102673E-2"/>
                </c:manualLayout>
              </c:layout>
              <c:tx>
                <c:rich>
                  <a:bodyPr/>
                  <a:lstStyle/>
                  <a:p>
                    <a:r>
                      <a:rPr lang="en-US" sz="500">
                        <a:solidFill>
                          <a:schemeClr val="tx1"/>
                        </a:solidFill>
                      </a:rPr>
                      <a:t>Bar_Pice</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D1F-4D8C-8FD4-787D3F03140D}"/>
                </c:ext>
              </c:extLst>
            </c:dLbl>
            <c:dLbl>
              <c:idx val="15"/>
              <c:layout>
                <c:manualLayout>
                  <c:x val="-8.5184811735552843E-3"/>
                  <c:y val="-1.6251231307950913E-2"/>
                </c:manualLayout>
              </c:layout>
              <c:tx>
                <c:rich>
                  <a:bodyPr/>
                  <a:lstStyle/>
                  <a:p>
                    <a:r>
                      <a:rPr lang="en-US" sz="500">
                        <a:solidFill>
                          <a:schemeClr val="tx1"/>
                        </a:solidFill>
                      </a:rPr>
                      <a:t>Bar_timing</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D1F-4D8C-8FD4-787D3F03140D}"/>
                </c:ext>
              </c:extLst>
            </c:dLbl>
            <c:dLbl>
              <c:idx val="16"/>
              <c:layout>
                <c:manualLayout>
                  <c:x val="-9.1763052319274993E-2"/>
                  <c:y val="-2.2708051324093082E-2"/>
                </c:manualLayout>
              </c:layout>
              <c:tx>
                <c:rich>
                  <a:bodyPr/>
                  <a:lstStyle/>
                  <a:p>
                    <a:r>
                      <a:rPr lang="en-US" sz="500">
                        <a:solidFill>
                          <a:schemeClr val="tx1"/>
                        </a:solidFill>
                      </a:rPr>
                      <a:t>Bar_inadequacy</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D1F-4D8C-8FD4-787D3F03140D}"/>
                </c:ext>
              </c:extLst>
            </c:dLbl>
            <c:dLbl>
              <c:idx val="17"/>
              <c:layout>
                <c:manualLayout>
                  <c:x val="-2.0242914979757158E-2"/>
                  <c:y val="1.7647058823529412E-2"/>
                </c:manualLayout>
              </c:layout>
              <c:tx>
                <c:rich>
                  <a:bodyPr/>
                  <a:lstStyle/>
                  <a:p>
                    <a:r>
                      <a:rPr lang="en-US" sz="500">
                        <a:solidFill>
                          <a:schemeClr val="tx1"/>
                        </a:solidFill>
                      </a:rPr>
                      <a:t>Bar_shelf life</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D1F-4D8C-8FD4-787D3F03140D}"/>
                </c:ext>
              </c:extLst>
            </c:dLbl>
            <c:dLbl>
              <c:idx val="18"/>
              <c:layout>
                <c:manualLayout>
                  <c:x val="-0.17319620262833851"/>
                  <c:y val="7.9618437525817154E-3"/>
                </c:manualLayout>
              </c:layout>
              <c:tx>
                <c:rich>
                  <a:bodyPr/>
                  <a:lstStyle/>
                  <a:p>
                    <a:r>
                      <a:rPr lang="en-US" sz="500">
                        <a:solidFill>
                          <a:schemeClr val="tx1"/>
                        </a:solidFill>
                      </a:rPr>
                      <a:t>Bar_Unliking</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CD1F-4D8C-8FD4-787D3F03140D}"/>
                </c:ext>
              </c:extLst>
            </c:dLbl>
            <c:dLbl>
              <c:idx val="19"/>
              <c:layout>
                <c:manualLayout>
                  <c:x val="-4.40914551384749E-2"/>
                  <c:y val="2.109478413012495E-3"/>
                </c:manualLayout>
              </c:layout>
              <c:tx>
                <c:rich>
                  <a:bodyPr/>
                  <a:lstStyle/>
                  <a:p>
                    <a:r>
                      <a:rPr lang="en-US" sz="500">
                        <a:solidFill>
                          <a:schemeClr val="tx1"/>
                        </a:solidFill>
                      </a:rPr>
                      <a:t>FCQ_Health</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CD1F-4D8C-8FD4-787D3F03140D}"/>
                </c:ext>
              </c:extLst>
            </c:dLbl>
            <c:dLbl>
              <c:idx val="20"/>
              <c:layout>
                <c:manualLayout>
                  <c:x val="-3.8869221673251263E-2"/>
                  <c:y val="3.7017533825221001E-2"/>
                </c:manualLayout>
              </c:layout>
              <c:tx>
                <c:rich>
                  <a:bodyPr/>
                  <a:lstStyle/>
                  <a:p>
                    <a:r>
                      <a:rPr lang="en-US" sz="500">
                        <a:solidFill>
                          <a:schemeClr val="tx1"/>
                        </a:solidFill>
                      </a:rPr>
                      <a:t>FCQ_Stress&amp;Mood</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CD1F-4D8C-8FD4-787D3F03140D}"/>
                </c:ext>
              </c:extLst>
            </c:dLbl>
            <c:dLbl>
              <c:idx val="21"/>
              <c:layout>
                <c:manualLayout>
                  <c:x val="-3.400006282747467E-2"/>
                  <c:y val="-2.2125253685953198E-2"/>
                </c:manualLayout>
              </c:layout>
              <c:tx>
                <c:rich>
                  <a:bodyPr/>
                  <a:lstStyle/>
                  <a:p>
                    <a:r>
                      <a:rPr lang="en-US" sz="500">
                        <a:solidFill>
                          <a:schemeClr val="tx1"/>
                        </a:solidFill>
                      </a:rPr>
                      <a:t>FCQ_Convenience</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CD1F-4D8C-8FD4-787D3F03140D}"/>
                </c:ext>
              </c:extLst>
            </c:dLbl>
            <c:dLbl>
              <c:idx val="22"/>
              <c:layout>
                <c:manualLayout>
                  <c:x val="-2.0242912010853126E-2"/>
                  <c:y val="3.8631738829256509E-2"/>
                </c:manualLayout>
              </c:layout>
              <c:tx>
                <c:rich>
                  <a:bodyPr/>
                  <a:lstStyle/>
                  <a:p>
                    <a:r>
                      <a:rPr lang="en-US" sz="500">
                        <a:solidFill>
                          <a:schemeClr val="tx1"/>
                        </a:solidFill>
                      </a:rPr>
                      <a:t>FCQ_Sensory appeal</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CD1F-4D8C-8FD4-787D3F03140D}"/>
                </c:ext>
              </c:extLst>
            </c:dLbl>
            <c:dLbl>
              <c:idx val="23"/>
              <c:layout>
                <c:manualLayout>
                  <c:x val="-2.4899489426452773E-2"/>
                  <c:y val="6.3476387485462624E-3"/>
                </c:manualLayout>
              </c:layout>
              <c:tx>
                <c:rich>
                  <a:bodyPr/>
                  <a:lstStyle/>
                  <a:p>
                    <a:r>
                      <a:rPr lang="en-US" sz="500">
                        <a:solidFill>
                          <a:schemeClr val="tx1"/>
                        </a:solidFill>
                      </a:rPr>
                      <a:t>FCQ_Natural content</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CD1F-4D8C-8FD4-787D3F03140D}"/>
                </c:ext>
              </c:extLst>
            </c:dLbl>
            <c:dLbl>
              <c:idx val="24"/>
              <c:layout>
                <c:manualLayout>
                  <c:x val="-3.400006282747467E-2"/>
                  <c:y val="-9.3564456353633571E-3"/>
                </c:manualLayout>
              </c:layout>
              <c:tx>
                <c:rich>
                  <a:bodyPr/>
                  <a:lstStyle/>
                  <a:p>
                    <a:r>
                      <a:rPr lang="en-US" sz="500">
                        <a:solidFill>
                          <a:schemeClr val="tx1"/>
                        </a:solidFill>
                      </a:rPr>
                      <a:t>FCQ_Price</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CD1F-4D8C-8FD4-787D3F03140D}"/>
                </c:ext>
              </c:extLst>
            </c:dLbl>
            <c:dLbl>
              <c:idx val="25"/>
              <c:layout>
                <c:manualLayout>
                  <c:x val="-1.7366380585011505E-3"/>
                  <c:y val="-6.5386401318485998E-2"/>
                </c:manualLayout>
              </c:layout>
              <c:tx>
                <c:rich>
                  <a:bodyPr wrap="square" lIns="38100" tIns="19050" rIns="38100" bIns="19050" anchor="ctr" anchorCtr="0">
                    <a:noAutofit/>
                  </a:bodyPr>
                  <a:lstStyle/>
                  <a:p>
                    <a:pPr algn="l">
                      <a:defRPr sz="500">
                        <a:solidFill>
                          <a:schemeClr val="tx1"/>
                        </a:solidFill>
                      </a:defRPr>
                    </a:pPr>
                    <a:r>
                      <a:rPr lang="en-US" sz="500">
                        <a:solidFill>
                          <a:schemeClr val="tx1"/>
                        </a:solidFill>
                      </a:rPr>
                      <a:t>FCQ_Body weight control</a:t>
                    </a:r>
                  </a:p>
                </c:rich>
              </c:tx>
              <c:spPr>
                <a:noFill/>
                <a:ln w="25371">
                  <a:noFill/>
                </a:ln>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8-CD1F-4D8C-8FD4-787D3F03140D}"/>
                </c:ext>
              </c:extLst>
            </c:dLbl>
            <c:dLbl>
              <c:idx val="26"/>
              <c:layout>
                <c:manualLayout>
                  <c:x val="-8.8534852458341695E-2"/>
                  <c:y val="-8.0746861352191043E-2"/>
                </c:manualLayout>
              </c:layout>
              <c:tx>
                <c:rich>
                  <a:bodyPr wrap="square" lIns="38100" tIns="19050" rIns="38100" bIns="19050" anchor="ctr">
                    <a:noAutofit/>
                  </a:bodyPr>
                  <a:lstStyle/>
                  <a:p>
                    <a:pPr>
                      <a:defRPr sz="500">
                        <a:solidFill>
                          <a:schemeClr val="tx1"/>
                        </a:solidFill>
                      </a:defRPr>
                    </a:pPr>
                    <a:r>
                      <a:rPr lang="en-US" sz="500">
                        <a:solidFill>
                          <a:schemeClr val="tx1"/>
                        </a:solidFill>
                      </a:rPr>
                      <a:t>FCQ_Familiarity</a:t>
                    </a:r>
                  </a:p>
                </c:rich>
              </c:tx>
              <c:spPr>
                <a:noFill/>
                <a:ln w="25371">
                  <a:noFill/>
                </a:ln>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9-CD1F-4D8C-8FD4-787D3F03140D}"/>
                </c:ext>
              </c:extLst>
            </c:dLbl>
            <c:dLbl>
              <c:idx val="27"/>
              <c:layout>
                <c:manualLayout>
                  <c:x val="-6.4265573901900325E-2"/>
                  <c:y val="-5.0349619176987071E-3"/>
                </c:manualLayout>
              </c:layout>
              <c:tx>
                <c:rich>
                  <a:bodyPr/>
                  <a:lstStyle/>
                  <a:p>
                    <a:r>
                      <a:rPr lang="en-US" sz="500">
                        <a:solidFill>
                          <a:schemeClr val="tx1"/>
                        </a:solidFill>
                      </a:rPr>
                      <a:t>FCQ_Ethical Concern</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CD1F-4D8C-8FD4-787D3F03140D}"/>
                </c:ext>
              </c:extLst>
            </c:dLbl>
            <c:dLbl>
              <c:idx val="28"/>
              <c:layout>
                <c:manualLayout>
                  <c:x val="-5.8762753706550194E-2"/>
                  <c:y val="-7.225941780079817E-2"/>
                </c:manualLayout>
              </c:layout>
              <c:tx>
                <c:rich>
                  <a:bodyPr/>
                  <a:lstStyle/>
                  <a:p>
                    <a:r>
                      <a:rPr lang="en-US" sz="500">
                        <a:solidFill>
                          <a:schemeClr val="tx1"/>
                        </a:solidFill>
                      </a:rPr>
                      <a:t>Food neophobia</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CD1F-4D8C-8FD4-787D3F03140D}"/>
                </c:ext>
              </c:extLst>
            </c:dLbl>
            <c:dLbl>
              <c:idx val="29"/>
              <c:delete val="1"/>
              <c:extLst>
                <c:ext xmlns:c15="http://schemas.microsoft.com/office/drawing/2012/chart" uri="{CE6537A1-D6FC-4f65-9D91-7224C49458BB}"/>
                <c:ext xmlns:c16="http://schemas.microsoft.com/office/drawing/2014/chart" uri="{C3380CC4-5D6E-409C-BE32-E72D297353CC}">
                  <c16:uniqueId val="{0000001C-CD1F-4D8C-8FD4-787D3F03140D}"/>
                </c:ext>
              </c:extLst>
            </c:dLbl>
            <c:dLbl>
              <c:idx val="30"/>
              <c:delete val="1"/>
              <c:extLst>
                <c:ext xmlns:c15="http://schemas.microsoft.com/office/drawing/2012/chart" uri="{CE6537A1-D6FC-4f65-9D91-7224C49458BB}"/>
                <c:ext xmlns:c16="http://schemas.microsoft.com/office/drawing/2014/chart" uri="{C3380CC4-5D6E-409C-BE32-E72D297353CC}">
                  <c16:uniqueId val="{0000001D-CD1F-4D8C-8FD4-787D3F03140D}"/>
                </c:ext>
              </c:extLst>
            </c:dLbl>
            <c:dLbl>
              <c:idx val="31"/>
              <c:delete val="1"/>
              <c:extLst>
                <c:ext xmlns:c15="http://schemas.microsoft.com/office/drawing/2012/chart" uri="{CE6537A1-D6FC-4f65-9D91-7224C49458BB}"/>
                <c:ext xmlns:c16="http://schemas.microsoft.com/office/drawing/2014/chart" uri="{C3380CC4-5D6E-409C-BE32-E72D297353CC}">
                  <c16:uniqueId val="{0000001E-CD1F-4D8C-8FD4-787D3F03140D}"/>
                </c:ext>
              </c:extLst>
            </c:dLbl>
            <c:dLbl>
              <c:idx val="32"/>
              <c:delete val="1"/>
              <c:extLst>
                <c:ext xmlns:c15="http://schemas.microsoft.com/office/drawing/2012/chart" uri="{CE6537A1-D6FC-4f65-9D91-7224C49458BB}"/>
                <c:ext xmlns:c16="http://schemas.microsoft.com/office/drawing/2014/chart" uri="{C3380CC4-5D6E-409C-BE32-E72D297353CC}">
                  <c16:uniqueId val="{0000001F-CD1F-4D8C-8FD4-787D3F03140D}"/>
                </c:ext>
              </c:extLst>
            </c:dLbl>
            <c:dLbl>
              <c:idx val="33"/>
              <c:delete val="1"/>
              <c:extLst>
                <c:ext xmlns:c15="http://schemas.microsoft.com/office/drawing/2012/chart" uri="{CE6537A1-D6FC-4f65-9D91-7224C49458BB}"/>
                <c:ext xmlns:c16="http://schemas.microsoft.com/office/drawing/2014/chart" uri="{C3380CC4-5D6E-409C-BE32-E72D297353CC}">
                  <c16:uniqueId val="{00000020-CD1F-4D8C-8FD4-787D3F03140D}"/>
                </c:ext>
              </c:extLst>
            </c:dLbl>
            <c:dLbl>
              <c:idx val="34"/>
              <c:delete val="1"/>
              <c:extLst>
                <c:ext xmlns:c15="http://schemas.microsoft.com/office/drawing/2012/chart" uri="{CE6537A1-D6FC-4f65-9D91-7224C49458BB}"/>
                <c:ext xmlns:c16="http://schemas.microsoft.com/office/drawing/2014/chart" uri="{C3380CC4-5D6E-409C-BE32-E72D297353CC}">
                  <c16:uniqueId val="{00000021-CD1F-4D8C-8FD4-787D3F03140D}"/>
                </c:ext>
              </c:extLst>
            </c:dLbl>
            <c:dLbl>
              <c:idx val="35"/>
              <c:layout>
                <c:manualLayout>
                  <c:x val="1.2353129898343616E-2"/>
                  <c:y val="1.6032868772759338E-2"/>
                </c:manualLayout>
              </c:layout>
              <c:tx>
                <c:rich>
                  <a:bodyPr/>
                  <a:lstStyle/>
                  <a:p>
                    <a:r>
                      <a:rPr lang="en-US" sz="500">
                        <a:solidFill>
                          <a:schemeClr val="tx1"/>
                        </a:solidFill>
                      </a:rPr>
                      <a:t>Sustainable option_Wild</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CD1F-4D8C-8FD4-787D3F03140D}"/>
                </c:ext>
              </c:extLst>
            </c:dLbl>
            <c:dLbl>
              <c:idx val="36"/>
              <c:layout>
                <c:manualLayout>
                  <c:x val="-0.11817133052342879"/>
                  <c:y val="-3.4517634501537282E-2"/>
                </c:manualLayout>
              </c:layout>
              <c:tx>
                <c:rich>
                  <a:bodyPr/>
                  <a:lstStyle/>
                  <a:p>
                    <a:r>
                      <a:rPr lang="en-US" sz="500">
                        <a:solidFill>
                          <a:schemeClr val="tx1"/>
                        </a:solidFill>
                      </a:rPr>
                      <a:t>Sustainable</a:t>
                    </a:r>
                    <a:r>
                      <a:rPr lang="en-US" sz="500" baseline="0">
                        <a:solidFill>
                          <a:schemeClr val="tx1"/>
                        </a:solidFill>
                      </a:rPr>
                      <a:t> option_Farmed</a:t>
                    </a:r>
                    <a:endParaRPr lang="en-US" sz="500">
                      <a:solidFill>
                        <a:schemeClr val="tx1"/>
                      </a:solidFill>
                    </a:endParaRP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CD1F-4D8C-8FD4-787D3F03140D}"/>
                </c:ext>
              </c:extLst>
            </c:dLbl>
            <c:dLbl>
              <c:idx val="37"/>
              <c:delete val="1"/>
              <c:extLst>
                <c:ext xmlns:c15="http://schemas.microsoft.com/office/drawing/2012/chart" uri="{CE6537A1-D6FC-4f65-9D91-7224C49458BB}"/>
                <c:ext xmlns:c16="http://schemas.microsoft.com/office/drawing/2014/chart" uri="{C3380CC4-5D6E-409C-BE32-E72D297353CC}">
                  <c16:uniqueId val="{00000024-CD1F-4D8C-8FD4-787D3F03140D}"/>
                </c:ext>
              </c:extLst>
            </c:dLbl>
            <c:dLbl>
              <c:idx val="38"/>
              <c:delete val="1"/>
              <c:extLst>
                <c:ext xmlns:c15="http://schemas.microsoft.com/office/drawing/2012/chart" uri="{CE6537A1-D6FC-4f65-9D91-7224C49458BB}"/>
                <c:ext xmlns:c16="http://schemas.microsoft.com/office/drawing/2014/chart" uri="{C3380CC4-5D6E-409C-BE32-E72D297353CC}">
                  <c16:uniqueId val="{00000025-CD1F-4D8C-8FD4-787D3F03140D}"/>
                </c:ext>
              </c:extLst>
            </c:dLbl>
            <c:dLbl>
              <c:idx val="39"/>
              <c:delete val="1"/>
              <c:extLst>
                <c:ext xmlns:c15="http://schemas.microsoft.com/office/drawing/2012/chart" uri="{CE6537A1-D6FC-4f65-9D91-7224C49458BB}"/>
                <c:ext xmlns:c16="http://schemas.microsoft.com/office/drawing/2014/chart" uri="{C3380CC4-5D6E-409C-BE32-E72D297353CC}">
                  <c16:uniqueId val="{00000026-CD1F-4D8C-8FD4-787D3F03140D}"/>
                </c:ext>
              </c:extLst>
            </c:dLbl>
            <c:dLbl>
              <c:idx val="40"/>
              <c:delete val="1"/>
              <c:extLst>
                <c:ext xmlns:c15="http://schemas.microsoft.com/office/drawing/2012/chart" uri="{CE6537A1-D6FC-4f65-9D91-7224C49458BB}"/>
                <c:ext xmlns:c16="http://schemas.microsoft.com/office/drawing/2014/chart" uri="{C3380CC4-5D6E-409C-BE32-E72D297353CC}">
                  <c16:uniqueId val="{00000027-CD1F-4D8C-8FD4-787D3F03140D}"/>
                </c:ext>
              </c:extLst>
            </c:dLbl>
            <c:spPr>
              <a:noFill/>
              <a:ln w="25371">
                <a:noFill/>
              </a:ln>
            </c:spPr>
            <c:txPr>
              <a:bodyPr wrap="square" lIns="38100" tIns="19050" rIns="38100" bIns="19050" anchor="ctr">
                <a:spAutoFit/>
              </a:bodyPr>
              <a:lstStyle/>
              <a:p>
                <a:pPr>
                  <a:defRPr sz="500">
                    <a:solidFill>
                      <a:schemeClr val="tx1"/>
                    </a:solidFill>
                  </a:defRPr>
                </a:pPr>
                <a:endParaRPr lang="it-IT"/>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MFA!$C$2609:$C$2649</c:f>
              <c:numCache>
                <c:formatCode>0.000</c:formatCode>
                <c:ptCount val="41"/>
                <c:pt idx="0">
                  <c:v>-0.68776968103789438</c:v>
                </c:pt>
                <c:pt idx="1">
                  <c:v>0.70606684236482153</c:v>
                </c:pt>
                <c:pt idx="2">
                  <c:v>0.40556840793548871</c:v>
                </c:pt>
                <c:pt idx="3">
                  <c:v>0.5599578372853613</c:v>
                </c:pt>
                <c:pt idx="4">
                  <c:v>0.61311160829444822</c:v>
                </c:pt>
                <c:pt idx="5">
                  <c:v>0.79895763434212452</c:v>
                </c:pt>
                <c:pt idx="6">
                  <c:v>0.37830263084196752</c:v>
                </c:pt>
                <c:pt idx="7">
                  <c:v>0.78942525244861039</c:v>
                </c:pt>
                <c:pt idx="8">
                  <c:v>-0.5628795032245284</c:v>
                </c:pt>
                <c:pt idx="9">
                  <c:v>-0.30968528863251882</c:v>
                </c:pt>
                <c:pt idx="10">
                  <c:v>-0.95571267886080669</c:v>
                </c:pt>
                <c:pt idx="11">
                  <c:v>0.43744689159690625</c:v>
                </c:pt>
                <c:pt idx="12">
                  <c:v>0.10706162973405821</c:v>
                </c:pt>
                <c:pt idx="13">
                  <c:v>-0.79620474501600169</c:v>
                </c:pt>
                <c:pt idx="14">
                  <c:v>0.64359570546037981</c:v>
                </c:pt>
                <c:pt idx="15">
                  <c:v>-0.5626483814708696</c:v>
                </c:pt>
                <c:pt idx="16">
                  <c:v>-0.66619128246797099</c:v>
                </c:pt>
                <c:pt idx="17">
                  <c:v>0.12794899505447707</c:v>
                </c:pt>
                <c:pt idx="18">
                  <c:v>-0.6179190351973135</c:v>
                </c:pt>
                <c:pt idx="19">
                  <c:v>0.94747926090985302</c:v>
                </c:pt>
                <c:pt idx="20">
                  <c:v>0.63056312942031589</c:v>
                </c:pt>
                <c:pt idx="21">
                  <c:v>0.92400730981443613</c:v>
                </c:pt>
                <c:pt idx="22">
                  <c:v>0.90625232155858382</c:v>
                </c:pt>
                <c:pt idx="23">
                  <c:v>0.90543782806092621</c:v>
                </c:pt>
                <c:pt idx="24">
                  <c:v>0.84626821899998206</c:v>
                </c:pt>
                <c:pt idx="25">
                  <c:v>0.95831942575609197</c:v>
                </c:pt>
                <c:pt idx="26">
                  <c:v>0.75317162385236069</c:v>
                </c:pt>
                <c:pt idx="27">
                  <c:v>0.88648168891279122</c:v>
                </c:pt>
                <c:pt idx="28">
                  <c:v>8.6668127367555373E-2</c:v>
                </c:pt>
                <c:pt idx="29">
                  <c:v>0.8015124491122706</c:v>
                </c:pt>
                <c:pt idx="30">
                  <c:v>0.9471241045785963</c:v>
                </c:pt>
                <c:pt idx="31">
                  <c:v>0.84611777756291817</c:v>
                </c:pt>
                <c:pt idx="32">
                  <c:v>0.87051826533896082</c:v>
                </c:pt>
                <c:pt idx="33">
                  <c:v>0.83528085095421856</c:v>
                </c:pt>
                <c:pt idx="34">
                  <c:v>0.75689867546001832</c:v>
                </c:pt>
                <c:pt idx="35">
                  <c:v>2.2219159406708659E-2</c:v>
                </c:pt>
                <c:pt idx="36">
                  <c:v>0.4973656927716974</c:v>
                </c:pt>
                <c:pt idx="37">
                  <c:v>0.37938433711667235</c:v>
                </c:pt>
                <c:pt idx="38">
                  <c:v>-0.13289830967869626</c:v>
                </c:pt>
                <c:pt idx="39">
                  <c:v>0.39754988974274502</c:v>
                </c:pt>
                <c:pt idx="40">
                  <c:v>5.4078931037781372E-2</c:v>
                </c:pt>
              </c:numCache>
            </c:numRef>
          </c:xVal>
          <c:yVal>
            <c:numRef>
              <c:f>MFA!$D$2609:$D$2649</c:f>
              <c:numCache>
                <c:formatCode>0.000</c:formatCode>
                <c:ptCount val="41"/>
                <c:pt idx="0">
                  <c:v>-5.0258051204378207E-3</c:v>
                </c:pt>
                <c:pt idx="1">
                  <c:v>-0.56640993706918585</c:v>
                </c:pt>
                <c:pt idx="2">
                  <c:v>-0.84522448812324313</c:v>
                </c:pt>
                <c:pt idx="3">
                  <c:v>-0.48922883225707625</c:v>
                </c:pt>
                <c:pt idx="4">
                  <c:v>0.58435414064937918</c:v>
                </c:pt>
                <c:pt idx="5">
                  <c:v>0.31411850475759201</c:v>
                </c:pt>
                <c:pt idx="6">
                  <c:v>-0.43743816447889666</c:v>
                </c:pt>
                <c:pt idx="7">
                  <c:v>-0.10271765089420765</c:v>
                </c:pt>
                <c:pt idx="8">
                  <c:v>-0.79521521242352977</c:v>
                </c:pt>
                <c:pt idx="9">
                  <c:v>0.19528083892700093</c:v>
                </c:pt>
                <c:pt idx="10">
                  <c:v>-2.4632875575762388E-2</c:v>
                </c:pt>
                <c:pt idx="11">
                  <c:v>-1.5401762283151522E-2</c:v>
                </c:pt>
                <c:pt idx="12">
                  <c:v>0.89952010709829588</c:v>
                </c:pt>
                <c:pt idx="13">
                  <c:v>-0.55445225181844471</c:v>
                </c:pt>
                <c:pt idx="14">
                  <c:v>-0.49597466224452225</c:v>
                </c:pt>
                <c:pt idx="15">
                  <c:v>-0.71497715635701842</c:v>
                </c:pt>
                <c:pt idx="16">
                  <c:v>-0.46228809166720647</c:v>
                </c:pt>
                <c:pt idx="17">
                  <c:v>-0.55667526801803768</c:v>
                </c:pt>
                <c:pt idx="18">
                  <c:v>-5.0075535657291552E-2</c:v>
                </c:pt>
                <c:pt idx="19">
                  <c:v>8.7563287288295003E-2</c:v>
                </c:pt>
                <c:pt idx="20">
                  <c:v>-0.53000285941788539</c:v>
                </c:pt>
                <c:pt idx="21">
                  <c:v>-2.949838494217194E-2</c:v>
                </c:pt>
                <c:pt idx="22">
                  <c:v>-0.34476195249805036</c:v>
                </c:pt>
                <c:pt idx="23">
                  <c:v>-0.29963755212598286</c:v>
                </c:pt>
                <c:pt idx="24">
                  <c:v>0.28260036357298968</c:v>
                </c:pt>
                <c:pt idx="25">
                  <c:v>4.2495911977711902E-2</c:v>
                </c:pt>
                <c:pt idx="26">
                  <c:v>0.32107084087501253</c:v>
                </c:pt>
                <c:pt idx="27">
                  <c:v>-0.19645119980320203</c:v>
                </c:pt>
                <c:pt idx="28">
                  <c:v>0.73425797213447697</c:v>
                </c:pt>
                <c:pt idx="29">
                  <c:v>-0.25389036551681637</c:v>
                </c:pt>
                <c:pt idx="30">
                  <c:v>0.13160638126417612</c:v>
                </c:pt>
                <c:pt idx="31">
                  <c:v>-0.32312397849124536</c:v>
                </c:pt>
                <c:pt idx="32">
                  <c:v>-3.7512972980664271E-2</c:v>
                </c:pt>
                <c:pt idx="33">
                  <c:v>0.15000852451553776</c:v>
                </c:pt>
                <c:pt idx="34">
                  <c:v>0.11936400958752948</c:v>
                </c:pt>
                <c:pt idx="35">
                  <c:v>-0.22107411350488843</c:v>
                </c:pt>
                <c:pt idx="36">
                  <c:v>0.13528661266019093</c:v>
                </c:pt>
                <c:pt idx="37">
                  <c:v>0.39668978405144456</c:v>
                </c:pt>
                <c:pt idx="38">
                  <c:v>0.10558946195671287</c:v>
                </c:pt>
                <c:pt idx="39">
                  <c:v>-0.48555909420981508</c:v>
                </c:pt>
                <c:pt idx="40">
                  <c:v>-0.50703763858827533</c:v>
                </c:pt>
              </c:numCache>
            </c:numRef>
          </c:yVal>
          <c:smooth val="0"/>
          <c:extLst>
            <c:ext xmlns:c16="http://schemas.microsoft.com/office/drawing/2014/chart" uri="{C3380CC4-5D6E-409C-BE32-E72D297353CC}">
              <c16:uniqueId val="{00000029-CD1F-4D8C-8FD4-787D3F03140D}"/>
            </c:ext>
          </c:extLst>
        </c:ser>
        <c:ser>
          <c:idx val="1"/>
          <c:order val="1"/>
          <c:tx>
            <c:v>CorrCircle2</c:v>
          </c:tx>
          <c:spPr>
            <a:ln w="3171">
              <a:solidFill>
                <a:srgbClr val="000000"/>
              </a:solidFill>
              <a:prstDash val="solid"/>
            </a:ln>
          </c:spPr>
          <c:marker>
            <c:symbol val="none"/>
          </c:marker>
          <c:xVal>
            <c:numRef>
              <c:f>MFA!ycir2</c:f>
              <c:numCache>
                <c:formatCode>General</c:formatCode>
                <c:ptCount val="500"/>
                <c:pt idx="0">
                  <c:v>-1</c:v>
                </c:pt>
                <c:pt idx="1">
                  <c:v>-0.9999207274352172</c:v>
                </c:pt>
                <c:pt idx="2">
                  <c:v>-0.99968292230889111</c:v>
                </c:pt>
                <c:pt idx="3">
                  <c:v>-0.99928662232386611</c:v>
                </c:pt>
                <c:pt idx="4">
                  <c:v>-0.99873189031157483</c:v>
                </c:pt>
                <c:pt idx="5">
                  <c:v>-0.99801881422207628</c:v>
                </c:pt>
                <c:pt idx="6">
                  <c:v>-0.99714750711011146</c:v>
                </c:pt>
                <c:pt idx="7">
                  <c:v>-0.99611810711717974</c:v>
                </c:pt>
                <c:pt idx="8">
                  <c:v>-0.99493077744963665</c:v>
                </c:pt>
                <c:pt idx="9">
                  <c:v>-0.99358570635281829</c:v>
                </c:pt>
                <c:pt idx="10">
                  <c:v>-0.9920831070811964</c:v>
                </c:pt>
                <c:pt idx="11">
                  <c:v>-0.99042321786456755</c:v>
                </c:pt>
                <c:pt idx="12">
                  <c:v>-0.9886063018702832</c:v>
                </c:pt>
                <c:pt idx="13">
                  <c:v>-0.98663264716152554</c:v>
                </c:pt>
                <c:pt idx="14">
                  <c:v>-0.98450256665163649</c:v>
                </c:pt>
                <c:pt idx="15">
                  <c:v>-0.982216398054507</c:v>
                </c:pt>
                <c:pt idx="16">
                  <c:v>-0.97977450383103415</c:v>
                </c:pt>
                <c:pt idx="17">
                  <c:v>-0.97717727113165453</c:v>
                </c:pt>
                <c:pt idx="18">
                  <c:v>-0.97442511173496393</c:v>
                </c:pt>
                <c:pt idx="19">
                  <c:v>-0.97151846198243086</c:v>
                </c:pt>
                <c:pt idx="20">
                  <c:v>-0.9684577827092179</c:v>
                </c:pt>
                <c:pt idx="21">
                  <c:v>-0.96524355917111748</c:v>
                </c:pt>
                <c:pt idx="22">
                  <c:v>-0.96187630096761811</c:v>
                </c:pt>
                <c:pt idx="23">
                  <c:v>-0.95835654196110864</c:v>
                </c:pt>
                <c:pt idx="24">
                  <c:v>-0.95468484019223765</c:v>
                </c:pt>
                <c:pt idx="25">
                  <c:v>-0.95086177779143866</c:v>
                </c:pt>
                <c:pt idx="26">
                  <c:v>-0.94688796088663651</c:v>
                </c:pt>
                <c:pt idx="27">
                  <c:v>-0.94276401950714839</c:v>
                </c:pt>
                <c:pt idx="28">
                  <c:v>-0.93849060748379531</c:v>
                </c:pt>
                <c:pt idx="29">
                  <c:v>-0.93406840234524158</c:v>
                </c:pt>
                <c:pt idx="30">
                  <c:v>-0.92949810521057485</c:v>
                </c:pt>
                <c:pt idx="31">
                  <c:v>-0.92478044067814769</c:v>
                </c:pt>
                <c:pt idx="32">
                  <c:v>-0.91991615671069593</c:v>
                </c:pt>
                <c:pt idx="33">
                  <c:v>-0.91490602451675285</c:v>
                </c:pt>
                <c:pt idx="34">
                  <c:v>-0.90975083842837712</c:v>
                </c:pt>
                <c:pt idx="35">
                  <c:v>-0.90445141577521659</c:v>
                </c:pt>
                <c:pt idx="36">
                  <c:v>-0.89900859675492384</c:v>
                </c:pt>
                <c:pt idx="37">
                  <c:v>-0.89342324429994724</c:v>
                </c:pt>
                <c:pt idx="38">
                  <c:v>-0.88769624394071645</c:v>
                </c:pt>
                <c:pt idx="39">
                  <c:v>-0.88182850366524712</c:v>
                </c:pt>
                <c:pt idx="40">
                  <c:v>-0.87582095377518299</c:v>
                </c:pt>
                <c:pt idx="41">
                  <c:v>-0.86967454673830125</c:v>
                </c:pt>
                <c:pt idx="42">
                  <c:v>-0.86339025703750361</c:v>
                </c:pt>
                <c:pt idx="43">
                  <c:v>-0.85696908101631664</c:v>
                </c:pt>
                <c:pt idx="44">
                  <c:v>-0.8504120367209258</c:v>
                </c:pt>
                <c:pt idx="45">
                  <c:v>-0.84372016373877046</c:v>
                </c:pt>
                <c:pt idx="46">
                  <c:v>-0.83689452303372125</c:v>
                </c:pt>
                <c:pt idx="47">
                  <c:v>-0.82993619677787023</c:v>
                </c:pt>
                <c:pt idx="48">
                  <c:v>-0.82284628817995631</c:v>
                </c:pt>
                <c:pt idx="49">
                  <c:v>-0.81562592131045897</c:v>
                </c:pt>
                <c:pt idx="50">
                  <c:v>-0.8082762409233808</c:v>
                </c:pt>
                <c:pt idx="51">
                  <c:v>-0.80079841227475301</c:v>
                </c:pt>
                <c:pt idx="52">
                  <c:v>-0.79319362093788937</c:v>
                </c:pt>
                <c:pt idx="53">
                  <c:v>-0.78546307261542014</c:v>
                </c:pt>
                <c:pt idx="54">
                  <c:v>-0.77760799294813199</c:v>
                </c:pt>
                <c:pt idx="55">
                  <c:v>-0.76962962732065077</c:v>
                </c:pt>
                <c:pt idx="56">
                  <c:v>-0.76152924066399108</c:v>
                </c:pt>
                <c:pt idx="57">
                  <c:v>-0.75330811725500646</c:v>
                </c:pt>
                <c:pt idx="58">
                  <c:v>-0.74496756051277513</c:v>
                </c:pt>
                <c:pt idx="59">
                  <c:v>-0.73650889279194887</c:v>
                </c:pt>
                <c:pt idx="60">
                  <c:v>-0.72793345517309938</c:v>
                </c:pt>
                <c:pt idx="61">
                  <c:v>-0.71924260725009737</c:v>
                </c:pt>
                <c:pt idx="62">
                  <c:v>-0.71043772691455498</c:v>
                </c:pt>
                <c:pt idx="63">
                  <c:v>-0.70152021013736843</c:v>
                </c:pt>
                <c:pt idx="64">
                  <c:v>-0.69249147074739226</c:v>
                </c:pt>
                <c:pt idx="65">
                  <c:v>-0.68335294020728543</c:v>
                </c:pt>
                <c:pt idx="66">
                  <c:v>-0.67410606738655909</c:v>
                </c:pt>
                <c:pt idx="67">
                  <c:v>-0.66475231833186454</c:v>
                </c:pt>
                <c:pt idx="68">
                  <c:v>-0.65529317603456028</c:v>
                </c:pt>
                <c:pt idx="69">
                  <c:v>-0.64573014019558972</c:v>
                </c:pt>
                <c:pt idx="70">
                  <c:v>-0.63606472698771155</c:v>
                </c:pt>
                <c:pt idx="71">
                  <c:v>-0.62629846881511764</c:v>
                </c:pt>
                <c:pt idx="72">
                  <c:v>-0.61643291407047773</c:v>
                </c:pt>
                <c:pt idx="73">
                  <c:v>-0.60646962688945005</c:v>
                </c:pt>
                <c:pt idx="74">
                  <c:v>-0.59641018690269343</c:v>
                </c:pt>
                <c:pt idx="75">
                  <c:v>-0.58625618898542686</c:v>
                </c:pt>
                <c:pt idx="76">
                  <c:v>-0.57600924300456857</c:v>
                </c:pt>
                <c:pt idx="77">
                  <c:v>-0.56567097356349894</c:v>
                </c:pt>
                <c:pt idx="78">
                  <c:v>-0.55524301974448875</c:v>
                </c:pt>
                <c:pt idx="79">
                  <c:v>-0.54472703484883012</c:v>
                </c:pt>
                <c:pt idx="80">
                  <c:v>-0.53412468613471364</c:v>
                </c:pt>
                <c:pt idx="81">
                  <c:v>-0.52343765455289248</c:v>
                </c:pt>
                <c:pt idx="82">
                  <c:v>-0.51266763448017616</c:v>
                </c:pt>
                <c:pt idx="83">
                  <c:v>-0.50181633345079579</c:v>
                </c:pt>
                <c:pt idx="84">
                  <c:v>-0.4908854718856811</c:v>
                </c:pt>
                <c:pt idx="85">
                  <c:v>-0.47987678281969864</c:v>
                </c:pt>
                <c:pt idx="86">
                  <c:v>-0.46879201162688483</c:v>
                </c:pt>
                <c:pt idx="87">
                  <c:v>-0.45763291574372789</c:v>
                </c:pt>
                <c:pt idx="88">
                  <c:v>-0.44640126439053329</c:v>
                </c:pt>
                <c:pt idx="89">
                  <c:v>-0.43509883829092294</c:v>
                </c:pt>
                <c:pt idx="90">
                  <c:v>-0.42372742938951014</c:v>
                </c:pt>
                <c:pt idx="91">
                  <c:v>-0.41228884056779558</c:v>
                </c:pt>
                <c:pt idx="92">
                  <c:v>-0.40078488535832868</c:v>
                </c:pt>
                <c:pt idx="93">
                  <c:v>-0.38921738765718195</c:v>
                </c:pt>
                <c:pt idx="94">
                  <c:v>-0.37758818143477968</c:v>
                </c:pt>
                <c:pt idx="95">
                  <c:v>-0.36589911044513262</c:v>
                </c:pt>
                <c:pt idx="96">
                  <c:v>-0.35415202793351785</c:v>
                </c:pt>
                <c:pt idx="97">
                  <c:v>-0.34234879634265747</c:v>
                </c:pt>
                <c:pt idx="98">
                  <c:v>-0.33049128701743657</c:v>
                </c:pt>
                <c:pt idx="99">
                  <c:v>-0.31858137990821012</c:v>
                </c:pt>
                <c:pt idx="100">
                  <c:v>-0.30662096327274724</c:v>
                </c:pt>
                <c:pt idx="101">
                  <c:v>-0.29461193337685576</c:v>
                </c:pt>
                <c:pt idx="102">
                  <c:v>-0.28255619419373978</c:v>
                </c:pt>
                <c:pt idx="103">
                  <c:v>-0.27045565710213343</c:v>
                </c:pt>
                <c:pt idx="104">
                  <c:v>-0.25831224058326041</c:v>
                </c:pt>
                <c:pt idx="105">
                  <c:v>-0.24612786991666954</c:v>
                </c:pt>
                <c:pt idx="106">
                  <c:v>-0.23390447687498958</c:v>
                </c:pt>
                <c:pt idx="107">
                  <c:v>-0.22164399941765742</c:v>
                </c:pt>
                <c:pt idx="108">
                  <c:v>-0.20934838138366341</c:v>
                </c:pt>
                <c:pt idx="109">
                  <c:v>-0.19701957218336458</c:v>
                </c:pt>
                <c:pt idx="110">
                  <c:v>-0.18465952648941655</c:v>
                </c:pt>
                <c:pt idx="111">
                  <c:v>-0.17227020392686812</c:v>
                </c:pt>
                <c:pt idx="112">
                  <c:v>-0.15985356876247375</c:v>
                </c:pt>
                <c:pt idx="113">
                  <c:v>-0.14741158959326711</c:v>
                </c:pt>
                <c:pt idx="114">
                  <c:v>-0.13494623903445108</c:v>
                </c:pt>
                <c:pt idx="115">
                  <c:v>-0.1224594934066485</c:v>
                </c:pt>
                <c:pt idx="116">
                  <c:v>-0.10995333242256551</c:v>
                </c:pt>
                <c:pt idx="117">
                  <c:v>-9.7429738873119412E-2</c:v>
                </c:pt>
                <c:pt idx="118">
                  <c:v>-8.4890698313074872E-2</c:v>
                </c:pt>
                <c:pt idx="119">
                  <c:v>-7.2338198746245572E-2</c:v>
                </c:pt>
                <c:pt idx="120">
                  <c:v>-5.9774230310305126E-2</c:v>
                </c:pt>
                <c:pt idx="121">
                  <c:v>-4.720078496125988E-2</c:v>
                </c:pt>
                <c:pt idx="122">
                  <c:v>-3.4619856157635444E-2</c:v>
                </c:pt>
                <c:pt idx="123">
                  <c:v>-2.2033438544421836E-2</c:v>
                </c:pt>
                <c:pt idx="124">
                  <c:v>-9.4435276368337699E-3</c:v>
                </c:pt>
                <c:pt idx="125">
                  <c:v>3.1478804960692404E-3</c:v>
                </c:pt>
                <c:pt idx="126">
                  <c:v>1.5738789547850556E-2</c:v>
                </c:pt>
                <c:pt idx="127">
                  <c:v>2.8327203291199539E-2</c:v>
                </c:pt>
                <c:pt idx="128">
                  <c:v>4.0911125894425429E-2</c:v>
                </c:pt>
                <c:pt idx="129">
                  <c:v>5.3488562237885208E-2</c:v>
                </c:pt>
                <c:pt idx="130">
                  <c:v>6.6057518230300732E-2</c:v>
                </c:pt>
                <c:pt idx="131">
                  <c:v>7.8616001124912904E-2</c:v>
                </c:pt>
                <c:pt idx="132">
                  <c:v>9.1162019835420383E-2</c:v>
                </c:pt>
                <c:pt idx="133">
                  <c:v>0.10369358525165838</c:v>
                </c:pt>
                <c:pt idx="134">
                  <c:v>0.1162087105549609</c:v>
                </c:pt>
                <c:pt idx="135">
                  <c:v>0.12870541153316176</c:v>
                </c:pt>
                <c:pt idx="136">
                  <c:v>0.14118170689518245</c:v>
                </c:pt>
                <c:pt idx="137">
                  <c:v>0.15363561858515465</c:v>
                </c:pt>
                <c:pt idx="138">
                  <c:v>0.16606517209603314</c:v>
                </c:pt>
                <c:pt idx="139">
                  <c:v>0.17846839678264265</c:v>
                </c:pt>
                <c:pt idx="140">
                  <c:v>0.19084332617411484</c:v>
                </c:pt>
                <c:pt idx="141">
                  <c:v>0.2031879982856632</c:v>
                </c:pt>
                <c:pt idx="142">
                  <c:v>0.21550045592964476</c:v>
                </c:pt>
                <c:pt idx="143">
                  <c:v>0.22777874702586434</c:v>
                </c:pt>
                <c:pt idx="144">
                  <c:v>0.24002092491106591</c:v>
                </c:pt>
                <c:pt idx="145">
                  <c:v>0.25222504864756712</c:v>
                </c:pt>
                <c:pt idx="146">
                  <c:v>0.26438918333098627</c:v>
                </c:pt>
                <c:pt idx="147">
                  <c:v>0.27651140039701028</c:v>
                </c:pt>
                <c:pt idx="148">
                  <c:v>0.28858977792716112</c:v>
                </c:pt>
                <c:pt idx="149">
                  <c:v>0.3006224009535049</c:v>
                </c:pt>
                <c:pt idx="150">
                  <c:v>0.31260736176226211</c:v>
                </c:pt>
                <c:pt idx="151">
                  <c:v>0.32454276019626527</c:v>
                </c:pt>
                <c:pt idx="152">
                  <c:v>0.33642670395621993</c:v>
                </c:pt>
                <c:pt idx="153">
                  <c:v>0.34825730890072032</c:v>
                </c:pt>
                <c:pt idx="154">
                  <c:v>0.36003269934496918</c:v>
                </c:pt>
                <c:pt idx="155">
                  <c:v>0.37175100835816027</c:v>
                </c:pt>
                <c:pt idx="156">
                  <c:v>0.38341037805946954</c:v>
                </c:pt>
                <c:pt idx="157">
                  <c:v>0.39500895991261387</c:v>
                </c:pt>
                <c:pt idx="158">
                  <c:v>0.40654491501892803</c:v>
                </c:pt>
                <c:pt idx="159">
                  <c:v>0.4180164144089118</c:v>
                </c:pt>
                <c:pt idx="160">
                  <c:v>0.42942163933220517</c:v>
                </c:pt>
                <c:pt idx="161">
                  <c:v>0.44075878154594161</c:v>
                </c:pt>
                <c:pt idx="162">
                  <c:v>0.45202604360143783</c:v>
                </c:pt>
                <c:pt idx="163">
                  <c:v>0.46322163912916808</c:v>
                </c:pt>
                <c:pt idx="164">
                  <c:v>0.47434379312198605</c:v>
                </c:pt>
                <c:pt idx="165">
                  <c:v>0.48539074221654255</c:v>
                </c:pt>
                <c:pt idx="166">
                  <c:v>0.4963607349728601</c:v>
                </c:pt>
                <c:pt idx="167">
                  <c:v>0.50725203215201253</c:v>
                </c:pt>
                <c:pt idx="168">
                  <c:v>0.51806290699187474</c:v>
                </c:pt>
                <c:pt idx="169">
                  <c:v>0.52879164548089164</c:v>
                </c:pt>
                <c:pt idx="170">
                  <c:v>0.53943654662982632</c:v>
                </c:pt>
                <c:pt idx="171">
                  <c:v>0.54999592274144504</c:v>
                </c:pt>
                <c:pt idx="172">
                  <c:v>0.56046809967809075</c:v>
                </c:pt>
                <c:pt idx="173">
                  <c:v>0.57085141712711174</c:v>
                </c:pt>
                <c:pt idx="174">
                  <c:v>0.58114422886409478</c:v>
                </c:pt>
                <c:pt idx="175">
                  <c:v>0.59134490301386677</c:v>
                </c:pt>
                <c:pt idx="176">
                  <c:v>0.60145182230922078</c:v>
                </c:pt>
                <c:pt idx="177">
                  <c:v>0.61146338434732483</c:v>
                </c:pt>
                <c:pt idx="178">
                  <c:v>0.62137800184377578</c:v>
                </c:pt>
                <c:pt idx="179">
                  <c:v>0.63119410288425559</c:v>
                </c:pt>
                <c:pt idx="180">
                  <c:v>0.64091013117374995</c:v>
                </c:pt>
                <c:pt idx="181">
                  <c:v>0.65052454628329326</c:v>
                </c:pt>
                <c:pt idx="182">
                  <c:v>0.66003582389419335</c:v>
                </c:pt>
                <c:pt idx="183">
                  <c:v>0.66944245603970665</c:v>
                </c:pt>
                <c:pt idx="184">
                  <c:v>0.67874295134411833</c:v>
                </c:pt>
                <c:pt idx="185">
                  <c:v>0.68793583525919277</c:v>
                </c:pt>
                <c:pt idx="186">
                  <c:v>0.69701965029795676</c:v>
                </c:pt>
                <c:pt idx="187">
                  <c:v>0.70599295626577541</c:v>
                </c:pt>
                <c:pt idx="188">
                  <c:v>0.71485433048868918</c:v>
                </c:pt>
                <c:pt idx="189">
                  <c:v>0.72360236803897138</c:v>
                </c:pt>
                <c:pt idx="190">
                  <c:v>0.7322356819578727</c:v>
                </c:pt>
                <c:pt idx="191">
                  <c:v>0.74075290347551759</c:v>
                </c:pt>
                <c:pt idx="192">
                  <c:v>0.74915268222791453</c:v>
                </c:pt>
                <c:pt idx="193">
                  <c:v>0.7574336864710508</c:v>
                </c:pt>
                <c:pt idx="194">
                  <c:v>0.76559460329203355</c:v>
                </c:pt>
                <c:pt idx="195">
                  <c:v>0.77363413881724563</c:v>
                </c:pt>
                <c:pt idx="196">
                  <c:v>0.78155101841748409</c:v>
                </c:pt>
                <c:pt idx="197">
                  <c:v>0.7893439869100447</c:v>
                </c:pt>
                <c:pt idx="198">
                  <c:v>0.79701180875772593</c:v>
                </c:pt>
                <c:pt idx="199">
                  <c:v>0.80455326826471762</c:v>
                </c:pt>
                <c:pt idx="200">
                  <c:v>0.81196716976934291</c:v>
                </c:pt>
                <c:pt idx="201">
                  <c:v>0.81925233783362583</c:v>
                </c:pt>
                <c:pt idx="202">
                  <c:v>0.82640761742964941</c:v>
                </c:pt>
                <c:pt idx="203">
                  <c:v>0.83343187412268127</c:v>
                </c:pt>
                <c:pt idx="204">
                  <c:v>0.84032399425103221</c:v>
                </c:pt>
                <c:pt idx="205">
                  <c:v>0.84708288510262131</c:v>
                </c:pt>
                <c:pt idx="206">
                  <c:v>0.85370747508822165</c:v>
                </c:pt>
                <c:pt idx="207">
                  <c:v>0.86019671391135366</c:v>
                </c:pt>
                <c:pt idx="208">
                  <c:v>0.86654957273480571</c:v>
                </c:pt>
                <c:pt idx="209">
                  <c:v>0.87276504434375091</c:v>
                </c:pt>
                <c:pt idx="210">
                  <c:v>0.87884214330543575</c:v>
                </c:pt>
                <c:pt idx="211">
                  <c:v>0.88477990612541701</c:v>
                </c:pt>
                <c:pt idx="212">
                  <c:v>0.89057739140031733</c:v>
                </c:pt>
                <c:pt idx="213">
                  <c:v>0.89623367996708103</c:v>
                </c:pt>
                <c:pt idx="214">
                  <c:v>0.90174787504870302</c:v>
                </c:pt>
                <c:pt idx="215">
                  <c:v>0.90711910239640803</c:v>
                </c:pt>
                <c:pt idx="216">
                  <c:v>0.91234651042825932</c:v>
                </c:pt>
                <c:pt idx="217">
                  <c:v>0.91742927036417166</c:v>
                </c:pt>
                <c:pt idx="218">
                  <c:v>0.92236657635731101</c:v>
                </c:pt>
                <c:pt idx="219">
                  <c:v>0.92715764562185798</c:v>
                </c:pt>
                <c:pt idx="220">
                  <c:v>0.93180171855711369</c:v>
                </c:pt>
                <c:pt idx="221">
                  <c:v>0.93629805886793205</c:v>
                </c:pt>
                <c:pt idx="222">
                  <c:v>0.94064595368145465</c:v>
                </c:pt>
                <c:pt idx="223">
                  <c:v>0.94484471366013378</c:v>
                </c:pt>
                <c:pt idx="224">
                  <c:v>0.94889367311102335</c:v>
                </c:pt>
                <c:pt idx="225">
                  <c:v>0.95279219009132199</c:v>
                </c:pt>
                <c:pt idx="226">
                  <c:v>0.95653964651014867</c:v>
                </c:pt>
                <c:pt idx="227">
                  <c:v>0.96013544822653907</c:v>
                </c:pt>
                <c:pt idx="228">
                  <c:v>0.96357902514364313</c:v>
                </c:pt>
                <c:pt idx="229">
                  <c:v>0.96686983129911142</c:v>
                </c:pt>
                <c:pt idx="230">
                  <c:v>0.97000734495165508</c:v>
                </c:pt>
                <c:pt idx="231">
                  <c:v>0.9729910686637645</c:v>
                </c:pt>
                <c:pt idx="232">
                  <c:v>0.97582052938057651</c:v>
                </c:pt>
                <c:pt idx="233">
                  <c:v>0.97849527850487439</c:v>
                </c:pt>
                <c:pt idx="234">
                  <c:v>0.98101489196821101</c:v>
                </c:pt>
                <c:pt idx="235">
                  <c:v>0.9833789702981427</c:v>
                </c:pt>
                <c:pt idx="236">
                  <c:v>0.98558713868156367</c:v>
                </c:pt>
                <c:pt idx="237">
                  <c:v>0.98763904702413108</c:v>
                </c:pt>
                <c:pt idx="238">
                  <c:v>0.98953437000577016</c:v>
                </c:pt>
                <c:pt idx="239">
                  <c:v>0.99127280713225285</c:v>
                </c:pt>
                <c:pt idx="240">
                  <c:v>0.99285408278283926</c:v>
                </c:pt>
                <c:pt idx="241">
                  <c:v>0.99427794625397603</c:v>
                </c:pt>
                <c:pt idx="242">
                  <c:v>0.99554417179904431</c:v>
                </c:pt>
                <c:pt idx="243">
                  <c:v>0.99665255866415059</c:v>
                </c:pt>
                <c:pt idx="244">
                  <c:v>0.99760293111995557</c:v>
                </c:pt>
                <c:pt idx="245">
                  <c:v>0.99839513848953476</c:v>
                </c:pt>
                <c:pt idx="246">
                  <c:v>0.99902905517226803</c:v>
                </c:pt>
                <c:pt idx="247">
                  <c:v>0.99950458066375258</c:v>
                </c:pt>
                <c:pt idx="248">
                  <c:v>0.99982163957173753</c:v>
                </c:pt>
                <c:pt idx="249">
                  <c:v>0.99998018162807711</c:v>
                </c:pt>
                <c:pt idx="250">
                  <c:v>0.99998018169670067</c:v>
                </c:pt>
                <c:pt idx="251">
                  <c:v>0.99982163977759708</c:v>
                </c:pt>
                <c:pt idx="252">
                  <c:v>0.99950458100681572</c:v>
                </c:pt>
                <c:pt idx="253">
                  <c:v>0.99902905565248035</c:v>
                </c:pt>
                <c:pt idx="254">
                  <c:v>0.9983951391068201</c:v>
                </c:pt>
                <c:pt idx="255">
                  <c:v>0.997602931874216</c:v>
                </c:pt>
                <c:pt idx="256">
                  <c:v>0.99665255955526655</c:v>
                </c:pt>
                <c:pt idx="257">
                  <c:v>0.99554417282687446</c:v>
                </c:pt>
                <c:pt idx="258">
                  <c:v>0.9942779474183574</c:v>
                </c:pt>
                <c:pt idx="259">
                  <c:v>0.99285408408358744</c:v>
                </c:pt>
                <c:pt idx="260">
                  <c:v>0.99127280856916145</c:v>
                </c:pt>
                <c:pt idx="261">
                  <c:v>0.98953437157861135</c:v>
                </c:pt>
                <c:pt idx="262">
                  <c:v>0.98763904873265551</c:v>
                </c:pt>
                <c:pt idx="263">
                  <c:v>0.98558714052550056</c:v>
                </c:pt>
                <c:pt idx="264">
                  <c:v>0.98337897227719961</c:v>
                </c:pt>
                <c:pt idx="265">
                  <c:v>0.98101489408207421</c:v>
                </c:pt>
                <c:pt idx="266">
                  <c:v>0.9784952807532088</c:v>
                </c:pt>
                <c:pt idx="267">
                  <c:v>0.97582053176302552</c:v>
                </c:pt>
                <c:pt idx="268">
                  <c:v>0.97299107117995043</c:v>
                </c:pt>
                <c:pt idx="269">
                  <c:v>0.97000734760117913</c:v>
                </c:pt>
                <c:pt idx="270">
                  <c:v>0.96686983408155347</c:v>
                </c:pt>
                <c:pt idx="271">
                  <c:v>0.96357902805856188</c:v>
                </c:pt>
                <c:pt idx="272">
                  <c:v>0.96013545127347244</c:v>
                </c:pt>
                <c:pt idx="273">
                  <c:v>0.9565396496886136</c:v>
                </c:pt>
                <c:pt idx="274">
                  <c:v>0.95279219340081478</c:v>
                </c:pt>
                <c:pt idx="275">
                  <c:v>0.94889367655101908</c:v>
                </c:pt>
                <c:pt idx="276">
                  <c:v>0.94484471723008689</c:v>
                </c:pt>
                <c:pt idx="277">
                  <c:v>0.94064595738079926</c:v>
                </c:pt>
                <c:pt idx="278">
                  <c:v>0.93629806269608173</c:v>
                </c:pt>
                <c:pt idx="279">
                  <c:v>0.93180172251346161</c:v>
                </c:pt>
                <c:pt idx="280">
                  <c:v>0.92715764970577663</c:v>
                </c:pt>
                <c:pt idx="281">
                  <c:v>0.92236658056815313</c:v>
                </c:pt>
                <c:pt idx="282">
                  <c:v>0.91742927470126934</c:v>
                </c:pt>
                <c:pt idx="283">
                  <c:v>0.91234651489092522</c:v>
                </c:pt>
                <c:pt idx="284">
                  <c:v>0.90711910698393472</c:v>
                </c:pt>
                <c:pt idx="285">
                  <c:v>0.90174787976036275</c:v>
                </c:pt>
                <c:pt idx="286">
                  <c:v>0.89623368480212706</c:v>
                </c:pt>
                <c:pt idx="287">
                  <c:v>0.89057739635798305</c:v>
                </c:pt>
                <c:pt idx="288">
                  <c:v>0.88477991120491639</c:v>
                </c:pt>
                <c:pt idx="289">
                  <c:v>0.87884214850596376</c:v>
                </c:pt>
                <c:pt idx="290">
                  <c:v>0.87276504966448243</c:v>
                </c:pt>
                <c:pt idx="291">
                  <c:v>0.86654957817489753</c:v>
                </c:pt>
                <c:pt idx="292">
                  <c:v>0.86019671946994314</c:v>
                </c:pt>
                <c:pt idx="293">
                  <c:v>0.85370748076442782</c:v>
                </c:pt>
                <c:pt idx="294">
                  <c:v>0.84708289089554401</c:v>
                </c:pt>
                <c:pt idx="295">
                  <c:v>0.84032400015975273</c:v>
                </c:pt>
                <c:pt idx="296">
                  <c:v>0.83343188014626313</c:v>
                </c:pt>
                <c:pt idx="297">
                  <c:v>0.82640762356713748</c:v>
                </c:pt>
                <c:pt idx="298">
                  <c:v>0.81925234408404735</c:v>
                </c:pt>
                <c:pt idx="299">
                  <c:v>0.81196717613170677</c:v>
                </c:pt>
                <c:pt idx="300">
                  <c:v>0.80455327473801475</c:v>
                </c:pt>
                <c:pt idx="301">
                  <c:v>0.79701181534093024</c:v>
                </c:pt>
                <c:pt idx="302">
                  <c:v>0.78934399360211238</c:v>
                </c:pt>
                <c:pt idx="303">
                  <c:v>0.78155102521735464</c:v>
                </c:pt>
                <c:pt idx="304">
                  <c:v>0.77363414572384048</c:v>
                </c:pt>
                <c:pt idx="305">
                  <c:v>0.76559461030425746</c:v>
                </c:pt>
                <c:pt idx="306">
                  <c:v>0.75743369358779233</c:v>
                </c:pt>
                <c:pt idx="307">
                  <c:v>0.74915268944804536</c:v>
                </c:pt>
                <c:pt idx="308">
                  <c:v>0.74075291079789329</c:v>
                </c:pt>
                <c:pt idx="309">
                  <c:v>0.7322356893813321</c:v>
                </c:pt>
                <c:pt idx="310">
                  <c:v>0.7236023755623372</c:v>
                </c:pt>
                <c:pt idx="311">
                  <c:v>0.71485433811076882</c:v>
                </c:pt>
                <c:pt idx="312">
                  <c:v>0.7059929639853606</c:v>
                </c:pt>
                <c:pt idx="313">
                  <c:v>0.69701965811382383</c:v>
                </c:pt>
                <c:pt idx="314">
                  <c:v>0.68793584317010215</c:v>
                </c:pt>
                <c:pt idx="315">
                  <c:v>0.67874295934881557</c:v>
                </c:pt>
                <c:pt idx="316">
                  <c:v>0.66944246413692288</c:v>
                </c:pt>
                <c:pt idx="317">
                  <c:v>0.66003583208264494</c:v>
                </c:pt>
                <c:pt idx="318">
                  <c:v>0.6505245545616819</c:v>
                </c:pt>
                <c:pt idx="319">
                  <c:v>0.64091013954076315</c:v>
                </c:pt>
                <c:pt idx="320">
                  <c:v>0.6311941113385664</c:v>
                </c:pt>
                <c:pt idx="321">
                  <c:v>0.62137801038404483</c:v>
                </c:pt>
                <c:pt idx="322">
                  <c:v>0.61146339297219754</c:v>
                </c:pt>
                <c:pt idx="323">
                  <c:v>0.60145183101732957</c:v>
                </c:pt>
                <c:pt idx="324">
                  <c:v>0.59134491180383109</c:v>
                </c:pt>
                <c:pt idx="325">
                  <c:v>0.58114423773452073</c:v>
                </c:pt>
                <c:pt idx="326">
                  <c:v>0.57085142607659323</c:v>
                </c:pt>
                <c:pt idx="327">
                  <c:v>0.56046810870520891</c:v>
                </c:pt>
                <c:pt idx="328">
                  <c:v>0.54999593184476858</c:v>
                </c:pt>
                <c:pt idx="329">
                  <c:v>0.53943655580791217</c:v>
                </c:pt>
                <c:pt idx="330">
                  <c:v>0.52879165473228484</c:v>
                </c:pt>
                <c:pt idx="331">
                  <c:v>0.51806291631510815</c:v>
                </c:pt>
                <c:pt idx="332">
                  <c:v>0.5072520415456081</c:v>
                </c:pt>
                <c:pt idx="333">
                  <c:v>0.4963607444353284</c:v>
                </c:pt>
                <c:pt idx="334">
                  <c:v>0.48539075174638346</c:v>
                </c:pt>
                <c:pt idx="335">
                  <c:v>0.47434380271768822</c:v>
                </c:pt>
                <c:pt idx="336">
                  <c:v>0.46322164878921057</c:v>
                </c:pt>
                <c:pt idx="337">
                  <c:v>0.45202605332428908</c:v>
                </c:pt>
                <c:pt idx="338">
                  <c:v>0.44075879133006007</c:v>
                </c:pt>
                <c:pt idx="339">
                  <c:v>0.42942164917603926</c:v>
                </c:pt>
                <c:pt idx="340">
                  <c:v>0.41801642431090202</c:v>
                </c:pt>
                <c:pt idx="341">
                  <c:v>0.40654492497750366</c:v>
                </c:pt>
                <c:pt idx="342">
                  <c:v>0.39500896992619611</c:v>
                </c:pt>
                <c:pt idx="343">
                  <c:v>0.38341038812647049</c:v>
                </c:pt>
                <c:pt idx="344">
                  <c:v>0.37175101847698405</c:v>
                </c:pt>
                <c:pt idx="345">
                  <c:v>0.36003270951401156</c:v>
                </c:pt>
                <c:pt idx="346">
                  <c:v>0.34825731911836877</c:v>
                </c:pt>
                <c:pt idx="347">
                  <c:v>0.33642671422085474</c:v>
                </c:pt>
                <c:pt idx="348">
                  <c:v>0.32454277050625885</c:v>
                </c:pt>
                <c:pt idx="349">
                  <c:v>0.31260737211598</c:v>
                </c:pt>
                <c:pt idx="350">
                  <c:v>0.30062241134930645</c:v>
                </c:pt>
                <c:pt idx="351">
                  <c:v>0.2885897883633971</c:v>
                </c:pt>
                <c:pt idx="352">
                  <c:v>0.27651141087202619</c:v>
                </c:pt>
                <c:pt idx="353">
                  <c:v>0.26438919384312121</c:v>
                </c:pt>
                <c:pt idx="354">
                  <c:v>0.2522250591951547</c:v>
                </c:pt>
                <c:pt idx="355">
                  <c:v>0.24002093549243358</c:v>
                </c:pt>
                <c:pt idx="356">
                  <c:v>0.22777875763933469</c:v>
                </c:pt>
                <c:pt idx="357">
                  <c:v>0.21550046657353508</c:v>
                </c:pt>
                <c:pt idx="358">
                  <c:v>0.20318800895828573</c:v>
                </c:pt>
                <c:pt idx="359">
                  <c:v>0.19084333687377772</c:v>
                </c:pt>
                <c:pt idx="360">
                  <c:v>0.17846840750765017</c:v>
                </c:pt>
                <c:pt idx="361">
                  <c:v>0.16606518284468424</c:v>
                </c:pt>
                <c:pt idx="362">
                  <c:v>0.15363562935574518</c:v>
                </c:pt>
                <c:pt idx="363">
                  <c:v>0.14118171768600457</c:v>
                </c:pt>
                <c:pt idx="364">
                  <c:v>0.12870542234250484</c:v>
                </c:pt>
                <c:pt idx="365">
                  <c:v>0.11620872138111096</c:v>
                </c:pt>
                <c:pt idx="366">
                  <c:v>0.10369359609289922</c:v>
                </c:pt>
                <c:pt idx="367">
                  <c:v>9.1162030690033147E-2</c:v>
                </c:pt>
                <c:pt idx="368">
                  <c:v>7.8616011991176446E-2</c:v>
                </c:pt>
                <c:pt idx="369">
                  <c:v>6.6057529106492485E-2</c:v>
                </c:pt>
                <c:pt idx="370">
                  <c:v>5.3488573122281453E-2</c:v>
                </c:pt>
                <c:pt idx="371">
                  <c:v>4.0911136785299847E-2</c:v>
                </c:pt>
                <c:pt idx="372">
                  <c:v>2.8327214186825427E-2</c:v>
                </c:pt>
                <c:pt idx="373">
                  <c:v>1.5738800446500247E-2</c:v>
                </c:pt>
                <c:pt idx="374">
                  <c:v>3.1478913960150266E-3</c:v>
                </c:pt>
                <c:pt idx="375">
                  <c:v>-9.4435167373202421E-3</c:v>
                </c:pt>
                <c:pt idx="376">
                  <c:v>-2.2033427647068414E-2</c:v>
                </c:pt>
                <c:pt idx="377">
                  <c:v>-3.4619845264169842E-2</c:v>
                </c:pt>
                <c:pt idx="378">
                  <c:v>-4.7200774073409432E-2</c:v>
                </c:pt>
                <c:pt idx="379">
                  <c:v>-5.977421942979582E-2</c:v>
                </c:pt>
                <c:pt idx="380">
                  <c:v>-7.2338187874801799E-2</c:v>
                </c:pt>
                <c:pt idx="381">
                  <c:v>-8.4890687452420913E-2</c:v>
                </c:pt>
                <c:pt idx="382">
                  <c:v>-9.7429728024977166E-2</c:v>
                </c:pt>
                <c:pt idx="383">
                  <c:v>-0.10995332158865513</c:v>
                </c:pt>
                <c:pt idx="384">
                  <c:v>-0.1224594825886874</c:v>
                </c:pt>
                <c:pt idx="385">
                  <c:v>-0.13494622823415464</c:v>
                </c:pt>
                <c:pt idx="386">
                  <c:v>-0.14741157881234745</c:v>
                </c:pt>
                <c:pt idx="387">
                  <c:v>-0.15985355800264012</c:v>
                </c:pt>
                <c:pt idx="388">
                  <c:v>-0.17227019318982664</c:v>
                </c:pt>
                <c:pt idx="389">
                  <c:v>-0.18465951577686848</c:v>
                </c:pt>
                <c:pt idx="390">
                  <c:v>-0.19701956149700939</c:v>
                </c:pt>
                <c:pt idx="391">
                  <c:v>-0.20934837072519516</c:v>
                </c:pt>
                <c:pt idx="392">
                  <c:v>-0.22164398878876621</c:v>
                </c:pt>
                <c:pt idx="393">
                  <c:v>-0.23390446627736031</c:v>
                </c:pt>
                <c:pt idx="394">
                  <c:v>-0.24612785935198242</c:v>
                </c:pt>
                <c:pt idx="395">
                  <c:v>-0.25831223005319065</c:v>
                </c:pt>
                <c:pt idx="396">
                  <c:v>-0.27045564660835031</c:v>
                </c:pt>
                <c:pt idx="397">
                  <c:v>-0.28255618373790725</c:v>
                </c:pt>
                <c:pt idx="398">
                  <c:v>-0.29461192296063132</c:v>
                </c:pt>
                <c:pt idx="399">
                  <c:v>-0.30662095289778146</c:v>
                </c:pt>
                <c:pt idx="400">
                  <c:v>-0.31858136957614897</c:v>
                </c:pt>
                <c:pt idx="401">
                  <c:v>-0.33049127672991802</c:v>
                </c:pt>
                <c:pt idx="402">
                  <c:v>-0.34234878610131264</c:v>
                </c:pt>
                <c:pt idx="403">
                  <c:v>-0.35415201773997029</c:v>
                </c:pt>
                <c:pt idx="404">
                  <c:v>-0.36589910030099848</c:v>
                </c:pt>
                <c:pt idx="405">
                  <c:v>-0.3775881713416675</c:v>
                </c:pt>
                <c:pt idx="406">
                  <c:v>-0.38921737761669167</c:v>
                </c:pt>
                <c:pt idx="407">
                  <c:v>-0.40078487537205243</c:v>
                </c:pt>
                <c:pt idx="408">
                  <c:v>-0.41228883063731642</c:v>
                </c:pt>
                <c:pt idx="409">
                  <c:v>-0.42372741951640186</c:v>
                </c:pt>
                <c:pt idx="410">
                  <c:v>-0.43509882847675152</c:v>
                </c:pt>
                <c:pt idx="411">
                  <c:v>-0.44640125463685465</c:v>
                </c:pt>
                <c:pt idx="412">
                  <c:v>-0.45763290605208851</c:v>
                </c:pt>
                <c:pt idx="413">
                  <c:v>-0.46879200199882126</c:v>
                </c:pt>
                <c:pt idx="414">
                  <c:v>-0.47987677325673733</c:v>
                </c:pt>
                <c:pt idx="415">
                  <c:v>-0.49088546238933861</c:v>
                </c:pt>
                <c:pt idx="416">
                  <c:v>-0.50181632402257736</c:v>
                </c:pt>
                <c:pt idx="417">
                  <c:v>-0.51266762512157693</c:v>
                </c:pt>
                <c:pt idx="418">
                  <c:v>-0.52343764526539582</c:v>
                </c:pt>
                <c:pt idx="419">
                  <c:v>-0.53412467691979126</c:v>
                </c:pt>
                <c:pt idx="420">
                  <c:v>-0.54472702570794396</c:v>
                </c:pt>
                <c:pt idx="421">
                  <c:v>-0.55524301067908777</c:v>
                </c:pt>
                <c:pt idx="422">
                  <c:v>-0.56567096457502053</c:v>
                </c:pt>
                <c:pt idx="423">
                  <c:v>-0.57600923409443794</c:v>
                </c:pt>
                <c:pt idx="424">
                  <c:v>-0.58625618015505676</c:v>
                </c:pt>
                <c:pt idx="425">
                  <c:v>-0.59641017815348374</c:v>
                </c:pt>
                <c:pt idx="426">
                  <c:v>-0.60646961822278789</c:v>
                </c:pt>
                <c:pt idx="427">
                  <c:v>-0.61643290548773744</c:v>
                </c:pt>
                <c:pt idx="428">
                  <c:v>-0.62629846031765957</c:v>
                </c:pt>
                <c:pt idx="429">
                  <c:v>-0.6360647185768824</c:v>
                </c:pt>
                <c:pt idx="430">
                  <c:v>-0.64573013187272355</c:v>
                </c:pt>
                <c:pt idx="431">
                  <c:v>-0.65529316780097657</c:v>
                </c:pt>
                <c:pt idx="432">
                  <c:v>-0.66475231018886882</c:v>
                </c:pt>
                <c:pt idx="433">
                  <c:v>-0.67410605933544243</c:v>
                </c:pt>
                <c:pt idx="434">
                  <c:v>-0.68335293224932447</c:v>
                </c:pt>
                <c:pt idx="435">
                  <c:v>-0.69249146288384844</c:v>
                </c:pt>
                <c:pt idx="436">
                  <c:v>-0.70152020236948853</c:v>
                </c:pt>
                <c:pt idx="437">
                  <c:v>-0.7104377192435708</c:v>
                </c:pt>
                <c:pt idx="438">
                  <c:v>-0.71924259967722481</c:v>
                </c:pt>
                <c:pt idx="439">
                  <c:v>-0.72793344769953849</c:v>
                </c:pt>
                <c:pt idx="440">
                  <c:v>-0.73650888541888515</c:v>
                </c:pt>
                <c:pt idx="441">
                  <c:v>-0.74496755324137753</c:v>
                </c:pt>
                <c:pt idx="442">
                  <c:v>-0.75330811008642784</c:v>
                </c:pt>
                <c:pt idx="443">
                  <c:v>-0.76152923359936797</c:v>
                </c:pt>
                <c:pt idx="444">
                  <c:v>-0.76962962036110361</c:v>
                </c:pt>
                <c:pt idx="445">
                  <c:v>-0.77760798609476367</c:v>
                </c:pt>
                <c:pt idx="446">
                  <c:v>-0.78546306586931747</c:v>
                </c:pt>
                <c:pt idx="447">
                  <c:v>-0.79319361430012214</c:v>
                </c:pt>
                <c:pt idx="448">
                  <c:v>-0.80079840574637262</c:v>
                </c:pt>
                <c:pt idx="449">
                  <c:v>-0.80827623450542296</c:v>
                </c:pt>
                <c:pt idx="450">
                  <c:v>-0.81562591500394122</c:v>
                </c:pt>
                <c:pt idx="451">
                  <c:v>-0.8228462819858785</c:v>
                </c:pt>
                <c:pt idx="452">
                  <c:v>-0.82993619069721436</c:v>
                </c:pt>
                <c:pt idx="453">
                  <c:v>-0.83689451706745177</c:v>
                </c:pt>
                <c:pt idx="454">
                  <c:v>-0.84372015788783294</c:v>
                </c:pt>
                <c:pt idx="455">
                  <c:v>-0.85041203098624796</c:v>
                </c:pt>
                <c:pt idx="456">
                  <c:v>-0.85696907539880751</c:v>
                </c:pt>
                <c:pt idx="457">
                  <c:v>-0.86339025153805415</c:v>
                </c:pt>
                <c:pt idx="458">
                  <c:v>-0.86967454135778277</c:v>
                </c:pt>
                <c:pt idx="459">
                  <c:v>-0.87582094851444892</c:v>
                </c:pt>
                <c:pt idx="460">
                  <c:v>-0.88182849852513145</c:v>
                </c:pt>
                <c:pt idx="461">
                  <c:v>-0.8876962389220342</c:v>
                </c:pt>
                <c:pt idx="462">
                  <c:v>-0.89342323940349411</c:v>
                </c:pt>
                <c:pt idx="463">
                  <c:v>-0.89900859198147631</c:v>
                </c:pt>
                <c:pt idx="464">
                  <c:v>-0.90445141112553129</c:v>
                </c:pt>
                <c:pt idx="465">
                  <c:v>-0.90975083390319123</c:v>
                </c:pt>
                <c:pt idx="466">
                  <c:v>-0.91490602011678368</c:v>
                </c:pt>
                <c:pt idx="467">
                  <c:v>-0.91991615243664149</c:v>
                </c:pt>
                <c:pt idx="468">
                  <c:v>-0.92478043653068498</c:v>
                </c:pt>
                <c:pt idx="469">
                  <c:v>-0.92949810119036169</c:v>
                </c:pt>
                <c:pt idx="470">
                  <c:v>-0.93406839845291545</c:v>
                </c:pt>
                <c:pt idx="471">
                  <c:v>-0.93849060371997339</c:v>
                </c:pt>
                <c:pt idx="472">
                  <c:v>-0.94276401587242731</c:v>
                </c:pt>
                <c:pt idx="473">
                  <c:v>-0.9468879573815927</c:v>
                </c:pt>
                <c:pt idx="474">
                  <c:v>-0.95086177441662767</c:v>
                </c:pt>
                <c:pt idx="475">
                  <c:v>-0.9546848369481945</c:v>
                </c:pt>
                <c:pt idx="476">
                  <c:v>-0.95835653884834771</c:v>
                </c:pt>
                <c:pt idx="477">
                  <c:v>-0.96187629798663299</c:v>
                </c:pt>
                <c:pt idx="478">
                  <c:v>-0.96524355632238057</c:v>
                </c:pt>
                <c:pt idx="479">
                  <c:v>-0.96845777999318094</c:v>
                </c:pt>
                <c:pt idx="480">
                  <c:v>-0.97151845939952464</c:v>
                </c:pt>
                <c:pt idx="481">
                  <c:v>-0.97442510928559778</c:v>
                </c:pt>
                <c:pt idx="482">
                  <c:v>-0.97717726881621703</c:v>
                </c:pt>
                <c:pt idx="483">
                  <c:v>-0.9797745016498921</c:v>
                </c:pt>
                <c:pt idx="484">
                  <c:v>-0.98221639600800636</c:v>
                </c:pt>
                <c:pt idx="485">
                  <c:v>-0.98450256474010167</c:v>
                </c:pt>
                <c:pt idx="486">
                  <c:v>-0.98663264538525963</c:v>
                </c:pt>
                <c:pt idx="487">
                  <c:v>-0.98860630022956786</c:v>
                </c:pt>
                <c:pt idx="488">
                  <c:v>-0.99042321635966279</c:v>
                </c:pt>
                <c:pt idx="489">
                  <c:v>-0.99208310571234082</c:v>
                </c:pt>
                <c:pt idx="490">
                  <c:v>-0.99358570512022892</c:v>
                </c:pt>
                <c:pt idx="491">
                  <c:v>-0.99493077635350902</c:v>
                </c:pt>
                <c:pt idx="492">
                  <c:v>-0.9961181061576877</c:v>
                </c:pt>
                <c:pt idx="493">
                  <c:v>-0.997147506287407</c:v>
                </c:pt>
                <c:pt idx="494">
                  <c:v>-0.99801881353628974</c:v>
                </c:pt>
                <c:pt idx="495">
                  <c:v>-0.99873188976281513</c:v>
                </c:pt>
                <c:pt idx="496">
                  <c:v>-0.99928662191222017</c:v>
                </c:pt>
                <c:pt idx="497">
                  <c:v>-0.99968292203442422</c:v>
                </c:pt>
                <c:pt idx="498">
                  <c:v>-0.99992072729797288</c:v>
                </c:pt>
                <c:pt idx="499">
                  <c:v>-0.99999999999999989</c:v>
                </c:pt>
              </c:numCache>
            </c:numRef>
          </c:xVal>
          <c:yVal>
            <c:numRef>
              <c:f>MFA!yycir3</c:f>
              <c:numCache>
                <c:formatCode>General</c:formatCode>
                <c:ptCount val="500"/>
                <c:pt idx="0">
                  <c:v>1.0206823884348348E-11</c:v>
                </c:pt>
                <c:pt idx="1">
                  <c:v>-1.2591220966449658E-2</c:v>
                </c:pt>
                <c:pt idx="2">
                  <c:v>-2.5180445666343389E-2</c:v>
                </c:pt>
                <c:pt idx="3">
                  <c:v>-3.7765678129209522E-2</c:v>
                </c:pt>
                <c:pt idx="4">
                  <c:v>-5.0344923027734259E-2</c:v>
                </c:pt>
                <c:pt idx="5">
                  <c:v>-6.2916185983901668E-2</c:v>
                </c:pt>
                <c:pt idx="6">
                  <c:v>-7.547747388519431E-2</c:v>
                </c:pt>
                <c:pt idx="7">
                  <c:v>-8.802679520059116E-2</c:v>
                </c:pt>
                <c:pt idx="8">
                  <c:v>-0.10056216029631462</c:v>
                </c:pt>
                <c:pt idx="9">
                  <c:v>-0.11308158175127912</c:v>
                </c:pt>
                <c:pt idx="10">
                  <c:v>-0.12558307467218432</c:v>
                </c:pt>
                <c:pt idx="11">
                  <c:v>-0.1380646570082121</c:v>
                </c:pt>
                <c:pt idx="12">
                  <c:v>-0.15052434986527063</c:v>
                </c:pt>
                <c:pt idx="13">
                  <c:v>-0.16296017781973787</c:v>
                </c:pt>
                <c:pt idx="14">
                  <c:v>-0.17537016923165721</c:v>
                </c:pt>
                <c:pt idx="15">
                  <c:v>-0.18775235655732875</c:v>
                </c:pt>
                <c:pt idx="16">
                  <c:v>-0.2001047766612554</c:v>
                </c:pt>
                <c:pt idx="17">
                  <c:v>-0.21242547112738819</c:v>
                </c:pt>
                <c:pt idx="18">
                  <c:v>-0.22471248656962303</c:v>
                </c:pt>
                <c:pt idx="19">
                  <c:v>-0.23696387494150239</c:v>
                </c:pt>
                <c:pt idx="20">
                  <c:v>-0.24917769384506591</c:v>
                </c:pt>
                <c:pt idx="21">
                  <c:v>-0.26135200683880988</c:v>
                </c:pt>
                <c:pt idx="22">
                  <c:v>-0.2734848837447002</c:v>
                </c:pt>
                <c:pt idx="23">
                  <c:v>-0.28557440095419234</c:v>
                </c:pt>
                <c:pt idx="24">
                  <c:v>-0.29761864173321162</c:v>
                </c:pt>
                <c:pt idx="25">
                  <c:v>-0.30961569652603971</c:v>
                </c:pt>
                <c:pt idx="26">
                  <c:v>-0.32156366325806696</c:v>
                </c:pt>
                <c:pt idx="27">
                  <c:v>-0.33346064763735633</c:v>
                </c:pt>
                <c:pt idx="28">
                  <c:v>-0.34530476345497579</c:v>
                </c:pt>
                <c:pt idx="29">
                  <c:v>-0.3570941328840449</c:v>
                </c:pt>
                <c:pt idx="30">
                  <c:v>-0.36882688677745706</c:v>
                </c:pt>
                <c:pt idx="31">
                  <c:v>-0.38050116496422309</c:v>
                </c:pt>
                <c:pt idx="32">
                  <c:v>-0.39211511654439224</c:v>
                </c:pt>
                <c:pt idx="33">
                  <c:v>-0.40366690018250306</c:v>
                </c:pt>
                <c:pt idx="34">
                  <c:v>-0.4151546843995198</c:v>
                </c:pt>
                <c:pt idx="35">
                  <c:v>-0.42657664786320199</c:v>
                </c:pt>
                <c:pt idx="36">
                  <c:v>-0.43793097967686945</c:v>
                </c:pt>
                <c:pt idx="37">
                  <c:v>-0.44921587966651033</c:v>
                </c:pt>
                <c:pt idx="38">
                  <c:v>-0.46042955866619156</c:v>
                </c:pt>
                <c:pt idx="39">
                  <c:v>-0.47157023880171994</c:v>
                </c:pt>
                <c:pt idx="40">
                  <c:v>-0.48263615377251706</c:v>
                </c:pt>
                <c:pt idx="41">
                  <c:v>-0.49362554913165729</c:v>
                </c:pt>
                <c:pt idx="42">
                  <c:v>-0.50453668256402673</c:v>
                </c:pt>
                <c:pt idx="43">
                  <c:v>-0.51536782416255844</c:v>
                </c:pt>
                <c:pt idx="44">
                  <c:v>-0.52611725670250231</c:v>
                </c:pt>
                <c:pt idx="45">
                  <c:v>-0.53678327591368036</c:v>
                </c:pt>
                <c:pt idx="46">
                  <c:v>-0.5473641907506922</c:v>
                </c:pt>
                <c:pt idx="47">
                  <c:v>-0.55785832366102084</c:v>
                </c:pt>
                <c:pt idx="48">
                  <c:v>-0.56826401085100253</c:v>
                </c:pt>
                <c:pt idx="49">
                  <c:v>-0.57857960254961038</c:v>
                </c:pt>
                <c:pt idx="50">
                  <c:v>-0.5888034632700192</c:v>
                </c:pt>
                <c:pt idx="51">
                  <c:v>-0.59893397206890409</c:v>
                </c:pt>
                <c:pt idx="52">
                  <c:v>-0.60896952280343208</c:v>
                </c:pt>
                <c:pt idx="53">
                  <c:v>-0.61890852438590893</c:v>
                </c:pt>
                <c:pt idx="54">
                  <c:v>-0.62874940103603916</c:v>
                </c:pt>
                <c:pt idx="55">
                  <c:v>-0.63849059253075624</c:v>
                </c:pt>
                <c:pt idx="56">
                  <c:v>-0.64813055445158974</c:v>
                </c:pt>
                <c:pt idx="57">
                  <c:v>-0.65766775842952607</c:v>
                </c:pt>
                <c:pt idx="58">
                  <c:v>-0.66710069238732217</c:v>
                </c:pt>
                <c:pt idx="59">
                  <c:v>-0.676427860779239</c:v>
                </c:pt>
                <c:pt idx="60">
                  <c:v>-0.68564778482815303</c:v>
                </c:pt>
                <c:pt idx="61">
                  <c:v>-0.69475900276000901</c:v>
                </c:pt>
                <c:pt idx="62">
                  <c:v>-0.70376007003557695</c:v>
                </c:pt>
                <c:pt idx="63">
                  <c:v>-0.71264955957947684</c:v>
                </c:pt>
                <c:pt idx="64">
                  <c:v>-0.72142606200643566</c:v>
                </c:pt>
                <c:pt idx="65">
                  <c:v>-0.73008818584473634</c:v>
                </c:pt>
                <c:pt idx="66">
                  <c:v>-0.73863455775682996</c:v>
                </c:pt>
                <c:pt idx="67">
                  <c:v>-0.74706382275707306</c:v>
                </c:pt>
                <c:pt idx="68">
                  <c:v>-0.75537464442655133</c:v>
                </c:pt>
                <c:pt idx="69">
                  <c:v>-0.76356570512496436</c:v>
                </c:pt>
                <c:pt idx="70">
                  <c:v>-0.77163570619953037</c:v>
                </c:pt>
                <c:pt idx="71">
                  <c:v>-0.77958336819088125</c:v>
                </c:pt>
                <c:pt idx="72">
                  <c:v>-0.78740743103591482</c:v>
                </c:pt>
                <c:pt idx="73">
                  <c:v>-0.79510665426757132</c:v>
                </c:pt>
                <c:pt idx="74">
                  <c:v>-0.8026798172115045</c:v>
                </c:pt>
                <c:pt idx="75">
                  <c:v>-0.81012571917961196</c:v>
                </c:pt>
                <c:pt idx="76">
                  <c:v>-0.81744317966039926</c:v>
                </c:pt>
                <c:pt idx="77">
                  <c:v>-0.82463103850614505</c:v>
                </c:pt>
                <c:pt idx="78">
                  <c:v>-0.83168815611683522</c:v>
                </c:pt>
                <c:pt idx="79">
                  <c:v>-0.83861341362084196</c:v>
                </c:pt>
                <c:pt idx="80">
                  <c:v>-0.84540571305231527</c:v>
                </c:pt>
                <c:pt idx="81">
                  <c:v>-0.85206397752526009</c:v>
                </c:pt>
                <c:pt idx="82">
                  <c:v>-0.85858715140427089</c:v>
                </c:pt>
                <c:pt idx="83">
                  <c:v>-0.86497420047189832</c:v>
                </c:pt>
                <c:pt idx="84">
                  <c:v>-0.87122411209261896</c:v>
                </c:pt>
                <c:pt idx="85">
                  <c:v>-0.87733589537338308</c:v>
                </c:pt>
                <c:pt idx="86">
                  <c:v>-0.88330858132071755</c:v>
                </c:pt>
                <c:pt idx="87">
                  <c:v>-0.88914122299435316</c:v>
                </c:pt>
                <c:pt idx="88">
                  <c:v>-0.89483289565735857</c:v>
                </c:pt>
                <c:pt idx="89">
                  <c:v>-0.90038269692275252</c:v>
                </c:pt>
                <c:pt idx="90">
                  <c:v>-0.90578974689657299</c:v>
                </c:pt>
                <c:pt idx="91">
                  <c:v>-0.91105318831737969</c:v>
                </c:pt>
                <c:pt idx="92">
                  <c:v>-0.91617218669216938</c:v>
                </c:pt>
                <c:pt idx="93">
                  <c:v>-0.9211459304286802</c:v>
                </c:pt>
                <c:pt idx="94">
                  <c:v>-0.92597363096406582</c:v>
                </c:pt>
                <c:pt idx="95">
                  <c:v>-0.9306545228899179</c:v>
                </c:pt>
                <c:pt idx="96">
                  <c:v>-0.93518786407361854</c:v>
                </c:pt>
                <c:pt idx="97">
                  <c:v>-0.93957293577600121</c:v>
                </c:pt>
                <c:pt idx="98">
                  <c:v>-0.94380904276530342</c:v>
                </c:pt>
                <c:pt idx="99">
                  <c:v>-0.94789551342739287</c:v>
                </c:pt>
                <c:pt idx="100">
                  <c:v>-0.95183169987224769</c:v>
                </c:pt>
                <c:pt idx="101">
                  <c:v>-0.95561697803667711</c:v>
                </c:pt>
                <c:pt idx="102">
                  <c:v>-0.95925074778326314</c:v>
                </c:pt>
                <c:pt idx="103">
                  <c:v>-0.96273243299550948</c:v>
                </c:pt>
                <c:pt idx="104">
                  <c:v>-0.96606148166918226</c:v>
                </c:pt>
                <c:pt idx="105">
                  <c:v>-0.96923736599982724</c:v>
                </c:pt>
                <c:pt idx="106">
                  <c:v>-0.97225958246645094</c:v>
                </c:pt>
                <c:pt idx="107">
                  <c:v>-0.97512765191135131</c:v>
                </c:pt>
                <c:pt idx="108">
                  <c:v>-0.97784111961608577</c:v>
                </c:pt>
                <c:pt idx="109">
                  <c:v>-0.98039955537356505</c:v>
                </c:pt>
                <c:pt idx="110">
                  <c:v>-0.98280255355625956</c:v>
                </c:pt>
                <c:pt idx="111">
                  <c:v>-0.9850497331805107</c:v>
                </c:pt>
                <c:pt idx="112">
                  <c:v>-0.98714073796693302</c:v>
                </c:pt>
                <c:pt idx="113">
                  <c:v>-0.98907523639690131</c:v>
                </c:pt>
                <c:pt idx="114">
                  <c:v>-0.99085292176511075</c:v>
                </c:pt>
                <c:pt idx="115">
                  <c:v>-0.99247351222820401</c:v>
                </c:pt>
                <c:pt idx="116">
                  <c:v>-0.99393675084945565</c:v>
                </c:pt>
                <c:pt idx="117">
                  <c:v>-0.99524240563950839</c:v>
                </c:pt>
                <c:pt idx="118">
                  <c:v>-0.99639026959315424</c:v>
                </c:pt>
                <c:pt idx="119">
                  <c:v>-0.99738016072215352</c:v>
                </c:pt>
                <c:pt idx="120">
                  <c:v>-0.9982119220840886</c:v>
                </c:pt>
                <c:pt idx="121">
                  <c:v>-0.9988854218072466</c:v>
                </c:pt>
                <c:pt idx="122">
                  <c:v>-0.99940055311152631</c:v>
                </c:pt>
                <c:pt idx="123">
                  <c:v>-0.99975723432536823</c:v>
                </c:pt>
                <c:pt idx="124">
                  <c:v>-0.99995540889870305</c:v>
                </c:pt>
                <c:pt idx="125">
                  <c:v>-0.9999950454119173</c:v>
                </c:pt>
                <c:pt idx="126">
                  <c:v>-0.99987613758083482</c:v>
                </c:pt>
                <c:pt idx="127">
                  <c:v>-0.99959870425771313</c:v>
                </c:pt>
                <c:pt idx="128">
                  <c:v>-0.99916278942825454</c:v>
                </c:pt>
                <c:pt idx="129">
                  <c:v>-0.99856846220463213</c:v>
                </c:pt>
                <c:pt idx="130">
                  <c:v>-0.99781581681453291</c:v>
                </c:pt>
                <c:pt idx="131">
                  <c:v>-0.9969049725862178</c:v>
                </c:pt>
                <c:pt idx="132">
                  <c:v>-0.99583607392960338</c:v>
                </c:pt>
                <c:pt idx="133">
                  <c:v>-0.99460929031336576</c:v>
                </c:pt>
                <c:pt idx="134">
                  <c:v>-0.99322481623807268</c:v>
                </c:pt>
                <c:pt idx="135">
                  <c:v>-0.99168287120534626</c:v>
                </c:pt>
                <c:pt idx="136">
                  <c:v>-0.98998369968306188</c:v>
                </c:pt>
                <c:pt idx="137">
                  <c:v>-0.98812757106658899</c:v>
                </c:pt>
                <c:pt idx="138">
                  <c:v>-0.98611477963608019</c:v>
                </c:pt>
                <c:pt idx="139">
                  <c:v>-0.98394564450981403</c:v>
                </c:pt>
                <c:pt idx="140">
                  <c:v>-0.9816205095936007</c:v>
                </c:pt>
                <c:pt idx="141">
                  <c:v>-0.97913974352625754</c:v>
                </c:pt>
                <c:pt idx="142">
                  <c:v>-0.97650373962116255</c:v>
                </c:pt>
                <c:pt idx="143">
                  <c:v>-0.97371291580389718</c:v>
                </c:pt>
                <c:pt idx="144">
                  <c:v>-0.97076771454598576</c:v>
                </c:pt>
                <c:pt idx="145">
                  <c:v>-0.9676686027947442</c:v>
                </c:pt>
                <c:pt idx="146">
                  <c:v>-0.96441607189924727</c:v>
                </c:pt>
                <c:pt idx="147">
                  <c:v>-0.96101063753242832</c:v>
                </c:pt>
                <c:pt idx="148">
                  <c:v>-0.95745283960932082</c:v>
                </c:pt>
                <c:pt idx="149">
                  <c:v>-0.95374324220145856</c:v>
                </c:pt>
                <c:pt idx="150">
                  <c:v>-0.94988243344744416</c:v>
                </c:pt>
                <c:pt idx="151">
                  <c:v>-0.9458710254597027</c:v>
                </c:pt>
                <c:pt idx="152">
                  <c:v>-0.94170965422743436</c:v>
                </c:pt>
                <c:pt idx="153">
                  <c:v>-0.93739897951578133</c:v>
                </c:pt>
                <c:pt idx="154">
                  <c:v>-0.93293968476122557</c:v>
                </c:pt>
                <c:pt idx="155">
                  <c:v>-0.92833247696323273</c:v>
                </c:pt>
                <c:pt idx="156">
                  <c:v>-0.92357808657216123</c:v>
                </c:pt>
                <c:pt idx="157">
                  <c:v>-0.91867726737345312</c:v>
                </c:pt>
                <c:pt idx="158">
                  <c:v>-0.91363079636812405</c:v>
                </c:pt>
                <c:pt idx="159">
                  <c:v>-0.908439473649575</c:v>
                </c:pt>
                <c:pt idx="160">
                  <c:v>-0.90310412227674031</c:v>
                </c:pt>
                <c:pt idx="161">
                  <c:v>-0.89762558814359616</c:v>
                </c:pt>
                <c:pt idx="162">
                  <c:v>-0.89200473984504758</c:v>
                </c:pt>
                <c:pt idx="163">
                  <c:v>-0.88624246853921795</c:v>
                </c:pt>
                <c:pt idx="164">
                  <c:v>-0.88033968780615957</c:v>
                </c:pt>
                <c:pt idx="165">
                  <c:v>-0.87429733350301031</c:v>
                </c:pt>
                <c:pt idx="166">
                  <c:v>-0.86811636361561695</c:v>
                </c:pt>
                <c:pt idx="167">
                  <c:v>-0.86179775810665327</c:v>
                </c:pt>
                <c:pt idx="168">
                  <c:v>-0.85534251876024969</c:v>
                </c:pt>
                <c:pt idx="169">
                  <c:v>-0.84875166902316668</c:v>
                </c:pt>
                <c:pt idx="170">
                  <c:v>-0.84202625384253138</c:v>
                </c:pt>
                <c:pt idx="171">
                  <c:v>-0.83516733950016653</c:v>
                </c:pt>
                <c:pt idx="172">
                  <c:v>-0.82817601344353708</c:v>
                </c:pt>
                <c:pt idx="173">
                  <c:v>-0.82105338411334028</c:v>
                </c:pt>
                <c:pt idx="174">
                  <c:v>-0.81380058076776807</c:v>
                </c:pt>
                <c:pt idx="175">
                  <c:v>-0.80641875330346857</c:v>
                </c:pt>
                <c:pt idx="176">
                  <c:v>-0.79890907207323514</c:v>
                </c:pt>
                <c:pt idx="177">
                  <c:v>-0.79127272770045332</c:v>
                </c:pt>
                <c:pt idx="178">
                  <c:v>-0.7835109308903333</c:v>
                </c:pt>
                <c:pt idx="179">
                  <c:v>-0.77562491223795782</c:v>
                </c:pt>
                <c:pt idx="180">
                  <c:v>-0.76761592203317841</c:v>
                </c:pt>
                <c:pt idx="181">
                  <c:v>-0.759485230062386</c:v>
                </c:pt>
                <c:pt idx="182">
                  <c:v>-0.75123412540719514</c:v>
                </c:pt>
                <c:pt idx="183">
                  <c:v>-0.74286391624006443</c:v>
                </c:pt>
                <c:pt idx="184">
                  <c:v>-0.73437592961689302</c:v>
                </c:pt>
                <c:pt idx="185">
                  <c:v>-0.72577151126662232</c:v>
                </c:pt>
                <c:pt idx="186">
                  <c:v>-0.71705202537787593</c:v>
                </c:pt>
                <c:pt idx="187">
                  <c:v>-0.70821885438267662</c:v>
                </c:pt>
                <c:pt idx="188">
                  <c:v>-0.69927339873726635</c:v>
                </c:pt>
                <c:pt idx="189">
                  <c:v>-0.69021707670007193</c:v>
                </c:pt>
                <c:pt idx="190">
                  <c:v>-0.68105132410684666</c:v>
                </c:pt>
                <c:pt idx="191">
                  <c:v>-0.67177759414302485</c:v>
                </c:pt>
                <c:pt idx="192">
                  <c:v>-0.66239735711332759</c:v>
                </c:pt>
                <c:pt idx="193">
                  <c:v>-0.65291210020865287</c:v>
                </c:pt>
                <c:pt idx="194">
                  <c:v>-0.64332332727028774</c:v>
                </c:pt>
                <c:pt idx="195">
                  <c:v>-0.63363255855148315</c:v>
                </c:pt>
                <c:pt idx="196">
                  <c:v>-0.62384133047642276</c:v>
                </c:pt>
                <c:pt idx="197">
                  <c:v>-0.61395119539663345</c:v>
                </c:pt>
                <c:pt idx="198">
                  <c:v>-0.60396372134486531</c:v>
                </c:pt>
                <c:pt idx="199">
                  <c:v>-0.59388049178648838</c:v>
                </c:pt>
                <c:pt idx="200">
                  <c:v>-0.58370310536844239</c:v>
                </c:pt>
                <c:pt idx="201">
                  <c:v>-0.57343317566577767</c:v>
                </c:pt>
                <c:pt idx="202">
                  <c:v>-0.56307233092583253</c:v>
                </c:pt>
                <c:pt idx="203">
                  <c:v>-0.55262221381008125</c:v>
                </c:pt>
                <c:pt idx="204">
                  <c:v>-0.54208448113369867</c:v>
                </c:pt>
                <c:pt idx="205">
                  <c:v>-0.53146080360288028</c:v>
                </c:pt>
                <c:pt idx="206">
                  <c:v>-0.5207528655499587</c:v>
                </c:pt>
                <c:pt idx="207">
                  <c:v>-0.50996236466636313</c:v>
                </c:pt>
                <c:pt idx="208">
                  <c:v>-0.49909101173345694</c:v>
                </c:pt>
                <c:pt idx="209">
                  <c:v>-0.48814053035130217</c:v>
                </c:pt>
                <c:pt idx="210">
                  <c:v>-0.4771126566653916</c:v>
                </c:pt>
                <c:pt idx="211">
                  <c:v>-0.46600913909138969</c:v>
                </c:pt>
                <c:pt idx="212">
                  <c:v>-0.45483173803793203</c:v>
                </c:pt>
                <c:pt idx="213">
                  <c:v>-0.44358222562751976</c:v>
                </c:pt>
                <c:pt idx="214">
                  <c:v>-0.43226238541555839</c:v>
                </c:pt>
                <c:pt idx="215">
                  <c:v>-0.42087401210758435</c:v>
                </c:pt>
                <c:pt idx="216">
                  <c:v>-0.40941891127472135</c:v>
                </c:pt>
                <c:pt idx="217">
                  <c:v>-0.39789889906741854</c:v>
                </c:pt>
                <c:pt idx="218">
                  <c:v>-0.38631580192750681</c:v>
                </c:pt>
                <c:pt idx="219">
                  <c:v>-0.37467145629862603</c:v>
                </c:pt>
                <c:pt idx="220">
                  <c:v>-0.36296770833506597</c:v>
                </c:pt>
                <c:pt idx="221">
                  <c:v>-0.35120641360906618</c:v>
                </c:pt>
                <c:pt idx="222">
                  <c:v>-0.3393894368166262</c:v>
                </c:pt>
                <c:pt idx="223">
                  <c:v>-0.32751865148186576</c:v>
                </c:pt>
                <c:pt idx="224">
                  <c:v>-0.31559593965998722</c:v>
                </c:pt>
                <c:pt idx="225">
                  <c:v>-0.30362319163888341</c:v>
                </c:pt>
                <c:pt idx="226">
                  <c:v>-0.29160230563944411</c:v>
                </c:pt>
                <c:pt idx="227">
                  <c:v>-0.27953518751460066</c:v>
                </c:pt>
                <c:pt idx="228">
                  <c:v>-0.26742375044716271</c:v>
                </c:pt>
                <c:pt idx="229">
                  <c:v>-0.25526991464649296</c:v>
                </c:pt>
                <c:pt idx="230">
                  <c:v>-0.24307560704406533</c:v>
                </c:pt>
                <c:pt idx="231">
                  <c:v>-0.23084276098796225</c:v>
                </c:pt>
                <c:pt idx="232">
                  <c:v>-0.21857331593634971</c:v>
                </c:pt>
                <c:pt idx="233">
                  <c:v>-0.20626921714998633</c:v>
                </c:pt>
                <c:pt idx="234">
                  <c:v>-0.19393241538381192</c:v>
                </c:pt>
                <c:pt idx="235">
                  <c:v>-0.1815648665776633</c:v>
                </c:pt>
                <c:pt idx="236">
                  <c:v>-0.16916853154617187</c:v>
                </c:pt>
                <c:pt idx="237">
                  <c:v>-0.1567453756678846</c:v>
                </c:pt>
                <c:pt idx="238">
                  <c:v>-0.14429736857366296</c:v>
                </c:pt>
                <c:pt idx="239">
                  <c:v>-0.1318264838344082</c:v>
                </c:pt>
                <c:pt idx="240">
                  <c:v>-0.11933469864815945</c:v>
                </c:pt>
                <c:pt idx="241">
                  <c:v>-0.10682399352662118</c:v>
                </c:pt>
                <c:pt idx="242">
                  <c:v>-9.4296351981161083E-2</c:v>
                </c:pt>
                <c:pt idx="243">
                  <c:v>-8.1753760208334331E-2</c:v>
                </c:pt>
                <c:pt idx="244">
                  <c:v>-6.9198206774982327E-2</c:v>
                </c:pt>
                <c:pt idx="245">
                  <c:v>-5.6631682302953242E-2</c:v>
                </c:pt>
                <c:pt idx="246">
                  <c:v>-4.4056179153501372E-2</c:v>
                </c:pt>
                <c:pt idx="247">
                  <c:v>-3.1473691111406125E-2</c:v>
                </c:pt>
                <c:pt idx="248">
                  <c:v>-1.8886213068867626E-2</c:v>
                </c:pt>
                <c:pt idx="249">
                  <c:v>-6.2957407092267123E-3</c:v>
                </c:pt>
                <c:pt idx="250">
                  <c:v>6.2957298094427185E-3</c:v>
                </c:pt>
                <c:pt idx="251">
                  <c:v>1.8886202170812185E-2</c:v>
                </c:pt>
                <c:pt idx="252">
                  <c:v>3.1473680216806625E-2</c:v>
                </c:pt>
                <c:pt idx="253">
                  <c:v>4.4056168264085101E-2</c:v>
                </c:pt>
                <c:pt idx="254">
                  <c:v>5.6631671420446214E-2</c:v>
                </c:pt>
                <c:pt idx="255">
                  <c:v>6.9198195901110357E-2</c:v>
                </c:pt>
                <c:pt idx="256">
                  <c:v>8.1753749344821866E-2</c:v>
                </c:pt>
                <c:pt idx="257">
                  <c:v>9.4296341129730038E-2</c:v>
                </c:pt>
                <c:pt idx="258">
                  <c:v>0.106823982688992</c:v>
                </c:pt>
                <c:pt idx="259">
                  <c:v>0.11933468782604993</c:v>
                </c:pt>
                <c:pt idx="260">
                  <c:v>0.1318264730295346</c:v>
                </c:pt>
                <c:pt idx="261">
                  <c:v>0.14429735778773875</c:v>
                </c:pt>
                <c:pt idx="262">
                  <c:v>0.15674536490261939</c:v>
                </c:pt>
                <c:pt idx="263">
                  <c:v>0.16916852080327247</c:v>
                </c:pt>
                <c:pt idx="264">
                  <c:v>0.18156485585883247</c:v>
                </c:pt>
                <c:pt idx="265">
                  <c:v>0.1939324046907496</c:v>
                </c:pt>
                <c:pt idx="266">
                  <c:v>0.20626920648438821</c:v>
                </c:pt>
                <c:pt idx="267">
                  <c:v>0.21857330529990635</c:v>
                </c:pt>
                <c:pt idx="268">
                  <c:v>0.23084275038235999</c:v>
                </c:pt>
                <c:pt idx="269">
                  <c:v>0.24307559647098526</c:v>
                </c:pt>
                <c:pt idx="270">
                  <c:v>0.25526990410761174</c:v>
                </c:pt>
                <c:pt idx="271">
                  <c:v>0.26742373994415175</c:v>
                </c:pt>
                <c:pt idx="272">
                  <c:v>0.27953517704912467</c:v>
                </c:pt>
                <c:pt idx="273">
                  <c:v>0.29160229521316233</c:v>
                </c:pt>
                <c:pt idx="274">
                  <c:v>0.3036231812534485</c:v>
                </c:pt>
                <c:pt idx="275">
                  <c:v>0.31559592931704616</c:v>
                </c:pt>
                <c:pt idx="276">
                  <c:v>0.32751864118305873</c:v>
                </c:pt>
                <c:pt idx="277">
                  <c:v>0.33938942656358567</c:v>
                </c:pt>
                <c:pt idx="278">
                  <c:v>0.35120640340341769</c:v>
                </c:pt>
                <c:pt idx="279">
                  <c:v>0.36296769817842722</c:v>
                </c:pt>
                <c:pt idx="280">
                  <c:v>0.37467144619260806</c:v>
                </c:pt>
                <c:pt idx="281">
                  <c:v>0.38631579187371151</c:v>
                </c:pt>
                <c:pt idx="282">
                  <c:v>0.39789888906743986</c:v>
                </c:pt>
                <c:pt idx="283">
                  <c:v>0.40941890133014475</c:v>
                </c:pt>
                <c:pt idx="284">
                  <c:v>0.42087400221998605</c:v>
                </c:pt>
                <c:pt idx="285">
                  <c:v>0.43226237558650693</c:v>
                </c:pt>
                <c:pt idx="286">
                  <c:v>0.44358221585857299</c:v>
                </c:pt>
                <c:pt idx="287">
                  <c:v>0.45483172833063878</c:v>
                </c:pt>
                <c:pt idx="288">
                  <c:v>0.46600912944728906</c:v>
                </c:pt>
                <c:pt idx="289">
                  <c:v>0.4771126470860122</c:v>
                </c:pt>
                <c:pt idx="290">
                  <c:v>0.48814052083816351</c:v>
                </c:pt>
                <c:pt idx="291">
                  <c:v>0.49909100228806691</c:v>
                </c:pt>
                <c:pt idx="292">
                  <c:v>0.50996235529021927</c:v>
                </c:pt>
                <c:pt idx="293">
                  <c:v>0.52075285624454726</c:v>
                </c:pt>
                <c:pt idx="294">
                  <c:v>0.53146079436967675</c:v>
                </c:pt>
                <c:pt idx="295">
                  <c:v>0.54208447197416743</c:v>
                </c:pt>
                <c:pt idx="296">
                  <c:v>0.55262220472567414</c:v>
                </c:pt>
                <c:pt idx="297">
                  <c:v>0.56307232191798984</c:v>
                </c:pt>
                <c:pt idx="298">
                  <c:v>0.57343316673592715</c:v>
                </c:pt>
                <c:pt idx="299">
                  <c:v>0.58370309651800023</c:v>
                </c:pt>
                <c:pt idx="300">
                  <c:v>0.59388048301685803</c:v>
                </c:pt>
                <c:pt idx="301">
                  <c:v>0.60396371265743687</c:v>
                </c:pt>
                <c:pt idx="302">
                  <c:v>0.61395118679278426</c:v>
                </c:pt>
                <c:pt idx="303">
                  <c:v>0.62384132195751663</c:v>
                </c:pt>
                <c:pt idx="304">
                  <c:v>0.63363255011887099</c:v>
                </c:pt>
                <c:pt idx="305">
                  <c:v>0.64332331892530692</c:v>
                </c:pt>
                <c:pt idx="306">
                  <c:v>0.65291209195262589</c:v>
                </c:pt>
                <c:pt idx="307">
                  <c:v>0.66239734894756364</c:v>
                </c:pt>
                <c:pt idx="308">
                  <c:v>0.6717775860688181</c:v>
                </c:pt>
                <c:pt idx="309">
                  <c:v>0.68105131612547776</c:v>
                </c:pt>
                <c:pt idx="310">
                  <c:v>0.69021706881280642</c:v>
                </c:pt>
                <c:pt idx="311">
                  <c:v>0.69927339094535446</c:v>
                </c:pt>
                <c:pt idx="312">
                  <c:v>0.70821884668735369</c:v>
                </c:pt>
                <c:pt idx="313">
                  <c:v>0.71705201778036176</c:v>
                </c:pt>
                <c:pt idx="314">
                  <c:v>0.72577150376812161</c:v>
                </c:pt>
                <c:pt idx="315">
                  <c:v>0.73437592221859516</c:v>
                </c:pt>
                <c:pt idx="316">
                  <c:v>0.74286390894314192</c:v>
                </c:pt>
                <c:pt idx="317">
                  <c:v>0.75123411821280495</c:v>
                </c:pt>
                <c:pt idx="318">
                  <c:v>0.75948522297166865</c:v>
                </c:pt>
                <c:pt idx="319">
                  <c:v>0.76761591504725812</c:v>
                </c:pt>
                <c:pt idx="320">
                  <c:v>0.7756249053579426</c:v>
                </c:pt>
                <c:pt idx="321">
                  <c:v>0.78351092411731305</c:v>
                </c:pt>
                <c:pt idx="322">
                  <c:v>0.79127272103550239</c:v>
                </c:pt>
                <c:pt idx="323">
                  <c:v>0.79890906551741014</c:v>
                </c:pt>
                <c:pt idx="324">
                  <c:v>0.80641874685780912</c:v>
                </c:pt>
                <c:pt idx="325">
                  <c:v>0.81380057443329612</c:v>
                </c:pt>
                <c:pt idx="326">
                  <c:v>0.82105337789106003</c:v>
                </c:pt>
                <c:pt idx="327">
                  <c:v>0.82817600733443497</c:v>
                </c:pt>
                <c:pt idx="328">
                  <c:v>0.83516733350521122</c:v>
                </c:pt>
                <c:pt idx="329">
                  <c:v>0.84202624796267322</c:v>
                </c:pt>
                <c:pt idx="330">
                  <c:v>0.8487516632593376</c:v>
                </c:pt>
                <c:pt idx="331">
                  <c:v>0.85534251311336396</c:v>
                </c:pt>
                <c:pt idx="332">
                  <c:v>0.86179775257760605</c:v>
                </c:pt>
                <c:pt idx="333">
                  <c:v>0.86811635820528488</c:v>
                </c:pt>
                <c:pt idx="334">
                  <c:v>0.87429732821225115</c:v>
                </c:pt>
                <c:pt idx="335">
                  <c:v>0.88033968263581241</c:v>
                </c:pt>
                <c:pt idx="336">
                  <c:v>0.88624246349010227</c:v>
                </c:pt>
                <c:pt idx="337">
                  <c:v>0.89200473491796384</c:v>
                </c:pt>
                <c:pt idx="338">
                  <c:v>0.89762558333932563</c:v>
                </c:pt>
                <c:pt idx="339">
                  <c:v>0.90310411759604481</c:v>
                </c:pt>
                <c:pt idx="340">
                  <c:v>0.90843946909319606</c:v>
                </c:pt>
                <c:pt idx="341">
                  <c:v>0.91363079193678443</c:v>
                </c:pt>
                <c:pt idx="342">
                  <c:v>0.91867726306785535</c:v>
                </c:pt>
                <c:pt idx="343">
                  <c:v>0.92357808239298822</c:v>
                </c:pt>
                <c:pt idx="344">
                  <c:v>0.92833247291114673</c:v>
                </c:pt>
                <c:pt idx="345">
                  <c:v>0.93293968083686918</c:v>
                </c:pt>
                <c:pt idx="346">
                  <c:v>0.93739897571977682</c:v>
                </c:pt>
                <c:pt idx="347">
                  <c:v>0.94170965056038336</c:v>
                </c:pt>
                <c:pt idx="348">
                  <c:v>0.94587102192218675</c:v>
                </c:pt>
                <c:pt idx="349">
                  <c:v>0.94988243004002404</c:v>
                </c:pt>
                <c:pt idx="350">
                  <c:v>0.95374323892467427</c:v>
                </c:pt>
                <c:pt idx="351">
                  <c:v>0.95745283646369217</c:v>
                </c:pt>
                <c:pt idx="352">
                  <c:v>0.96101063451845392</c:v>
                </c:pt>
                <c:pt idx="353">
                  <c:v>0.96441606901740518</c:v>
                </c:pt>
                <c:pt idx="354">
                  <c:v>0.96766860004549116</c:v>
                </c:pt>
                <c:pt idx="355">
                  <c:v>0.97076771192975775</c:v>
                </c:pt>
                <c:pt idx="356">
                  <c:v>0.97371291332110887</c:v>
                </c:pt>
                <c:pt idx="357">
                  <c:v>0.97650373727220763</c:v>
                </c:pt>
                <c:pt idx="358">
                  <c:v>0.97913974131150838</c:v>
                </c:pt>
                <c:pt idx="359">
                  <c:v>0.98162050751340857</c:v>
                </c:pt>
                <c:pt idx="360">
                  <c:v>0.98394564256450845</c:v>
                </c:pt>
                <c:pt idx="361">
                  <c:v>0.98611477782596968</c:v>
                </c:pt>
                <c:pt idx="362">
                  <c:v>0.98812756939196067</c:v>
                </c:pt>
                <c:pt idx="363">
                  <c:v>0.98998369814418119</c:v>
                </c:pt>
                <c:pt idx="364">
                  <c:v>0.99168286980245723</c:v>
                </c:pt>
                <c:pt idx="365">
                  <c:v>0.99322481497139781</c:v>
                </c:pt>
                <c:pt idx="366">
                  <c:v>0.99460928918310565</c:v>
                </c:pt>
                <c:pt idx="367">
                  <c:v>0.99583607293593734</c:v>
                </c:pt>
                <c:pt idx="368">
                  <c:v>0.99690497172930337</c:v>
                </c:pt>
                <c:pt idx="369">
                  <c:v>0.99781581609450598</c:v>
                </c:pt>
                <c:pt idx="370">
                  <c:v>0.99856846162160673</c:v>
                </c:pt>
                <c:pt idx="371">
                  <c:v>0.99916278898232314</c:v>
                </c:pt>
                <c:pt idx="372">
                  <c:v>0.99959870394894657</c:v>
                </c:pt>
                <c:pt idx="373">
                  <c:v>0.99987613740928194</c:v>
                </c:pt>
                <c:pt idx="374">
                  <c:v>0.99999504537760531</c:v>
                </c:pt>
                <c:pt idx="375">
                  <c:v>0.99995540900163737</c:v>
                </c:pt>
                <c:pt idx="376">
                  <c:v>0.99975723456553256</c:v>
                </c:pt>
                <c:pt idx="377">
                  <c:v>0.99940055348888257</c:v>
                </c:pt>
                <c:pt idx="378">
                  <c:v>0.99888542232173505</c:v>
                </c:pt>
                <c:pt idx="379">
                  <c:v>0.99821192273562764</c:v>
                </c:pt>
                <c:pt idx="380">
                  <c:v>0.9973801615106398</c:v>
                </c:pt>
                <c:pt idx="381">
                  <c:v>0.99639027051846274</c:v>
                </c:pt>
                <c:pt idx="382">
                  <c:v>0.99524240670149244</c:v>
                </c:pt>
                <c:pt idx="383">
                  <c:v>0.99393675204794685</c:v>
                </c:pt>
                <c:pt idx="384">
                  <c:v>0.99247351356301239</c:v>
                </c:pt>
                <c:pt idx="385">
                  <c:v>0.9908529232360247</c:v>
                </c:pt>
                <c:pt idx="386">
                  <c:v>0.98907523800368746</c:v>
                </c:pt>
                <c:pt idx="387">
                  <c:v>0.9871407397093368</c:v>
                </c:pt>
                <c:pt idx="388">
                  <c:v>0.98504973505825577</c:v>
                </c:pt>
                <c:pt idx="389">
                  <c:v>0.98280255556904839</c:v>
                </c:pt>
                <c:pt idx="390">
                  <c:v>0.98039955752107832</c:v>
                </c:pt>
                <c:pt idx="391">
                  <c:v>0.97784112189798311</c:v>
                </c:pt>
                <c:pt idx="392">
                  <c:v>0.97512765432727078</c:v>
                </c:pt>
                <c:pt idx="393">
                  <c:v>0.97225958501600962</c:v>
                </c:pt>
                <c:pt idx="394">
                  <c:v>0.96923736868262089</c:v>
                </c:pt>
                <c:pt idx="395">
                  <c:v>0.96606148448478557</c:v>
                </c:pt>
                <c:pt idx="396">
                  <c:v>0.96273243594347602</c:v>
                </c:pt>
                <c:pt idx="397">
                  <c:v>0.9592507508631255</c:v>
                </c:pt>
                <c:pt idx="398">
                  <c:v>0.95561698124794703</c:v>
                </c:pt>
                <c:pt idx="399">
                  <c:v>0.95183170321441624</c:v>
                </c:pt>
                <c:pt idx="400">
                  <c:v>0.94789551689992979</c:v>
                </c:pt>
                <c:pt idx="401">
                  <c:v>0.94380904636765839</c:v>
                </c:pt>
                <c:pt idx="402">
                  <c:v>0.9395729395076029</c:v>
                </c:pt>
                <c:pt idx="403">
                  <c:v>0.93518786793387554</c:v>
                </c:pt>
                <c:pt idx="404">
                  <c:v>0.93065452687821804</c:v>
                </c:pt>
                <c:pt idx="405">
                  <c:v>0.9259736350797767</c:v>
                </c:pt>
                <c:pt idx="406">
                  <c:v>0.92114593467114947</c:v>
                </c:pt>
                <c:pt idx="407">
                  <c:v>0.91617219106072434</c:v>
                </c:pt>
                <c:pt idx="408">
                  <c:v>0.91105319281132768</c:v>
                </c:pt>
                <c:pt idx="409">
                  <c:v>0.90578975151520191</c:v>
                </c:pt>
                <c:pt idx="410">
                  <c:v>0.90038270166532985</c:v>
                </c:pt>
                <c:pt idx="411">
                  <c:v>0.89483290052313236</c:v>
                </c:pt>
                <c:pt idx="412">
                  <c:v>0.88914122798255191</c:v>
                </c:pt>
                <c:pt idx="413">
                  <c:v>0.88330858643055044</c:v>
                </c:pt>
                <c:pt idx="414">
                  <c:v>0.87733590060403999</c:v>
                </c:pt>
                <c:pt idx="415">
                  <c:v>0.87122411744327033</c:v>
                </c:pt>
                <c:pt idx="416">
                  <c:v>0.86497420594169605</c:v>
                </c:pt>
                <c:pt idx="417">
                  <c:v>0.85858715699234767</c:v>
                </c:pt>
                <c:pt idx="418">
                  <c:v>0.85206398323072996</c:v>
                </c:pt>
                <c:pt idx="419">
                  <c:v>0.84540571887427429</c:v>
                </c:pt>
                <c:pt idx="420">
                  <c:v>0.83861341955836666</c:v>
                </c:pt>
                <c:pt idx="421">
                  <c:v>0.83168816216898411</c:v>
                </c:pt>
                <c:pt idx="422">
                  <c:v>0.82463104467195869</c:v>
                </c:pt>
                <c:pt idx="423">
                  <c:v>0.81744318593889997</c:v>
                </c:pt>
                <c:pt idx="424">
                  <c:v>0.81012572556980411</c:v>
                </c:pt>
                <c:pt idx="425">
                  <c:v>0.80267982371237523</c:v>
                </c:pt>
                <c:pt idx="426">
                  <c:v>0.7951066608780899</c:v>
                </c:pt>
                <c:pt idx="427">
                  <c:v>0.78740743775503297</c:v>
                </c:pt>
                <c:pt idx="428">
                  <c:v>0.77958337501753394</c:v>
                </c:pt>
                <c:pt idx="429">
                  <c:v>0.77163571313263579</c:v>
                </c:pt>
                <c:pt idx="430">
                  <c:v>0.76356571216342284</c:v>
                </c:pt>
                <c:pt idx="431">
                  <c:v>0.75537465156924688</c:v>
                </c:pt>
                <c:pt idx="432">
                  <c:v>0.74706383000287324</c:v>
                </c:pt>
                <c:pt idx="433">
                  <c:v>0.73863456510458603</c:v>
                </c:pt>
                <c:pt idx="434">
                  <c:v>0.73008819329328301</c:v>
                </c:pt>
                <c:pt idx="435">
                  <c:v>0.72142606955459232</c:v>
                </c:pt>
                <c:pt idx="436">
                  <c:v>0.71264956722604689</c:v>
                </c:pt>
                <c:pt idx="437">
                  <c:v>0.70376007777934746</c:v>
                </c:pt>
                <c:pt idx="438">
                  <c:v>0.69475901059975276</c:v>
                </c:pt>
                <c:pt idx="439">
                  <c:v>0.68564779276262766</c:v>
                </c:pt>
                <c:pt idx="440">
                  <c:v>0.67642786880718597</c:v>
                </c:pt>
                <c:pt idx="441">
                  <c:v>0.66710070050746861</c:v>
                </c:pt>
                <c:pt idx="442">
                  <c:v>0.65766776664058457</c:v>
                </c:pt>
                <c:pt idx="443">
                  <c:v>0.64813056275225844</c:v>
                </c:pt>
                <c:pt idx="444">
                  <c:v>0.63849060091971876</c:v>
                </c:pt>
                <c:pt idx="445">
                  <c:v>0.6287494095119659</c:v>
                </c:pt>
                <c:pt idx="446">
                  <c:v>0.61890853294745607</c:v>
                </c:pt>
                <c:pt idx="447">
                  <c:v>0.60896953144924182</c:v>
                </c:pt>
                <c:pt idx="448">
                  <c:v>0.59893398079760674</c:v>
                </c:pt>
                <c:pt idx="449">
                  <c:v>0.58880347208023021</c:v>
                </c:pt>
                <c:pt idx="450">
                  <c:v>0.57857961143993286</c:v>
                </c:pt>
                <c:pt idx="451">
                  <c:v>0.56826401982002706</c:v>
                </c:pt>
                <c:pt idx="452">
                  <c:v>0.55785833270732543</c:v>
                </c:pt>
                <c:pt idx="453">
                  <c:v>0.54736419987284213</c:v>
                </c:pt>
                <c:pt idx="454">
                  <c:v>0.53678328511022977</c:v>
                </c:pt>
                <c:pt idx="455">
                  <c:v>0.52611726597199304</c:v>
                </c:pt>
                <c:pt idx="456">
                  <c:v>0.515367833503521</c:v>
                </c:pt>
                <c:pt idx="457">
                  <c:v>0.50453669197497975</c:v>
                </c:pt>
                <c:pt idx="458">
                  <c:v>0.49362555861110979</c:v>
                </c:pt>
                <c:pt idx="459">
                  <c:v>0.48263616331896542</c:v>
                </c:pt>
                <c:pt idx="460">
                  <c:v>0.47157024841365064</c:v>
                </c:pt>
                <c:pt idx="461">
                  <c:v>0.4604295683420806</c:v>
                </c:pt>
                <c:pt idx="462">
                  <c:v>0.44921588940482371</c:v>
                </c:pt>
                <c:pt idx="463">
                  <c:v>0.43793098947606274</c:v>
                </c:pt>
                <c:pt idx="464">
                  <c:v>0.42657665772172199</c:v>
                </c:pt>
                <c:pt idx="465">
                  <c:v>0.41515469431580354</c:v>
                </c:pt>
                <c:pt idx="466">
                  <c:v>0.4036669101549783</c:v>
                </c:pt>
                <c:pt idx="467">
                  <c:v>0.39211512657147751</c:v>
                </c:pt>
                <c:pt idx="468">
                  <c:v>0.3805011750443299</c:v>
                </c:pt>
                <c:pt idx="469">
                  <c:v>0.3688268969089864</c:v>
                </c:pt>
                <c:pt idx="470">
                  <c:v>0.3570941430653905</c:v>
                </c:pt>
                <c:pt idx="471">
                  <c:v>0.34530477368452339</c:v>
                </c:pt>
                <c:pt idx="472">
                  <c:v>0.33346065791348412</c:v>
                </c:pt>
                <c:pt idx="473">
                  <c:v>0.32156367357914528</c:v>
                </c:pt>
                <c:pt idx="474">
                  <c:v>0.30961570689043261</c:v>
                </c:pt>
                <c:pt idx="475">
                  <c:v>0.29761865213927596</c:v>
                </c:pt>
                <c:pt idx="476">
                  <c:v>0.28557441140027823</c:v>
                </c:pt>
                <c:pt idx="477">
                  <c:v>0.27348489422915107</c:v>
                </c:pt>
                <c:pt idx="478">
                  <c:v>0.26135201735996466</c:v>
                </c:pt>
                <c:pt idx="479">
                  <c:v>0.24917770440125575</c:v>
                </c:pt>
                <c:pt idx="480">
                  <c:v>0.23696388553105363</c:v>
                </c:pt>
                <c:pt idx="481">
                  <c:v>0.22471249719085676</c:v>
                </c:pt>
                <c:pt idx="482">
                  <c:v>0.21242548177862</c:v>
                </c:pt>
                <c:pt idx="483">
                  <c:v>0.20010478734079706</c:v>
                </c:pt>
                <c:pt idx="484">
                  <c:v>0.18775236726348704</c:v>
                </c:pt>
                <c:pt idx="485">
                  <c:v>0.17537017996273477</c:v>
                </c:pt>
                <c:pt idx="486">
                  <c:v>0.1629601885740333</c:v>
                </c:pt>
                <c:pt idx="487">
                  <c:v>0.15052436064107844</c:v>
                </c:pt>
                <c:pt idx="488">
                  <c:v>0.1380646678038252</c:v>
                </c:pt>
                <c:pt idx="489">
                  <c:v>0.1255830854858902</c:v>
                </c:pt>
                <c:pt idx="490">
                  <c:v>0.11308159258136333</c:v>
                </c:pt>
                <c:pt idx="491">
                  <c:v>0.1005621711410601</c:v>
                </c:pt>
                <c:pt idx="492">
                  <c:v>8.802680605827809E-2</c:v>
                </c:pt>
                <c:pt idx="493">
                  <c:v>7.5477484754101709E-2</c:v>
                </c:pt>
                <c:pt idx="494">
                  <c:v>6.2916196862306303E-2</c:v>
                </c:pt>
                <c:pt idx="495">
                  <c:v>5.0344933913911434E-2</c:v>
                </c:pt>
                <c:pt idx="496">
                  <c:v>3.776568902143327E-2</c:v>
                </c:pt>
                <c:pt idx="497">
                  <c:v>2.5180456562886366E-2</c:v>
                </c:pt>
                <c:pt idx="498">
                  <c:v>1.2591231865585599E-2</c:v>
                </c:pt>
                <c:pt idx="499">
                  <c:v>1.0889793189807276E-8</c:v>
                </c:pt>
              </c:numCache>
            </c:numRef>
          </c:yVal>
          <c:smooth val="0"/>
          <c:extLst>
            <c:ext xmlns:c16="http://schemas.microsoft.com/office/drawing/2014/chart" uri="{C3380CC4-5D6E-409C-BE32-E72D297353CC}">
              <c16:uniqueId val="{0000002A-CD1F-4D8C-8FD4-787D3F03140D}"/>
            </c:ext>
          </c:extLst>
        </c:ser>
        <c:ser>
          <c:idx val="2"/>
          <c:order val="2"/>
          <c:tx>
            <c:v>MSC knoweledge</c:v>
          </c:tx>
          <c:spPr>
            <a:ln w="19028">
              <a:noFill/>
            </a:ln>
          </c:spPr>
          <c:marker>
            <c:symbol val="circle"/>
            <c:size val="2"/>
            <c:spPr>
              <a:solidFill>
                <a:schemeClr val="bg1"/>
              </a:solidFill>
              <a:ln>
                <a:solidFill>
                  <a:schemeClr val="bg1"/>
                </a:solidFill>
                <a:prstDash val="solid"/>
              </a:ln>
            </c:spPr>
          </c:marker>
          <c:xVal>
            <c:numLit>
              <c:formatCode>General</c:formatCode>
              <c:ptCount val="1"/>
              <c:pt idx="0">
                <c:v>-0.68776968103789404</c:v>
              </c:pt>
            </c:numLit>
          </c:xVal>
          <c:yVal>
            <c:numLit>
              <c:formatCode>General</c:formatCode>
              <c:ptCount val="1"/>
              <c:pt idx="0">
                <c:v>-5.0258051204378198E-3</c:v>
              </c:pt>
            </c:numLit>
          </c:yVal>
          <c:smooth val="0"/>
          <c:extLst>
            <c:ext xmlns:c16="http://schemas.microsoft.com/office/drawing/2014/chart" uri="{C3380CC4-5D6E-409C-BE32-E72D297353CC}">
              <c16:uniqueId val="{0000002B-CD1F-4D8C-8FD4-787D3F03140D}"/>
            </c:ext>
          </c:extLst>
        </c:ser>
        <c:ser>
          <c:idx val="3"/>
          <c:order val="3"/>
          <c:tx>
            <c:v>Mediterraneo</c:v>
          </c:tx>
          <c:spPr>
            <a:ln w="19028">
              <a:noFill/>
            </a:ln>
          </c:spPr>
          <c:marker>
            <c:symbol val="circle"/>
            <c:size val="2"/>
            <c:spPr>
              <a:solidFill>
                <a:schemeClr val="bg1"/>
              </a:solidFill>
              <a:ln>
                <a:solidFill>
                  <a:schemeClr val="bg1"/>
                </a:solidFill>
                <a:prstDash val="solid"/>
              </a:ln>
            </c:spPr>
          </c:marker>
          <c:xVal>
            <c:numLit>
              <c:formatCode>General</c:formatCode>
              <c:ptCount val="1"/>
              <c:pt idx="0">
                <c:v>0.70606684236482098</c:v>
              </c:pt>
            </c:numLit>
          </c:xVal>
          <c:yVal>
            <c:numLit>
              <c:formatCode>General</c:formatCode>
              <c:ptCount val="1"/>
              <c:pt idx="0">
                <c:v>-0.56640993706918497</c:v>
              </c:pt>
            </c:numLit>
          </c:yVal>
          <c:smooth val="0"/>
          <c:extLst>
            <c:ext xmlns:c16="http://schemas.microsoft.com/office/drawing/2014/chart" uri="{C3380CC4-5D6E-409C-BE32-E72D297353CC}">
              <c16:uniqueId val="{0000002C-CD1F-4D8C-8FD4-787D3F03140D}"/>
            </c:ext>
          </c:extLst>
        </c:ser>
        <c:ser>
          <c:idx val="4"/>
          <c:order val="4"/>
          <c:tx>
            <c:v>Traceability</c:v>
          </c:tx>
          <c:spPr>
            <a:ln w="19028">
              <a:noFill/>
            </a:ln>
          </c:spPr>
          <c:marker>
            <c:symbol val="circle"/>
            <c:size val="2"/>
            <c:spPr>
              <a:solidFill>
                <a:schemeClr val="bg1"/>
              </a:solidFill>
              <a:ln>
                <a:solidFill>
                  <a:schemeClr val="bg1"/>
                </a:solidFill>
                <a:prstDash val="solid"/>
              </a:ln>
            </c:spPr>
          </c:marker>
          <c:xVal>
            <c:numLit>
              <c:formatCode>General</c:formatCode>
              <c:ptCount val="1"/>
              <c:pt idx="0">
                <c:v>0.40556840793548798</c:v>
              </c:pt>
            </c:numLit>
          </c:xVal>
          <c:yVal>
            <c:numLit>
              <c:formatCode>General</c:formatCode>
              <c:ptCount val="1"/>
              <c:pt idx="0">
                <c:v>-0.84522448812324302</c:v>
              </c:pt>
            </c:numLit>
          </c:yVal>
          <c:smooth val="0"/>
          <c:extLst>
            <c:ext xmlns:c16="http://schemas.microsoft.com/office/drawing/2014/chart" uri="{C3380CC4-5D6E-409C-BE32-E72D297353CC}">
              <c16:uniqueId val="{0000002D-CD1F-4D8C-8FD4-787D3F03140D}"/>
            </c:ext>
          </c:extLst>
        </c:ser>
        <c:ser>
          <c:idx val="5"/>
          <c:order val="5"/>
          <c:tx>
            <c:v>Fish liking</c:v>
          </c:tx>
          <c:spPr>
            <a:ln w="19028">
              <a:noFill/>
            </a:ln>
          </c:spPr>
          <c:marker>
            <c:symbol val="circle"/>
            <c:size val="2"/>
            <c:spPr>
              <a:solidFill>
                <a:schemeClr val="bg1"/>
              </a:solidFill>
              <a:ln>
                <a:solidFill>
                  <a:schemeClr val="bg1"/>
                </a:solidFill>
                <a:prstDash val="solid"/>
              </a:ln>
            </c:spPr>
          </c:marker>
          <c:xVal>
            <c:numLit>
              <c:formatCode>General</c:formatCode>
              <c:ptCount val="1"/>
              <c:pt idx="0">
                <c:v>0.55995783728536097</c:v>
              </c:pt>
            </c:numLit>
          </c:xVal>
          <c:yVal>
            <c:numLit>
              <c:formatCode>General</c:formatCode>
              <c:ptCount val="1"/>
              <c:pt idx="0">
                <c:v>-0.48922883225707597</c:v>
              </c:pt>
            </c:numLit>
          </c:yVal>
          <c:smooth val="0"/>
          <c:extLst>
            <c:ext xmlns:c16="http://schemas.microsoft.com/office/drawing/2014/chart" uri="{C3380CC4-5D6E-409C-BE32-E72D297353CC}">
              <c16:uniqueId val="{0000002E-CD1F-4D8C-8FD4-787D3F03140D}"/>
            </c:ext>
          </c:extLst>
        </c:ser>
        <c:ser>
          <c:idx val="6"/>
          <c:order val="6"/>
          <c:tx>
            <c:v>Consumption frequency</c:v>
          </c:tx>
          <c:spPr>
            <a:ln w="19028">
              <a:noFill/>
            </a:ln>
          </c:spPr>
          <c:marker>
            <c:symbol val="circle"/>
            <c:size val="2"/>
            <c:spPr>
              <a:solidFill>
                <a:schemeClr val="bg1"/>
              </a:solidFill>
              <a:ln>
                <a:solidFill>
                  <a:schemeClr val="bg1"/>
                </a:solidFill>
                <a:prstDash val="solid"/>
              </a:ln>
            </c:spPr>
          </c:marker>
          <c:xVal>
            <c:numLit>
              <c:formatCode>General</c:formatCode>
              <c:ptCount val="1"/>
              <c:pt idx="0">
                <c:v>0.613111608294448</c:v>
              </c:pt>
            </c:numLit>
          </c:xVal>
          <c:yVal>
            <c:numLit>
              <c:formatCode>General</c:formatCode>
              <c:ptCount val="1"/>
              <c:pt idx="0">
                <c:v>0.58435414064937896</c:v>
              </c:pt>
            </c:numLit>
          </c:yVal>
          <c:smooth val="0"/>
          <c:extLst>
            <c:ext xmlns:c16="http://schemas.microsoft.com/office/drawing/2014/chart" uri="{C3380CC4-5D6E-409C-BE32-E72D297353CC}">
              <c16:uniqueId val="{0000002F-CD1F-4D8C-8FD4-787D3F03140D}"/>
            </c:ext>
          </c:extLst>
        </c:ser>
        <c:ser>
          <c:idx val="7"/>
          <c:order val="7"/>
          <c:tx>
            <c:v>Fam_fresh fish</c:v>
          </c:tx>
          <c:spPr>
            <a:ln w="19028">
              <a:noFill/>
            </a:ln>
          </c:spPr>
          <c:marker>
            <c:symbol val="circle"/>
            <c:size val="2"/>
            <c:spPr>
              <a:solidFill>
                <a:schemeClr val="bg1"/>
              </a:solidFill>
              <a:ln>
                <a:solidFill>
                  <a:schemeClr val="bg1"/>
                </a:solidFill>
                <a:prstDash val="solid"/>
              </a:ln>
            </c:spPr>
          </c:marker>
          <c:xVal>
            <c:numLit>
              <c:formatCode>General</c:formatCode>
              <c:ptCount val="1"/>
              <c:pt idx="0">
                <c:v>0.79895763434212397</c:v>
              </c:pt>
            </c:numLit>
          </c:xVal>
          <c:yVal>
            <c:numLit>
              <c:formatCode>General</c:formatCode>
              <c:ptCount val="1"/>
              <c:pt idx="0">
                <c:v>0.31411850475759201</c:v>
              </c:pt>
            </c:numLit>
          </c:yVal>
          <c:smooth val="0"/>
          <c:extLst>
            <c:ext xmlns:c16="http://schemas.microsoft.com/office/drawing/2014/chart" uri="{C3380CC4-5D6E-409C-BE32-E72D297353CC}">
              <c16:uniqueId val="{00000030-CD1F-4D8C-8FD4-787D3F03140D}"/>
            </c:ext>
          </c:extLst>
        </c:ser>
        <c:ser>
          <c:idx val="8"/>
          <c:order val="8"/>
          <c:tx>
            <c:v>Fam_frozen fish</c:v>
          </c:tx>
          <c:spPr>
            <a:ln w="19028">
              <a:noFill/>
            </a:ln>
          </c:spPr>
          <c:marker>
            <c:symbol val="circle"/>
            <c:size val="2"/>
            <c:spPr>
              <a:solidFill>
                <a:schemeClr val="bg1"/>
              </a:solidFill>
              <a:ln>
                <a:solidFill>
                  <a:schemeClr val="bg1"/>
                </a:solidFill>
                <a:prstDash val="solid"/>
              </a:ln>
            </c:spPr>
          </c:marker>
          <c:xVal>
            <c:numLit>
              <c:formatCode>General</c:formatCode>
              <c:ptCount val="1"/>
              <c:pt idx="0">
                <c:v>0.37830263084196702</c:v>
              </c:pt>
            </c:numLit>
          </c:xVal>
          <c:yVal>
            <c:numLit>
              <c:formatCode>General</c:formatCode>
              <c:ptCount val="1"/>
              <c:pt idx="0">
                <c:v>-0.437438164478896</c:v>
              </c:pt>
            </c:numLit>
          </c:yVal>
          <c:smooth val="0"/>
          <c:extLst>
            <c:ext xmlns:c16="http://schemas.microsoft.com/office/drawing/2014/chart" uri="{C3380CC4-5D6E-409C-BE32-E72D297353CC}">
              <c16:uniqueId val="{00000031-CD1F-4D8C-8FD4-787D3F03140D}"/>
            </c:ext>
          </c:extLst>
        </c:ser>
        <c:ser>
          <c:idx val="9"/>
          <c:order val="9"/>
          <c:tx>
            <c:v>Fam_Canned fish</c:v>
          </c:tx>
          <c:spPr>
            <a:ln w="19028">
              <a:noFill/>
            </a:ln>
          </c:spPr>
          <c:marker>
            <c:symbol val="circle"/>
            <c:size val="2"/>
            <c:spPr>
              <a:solidFill>
                <a:schemeClr val="bg1"/>
              </a:solidFill>
              <a:ln>
                <a:solidFill>
                  <a:schemeClr val="bg1"/>
                </a:solidFill>
                <a:prstDash val="solid"/>
              </a:ln>
            </c:spPr>
          </c:marker>
          <c:xVal>
            <c:numLit>
              <c:formatCode>General</c:formatCode>
              <c:ptCount val="1"/>
              <c:pt idx="0">
                <c:v>0.78942525244860995</c:v>
              </c:pt>
            </c:numLit>
          </c:xVal>
          <c:yVal>
            <c:numLit>
              <c:formatCode>General</c:formatCode>
              <c:ptCount val="1"/>
              <c:pt idx="0">
                <c:v>-0.10271765089420699</c:v>
              </c:pt>
            </c:numLit>
          </c:yVal>
          <c:smooth val="0"/>
          <c:extLst>
            <c:ext xmlns:c16="http://schemas.microsoft.com/office/drawing/2014/chart" uri="{C3380CC4-5D6E-409C-BE32-E72D297353CC}">
              <c16:uniqueId val="{00000032-CD1F-4D8C-8FD4-787D3F03140D}"/>
            </c:ext>
          </c:extLst>
        </c:ser>
        <c:ser>
          <c:idx val="10"/>
          <c:order val="10"/>
          <c:tx>
            <c:v>Fam_processed fish</c:v>
          </c:tx>
          <c:spPr>
            <a:ln w="19028">
              <a:noFill/>
            </a:ln>
          </c:spPr>
          <c:marker>
            <c:symbol val="circle"/>
            <c:size val="2"/>
            <c:spPr>
              <a:solidFill>
                <a:schemeClr val="bg1"/>
              </a:solidFill>
              <a:ln>
                <a:solidFill>
                  <a:schemeClr val="bg1"/>
                </a:solidFill>
                <a:prstDash val="solid"/>
              </a:ln>
            </c:spPr>
          </c:marker>
          <c:xVal>
            <c:numLit>
              <c:formatCode>General</c:formatCode>
              <c:ptCount val="1"/>
              <c:pt idx="0">
                <c:v>-0.56287950322452796</c:v>
              </c:pt>
            </c:numLit>
          </c:xVal>
          <c:yVal>
            <c:numLit>
              <c:formatCode>General</c:formatCode>
              <c:ptCount val="1"/>
              <c:pt idx="0">
                <c:v>-0.79521521242352899</c:v>
              </c:pt>
            </c:numLit>
          </c:yVal>
          <c:smooth val="0"/>
          <c:extLst>
            <c:ext xmlns:c16="http://schemas.microsoft.com/office/drawing/2014/chart" uri="{C3380CC4-5D6E-409C-BE32-E72D297353CC}">
              <c16:uniqueId val="{00000033-CD1F-4D8C-8FD4-787D3F03140D}"/>
            </c:ext>
          </c:extLst>
        </c:ser>
        <c:ser>
          <c:idx val="11"/>
          <c:order val="11"/>
          <c:tx>
            <c:v>Place_Fish market</c:v>
          </c:tx>
          <c:spPr>
            <a:ln w="19028">
              <a:noFill/>
            </a:ln>
          </c:spPr>
          <c:marker>
            <c:symbol val="circle"/>
            <c:size val="2"/>
            <c:spPr>
              <a:solidFill>
                <a:schemeClr val="bg1"/>
              </a:solidFill>
              <a:ln>
                <a:solidFill>
                  <a:schemeClr val="bg1"/>
                </a:solidFill>
                <a:prstDash val="solid"/>
              </a:ln>
            </c:spPr>
          </c:marker>
          <c:xVal>
            <c:numLit>
              <c:formatCode>General</c:formatCode>
              <c:ptCount val="1"/>
              <c:pt idx="0">
                <c:v>-0.30968528863251799</c:v>
              </c:pt>
            </c:numLit>
          </c:xVal>
          <c:yVal>
            <c:numLit>
              <c:formatCode>General</c:formatCode>
              <c:ptCount val="1"/>
              <c:pt idx="0">
                <c:v>0.19528083892699999</c:v>
              </c:pt>
            </c:numLit>
          </c:yVal>
          <c:smooth val="0"/>
          <c:extLst>
            <c:ext xmlns:c16="http://schemas.microsoft.com/office/drawing/2014/chart" uri="{C3380CC4-5D6E-409C-BE32-E72D297353CC}">
              <c16:uniqueId val="{00000034-CD1F-4D8C-8FD4-787D3F03140D}"/>
            </c:ext>
          </c:extLst>
        </c:ser>
        <c:ser>
          <c:idx val="12"/>
          <c:order val="12"/>
          <c:tx>
            <c:v>Place_Fish wholesale</c:v>
          </c:tx>
          <c:spPr>
            <a:ln w="19028">
              <a:noFill/>
            </a:ln>
          </c:spPr>
          <c:marker>
            <c:symbol val="circle"/>
            <c:size val="2"/>
            <c:spPr>
              <a:solidFill>
                <a:schemeClr val="bg1"/>
              </a:solidFill>
              <a:ln>
                <a:solidFill>
                  <a:schemeClr val="bg1"/>
                </a:solidFill>
                <a:prstDash val="solid"/>
              </a:ln>
            </c:spPr>
          </c:marker>
          <c:xVal>
            <c:numLit>
              <c:formatCode>General</c:formatCode>
              <c:ptCount val="1"/>
              <c:pt idx="0">
                <c:v>-0.95571267886080602</c:v>
              </c:pt>
            </c:numLit>
          </c:xVal>
          <c:yVal>
            <c:numLit>
              <c:formatCode>General</c:formatCode>
              <c:ptCount val="1"/>
              <c:pt idx="0">
                <c:v>-2.4632875575762301E-2</c:v>
              </c:pt>
            </c:numLit>
          </c:yVal>
          <c:smooth val="0"/>
          <c:extLst>
            <c:ext xmlns:c16="http://schemas.microsoft.com/office/drawing/2014/chart" uri="{C3380CC4-5D6E-409C-BE32-E72D297353CC}">
              <c16:uniqueId val="{00000035-CD1F-4D8C-8FD4-787D3F03140D}"/>
            </c:ext>
          </c:extLst>
        </c:ser>
        <c:ser>
          <c:idx val="13"/>
          <c:order val="13"/>
          <c:tx>
            <c:v>Place_Supermarket</c:v>
          </c:tx>
          <c:spPr>
            <a:ln w="19028">
              <a:noFill/>
            </a:ln>
          </c:spPr>
          <c:marker>
            <c:symbol val="circle"/>
            <c:size val="2"/>
            <c:spPr>
              <a:solidFill>
                <a:sysClr val="window" lastClr="FFFFFF"/>
              </a:solidFill>
              <a:ln>
                <a:solidFill>
                  <a:sysClr val="window" lastClr="FFFFFF"/>
                </a:solidFill>
                <a:prstDash val="solid"/>
              </a:ln>
            </c:spPr>
          </c:marker>
          <c:xVal>
            <c:numLit>
              <c:formatCode>General</c:formatCode>
              <c:ptCount val="1"/>
              <c:pt idx="0">
                <c:v>0.43744689159690597</c:v>
              </c:pt>
            </c:numLit>
          </c:xVal>
          <c:yVal>
            <c:numLit>
              <c:formatCode>General</c:formatCode>
              <c:ptCount val="1"/>
              <c:pt idx="0">
                <c:v>-1.54017622831515E-2</c:v>
              </c:pt>
            </c:numLit>
          </c:yVal>
          <c:smooth val="0"/>
          <c:extLst>
            <c:ext xmlns:c16="http://schemas.microsoft.com/office/drawing/2014/chart" uri="{C3380CC4-5D6E-409C-BE32-E72D297353CC}">
              <c16:uniqueId val="{00000036-CD1F-4D8C-8FD4-787D3F03140D}"/>
            </c:ext>
          </c:extLst>
        </c:ser>
        <c:ser>
          <c:idx val="14"/>
          <c:order val="14"/>
          <c:tx>
            <c:v>Place_Street market</c:v>
          </c:tx>
          <c:spPr>
            <a:ln w="19028">
              <a:noFill/>
            </a:ln>
          </c:spPr>
          <c:marker>
            <c:symbol val="circle"/>
            <c:size val="2"/>
            <c:spPr>
              <a:solidFill>
                <a:schemeClr val="bg1"/>
              </a:solidFill>
              <a:ln>
                <a:solidFill>
                  <a:schemeClr val="bg1"/>
                </a:solidFill>
                <a:prstDash val="solid"/>
              </a:ln>
            </c:spPr>
          </c:marker>
          <c:xVal>
            <c:numLit>
              <c:formatCode>General</c:formatCode>
              <c:ptCount val="1"/>
              <c:pt idx="0">
                <c:v>0.107061629734058</c:v>
              </c:pt>
            </c:numLit>
          </c:xVal>
          <c:yVal>
            <c:numLit>
              <c:formatCode>General</c:formatCode>
              <c:ptCount val="1"/>
              <c:pt idx="0">
                <c:v>0.899520107098295</c:v>
              </c:pt>
            </c:numLit>
          </c:yVal>
          <c:smooth val="0"/>
          <c:extLst>
            <c:ext xmlns:c16="http://schemas.microsoft.com/office/drawing/2014/chart" uri="{C3380CC4-5D6E-409C-BE32-E72D297353CC}">
              <c16:uniqueId val="{00000037-CD1F-4D8C-8FD4-787D3F03140D}"/>
            </c:ext>
          </c:extLst>
        </c:ser>
        <c:ser>
          <c:idx val="15"/>
          <c:order val="15"/>
          <c:tx>
            <c:v>Place_Peddler</c:v>
          </c:tx>
          <c:spPr>
            <a:ln w="19028">
              <a:noFill/>
            </a:ln>
          </c:spPr>
          <c:marker>
            <c:symbol val="circle"/>
            <c:size val="2"/>
            <c:spPr>
              <a:solidFill>
                <a:schemeClr val="bg1"/>
              </a:solidFill>
              <a:ln>
                <a:solidFill>
                  <a:schemeClr val="bg1"/>
                </a:solidFill>
                <a:prstDash val="solid"/>
              </a:ln>
            </c:spPr>
          </c:marker>
          <c:xVal>
            <c:numLit>
              <c:formatCode>General</c:formatCode>
              <c:ptCount val="1"/>
              <c:pt idx="0">
                <c:v>-0.79620474501600103</c:v>
              </c:pt>
            </c:numLit>
          </c:xVal>
          <c:yVal>
            <c:numLit>
              <c:formatCode>General</c:formatCode>
              <c:ptCount val="1"/>
              <c:pt idx="0">
                <c:v>-0.55445225181844404</c:v>
              </c:pt>
            </c:numLit>
          </c:yVal>
          <c:smooth val="0"/>
          <c:extLst>
            <c:ext xmlns:c16="http://schemas.microsoft.com/office/drawing/2014/chart" uri="{C3380CC4-5D6E-409C-BE32-E72D297353CC}">
              <c16:uniqueId val="{00000038-CD1F-4D8C-8FD4-787D3F03140D}"/>
            </c:ext>
          </c:extLst>
        </c:ser>
        <c:ser>
          <c:idx val="16"/>
          <c:order val="16"/>
          <c:tx>
            <c:v>Bar_Pice</c:v>
          </c:tx>
          <c:spPr>
            <a:ln w="19028">
              <a:noFill/>
            </a:ln>
          </c:spPr>
          <c:marker>
            <c:symbol val="circle"/>
            <c:size val="2"/>
            <c:spPr>
              <a:solidFill>
                <a:schemeClr val="bg1"/>
              </a:solidFill>
              <a:ln>
                <a:solidFill>
                  <a:schemeClr val="bg1"/>
                </a:solidFill>
                <a:prstDash val="solid"/>
              </a:ln>
            </c:spPr>
          </c:marker>
          <c:xVal>
            <c:numLit>
              <c:formatCode>General</c:formatCode>
              <c:ptCount val="1"/>
              <c:pt idx="0">
                <c:v>0.64359570546037903</c:v>
              </c:pt>
            </c:numLit>
          </c:xVal>
          <c:yVal>
            <c:numLit>
              <c:formatCode>General</c:formatCode>
              <c:ptCount val="1"/>
              <c:pt idx="0">
                <c:v>-0.49597466224452202</c:v>
              </c:pt>
            </c:numLit>
          </c:yVal>
          <c:smooth val="0"/>
          <c:extLst>
            <c:ext xmlns:c16="http://schemas.microsoft.com/office/drawing/2014/chart" uri="{C3380CC4-5D6E-409C-BE32-E72D297353CC}">
              <c16:uniqueId val="{00000039-CD1F-4D8C-8FD4-787D3F03140D}"/>
            </c:ext>
          </c:extLst>
        </c:ser>
        <c:ser>
          <c:idx val="17"/>
          <c:order val="17"/>
          <c:tx>
            <c:v>Bar_timing</c:v>
          </c:tx>
          <c:spPr>
            <a:ln w="19028">
              <a:noFill/>
            </a:ln>
          </c:spPr>
          <c:marker>
            <c:symbol val="circle"/>
            <c:size val="2"/>
            <c:spPr>
              <a:solidFill>
                <a:schemeClr val="bg1"/>
              </a:solidFill>
              <a:ln>
                <a:solidFill>
                  <a:schemeClr val="bg1"/>
                </a:solidFill>
                <a:prstDash val="solid"/>
              </a:ln>
            </c:spPr>
          </c:marker>
          <c:xVal>
            <c:numLit>
              <c:formatCode>General</c:formatCode>
              <c:ptCount val="1"/>
              <c:pt idx="0">
                <c:v>-0.56264838147086904</c:v>
              </c:pt>
            </c:numLit>
          </c:xVal>
          <c:yVal>
            <c:numLit>
              <c:formatCode>General</c:formatCode>
              <c:ptCount val="1"/>
              <c:pt idx="0">
                <c:v>-0.71497715635701797</c:v>
              </c:pt>
            </c:numLit>
          </c:yVal>
          <c:smooth val="0"/>
          <c:extLst>
            <c:ext xmlns:c16="http://schemas.microsoft.com/office/drawing/2014/chart" uri="{C3380CC4-5D6E-409C-BE32-E72D297353CC}">
              <c16:uniqueId val="{0000003A-CD1F-4D8C-8FD4-787D3F03140D}"/>
            </c:ext>
          </c:extLst>
        </c:ser>
        <c:ser>
          <c:idx val="18"/>
          <c:order val="18"/>
          <c:tx>
            <c:v>Bar_inadequacy</c:v>
          </c:tx>
          <c:spPr>
            <a:ln w="19028">
              <a:noFill/>
            </a:ln>
          </c:spPr>
          <c:marker>
            <c:symbol val="circle"/>
            <c:size val="2"/>
            <c:spPr>
              <a:solidFill>
                <a:schemeClr val="bg1"/>
              </a:solidFill>
              <a:ln>
                <a:solidFill>
                  <a:schemeClr val="bg1"/>
                </a:solidFill>
                <a:prstDash val="solid"/>
              </a:ln>
            </c:spPr>
          </c:marker>
          <c:xVal>
            <c:numLit>
              <c:formatCode>General</c:formatCode>
              <c:ptCount val="1"/>
              <c:pt idx="0">
                <c:v>-0.66619128246796999</c:v>
              </c:pt>
            </c:numLit>
          </c:xVal>
          <c:yVal>
            <c:numLit>
              <c:formatCode>General</c:formatCode>
              <c:ptCount val="1"/>
              <c:pt idx="0">
                <c:v>-0.46228809166720602</c:v>
              </c:pt>
            </c:numLit>
          </c:yVal>
          <c:smooth val="0"/>
          <c:extLst>
            <c:ext xmlns:c16="http://schemas.microsoft.com/office/drawing/2014/chart" uri="{C3380CC4-5D6E-409C-BE32-E72D297353CC}">
              <c16:uniqueId val="{0000003B-CD1F-4D8C-8FD4-787D3F03140D}"/>
            </c:ext>
          </c:extLst>
        </c:ser>
        <c:ser>
          <c:idx val="19"/>
          <c:order val="19"/>
          <c:tx>
            <c:v>Bar_shelf life</c:v>
          </c:tx>
          <c:spPr>
            <a:ln w="19028">
              <a:noFill/>
            </a:ln>
          </c:spPr>
          <c:marker>
            <c:symbol val="circle"/>
            <c:size val="2"/>
            <c:spPr>
              <a:solidFill>
                <a:schemeClr val="bg1"/>
              </a:solidFill>
              <a:ln>
                <a:solidFill>
                  <a:schemeClr val="bg1"/>
                </a:solidFill>
                <a:prstDash val="solid"/>
              </a:ln>
            </c:spPr>
          </c:marker>
          <c:xVal>
            <c:numLit>
              <c:formatCode>General</c:formatCode>
              <c:ptCount val="1"/>
              <c:pt idx="0">
                <c:v>0.12794899505447699</c:v>
              </c:pt>
            </c:numLit>
          </c:xVal>
          <c:yVal>
            <c:numLit>
              <c:formatCode>General</c:formatCode>
              <c:ptCount val="1"/>
              <c:pt idx="0">
                <c:v>-0.55667526801803702</c:v>
              </c:pt>
            </c:numLit>
          </c:yVal>
          <c:smooth val="0"/>
          <c:extLst>
            <c:ext xmlns:c16="http://schemas.microsoft.com/office/drawing/2014/chart" uri="{C3380CC4-5D6E-409C-BE32-E72D297353CC}">
              <c16:uniqueId val="{0000003C-CD1F-4D8C-8FD4-787D3F03140D}"/>
            </c:ext>
          </c:extLst>
        </c:ser>
        <c:ser>
          <c:idx val="20"/>
          <c:order val="20"/>
          <c:tx>
            <c:v>Bar_Unliking</c:v>
          </c:tx>
          <c:spPr>
            <a:ln w="19028">
              <a:noFill/>
            </a:ln>
          </c:spPr>
          <c:marker>
            <c:symbol val="circle"/>
            <c:size val="2"/>
            <c:spPr>
              <a:solidFill>
                <a:schemeClr val="bg1"/>
              </a:solidFill>
              <a:ln>
                <a:solidFill>
                  <a:schemeClr val="bg1"/>
                </a:solidFill>
                <a:prstDash val="solid"/>
              </a:ln>
            </c:spPr>
          </c:marker>
          <c:xVal>
            <c:numLit>
              <c:formatCode>General</c:formatCode>
              <c:ptCount val="1"/>
              <c:pt idx="0">
                <c:v>-0.61791903519731295</c:v>
              </c:pt>
            </c:numLit>
          </c:xVal>
          <c:yVal>
            <c:numLit>
              <c:formatCode>General</c:formatCode>
              <c:ptCount val="1"/>
              <c:pt idx="0">
                <c:v>-5.0075535657291503E-2</c:v>
              </c:pt>
            </c:numLit>
          </c:yVal>
          <c:smooth val="0"/>
          <c:extLst>
            <c:ext xmlns:c16="http://schemas.microsoft.com/office/drawing/2014/chart" uri="{C3380CC4-5D6E-409C-BE32-E72D297353CC}">
              <c16:uniqueId val="{0000003D-CD1F-4D8C-8FD4-787D3F03140D}"/>
            </c:ext>
          </c:extLst>
        </c:ser>
        <c:ser>
          <c:idx val="21"/>
          <c:order val="21"/>
          <c:tx>
            <c:v>FCQ_Health</c:v>
          </c:tx>
          <c:spPr>
            <a:ln w="19028">
              <a:noFill/>
            </a:ln>
          </c:spPr>
          <c:marker>
            <c:symbol val="circle"/>
            <c:size val="2"/>
            <c:spPr>
              <a:solidFill>
                <a:schemeClr val="bg1"/>
              </a:solidFill>
              <a:ln>
                <a:solidFill>
                  <a:schemeClr val="bg1"/>
                </a:solidFill>
                <a:prstDash val="solid"/>
              </a:ln>
            </c:spPr>
          </c:marker>
          <c:xVal>
            <c:numLit>
              <c:formatCode>General</c:formatCode>
              <c:ptCount val="1"/>
              <c:pt idx="0">
                <c:v>0.94747926090985302</c:v>
              </c:pt>
            </c:numLit>
          </c:xVal>
          <c:yVal>
            <c:numLit>
              <c:formatCode>General</c:formatCode>
              <c:ptCount val="1"/>
              <c:pt idx="0">
                <c:v>8.7563287288295003E-2</c:v>
              </c:pt>
            </c:numLit>
          </c:yVal>
          <c:smooth val="0"/>
          <c:extLst>
            <c:ext xmlns:c16="http://schemas.microsoft.com/office/drawing/2014/chart" uri="{C3380CC4-5D6E-409C-BE32-E72D297353CC}">
              <c16:uniqueId val="{0000003E-CD1F-4D8C-8FD4-787D3F03140D}"/>
            </c:ext>
          </c:extLst>
        </c:ser>
        <c:ser>
          <c:idx val="22"/>
          <c:order val="22"/>
          <c:tx>
            <c:v>FCQ_Stress&amp;Mood</c:v>
          </c:tx>
          <c:spPr>
            <a:ln w="19028">
              <a:noFill/>
            </a:ln>
          </c:spPr>
          <c:marker>
            <c:symbol val="circle"/>
            <c:size val="2"/>
            <c:spPr>
              <a:solidFill>
                <a:schemeClr val="bg1"/>
              </a:solidFill>
              <a:ln>
                <a:solidFill>
                  <a:schemeClr val="bg1"/>
                </a:solidFill>
                <a:prstDash val="solid"/>
              </a:ln>
            </c:spPr>
          </c:marker>
          <c:xVal>
            <c:numLit>
              <c:formatCode>General</c:formatCode>
              <c:ptCount val="1"/>
              <c:pt idx="0">
                <c:v>0.63056312942031501</c:v>
              </c:pt>
            </c:numLit>
          </c:xVal>
          <c:yVal>
            <c:numLit>
              <c:formatCode>General</c:formatCode>
              <c:ptCount val="1"/>
              <c:pt idx="0">
                <c:v>-0.53000285941788505</c:v>
              </c:pt>
            </c:numLit>
          </c:yVal>
          <c:smooth val="0"/>
          <c:extLst>
            <c:ext xmlns:c16="http://schemas.microsoft.com/office/drawing/2014/chart" uri="{C3380CC4-5D6E-409C-BE32-E72D297353CC}">
              <c16:uniqueId val="{0000003F-CD1F-4D8C-8FD4-787D3F03140D}"/>
            </c:ext>
          </c:extLst>
        </c:ser>
        <c:ser>
          <c:idx val="23"/>
          <c:order val="23"/>
          <c:tx>
            <c:v>FCQ_Convenience </c:v>
          </c:tx>
          <c:spPr>
            <a:ln w="19028">
              <a:noFill/>
            </a:ln>
          </c:spPr>
          <c:marker>
            <c:symbol val="circle"/>
            <c:size val="2"/>
            <c:spPr>
              <a:solidFill>
                <a:sysClr val="window" lastClr="FFFFFF"/>
              </a:solidFill>
              <a:ln>
                <a:solidFill>
                  <a:sysClr val="window" lastClr="FFFFFF"/>
                </a:solidFill>
                <a:prstDash val="solid"/>
              </a:ln>
            </c:spPr>
          </c:marker>
          <c:xVal>
            <c:numLit>
              <c:formatCode>General</c:formatCode>
              <c:ptCount val="1"/>
              <c:pt idx="0">
                <c:v>0.92400730981443602</c:v>
              </c:pt>
            </c:numLit>
          </c:xVal>
          <c:yVal>
            <c:numLit>
              <c:formatCode>General</c:formatCode>
              <c:ptCount val="1"/>
              <c:pt idx="0">
                <c:v>-2.9498384942171899E-2</c:v>
              </c:pt>
            </c:numLit>
          </c:yVal>
          <c:smooth val="0"/>
          <c:extLst>
            <c:ext xmlns:c16="http://schemas.microsoft.com/office/drawing/2014/chart" uri="{C3380CC4-5D6E-409C-BE32-E72D297353CC}">
              <c16:uniqueId val="{00000040-CD1F-4D8C-8FD4-787D3F03140D}"/>
            </c:ext>
          </c:extLst>
        </c:ser>
        <c:ser>
          <c:idx val="24"/>
          <c:order val="24"/>
          <c:tx>
            <c:v>FCQ_Sensory appeal</c:v>
          </c:tx>
          <c:spPr>
            <a:ln w="19028">
              <a:noFill/>
            </a:ln>
          </c:spPr>
          <c:marker>
            <c:symbol val="circle"/>
            <c:size val="2"/>
            <c:spPr>
              <a:solidFill>
                <a:schemeClr val="bg1"/>
              </a:solidFill>
              <a:ln>
                <a:solidFill>
                  <a:schemeClr val="bg1"/>
                </a:solidFill>
                <a:prstDash val="solid"/>
              </a:ln>
            </c:spPr>
          </c:marker>
          <c:xVal>
            <c:numLit>
              <c:formatCode>General</c:formatCode>
              <c:ptCount val="1"/>
              <c:pt idx="0">
                <c:v>0.90625232155858304</c:v>
              </c:pt>
            </c:numLit>
          </c:xVal>
          <c:yVal>
            <c:numLit>
              <c:formatCode>General</c:formatCode>
              <c:ptCount val="1"/>
              <c:pt idx="0">
                <c:v>-0.34476195249804997</c:v>
              </c:pt>
            </c:numLit>
          </c:yVal>
          <c:smooth val="0"/>
          <c:extLst>
            <c:ext xmlns:c16="http://schemas.microsoft.com/office/drawing/2014/chart" uri="{C3380CC4-5D6E-409C-BE32-E72D297353CC}">
              <c16:uniqueId val="{00000041-CD1F-4D8C-8FD4-787D3F03140D}"/>
            </c:ext>
          </c:extLst>
        </c:ser>
        <c:ser>
          <c:idx val="25"/>
          <c:order val="25"/>
          <c:tx>
            <c:v>FCQ_Natural content</c:v>
          </c:tx>
          <c:spPr>
            <a:ln w="19028">
              <a:noFill/>
            </a:ln>
          </c:spPr>
          <c:marker>
            <c:symbol val="circle"/>
            <c:size val="2"/>
            <c:spPr>
              <a:solidFill>
                <a:schemeClr val="bg1"/>
              </a:solidFill>
              <a:ln>
                <a:solidFill>
                  <a:schemeClr val="bg1"/>
                </a:solidFill>
                <a:prstDash val="solid"/>
              </a:ln>
            </c:spPr>
          </c:marker>
          <c:xVal>
            <c:numLit>
              <c:formatCode>General</c:formatCode>
              <c:ptCount val="1"/>
              <c:pt idx="0">
                <c:v>0.90543782806092599</c:v>
              </c:pt>
            </c:numLit>
          </c:xVal>
          <c:yVal>
            <c:numLit>
              <c:formatCode>General</c:formatCode>
              <c:ptCount val="1"/>
              <c:pt idx="0">
                <c:v>-0.29963755212598198</c:v>
              </c:pt>
            </c:numLit>
          </c:yVal>
          <c:smooth val="0"/>
          <c:extLst>
            <c:ext xmlns:c16="http://schemas.microsoft.com/office/drawing/2014/chart" uri="{C3380CC4-5D6E-409C-BE32-E72D297353CC}">
              <c16:uniqueId val="{00000042-CD1F-4D8C-8FD4-787D3F03140D}"/>
            </c:ext>
          </c:extLst>
        </c:ser>
        <c:ser>
          <c:idx val="26"/>
          <c:order val="26"/>
          <c:tx>
            <c:v>FCQ_Price</c:v>
          </c:tx>
          <c:spPr>
            <a:ln w="19028">
              <a:noFill/>
            </a:ln>
          </c:spPr>
          <c:marker>
            <c:symbol val="circle"/>
            <c:size val="2"/>
            <c:spPr>
              <a:solidFill>
                <a:schemeClr val="bg1"/>
              </a:solidFill>
              <a:ln>
                <a:solidFill>
                  <a:schemeClr val="bg1"/>
                </a:solidFill>
                <a:prstDash val="solid"/>
              </a:ln>
            </c:spPr>
          </c:marker>
          <c:xVal>
            <c:numLit>
              <c:formatCode>General</c:formatCode>
              <c:ptCount val="1"/>
              <c:pt idx="0">
                <c:v>0.84626821899998195</c:v>
              </c:pt>
            </c:numLit>
          </c:xVal>
          <c:yVal>
            <c:numLit>
              <c:formatCode>General</c:formatCode>
              <c:ptCount val="1"/>
              <c:pt idx="0">
                <c:v>0.28260036357298901</c:v>
              </c:pt>
            </c:numLit>
          </c:yVal>
          <c:smooth val="0"/>
          <c:extLst>
            <c:ext xmlns:c16="http://schemas.microsoft.com/office/drawing/2014/chart" uri="{C3380CC4-5D6E-409C-BE32-E72D297353CC}">
              <c16:uniqueId val="{00000043-CD1F-4D8C-8FD4-787D3F03140D}"/>
            </c:ext>
          </c:extLst>
        </c:ser>
        <c:ser>
          <c:idx val="27"/>
          <c:order val="27"/>
          <c:tx>
            <c:v>FCQ_Body weight control</c:v>
          </c:tx>
          <c:spPr>
            <a:ln w="19028">
              <a:noFill/>
            </a:ln>
          </c:spPr>
          <c:marker>
            <c:symbol val="circle"/>
            <c:size val="2"/>
            <c:spPr>
              <a:solidFill>
                <a:srgbClr val="DDDDDD"/>
              </a:solidFill>
              <a:ln>
                <a:solidFill>
                  <a:srgbClr val="DDDDDD"/>
                </a:solidFill>
                <a:prstDash val="solid"/>
              </a:ln>
            </c:spPr>
          </c:marker>
          <c:xVal>
            <c:numLit>
              <c:formatCode>General</c:formatCode>
              <c:ptCount val="1"/>
              <c:pt idx="0">
                <c:v>0.95831942575609097</c:v>
              </c:pt>
            </c:numLit>
          </c:xVal>
          <c:yVal>
            <c:numLit>
              <c:formatCode>General</c:formatCode>
              <c:ptCount val="1"/>
              <c:pt idx="0">
                <c:v>4.2495911977711902E-2</c:v>
              </c:pt>
            </c:numLit>
          </c:yVal>
          <c:smooth val="0"/>
          <c:extLst>
            <c:ext xmlns:c16="http://schemas.microsoft.com/office/drawing/2014/chart" uri="{C3380CC4-5D6E-409C-BE32-E72D297353CC}">
              <c16:uniqueId val="{00000044-CD1F-4D8C-8FD4-787D3F03140D}"/>
            </c:ext>
          </c:extLst>
        </c:ser>
        <c:ser>
          <c:idx val="28"/>
          <c:order val="28"/>
          <c:tx>
            <c:v>FCQ_Familiarity</c:v>
          </c:tx>
          <c:spPr>
            <a:ln w="19028">
              <a:noFill/>
            </a:ln>
          </c:spPr>
          <c:marker>
            <c:symbol val="circle"/>
            <c:size val="2"/>
            <c:spPr>
              <a:solidFill>
                <a:schemeClr val="bg1"/>
              </a:solidFill>
              <a:ln>
                <a:solidFill>
                  <a:schemeClr val="bg1"/>
                </a:solidFill>
                <a:prstDash val="solid"/>
              </a:ln>
            </c:spPr>
          </c:marker>
          <c:xVal>
            <c:numLit>
              <c:formatCode>General</c:formatCode>
              <c:ptCount val="1"/>
              <c:pt idx="0">
                <c:v>0.75317162385236003</c:v>
              </c:pt>
            </c:numLit>
          </c:xVal>
          <c:yVal>
            <c:numLit>
              <c:formatCode>General</c:formatCode>
              <c:ptCount val="1"/>
              <c:pt idx="0">
                <c:v>0.32107084087501198</c:v>
              </c:pt>
            </c:numLit>
          </c:yVal>
          <c:smooth val="0"/>
          <c:extLst>
            <c:ext xmlns:c16="http://schemas.microsoft.com/office/drawing/2014/chart" uri="{C3380CC4-5D6E-409C-BE32-E72D297353CC}">
              <c16:uniqueId val="{00000045-CD1F-4D8C-8FD4-787D3F03140D}"/>
            </c:ext>
          </c:extLst>
        </c:ser>
        <c:ser>
          <c:idx val="29"/>
          <c:order val="29"/>
          <c:tx>
            <c:v>FCQ_Ethical Concern</c:v>
          </c:tx>
          <c:spPr>
            <a:ln w="19028">
              <a:noFill/>
            </a:ln>
          </c:spPr>
          <c:marker>
            <c:symbol val="circle"/>
            <c:size val="2"/>
            <c:spPr>
              <a:solidFill>
                <a:schemeClr val="bg1"/>
              </a:solidFill>
              <a:ln>
                <a:solidFill>
                  <a:schemeClr val="bg1"/>
                </a:solidFill>
                <a:prstDash val="solid"/>
              </a:ln>
            </c:spPr>
          </c:marker>
          <c:xVal>
            <c:numLit>
              <c:formatCode>General</c:formatCode>
              <c:ptCount val="1"/>
              <c:pt idx="0">
                <c:v>0.886481688912791</c:v>
              </c:pt>
            </c:numLit>
          </c:xVal>
          <c:yVal>
            <c:numLit>
              <c:formatCode>General</c:formatCode>
              <c:ptCount val="1"/>
              <c:pt idx="0">
                <c:v>-0.196451199803202</c:v>
              </c:pt>
            </c:numLit>
          </c:yVal>
          <c:smooth val="0"/>
          <c:extLst>
            <c:ext xmlns:c16="http://schemas.microsoft.com/office/drawing/2014/chart" uri="{C3380CC4-5D6E-409C-BE32-E72D297353CC}">
              <c16:uniqueId val="{00000046-CD1F-4D8C-8FD4-787D3F03140D}"/>
            </c:ext>
          </c:extLst>
        </c:ser>
        <c:ser>
          <c:idx val="30"/>
          <c:order val="30"/>
          <c:tx>
            <c:v>Food neophobia</c:v>
          </c:tx>
          <c:spPr>
            <a:ln w="19028">
              <a:noFill/>
            </a:ln>
          </c:spPr>
          <c:marker>
            <c:symbol val="circle"/>
            <c:size val="2"/>
            <c:spPr>
              <a:solidFill>
                <a:schemeClr val="bg1"/>
              </a:solidFill>
              <a:ln>
                <a:solidFill>
                  <a:schemeClr val="bg1"/>
                </a:solidFill>
                <a:prstDash val="solid"/>
              </a:ln>
            </c:spPr>
          </c:marker>
          <c:xVal>
            <c:numLit>
              <c:formatCode>General</c:formatCode>
              <c:ptCount val="1"/>
              <c:pt idx="0">
                <c:v>8.6668127367555303E-2</c:v>
              </c:pt>
            </c:numLit>
          </c:xVal>
          <c:yVal>
            <c:numLit>
              <c:formatCode>General</c:formatCode>
              <c:ptCount val="1"/>
              <c:pt idx="0">
                <c:v>0.73425797213447597</c:v>
              </c:pt>
            </c:numLit>
          </c:yVal>
          <c:smooth val="0"/>
          <c:extLst>
            <c:ext xmlns:c16="http://schemas.microsoft.com/office/drawing/2014/chart" uri="{C3380CC4-5D6E-409C-BE32-E72D297353CC}">
              <c16:uniqueId val="{00000047-CD1F-4D8C-8FD4-787D3F03140D}"/>
            </c:ext>
          </c:extLst>
        </c:ser>
        <c:ser>
          <c:idx val="31"/>
          <c:order val="31"/>
          <c:tx>
            <c:v>Freshness_color</c:v>
          </c:tx>
          <c:spPr>
            <a:ln w="19028">
              <a:noFill/>
            </a:ln>
          </c:spPr>
          <c:marker>
            <c:symbol val="circle"/>
            <c:size val="2"/>
            <c:spPr>
              <a:solidFill>
                <a:schemeClr val="bg1"/>
              </a:solidFill>
              <a:ln>
                <a:solidFill>
                  <a:schemeClr val="bg1"/>
                </a:solidFill>
                <a:prstDash val="solid"/>
              </a:ln>
            </c:spPr>
          </c:marker>
          <c:xVal>
            <c:numLit>
              <c:formatCode>General</c:formatCode>
              <c:ptCount val="1"/>
              <c:pt idx="0">
                <c:v>0.80151244911227004</c:v>
              </c:pt>
            </c:numLit>
          </c:xVal>
          <c:yVal>
            <c:numLit>
              <c:formatCode>General</c:formatCode>
              <c:ptCount val="1"/>
              <c:pt idx="0">
                <c:v>-0.25389036551681599</c:v>
              </c:pt>
            </c:numLit>
          </c:yVal>
          <c:smooth val="0"/>
          <c:extLst>
            <c:ext xmlns:c16="http://schemas.microsoft.com/office/drawing/2014/chart" uri="{C3380CC4-5D6E-409C-BE32-E72D297353CC}">
              <c16:uniqueId val="{00000048-CD1F-4D8C-8FD4-787D3F03140D}"/>
            </c:ext>
          </c:extLst>
        </c:ser>
        <c:ser>
          <c:idx val="32"/>
          <c:order val="32"/>
          <c:tx>
            <c:v>Freshness_texture</c:v>
          </c:tx>
          <c:spPr>
            <a:ln w="19028">
              <a:noFill/>
            </a:ln>
          </c:spPr>
          <c:marker>
            <c:symbol val="circle"/>
            <c:size val="2"/>
            <c:spPr>
              <a:solidFill>
                <a:schemeClr val="bg1"/>
              </a:solidFill>
              <a:ln>
                <a:solidFill>
                  <a:schemeClr val="bg1"/>
                </a:solidFill>
                <a:prstDash val="solid"/>
              </a:ln>
            </c:spPr>
          </c:marker>
          <c:xVal>
            <c:numLit>
              <c:formatCode>General</c:formatCode>
              <c:ptCount val="1"/>
              <c:pt idx="0">
                <c:v>0.94712410457859597</c:v>
              </c:pt>
            </c:numLit>
          </c:xVal>
          <c:yVal>
            <c:numLit>
              <c:formatCode>General</c:formatCode>
              <c:ptCount val="1"/>
              <c:pt idx="0">
                <c:v>0.13160638126417601</c:v>
              </c:pt>
            </c:numLit>
          </c:yVal>
          <c:smooth val="0"/>
          <c:extLst>
            <c:ext xmlns:c16="http://schemas.microsoft.com/office/drawing/2014/chart" uri="{C3380CC4-5D6E-409C-BE32-E72D297353CC}">
              <c16:uniqueId val="{00000049-CD1F-4D8C-8FD4-787D3F03140D}"/>
            </c:ext>
          </c:extLst>
        </c:ser>
        <c:ser>
          <c:idx val="33"/>
          <c:order val="33"/>
          <c:tx>
            <c:v>Freshness_eyes</c:v>
          </c:tx>
          <c:spPr>
            <a:ln w="19028">
              <a:noFill/>
            </a:ln>
          </c:spPr>
          <c:marker>
            <c:symbol val="circle"/>
            <c:size val="2"/>
            <c:spPr>
              <a:solidFill>
                <a:schemeClr val="bg1"/>
              </a:solidFill>
              <a:ln>
                <a:solidFill>
                  <a:schemeClr val="bg1"/>
                </a:solidFill>
                <a:prstDash val="solid"/>
              </a:ln>
            </c:spPr>
          </c:marker>
          <c:xVal>
            <c:numLit>
              <c:formatCode>General</c:formatCode>
              <c:ptCount val="1"/>
              <c:pt idx="0">
                <c:v>0.84611777756291795</c:v>
              </c:pt>
            </c:numLit>
          </c:xVal>
          <c:yVal>
            <c:numLit>
              <c:formatCode>General</c:formatCode>
              <c:ptCount val="1"/>
              <c:pt idx="0">
                <c:v>-0.32312397849124502</c:v>
              </c:pt>
            </c:numLit>
          </c:yVal>
          <c:smooth val="0"/>
          <c:extLst>
            <c:ext xmlns:c16="http://schemas.microsoft.com/office/drawing/2014/chart" uri="{C3380CC4-5D6E-409C-BE32-E72D297353CC}">
              <c16:uniqueId val="{0000004A-CD1F-4D8C-8FD4-787D3F03140D}"/>
            </c:ext>
          </c:extLst>
        </c:ser>
        <c:ser>
          <c:idx val="34"/>
          <c:order val="34"/>
          <c:tx>
            <c:v>Freshness_gills</c:v>
          </c:tx>
          <c:spPr>
            <a:ln w="19028">
              <a:noFill/>
            </a:ln>
          </c:spPr>
          <c:marker>
            <c:symbol val="circle"/>
            <c:size val="2"/>
            <c:spPr>
              <a:solidFill>
                <a:srgbClr val="969696"/>
              </a:solidFill>
              <a:ln>
                <a:solidFill>
                  <a:srgbClr val="969696"/>
                </a:solidFill>
                <a:prstDash val="solid"/>
              </a:ln>
            </c:spPr>
          </c:marker>
          <c:dPt>
            <c:idx val="0"/>
            <c:marker>
              <c:spPr>
                <a:solidFill>
                  <a:sysClr val="window" lastClr="FFFFFF"/>
                </a:solidFill>
                <a:ln>
                  <a:solidFill>
                    <a:sysClr val="window" lastClr="FFFFFF"/>
                  </a:solidFill>
                  <a:prstDash val="solid"/>
                </a:ln>
              </c:spPr>
            </c:marker>
            <c:bubble3D val="0"/>
            <c:extLst>
              <c:ext xmlns:c16="http://schemas.microsoft.com/office/drawing/2014/chart" uri="{C3380CC4-5D6E-409C-BE32-E72D297353CC}">
                <c16:uniqueId val="{0000004B-CD1F-4D8C-8FD4-787D3F03140D}"/>
              </c:ext>
            </c:extLst>
          </c:dPt>
          <c:xVal>
            <c:numLit>
              <c:formatCode>General</c:formatCode>
              <c:ptCount val="1"/>
              <c:pt idx="0">
                <c:v>0.87051826533896004</c:v>
              </c:pt>
            </c:numLit>
          </c:xVal>
          <c:yVal>
            <c:numLit>
              <c:formatCode>General</c:formatCode>
              <c:ptCount val="1"/>
              <c:pt idx="0">
                <c:v>-3.7512972980664201E-2</c:v>
              </c:pt>
            </c:numLit>
          </c:yVal>
          <c:smooth val="0"/>
          <c:extLst>
            <c:ext xmlns:c16="http://schemas.microsoft.com/office/drawing/2014/chart" uri="{C3380CC4-5D6E-409C-BE32-E72D297353CC}">
              <c16:uniqueId val="{0000004C-CD1F-4D8C-8FD4-787D3F03140D}"/>
            </c:ext>
          </c:extLst>
        </c:ser>
        <c:ser>
          <c:idx val="35"/>
          <c:order val="35"/>
          <c:tx>
            <c:v>Freshness_smell</c:v>
          </c:tx>
          <c:spPr>
            <a:ln w="19028">
              <a:noFill/>
            </a:ln>
          </c:spPr>
          <c:marker>
            <c:symbol val="circle"/>
            <c:size val="2"/>
            <c:spPr>
              <a:solidFill>
                <a:schemeClr val="bg1"/>
              </a:solidFill>
              <a:ln>
                <a:solidFill>
                  <a:schemeClr val="bg1"/>
                </a:solidFill>
                <a:prstDash val="solid"/>
              </a:ln>
            </c:spPr>
          </c:marker>
          <c:xVal>
            <c:numLit>
              <c:formatCode>General</c:formatCode>
              <c:ptCount val="1"/>
              <c:pt idx="0">
                <c:v>0.835280850954218</c:v>
              </c:pt>
            </c:numLit>
          </c:xVal>
          <c:yVal>
            <c:numLit>
              <c:formatCode>General</c:formatCode>
              <c:ptCount val="1"/>
              <c:pt idx="0">
                <c:v>0.15000852451553701</c:v>
              </c:pt>
            </c:numLit>
          </c:yVal>
          <c:smooth val="0"/>
          <c:extLst>
            <c:ext xmlns:c16="http://schemas.microsoft.com/office/drawing/2014/chart" uri="{C3380CC4-5D6E-409C-BE32-E72D297353CC}">
              <c16:uniqueId val="{0000004D-CD1F-4D8C-8FD4-787D3F03140D}"/>
            </c:ext>
          </c:extLst>
        </c:ser>
        <c:ser>
          <c:idx val="36"/>
          <c:order val="36"/>
          <c:tx>
            <c:v>Freshness_seasonality</c:v>
          </c:tx>
          <c:spPr>
            <a:ln w="19028">
              <a:noFill/>
            </a:ln>
          </c:spPr>
          <c:marker>
            <c:symbol val="circle"/>
            <c:size val="2"/>
            <c:spPr>
              <a:solidFill>
                <a:schemeClr val="bg1"/>
              </a:solidFill>
              <a:ln>
                <a:solidFill>
                  <a:schemeClr val="bg1"/>
                </a:solidFill>
                <a:prstDash val="solid"/>
              </a:ln>
            </c:spPr>
          </c:marker>
          <c:xVal>
            <c:numLit>
              <c:formatCode>General</c:formatCode>
              <c:ptCount val="1"/>
              <c:pt idx="0">
                <c:v>0.75689867546001799</c:v>
              </c:pt>
            </c:numLit>
          </c:xVal>
          <c:yVal>
            <c:numLit>
              <c:formatCode>General</c:formatCode>
              <c:ptCount val="1"/>
              <c:pt idx="0">
                <c:v>0.119364009587529</c:v>
              </c:pt>
            </c:numLit>
          </c:yVal>
          <c:smooth val="0"/>
          <c:extLst>
            <c:ext xmlns:c16="http://schemas.microsoft.com/office/drawing/2014/chart" uri="{C3380CC4-5D6E-409C-BE32-E72D297353CC}">
              <c16:uniqueId val="{0000004E-CD1F-4D8C-8FD4-787D3F03140D}"/>
            </c:ext>
          </c:extLst>
        </c:ser>
        <c:ser>
          <c:idx val="37"/>
          <c:order val="37"/>
          <c:tx>
            <c:v>PESCATO</c:v>
          </c:tx>
          <c:spPr>
            <a:ln w="19028">
              <a:noFill/>
            </a:ln>
          </c:spPr>
          <c:marker>
            <c:symbol val="circle"/>
            <c:size val="2"/>
            <c:spPr>
              <a:solidFill>
                <a:schemeClr val="bg1"/>
              </a:solidFill>
              <a:ln>
                <a:solidFill>
                  <a:schemeClr val="bg1"/>
                </a:solidFill>
                <a:prstDash val="solid"/>
              </a:ln>
            </c:spPr>
          </c:marker>
          <c:xVal>
            <c:numLit>
              <c:formatCode>General</c:formatCode>
              <c:ptCount val="1"/>
              <c:pt idx="0">
                <c:v>2.22191594067086E-2</c:v>
              </c:pt>
            </c:numLit>
          </c:xVal>
          <c:yVal>
            <c:numLit>
              <c:formatCode>General</c:formatCode>
              <c:ptCount val="1"/>
              <c:pt idx="0">
                <c:v>-0.22107411350488801</c:v>
              </c:pt>
            </c:numLit>
          </c:yVal>
          <c:smooth val="0"/>
          <c:extLst>
            <c:ext xmlns:c16="http://schemas.microsoft.com/office/drawing/2014/chart" uri="{C3380CC4-5D6E-409C-BE32-E72D297353CC}">
              <c16:uniqueId val="{0000004F-CD1F-4D8C-8FD4-787D3F03140D}"/>
            </c:ext>
          </c:extLst>
        </c:ser>
        <c:ser>
          <c:idx val="38"/>
          <c:order val="38"/>
          <c:tx>
            <c:v>ALLEVATO</c:v>
          </c:tx>
          <c:spPr>
            <a:ln w="19028">
              <a:noFill/>
            </a:ln>
          </c:spPr>
          <c:marker>
            <c:symbol val="circle"/>
            <c:size val="2"/>
            <c:spPr>
              <a:solidFill>
                <a:schemeClr val="bg1"/>
              </a:solidFill>
              <a:ln>
                <a:solidFill>
                  <a:schemeClr val="bg1"/>
                </a:solidFill>
                <a:prstDash val="solid"/>
              </a:ln>
            </c:spPr>
          </c:marker>
          <c:xVal>
            <c:numLit>
              <c:formatCode>General</c:formatCode>
              <c:ptCount val="1"/>
              <c:pt idx="0">
                <c:v>0.49736569277169701</c:v>
              </c:pt>
            </c:numLit>
          </c:xVal>
          <c:yVal>
            <c:numLit>
              <c:formatCode>General</c:formatCode>
              <c:ptCount val="1"/>
              <c:pt idx="0">
                <c:v>0.13528661266018999</c:v>
              </c:pt>
            </c:numLit>
          </c:yVal>
          <c:smooth val="0"/>
          <c:extLst>
            <c:ext xmlns:c16="http://schemas.microsoft.com/office/drawing/2014/chart" uri="{C3380CC4-5D6E-409C-BE32-E72D297353CC}">
              <c16:uniqueId val="{00000050-CD1F-4D8C-8FD4-787D3F03140D}"/>
            </c:ext>
          </c:extLst>
        </c:ser>
        <c:ser>
          <c:idx val="39"/>
          <c:order val="39"/>
          <c:tx>
            <c:v>Seaside</c:v>
          </c:tx>
          <c:spPr>
            <a:ln w="19028">
              <a:noFill/>
            </a:ln>
          </c:spPr>
          <c:marker>
            <c:symbol val="circle"/>
            <c:size val="2"/>
            <c:spPr>
              <a:solidFill>
                <a:schemeClr val="bg1"/>
              </a:solidFill>
              <a:ln>
                <a:solidFill>
                  <a:schemeClr val="bg1"/>
                </a:solidFill>
                <a:prstDash val="solid"/>
              </a:ln>
            </c:spPr>
          </c:marker>
          <c:xVal>
            <c:numLit>
              <c:formatCode>General</c:formatCode>
              <c:ptCount val="1"/>
              <c:pt idx="0">
                <c:v>0.37938433711667202</c:v>
              </c:pt>
            </c:numLit>
          </c:xVal>
          <c:yVal>
            <c:numLit>
              <c:formatCode>General</c:formatCode>
              <c:ptCount val="1"/>
              <c:pt idx="0">
                <c:v>0.39668978405144401</c:v>
              </c:pt>
            </c:numLit>
          </c:yVal>
          <c:smooth val="0"/>
          <c:extLst>
            <c:ext xmlns:c16="http://schemas.microsoft.com/office/drawing/2014/chart" uri="{C3380CC4-5D6E-409C-BE32-E72D297353CC}">
              <c16:uniqueId val="{00000051-CD1F-4D8C-8FD4-787D3F03140D}"/>
            </c:ext>
          </c:extLst>
        </c:ser>
        <c:ser>
          <c:idx val="40"/>
          <c:order val="40"/>
          <c:tx>
            <c:v>Near_sea</c:v>
          </c:tx>
          <c:spPr>
            <a:ln w="19028">
              <a:noFill/>
            </a:ln>
          </c:spPr>
          <c:marker>
            <c:symbol val="circle"/>
            <c:size val="2"/>
            <c:spPr>
              <a:solidFill>
                <a:schemeClr val="bg1"/>
              </a:solidFill>
              <a:ln>
                <a:solidFill>
                  <a:schemeClr val="bg1"/>
                </a:solidFill>
                <a:prstDash val="solid"/>
              </a:ln>
            </c:spPr>
          </c:marker>
          <c:xVal>
            <c:numLit>
              <c:formatCode>General</c:formatCode>
              <c:ptCount val="1"/>
              <c:pt idx="0">
                <c:v>-0.13289830967869601</c:v>
              </c:pt>
            </c:numLit>
          </c:xVal>
          <c:yVal>
            <c:numLit>
              <c:formatCode>General</c:formatCode>
              <c:ptCount val="1"/>
              <c:pt idx="0">
                <c:v>0.105589461956712</c:v>
              </c:pt>
            </c:numLit>
          </c:yVal>
          <c:smooth val="0"/>
          <c:extLst>
            <c:ext xmlns:c16="http://schemas.microsoft.com/office/drawing/2014/chart" uri="{C3380CC4-5D6E-409C-BE32-E72D297353CC}">
              <c16:uniqueId val="{00000052-CD1F-4D8C-8FD4-787D3F03140D}"/>
            </c:ext>
          </c:extLst>
        </c:ser>
        <c:ser>
          <c:idx val="41"/>
          <c:order val="41"/>
          <c:tx>
            <c:v>Internal</c:v>
          </c:tx>
          <c:spPr>
            <a:ln w="19028">
              <a:noFill/>
            </a:ln>
          </c:spPr>
          <c:marker>
            <c:symbol val="circle"/>
            <c:size val="2"/>
            <c:spPr>
              <a:solidFill>
                <a:schemeClr val="bg1"/>
              </a:solidFill>
              <a:ln>
                <a:solidFill>
                  <a:schemeClr val="bg1"/>
                </a:solidFill>
                <a:prstDash val="solid"/>
              </a:ln>
            </c:spPr>
          </c:marker>
          <c:xVal>
            <c:numLit>
              <c:formatCode>General</c:formatCode>
              <c:ptCount val="1"/>
              <c:pt idx="0">
                <c:v>0.39754988974274502</c:v>
              </c:pt>
            </c:numLit>
          </c:xVal>
          <c:yVal>
            <c:numLit>
              <c:formatCode>General</c:formatCode>
              <c:ptCount val="1"/>
              <c:pt idx="0">
                <c:v>-0.48555909420981502</c:v>
              </c:pt>
            </c:numLit>
          </c:yVal>
          <c:smooth val="0"/>
          <c:extLst>
            <c:ext xmlns:c16="http://schemas.microsoft.com/office/drawing/2014/chart" uri="{C3380CC4-5D6E-409C-BE32-E72D297353CC}">
              <c16:uniqueId val="{00000053-CD1F-4D8C-8FD4-787D3F03140D}"/>
            </c:ext>
          </c:extLst>
        </c:ser>
        <c:ser>
          <c:idx val="42"/>
          <c:order val="42"/>
          <c:tx>
            <c:v>Mountain</c:v>
          </c:tx>
          <c:spPr>
            <a:ln w="19028">
              <a:noFill/>
            </a:ln>
          </c:spPr>
          <c:marker>
            <c:symbol val="circle"/>
            <c:size val="2"/>
            <c:spPr>
              <a:solidFill>
                <a:schemeClr val="bg1"/>
              </a:solidFill>
              <a:ln>
                <a:solidFill>
                  <a:schemeClr val="bg1"/>
                </a:solidFill>
                <a:prstDash val="solid"/>
              </a:ln>
            </c:spPr>
          </c:marker>
          <c:xVal>
            <c:numLit>
              <c:formatCode>General</c:formatCode>
              <c:ptCount val="1"/>
              <c:pt idx="0">
                <c:v>5.4078931037781303E-2</c:v>
              </c:pt>
            </c:numLit>
          </c:xVal>
          <c:yVal>
            <c:numLit>
              <c:formatCode>General</c:formatCode>
              <c:ptCount val="1"/>
              <c:pt idx="0">
                <c:v>-0.507037638588275</c:v>
              </c:pt>
            </c:numLit>
          </c:yVal>
          <c:smooth val="0"/>
          <c:extLst>
            <c:ext xmlns:c16="http://schemas.microsoft.com/office/drawing/2014/chart" uri="{C3380CC4-5D6E-409C-BE32-E72D297353CC}">
              <c16:uniqueId val="{00000054-CD1F-4D8C-8FD4-787D3F03140D}"/>
            </c:ext>
          </c:extLst>
        </c:ser>
        <c:dLbls>
          <c:showLegendKey val="0"/>
          <c:showVal val="0"/>
          <c:showCatName val="0"/>
          <c:showSerName val="0"/>
          <c:showPercent val="0"/>
          <c:showBubbleSize val="0"/>
        </c:dLbls>
        <c:axId val="169746511"/>
        <c:axId val="1"/>
      </c:scatterChart>
      <c:valAx>
        <c:axId val="169746511"/>
        <c:scaling>
          <c:orientation val="minMax"/>
          <c:max val="1"/>
          <c:min val="-1"/>
        </c:scaling>
        <c:delete val="0"/>
        <c:axPos val="b"/>
        <c:title>
          <c:tx>
            <c:rich>
              <a:bodyPr/>
              <a:lstStyle/>
              <a:p>
                <a:pPr>
                  <a:defRPr sz="600" b="1" i="0" u="none" strike="noStrike" baseline="0">
                    <a:solidFill>
                      <a:srgbClr val="000000"/>
                    </a:solidFill>
                    <a:latin typeface="Calibri"/>
                    <a:ea typeface="Calibri"/>
                    <a:cs typeface="Calibri"/>
                  </a:defRPr>
                </a:pPr>
                <a:r>
                  <a:rPr lang="it-IT" sz="600"/>
                  <a:t>F1 (45.38 %)</a:t>
                </a:r>
              </a:p>
            </c:rich>
          </c:tx>
          <c:layout>
            <c:manualLayout>
              <c:xMode val="edge"/>
              <c:yMode val="edge"/>
              <c:x val="0.46718042456231434"/>
              <c:y val="0.94155201753626949"/>
            </c:manualLayout>
          </c:layout>
          <c:overlay val="0"/>
        </c:title>
        <c:numFmt formatCode="General" sourceLinked="0"/>
        <c:majorTickMark val="cross"/>
        <c:minorTickMark val="none"/>
        <c:tickLblPos val="low"/>
        <c:txPr>
          <a:bodyPr rot="0" vert="horz"/>
          <a:lstStyle/>
          <a:p>
            <a:pPr>
              <a:defRPr sz="500" b="0" i="0" u="none" strike="noStrike" baseline="0">
                <a:solidFill>
                  <a:srgbClr val="000000"/>
                </a:solidFill>
                <a:latin typeface="Calibri"/>
                <a:ea typeface="Calibri"/>
                <a:cs typeface="Calibri"/>
              </a:defRPr>
            </a:pPr>
            <a:endParaRPr lang="it-IT"/>
          </a:p>
        </c:txPr>
        <c:crossAx val="1"/>
        <c:crosses val="autoZero"/>
        <c:crossBetween val="midCat"/>
        <c:majorUnit val="0.25"/>
      </c:valAx>
      <c:valAx>
        <c:axId val="1"/>
        <c:scaling>
          <c:orientation val="minMax"/>
          <c:max val="1"/>
          <c:min val="-1"/>
        </c:scaling>
        <c:delete val="0"/>
        <c:axPos val="l"/>
        <c:title>
          <c:tx>
            <c:rich>
              <a:bodyPr/>
              <a:lstStyle/>
              <a:p>
                <a:pPr>
                  <a:defRPr sz="600" b="1" i="0" u="none" strike="noStrike" baseline="0">
                    <a:solidFill>
                      <a:srgbClr val="000000"/>
                    </a:solidFill>
                    <a:latin typeface="Calibri"/>
                    <a:ea typeface="Calibri"/>
                    <a:cs typeface="Calibri"/>
                  </a:defRPr>
                </a:pPr>
                <a:r>
                  <a:rPr lang="it-IT" sz="600"/>
                  <a:t>F2 (17.56 %)</a:t>
                </a:r>
              </a:p>
            </c:rich>
          </c:tx>
          <c:overlay val="0"/>
        </c:title>
        <c:numFmt formatCode="General" sourceLinked="0"/>
        <c:majorTickMark val="cross"/>
        <c:minorTickMark val="none"/>
        <c:tickLblPos val="low"/>
        <c:txPr>
          <a:bodyPr/>
          <a:lstStyle/>
          <a:p>
            <a:pPr>
              <a:defRPr sz="500"/>
            </a:pPr>
            <a:endParaRPr lang="it-IT"/>
          </a:p>
        </c:txPr>
        <c:crossAx val="169746511"/>
        <c:crosses val="autoZero"/>
        <c:crossBetween val="midCat"/>
        <c:majorUnit val="0.25"/>
      </c:valAx>
      <c:spPr>
        <a:ln>
          <a:solidFill>
            <a:srgbClr val="808080"/>
          </a:solidFill>
          <a:prstDash val="solid"/>
        </a:ln>
      </c:spPr>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26159230096241"/>
          <c:y val="0.13358345996224155"/>
          <c:w val="0.85662729658792647"/>
          <c:h val="0.73577136191309422"/>
        </c:manualLayout>
      </c:layout>
      <c:barChart>
        <c:barDir val="col"/>
        <c:grouping val="clustered"/>
        <c:varyColors val="0"/>
        <c:ser>
          <c:idx val="0"/>
          <c:order val="0"/>
          <c:tx>
            <c:strRef>
              <c:f>'Dati  ITA'!$A$1:$C$1</c:f>
              <c:strCache>
                <c:ptCount val="3"/>
                <c:pt idx="0">
                  <c:v>Blind</c:v>
                </c:pt>
              </c:strCache>
            </c:strRef>
          </c:tx>
          <c:spPr>
            <a:solidFill>
              <a:schemeClr val="tx1">
                <a:lumMod val="50000"/>
                <a:lumOff val="50000"/>
              </a:schemeClr>
            </a:solidFill>
            <a:ln>
              <a:noFill/>
            </a:ln>
            <a:effectLst/>
          </c:spPr>
          <c:invertIfNegative val="0"/>
          <c:dLbls>
            <c:dLbl>
              <c:idx val="0"/>
              <c:layout>
                <c:manualLayout>
                  <c:x val="1.9444444444444393E-2"/>
                  <c:y val="-1.8518518518518517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7C0-4568-A858-F753C3321E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'Dati  ITA'!$K$21:$M$21</c:f>
              <c:strCache>
                <c:ptCount val="3"/>
                <c:pt idx="0">
                  <c:v>Overall Liking</c:v>
                </c:pt>
                <c:pt idx="1">
                  <c:v>Appearance</c:v>
                </c:pt>
                <c:pt idx="2">
                  <c:v>Odour</c:v>
                </c:pt>
              </c:strCache>
            </c:strRef>
          </c:cat>
          <c:val>
            <c:numRef>
              <c:f>'Dati  ITA'!$H$22:$J$22</c:f>
              <c:numCache>
                <c:formatCode>General</c:formatCode>
                <c:ptCount val="3"/>
                <c:pt idx="0">
                  <c:v>6.647619047619048</c:v>
                </c:pt>
                <c:pt idx="1">
                  <c:v>6.8190476190476188</c:v>
                </c:pt>
                <c:pt idx="2">
                  <c:v>5.9333333333333336</c:v>
                </c:pt>
              </c:numCache>
            </c:numRef>
          </c:val>
          <c:extLst>
            <c:ext xmlns:c16="http://schemas.microsoft.com/office/drawing/2014/chart" uri="{C3380CC4-5D6E-409C-BE32-E72D297353CC}">
              <c16:uniqueId val="{00000001-37C0-4568-A858-F753C3321E95}"/>
            </c:ext>
          </c:extLst>
        </c:ser>
        <c:ser>
          <c:idx val="1"/>
          <c:order val="1"/>
          <c:tx>
            <c:strRef>
              <c:f>'Dati  ITA'!$D$1:$F$1</c:f>
              <c:strCache>
                <c:ptCount val="3"/>
                <c:pt idx="0">
                  <c:v>Info</c:v>
                </c:pt>
              </c:strCache>
            </c:strRef>
          </c:tx>
          <c:spPr>
            <a:solidFill>
              <a:schemeClr val="tx1"/>
            </a:solidFill>
            <a:ln>
              <a:solidFill>
                <a:schemeClr val="tx1"/>
              </a:solidFill>
            </a:ln>
            <a:effectLst/>
          </c:spPr>
          <c:invertIfNegative val="0"/>
          <c:dLbls>
            <c:delete val="1"/>
          </c:dLbls>
          <c:cat>
            <c:strRef>
              <c:f>'Dati  ITA'!$K$21:$M$21</c:f>
              <c:strCache>
                <c:ptCount val="3"/>
                <c:pt idx="0">
                  <c:v>Overall Liking</c:v>
                </c:pt>
                <c:pt idx="1">
                  <c:v>Appearance</c:v>
                </c:pt>
                <c:pt idx="2">
                  <c:v>Odour</c:v>
                </c:pt>
              </c:strCache>
            </c:strRef>
          </c:cat>
          <c:val>
            <c:numRef>
              <c:f>'Dati  ITA'!$K$22:$M$22</c:f>
              <c:numCache>
                <c:formatCode>General</c:formatCode>
                <c:ptCount val="3"/>
                <c:pt idx="0">
                  <c:v>7.009615384615385</c:v>
                </c:pt>
                <c:pt idx="1">
                  <c:v>7.125</c:v>
                </c:pt>
                <c:pt idx="2">
                  <c:v>6.2115384615384617</c:v>
                </c:pt>
              </c:numCache>
            </c:numRef>
          </c:val>
          <c:extLst>
            <c:ext xmlns:c16="http://schemas.microsoft.com/office/drawing/2014/chart" uri="{C3380CC4-5D6E-409C-BE32-E72D297353CC}">
              <c16:uniqueId val="{00000002-37C0-4568-A858-F753C3321E95}"/>
            </c:ext>
          </c:extLst>
        </c:ser>
        <c:dLbls>
          <c:dLblPos val="outEnd"/>
          <c:showLegendKey val="0"/>
          <c:showVal val="1"/>
          <c:showCatName val="0"/>
          <c:showSerName val="0"/>
          <c:showPercent val="0"/>
          <c:showBubbleSize val="0"/>
        </c:dLbls>
        <c:gapWidth val="219"/>
        <c:overlap val="-27"/>
        <c:axId val="39877503"/>
        <c:axId val="39868351"/>
        <c:extLst>
          <c:ext xmlns:c15="http://schemas.microsoft.com/office/drawing/2012/chart" uri="{02D57815-91ED-43cb-92C2-25804820EDAC}">
            <c15:filteredBarSeries>
              <c15:ser>
                <c:idx val="2"/>
                <c:order val="2"/>
                <c:tx>
                  <c:v>Blind SPA</c:v>
                </c:tx>
                <c:spPr>
                  <a:solidFill>
                    <a:schemeClr val="dk1">
                      <a:tint val="75000"/>
                    </a:schemeClr>
                  </a:solidFill>
                  <a:ln>
                    <a:noFill/>
                  </a:ln>
                  <a:effectLst/>
                </c:spPr>
                <c:invertIfNegative val="0"/>
                <c:dLbls>
                  <c:dLbl>
                    <c:idx val="0"/>
                    <c:layout>
                      <c:manualLayout>
                        <c:x val="1.6666666666666666E-2"/>
                        <c:y val="-5.5555555555555552E-2"/>
                      </c:manualLayout>
                    </c:layout>
                    <c:tx>
                      <c:rich>
                        <a:bodyPr/>
                        <a:lstStyle/>
                        <a:p>
                          <a:r>
                            <a:rPr lang="en-US"/>
                            <a:t>*</a:t>
                          </a:r>
                        </a:p>
                      </c:rich>
                    </c:tx>
                    <c:dLblPos val="outEnd"/>
                    <c:showLegendKey val="0"/>
                    <c:showVal val="1"/>
                    <c:showCatName val="0"/>
                    <c:showSerName val="0"/>
                    <c:showPercent val="0"/>
                    <c:showBubbleSize val="0"/>
                    <c:extLst>
                      <c:ext uri="{CE6537A1-D6FC-4f65-9D91-7224C49458BB}">
                        <c15:showDataLabelsRange val="0"/>
                      </c:ext>
                      <c:ext xmlns:c16="http://schemas.microsoft.com/office/drawing/2014/chart" uri="{C3380CC4-5D6E-409C-BE32-E72D297353CC}">
                        <c16:uniqueId val="{00000003-37C0-4568-A858-F753C3321E95}"/>
                      </c:ext>
                    </c:extLst>
                  </c:dLbl>
                  <c:dLbl>
                    <c:idx val="1"/>
                    <c:layout>
                      <c:manualLayout>
                        <c:x val="1.6666666666666566E-2"/>
                        <c:y val="-6.018518518518523E-2"/>
                      </c:manualLayout>
                    </c:layout>
                    <c:tx>
                      <c:rich>
                        <a:bodyPr/>
                        <a:lstStyle/>
                        <a:p>
                          <a:r>
                            <a:rPr lang="en-US"/>
                            <a:t>*</a:t>
                          </a:r>
                        </a:p>
                      </c:rich>
                    </c:tx>
                    <c:dLblPos val="outEnd"/>
                    <c:showLegendKey val="0"/>
                    <c:showVal val="1"/>
                    <c:showCatName val="0"/>
                    <c:showSerName val="0"/>
                    <c:showPercent val="0"/>
                    <c:showBubbleSize val="0"/>
                    <c:extLst>
                      <c:ext uri="{CE6537A1-D6FC-4f65-9D91-7224C49458BB}">
                        <c15:showDataLabelsRange val="0"/>
                      </c:ext>
                      <c:ext xmlns:c16="http://schemas.microsoft.com/office/drawing/2014/chart" uri="{C3380CC4-5D6E-409C-BE32-E72D297353CC}">
                        <c16:uniqueId val="{00000004-37C0-4568-A858-F753C3321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uri="{CE6537A1-D6FC-4f65-9D91-7224C49458BB}">
                      <c15:showLeaderLines val="0"/>
                    </c:ext>
                  </c:extLst>
                </c:dLbls>
                <c:cat>
                  <c:strRef>
                    <c:extLst>
                      <c:ext uri="{02D57815-91ED-43cb-92C2-25804820EDAC}">
                        <c15:formulaRef>
                          <c15:sqref>'Dati  ITA'!$K$21:$M$21</c15:sqref>
                        </c15:formulaRef>
                      </c:ext>
                    </c:extLst>
                    <c:strCache>
                      <c:ptCount val="3"/>
                      <c:pt idx="0">
                        <c:v>Overall Liking</c:v>
                      </c:pt>
                      <c:pt idx="1">
                        <c:v>Appearance</c:v>
                      </c:pt>
                      <c:pt idx="2">
                        <c:v>Odour</c:v>
                      </c:pt>
                    </c:strCache>
                  </c:strRef>
                </c:cat>
                <c:val>
                  <c:numRef>
                    <c:extLst>
                      <c:ext uri="{02D57815-91ED-43cb-92C2-25804820EDAC}">
                        <c15:formulaRef>
                          <c15:sqref>'Dati  ITA'!$Y$22:$AA$22</c15:sqref>
                        </c15:formulaRef>
                      </c:ext>
                    </c:extLst>
                    <c:numCache>
                      <c:formatCode>General</c:formatCode>
                      <c:ptCount val="3"/>
                      <c:pt idx="0">
                        <c:v>6.62</c:v>
                      </c:pt>
                      <c:pt idx="1">
                        <c:v>6.48</c:v>
                      </c:pt>
                      <c:pt idx="2">
                        <c:v>6.06</c:v>
                      </c:pt>
                    </c:numCache>
                  </c:numRef>
                </c:val>
                <c:extLst>
                  <c:ext xmlns:c16="http://schemas.microsoft.com/office/drawing/2014/chart" uri="{C3380CC4-5D6E-409C-BE32-E72D297353CC}">
                    <c16:uniqueId val="{00000005-37C0-4568-A858-F753C3321E95}"/>
                  </c:ext>
                </c:extLst>
              </c15:ser>
            </c15:filteredBarSeries>
            <c15:filteredBarSeries>
              <c15:ser>
                <c:idx val="3"/>
                <c:order val="3"/>
                <c:tx>
                  <c:v>Info SPA</c:v>
                </c:tx>
                <c:spPr>
                  <a:solidFill>
                    <a:schemeClr val="dk1">
                      <a:tint val="98500"/>
                    </a:schemeClr>
                  </a:solidFill>
                  <a:ln>
                    <a:noFill/>
                  </a:ln>
                  <a:effectLst/>
                </c:spPr>
                <c:invertIfNegative val="0"/>
                <c:dLbls>
                  <c:delete val="1"/>
                </c:dLbls>
                <c:cat>
                  <c:strRef>
                    <c:extLst xmlns:c15="http://schemas.microsoft.com/office/drawing/2012/chart">
                      <c:ext xmlns:c15="http://schemas.microsoft.com/office/drawing/2012/chart" uri="{02D57815-91ED-43cb-92C2-25804820EDAC}">
                        <c15:formulaRef>
                          <c15:sqref>'Dati  ITA'!$K$21:$M$21</c15:sqref>
                        </c15:formulaRef>
                      </c:ext>
                    </c:extLst>
                    <c:strCache>
                      <c:ptCount val="3"/>
                      <c:pt idx="0">
                        <c:v>Overall Liking</c:v>
                      </c:pt>
                      <c:pt idx="1">
                        <c:v>Appearance</c:v>
                      </c:pt>
                      <c:pt idx="2">
                        <c:v>Odour</c:v>
                      </c:pt>
                    </c:strCache>
                  </c:strRef>
                </c:cat>
                <c:val>
                  <c:numRef>
                    <c:extLst xmlns:c15="http://schemas.microsoft.com/office/drawing/2012/chart">
                      <c:ext xmlns:c15="http://schemas.microsoft.com/office/drawing/2012/chart" uri="{02D57815-91ED-43cb-92C2-25804820EDAC}">
                        <c15:formulaRef>
                          <c15:sqref>'Dati  ITA'!$AB$22:$AD$22</c15:sqref>
                        </c15:formulaRef>
                      </c:ext>
                    </c:extLst>
                    <c:numCache>
                      <c:formatCode>General</c:formatCode>
                      <c:ptCount val="3"/>
                      <c:pt idx="0">
                        <c:v>7.08</c:v>
                      </c:pt>
                      <c:pt idx="1">
                        <c:v>7</c:v>
                      </c:pt>
                      <c:pt idx="2">
                        <c:v>6.44</c:v>
                      </c:pt>
                    </c:numCache>
                  </c:numRef>
                </c:val>
                <c:extLst xmlns:c15="http://schemas.microsoft.com/office/drawing/2012/chart">
                  <c:ext xmlns:c16="http://schemas.microsoft.com/office/drawing/2014/chart" uri="{C3380CC4-5D6E-409C-BE32-E72D297353CC}">
                    <c16:uniqueId val="{00000006-37C0-4568-A858-F753C3321E95}"/>
                  </c:ext>
                </c:extLst>
              </c15:ser>
            </c15:filteredBarSeries>
          </c:ext>
        </c:extLst>
      </c:barChart>
      <c:catAx>
        <c:axId val="3987750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39868351"/>
        <c:crosses val="autoZero"/>
        <c:auto val="1"/>
        <c:lblAlgn val="ctr"/>
        <c:lblOffset val="100"/>
        <c:noMultiLvlLbl val="0"/>
      </c:catAx>
      <c:valAx>
        <c:axId val="39868351"/>
        <c:scaling>
          <c:orientation val="minMax"/>
          <c:max val="9"/>
          <c:min val="1"/>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it-IT" sz="800" b="1"/>
                  <a:t>Average liking score </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39877503"/>
        <c:crosses val="autoZero"/>
        <c:crossBetween val="between"/>
      </c:valAx>
      <c:spPr>
        <a:noFill/>
        <a:ln>
          <a:noFill/>
        </a:ln>
        <a:effectLst/>
      </c:spPr>
    </c:plotArea>
    <c:legend>
      <c:legendPos val="t"/>
      <c:layout>
        <c:manualLayout>
          <c:xMode val="edge"/>
          <c:yMode val="edge"/>
          <c:x val="0.35741929133858269"/>
          <c:y val="4.2105263157894736E-2"/>
          <c:w val="0.26849475065616796"/>
          <c:h val="7.894792098356126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it-I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26159230096241"/>
          <c:y val="0.13358345996224155"/>
          <c:w val="0.85662729658792647"/>
          <c:h val="0.73577136191309422"/>
        </c:manualLayout>
      </c:layout>
      <c:barChart>
        <c:barDir val="col"/>
        <c:grouping val="clustered"/>
        <c:varyColors val="0"/>
        <c:ser>
          <c:idx val="2"/>
          <c:order val="2"/>
          <c:tx>
            <c:strRef>
              <c:f>'Dati  ITA'!$S$1:$U$1</c:f>
              <c:strCache>
                <c:ptCount val="3"/>
                <c:pt idx="0">
                  <c:v>Blind</c:v>
                </c:pt>
              </c:strCache>
            </c:strRef>
          </c:tx>
          <c:spPr>
            <a:solidFill>
              <a:schemeClr val="dk1">
                <a:tint val="75000"/>
              </a:schemeClr>
            </a:solidFill>
            <a:ln>
              <a:noFill/>
            </a:ln>
            <a:effectLst/>
          </c:spPr>
          <c:invertIfNegative val="0"/>
          <c:dLbls>
            <c:dLbl>
              <c:idx val="0"/>
              <c:layout>
                <c:manualLayout>
                  <c:x val="1.6666666666666666E-2"/>
                  <c:y val="-5.5555555555555552E-2"/>
                </c:manualLayout>
              </c:layout>
              <c:tx>
                <c:rich>
                  <a:bodyPr/>
                  <a:lstStyle/>
                  <a:p>
                    <a:r>
                      <a:rPr lang="en-US"/>
                      <a:t>*</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0-DF1E-40D8-8905-429539CAD61D}"/>
                </c:ext>
              </c:extLst>
            </c:dLbl>
            <c:dLbl>
              <c:idx val="1"/>
              <c:layout>
                <c:manualLayout>
                  <c:x val="1.6666666666666566E-2"/>
                  <c:y val="-6.018518518518523E-2"/>
                </c:manualLayout>
              </c:layout>
              <c:tx>
                <c:rich>
                  <a:bodyPr/>
                  <a:lstStyle/>
                  <a:p>
                    <a:r>
                      <a:rPr lang="en-US"/>
                      <a:t>*</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1-DF1E-40D8-8905-429539CAD6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0"/>
              </c:ext>
            </c:extLst>
          </c:dLbls>
          <c:cat>
            <c:strRef>
              <c:f>'Dati  ITA'!$K$21:$M$21</c:f>
              <c:strCache>
                <c:ptCount val="3"/>
                <c:pt idx="0">
                  <c:v>Overall Liking</c:v>
                </c:pt>
                <c:pt idx="1">
                  <c:v>Appearance</c:v>
                </c:pt>
                <c:pt idx="2">
                  <c:v>Odour</c:v>
                </c:pt>
              </c:strCache>
              <c:extLst xmlns:c15="http://schemas.microsoft.com/office/drawing/2012/chart"/>
            </c:strRef>
          </c:cat>
          <c:val>
            <c:numRef>
              <c:f>'Dati  ITA'!$Y$22:$AA$22</c:f>
              <c:numCache>
                <c:formatCode>General</c:formatCode>
                <c:ptCount val="3"/>
                <c:pt idx="0">
                  <c:v>6.62</c:v>
                </c:pt>
                <c:pt idx="1">
                  <c:v>6.48</c:v>
                </c:pt>
                <c:pt idx="2">
                  <c:v>6.06</c:v>
                </c:pt>
              </c:numCache>
              <c:extLst xmlns:c15="http://schemas.microsoft.com/office/drawing/2012/chart"/>
            </c:numRef>
          </c:val>
          <c:extLst xmlns:c15="http://schemas.microsoft.com/office/drawing/2012/chart">
            <c:ext xmlns:c16="http://schemas.microsoft.com/office/drawing/2014/chart" uri="{C3380CC4-5D6E-409C-BE32-E72D297353CC}">
              <c16:uniqueId val="{00000002-DF1E-40D8-8905-429539CAD61D}"/>
            </c:ext>
          </c:extLst>
        </c:ser>
        <c:ser>
          <c:idx val="3"/>
          <c:order val="3"/>
          <c:tx>
            <c:strRef>
              <c:f>'Dati  ITA'!$V$1:$X$1</c:f>
              <c:strCache>
                <c:ptCount val="3"/>
                <c:pt idx="0">
                  <c:v>Info</c:v>
                </c:pt>
              </c:strCache>
            </c:strRef>
          </c:tx>
          <c:spPr>
            <a:solidFill>
              <a:schemeClr val="dk1">
                <a:tint val="98500"/>
              </a:schemeClr>
            </a:solidFill>
            <a:ln>
              <a:noFill/>
            </a:ln>
            <a:effectLst/>
          </c:spPr>
          <c:invertIfNegative val="0"/>
          <c:dLbls>
            <c:delete val="1"/>
          </c:dLbls>
          <c:cat>
            <c:strRef>
              <c:f>'Dati  ITA'!$K$21:$M$21</c:f>
              <c:strCache>
                <c:ptCount val="3"/>
                <c:pt idx="0">
                  <c:v>Overall Liking</c:v>
                </c:pt>
                <c:pt idx="1">
                  <c:v>Appearance</c:v>
                </c:pt>
                <c:pt idx="2">
                  <c:v>Odour</c:v>
                </c:pt>
              </c:strCache>
              <c:extLst xmlns:c15="http://schemas.microsoft.com/office/drawing/2012/chart"/>
            </c:strRef>
          </c:cat>
          <c:val>
            <c:numRef>
              <c:f>'Dati  ITA'!$AB$22:$AD$22</c:f>
              <c:numCache>
                <c:formatCode>General</c:formatCode>
                <c:ptCount val="3"/>
                <c:pt idx="0">
                  <c:v>7.08</c:v>
                </c:pt>
                <c:pt idx="1">
                  <c:v>7</c:v>
                </c:pt>
                <c:pt idx="2">
                  <c:v>6.44</c:v>
                </c:pt>
              </c:numCache>
              <c:extLst xmlns:c15="http://schemas.microsoft.com/office/drawing/2012/chart"/>
            </c:numRef>
          </c:val>
          <c:extLst xmlns:c15="http://schemas.microsoft.com/office/drawing/2012/chart">
            <c:ext xmlns:c16="http://schemas.microsoft.com/office/drawing/2014/chart" uri="{C3380CC4-5D6E-409C-BE32-E72D297353CC}">
              <c16:uniqueId val="{00000003-DF1E-40D8-8905-429539CAD61D}"/>
            </c:ext>
          </c:extLst>
        </c:ser>
        <c:dLbls>
          <c:dLblPos val="outEnd"/>
          <c:showLegendKey val="0"/>
          <c:showVal val="1"/>
          <c:showCatName val="0"/>
          <c:showSerName val="0"/>
          <c:showPercent val="0"/>
          <c:showBubbleSize val="0"/>
        </c:dLbls>
        <c:gapWidth val="219"/>
        <c:overlap val="-27"/>
        <c:axId val="39877503"/>
        <c:axId val="39868351"/>
        <c:extLst>
          <c:ext xmlns:c15="http://schemas.microsoft.com/office/drawing/2012/chart" uri="{02D57815-91ED-43cb-92C2-25804820EDAC}">
            <c15:filteredBarSeries>
              <c15:ser>
                <c:idx val="0"/>
                <c:order val="0"/>
                <c:tx>
                  <c:v>Blind ITA</c:v>
                </c:tx>
                <c:spPr>
                  <a:solidFill>
                    <a:schemeClr val="dk1">
                      <a:tint val="88500"/>
                    </a:schemeClr>
                  </a:solidFill>
                  <a:ln>
                    <a:noFill/>
                  </a:ln>
                  <a:effectLst/>
                </c:spPr>
                <c:invertIfNegative val="0"/>
                <c:dLbls>
                  <c:dLbl>
                    <c:idx val="0"/>
                    <c:layout>
                      <c:manualLayout>
                        <c:x val="1.9444444444444393E-2"/>
                        <c:y val="-1.8518518518518517E-2"/>
                      </c:manualLayout>
                    </c:layout>
                    <c:tx>
                      <c:rich>
                        <a:bodyPr/>
                        <a:lstStyle/>
                        <a:p>
                          <a:r>
                            <a:rPr lang="en-US"/>
                            <a:t>*</a:t>
                          </a:r>
                        </a:p>
                      </c:rich>
                    </c:tx>
                    <c:dLblPos val="outEnd"/>
                    <c:showLegendKey val="0"/>
                    <c:showVal val="1"/>
                    <c:showCatName val="0"/>
                    <c:showSerName val="0"/>
                    <c:showPercent val="0"/>
                    <c:showBubbleSize val="0"/>
                    <c:extLst>
                      <c:ext uri="{CE6537A1-D6FC-4f65-9D91-7224C49458BB}">
                        <c15:showDataLabelsRange val="0"/>
                      </c:ext>
                      <c:ext xmlns:c16="http://schemas.microsoft.com/office/drawing/2014/chart" uri="{C3380CC4-5D6E-409C-BE32-E72D297353CC}">
                        <c16:uniqueId val="{00000004-DF1E-40D8-8905-429539CAD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uri="{CE6537A1-D6FC-4f65-9D91-7224C49458BB}">
                      <c15:showLeaderLines val="0"/>
                    </c:ext>
                  </c:extLst>
                </c:dLbls>
                <c:cat>
                  <c:strRef>
                    <c:extLst>
                      <c:ext uri="{02D57815-91ED-43cb-92C2-25804820EDAC}">
                        <c15:formulaRef>
                          <c15:sqref>'Dati  ITA'!$K$21:$M$21</c15:sqref>
                        </c15:formulaRef>
                      </c:ext>
                    </c:extLst>
                    <c:strCache>
                      <c:ptCount val="3"/>
                      <c:pt idx="0">
                        <c:v>Overall Liking</c:v>
                      </c:pt>
                      <c:pt idx="1">
                        <c:v>Appearance</c:v>
                      </c:pt>
                      <c:pt idx="2">
                        <c:v>Odour</c:v>
                      </c:pt>
                    </c:strCache>
                  </c:strRef>
                </c:cat>
                <c:val>
                  <c:numRef>
                    <c:extLst>
                      <c:ext uri="{02D57815-91ED-43cb-92C2-25804820EDAC}">
                        <c15:formulaRef>
                          <c15:sqref>'Dati  ITA'!$H$22:$J$22</c15:sqref>
                        </c15:formulaRef>
                      </c:ext>
                    </c:extLst>
                    <c:numCache>
                      <c:formatCode>General</c:formatCode>
                      <c:ptCount val="3"/>
                      <c:pt idx="0">
                        <c:v>6.647619047619048</c:v>
                      </c:pt>
                      <c:pt idx="1">
                        <c:v>6.8190476190476188</c:v>
                      </c:pt>
                      <c:pt idx="2">
                        <c:v>5.9333333333333336</c:v>
                      </c:pt>
                    </c:numCache>
                  </c:numRef>
                </c:val>
                <c:extLst>
                  <c:ext xmlns:c16="http://schemas.microsoft.com/office/drawing/2014/chart" uri="{C3380CC4-5D6E-409C-BE32-E72D297353CC}">
                    <c16:uniqueId val="{00000005-DF1E-40D8-8905-429539CAD61D}"/>
                  </c:ext>
                </c:extLst>
              </c15:ser>
            </c15:filteredBarSeries>
            <c15:filteredBarSeries>
              <c15:ser>
                <c:idx val="1"/>
                <c:order val="1"/>
                <c:tx>
                  <c:v>Info ITA</c:v>
                </c:tx>
                <c:spPr>
                  <a:solidFill>
                    <a:schemeClr val="dk1">
                      <a:tint val="55000"/>
                    </a:schemeClr>
                  </a:solidFill>
                  <a:ln>
                    <a:noFill/>
                  </a:ln>
                  <a:effectLst/>
                </c:spPr>
                <c:invertIfNegative val="0"/>
                <c:dLbls>
                  <c:delete val="1"/>
                </c:dLbls>
                <c:cat>
                  <c:strRef>
                    <c:extLst xmlns:c15="http://schemas.microsoft.com/office/drawing/2012/chart">
                      <c:ext xmlns:c15="http://schemas.microsoft.com/office/drawing/2012/chart" uri="{02D57815-91ED-43cb-92C2-25804820EDAC}">
                        <c15:formulaRef>
                          <c15:sqref>'Dati  ITA'!$K$21:$M$21</c15:sqref>
                        </c15:formulaRef>
                      </c:ext>
                    </c:extLst>
                    <c:strCache>
                      <c:ptCount val="3"/>
                      <c:pt idx="0">
                        <c:v>Overall Liking</c:v>
                      </c:pt>
                      <c:pt idx="1">
                        <c:v>Appearance</c:v>
                      </c:pt>
                      <c:pt idx="2">
                        <c:v>Odour</c:v>
                      </c:pt>
                    </c:strCache>
                  </c:strRef>
                </c:cat>
                <c:val>
                  <c:numRef>
                    <c:extLst xmlns:c15="http://schemas.microsoft.com/office/drawing/2012/chart">
                      <c:ext xmlns:c15="http://schemas.microsoft.com/office/drawing/2012/chart" uri="{02D57815-91ED-43cb-92C2-25804820EDAC}">
                        <c15:formulaRef>
                          <c15:sqref>'Dati  ITA'!$K$22:$M$22</c15:sqref>
                        </c15:formulaRef>
                      </c:ext>
                    </c:extLst>
                    <c:numCache>
                      <c:formatCode>General</c:formatCode>
                      <c:ptCount val="3"/>
                      <c:pt idx="0">
                        <c:v>7.009615384615385</c:v>
                      </c:pt>
                      <c:pt idx="1">
                        <c:v>7.125</c:v>
                      </c:pt>
                      <c:pt idx="2">
                        <c:v>6.2115384615384617</c:v>
                      </c:pt>
                    </c:numCache>
                  </c:numRef>
                </c:val>
                <c:extLst xmlns:c15="http://schemas.microsoft.com/office/drawing/2012/chart">
                  <c:ext xmlns:c16="http://schemas.microsoft.com/office/drawing/2014/chart" uri="{C3380CC4-5D6E-409C-BE32-E72D297353CC}">
                    <c16:uniqueId val="{00000006-DF1E-40D8-8905-429539CAD61D}"/>
                  </c:ext>
                </c:extLst>
              </c15:ser>
            </c15:filteredBarSeries>
          </c:ext>
        </c:extLst>
      </c:barChart>
      <c:catAx>
        <c:axId val="3987750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39868351"/>
        <c:crosses val="autoZero"/>
        <c:auto val="1"/>
        <c:lblAlgn val="ctr"/>
        <c:lblOffset val="100"/>
        <c:noMultiLvlLbl val="0"/>
      </c:catAx>
      <c:valAx>
        <c:axId val="39868351"/>
        <c:scaling>
          <c:orientation val="minMax"/>
          <c:max val="9"/>
          <c:min val="1"/>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it-IT" sz="800" b="1"/>
                  <a:t>Average liking score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39877503"/>
        <c:crosses val="autoZero"/>
        <c:crossBetween val="between"/>
      </c:valAx>
      <c:spPr>
        <a:noFill/>
        <a:ln>
          <a:noFill/>
        </a:ln>
        <a:effectLst/>
      </c:spPr>
    </c:plotArea>
    <c:legend>
      <c:legendPos val="t"/>
      <c:layout>
        <c:manualLayout>
          <c:xMode val="edge"/>
          <c:yMode val="edge"/>
          <c:x val="0.35741929133858269"/>
          <c:y val="4.2105263157894736E-2"/>
          <c:w val="0.26849475065616796"/>
          <c:h val="7.894792098356126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Medie!$A$1</c:f>
              <c:strCache>
                <c:ptCount val="1"/>
                <c:pt idx="0">
                  <c:v>Yellowfin tuna</c:v>
                </c:pt>
              </c:strCache>
            </c:strRef>
          </c:tx>
          <c:spPr>
            <a:ln w="28575" cap="rnd">
              <a:solidFill>
                <a:schemeClr val="dk1">
                  <a:tint val="88500"/>
                </a:schemeClr>
              </a:solidFill>
              <a:round/>
            </a:ln>
            <a:effectLst/>
          </c:spPr>
          <c:marker>
            <c:symbol val="none"/>
          </c:marker>
          <c:dLbls>
            <c:delete val="1"/>
          </c:dLbls>
          <c:cat>
            <c:strRef>
              <c:f>Medie!$Q$3:$U$3</c:f>
              <c:strCache>
                <c:ptCount val="5"/>
                <c:pt idx="0">
                  <c:v>Colour</c:v>
                </c:pt>
                <c:pt idx="1">
                  <c:v>Shininess </c:v>
                </c:pt>
                <c:pt idx="2">
                  <c:v>Fresh tuna smell</c:v>
                </c:pt>
                <c:pt idx="3">
                  <c:v>Hardness</c:v>
                </c:pt>
                <c:pt idx="4">
                  <c:v>Gumminess</c:v>
                </c:pt>
              </c:strCache>
            </c:strRef>
          </c:cat>
          <c:val>
            <c:numRef>
              <c:f>Medie!$A$4:$E$4</c:f>
              <c:numCache>
                <c:formatCode>0.00</c:formatCode>
                <c:ptCount val="5"/>
                <c:pt idx="0">
                  <c:v>6.4476190476190469</c:v>
                </c:pt>
                <c:pt idx="1">
                  <c:v>6.5142857142857133</c:v>
                </c:pt>
                <c:pt idx="2">
                  <c:v>3.7047619047619045</c:v>
                </c:pt>
                <c:pt idx="3">
                  <c:v>4.1333333333333337</c:v>
                </c:pt>
                <c:pt idx="4">
                  <c:v>2.6904761904761907</c:v>
                </c:pt>
              </c:numCache>
            </c:numRef>
          </c:val>
          <c:extLst>
            <c:ext xmlns:c16="http://schemas.microsoft.com/office/drawing/2014/chart" uri="{C3380CC4-5D6E-409C-BE32-E72D297353CC}">
              <c16:uniqueId val="{00000000-B7BC-4B54-BA4E-F87A70DA9439}"/>
            </c:ext>
          </c:extLst>
        </c:ser>
        <c:ser>
          <c:idx val="1"/>
          <c:order val="1"/>
          <c:tx>
            <c:strRef>
              <c:f>Medie!$Q$1</c:f>
              <c:strCache>
                <c:ptCount val="1"/>
                <c:pt idx="0">
                  <c:v>Bluefin tuna</c:v>
                </c:pt>
              </c:strCache>
            </c:strRef>
          </c:tx>
          <c:spPr>
            <a:ln w="28575" cap="rnd">
              <a:solidFill>
                <a:schemeClr val="dk1">
                  <a:tint val="55000"/>
                </a:schemeClr>
              </a:solidFill>
              <a:round/>
            </a:ln>
            <a:effectLst/>
          </c:spPr>
          <c:marker>
            <c:symbol val="none"/>
          </c:marker>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BC-4B54-BA4E-F87A70DA9439}"/>
                </c:ext>
              </c:extLst>
            </c:dLbl>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7BC-4B54-BA4E-F87A70DA9439}"/>
                </c:ext>
              </c:extLst>
            </c:dLbl>
            <c:dLbl>
              <c:idx val="2"/>
              <c:layout>
                <c:manualLayout>
                  <c:x val="3.3333333333333333E-2"/>
                  <c:y val="2.7777777777777693E-2"/>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7BC-4B54-BA4E-F87A70DA9439}"/>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7BC-4B54-BA4E-F87A70DA9439}"/>
                </c:ext>
              </c:extLst>
            </c:dLbl>
            <c:dLbl>
              <c:idx val="4"/>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7BC-4B54-BA4E-F87A70DA943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Medie!$Q$3:$U$3</c:f>
              <c:strCache>
                <c:ptCount val="5"/>
                <c:pt idx="0">
                  <c:v>Colour</c:v>
                </c:pt>
                <c:pt idx="1">
                  <c:v>Shininess </c:v>
                </c:pt>
                <c:pt idx="2">
                  <c:v>Fresh tuna smell</c:v>
                </c:pt>
                <c:pt idx="3">
                  <c:v>Hardness</c:v>
                </c:pt>
                <c:pt idx="4">
                  <c:v>Gumminess</c:v>
                </c:pt>
              </c:strCache>
            </c:strRef>
          </c:cat>
          <c:val>
            <c:numRef>
              <c:f>Medie!$Q$4:$U$4</c:f>
              <c:numCache>
                <c:formatCode>0.00</c:formatCode>
                <c:ptCount val="5"/>
                <c:pt idx="0">
                  <c:v>5.0809523809523807</c:v>
                </c:pt>
                <c:pt idx="1">
                  <c:v>5.4523809523809526</c:v>
                </c:pt>
                <c:pt idx="2">
                  <c:v>1.6809523809523808</c:v>
                </c:pt>
                <c:pt idx="3">
                  <c:v>6.590476190476191</c:v>
                </c:pt>
                <c:pt idx="4">
                  <c:v>4.0285714285714294</c:v>
                </c:pt>
              </c:numCache>
            </c:numRef>
          </c:val>
          <c:extLst>
            <c:ext xmlns:c16="http://schemas.microsoft.com/office/drawing/2014/chart" uri="{C3380CC4-5D6E-409C-BE32-E72D297353CC}">
              <c16:uniqueId val="{00000006-B7BC-4B54-BA4E-F87A70DA9439}"/>
            </c:ext>
          </c:extLst>
        </c:ser>
        <c:dLbls>
          <c:showLegendKey val="0"/>
          <c:showVal val="1"/>
          <c:showCatName val="0"/>
          <c:showSerName val="0"/>
          <c:showPercent val="0"/>
          <c:showBubbleSize val="0"/>
        </c:dLbls>
        <c:axId val="1635928799"/>
        <c:axId val="1634949471"/>
      </c:radarChart>
      <c:catAx>
        <c:axId val="163592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1634949471"/>
        <c:crosses val="autoZero"/>
        <c:auto val="1"/>
        <c:lblAlgn val="ctr"/>
        <c:lblOffset val="100"/>
        <c:noMultiLvlLbl val="0"/>
      </c:catAx>
      <c:valAx>
        <c:axId val="1634949471"/>
        <c:scaling>
          <c:orientation val="minMax"/>
          <c:max val="10"/>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16359287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Medie!$F$1</c:f>
              <c:strCache>
                <c:ptCount val="1"/>
                <c:pt idx="0">
                  <c:v>Yellowfin tuna</c:v>
                </c:pt>
              </c:strCache>
            </c:strRef>
          </c:tx>
          <c:spPr>
            <a:ln w="28575" cap="rnd">
              <a:solidFill>
                <a:schemeClr val="dk1">
                  <a:tint val="88500"/>
                </a:schemeClr>
              </a:solidFill>
              <a:round/>
            </a:ln>
            <a:effectLst/>
          </c:spPr>
          <c:marker>
            <c:symbol val="none"/>
          </c:marker>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D48-4878-ABCC-32376B74DFD3}"/>
                </c:ext>
              </c:extLst>
            </c:dLbl>
            <c:dLbl>
              <c:idx val="1"/>
              <c:delete val="1"/>
              <c:extLst>
                <c:ext xmlns:c15="http://schemas.microsoft.com/office/drawing/2012/chart" uri="{CE6537A1-D6FC-4f65-9D91-7224C49458BB}"/>
                <c:ext xmlns:c16="http://schemas.microsoft.com/office/drawing/2014/chart" uri="{C3380CC4-5D6E-409C-BE32-E72D297353CC}">
                  <c16:uniqueId val="{00000001-9D48-4878-ABCC-32376B74DFD3}"/>
                </c:ext>
              </c:extLst>
            </c:dLbl>
            <c:dLbl>
              <c:idx val="2"/>
              <c:delete val="1"/>
              <c:extLst>
                <c:ext xmlns:c15="http://schemas.microsoft.com/office/drawing/2012/chart" uri="{CE6537A1-D6FC-4f65-9D91-7224C49458BB}"/>
                <c:ext xmlns:c16="http://schemas.microsoft.com/office/drawing/2014/chart" uri="{C3380CC4-5D6E-409C-BE32-E72D297353CC}">
                  <c16:uniqueId val="{00000002-9D48-4878-ABCC-32376B74DFD3}"/>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D48-4878-ABCC-32376B74DFD3}"/>
                </c:ext>
              </c:extLst>
            </c:dLbl>
            <c:dLbl>
              <c:idx val="4"/>
              <c:layout>
                <c:manualLayout>
                  <c:x val="1.2905604719763876E-2"/>
                  <c:y val="4.5413260672116255E-2"/>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D48-4878-ABCC-32376B74DFD3}"/>
                </c:ext>
              </c:extLst>
            </c:dLbl>
            <c:dLbl>
              <c:idx val="5"/>
              <c:delete val="1"/>
              <c:extLst>
                <c:ext xmlns:c15="http://schemas.microsoft.com/office/drawing/2012/chart" uri="{CE6537A1-D6FC-4f65-9D91-7224C49458BB}"/>
                <c:ext xmlns:c16="http://schemas.microsoft.com/office/drawing/2014/chart" uri="{C3380CC4-5D6E-409C-BE32-E72D297353CC}">
                  <c16:uniqueId val="{00000005-9D48-4878-ABCC-32376B74DFD3}"/>
                </c:ext>
              </c:extLst>
            </c:dLbl>
            <c:dLbl>
              <c:idx val="6"/>
              <c:delete val="1"/>
              <c:extLst>
                <c:ext xmlns:c15="http://schemas.microsoft.com/office/drawing/2012/chart" uri="{CE6537A1-D6FC-4f65-9D91-7224C49458BB}"/>
                <c:ext xmlns:c16="http://schemas.microsoft.com/office/drawing/2014/chart" uri="{C3380CC4-5D6E-409C-BE32-E72D297353CC}">
                  <c16:uniqueId val="{00000006-9D48-4878-ABCC-32376B74DFD3}"/>
                </c:ext>
              </c:extLst>
            </c:dLbl>
            <c:dLbl>
              <c:idx val="7"/>
              <c:layout>
                <c:manualLayout>
                  <c:x val="-1.6592920353982368E-2"/>
                  <c:y val="5.9037238873751133E-2"/>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D48-4878-ABCC-32376B74DFD3}"/>
                </c:ext>
              </c:extLst>
            </c:dLbl>
            <c:dLbl>
              <c:idx val="8"/>
              <c:delete val="1"/>
              <c:extLst>
                <c:ext xmlns:c15="http://schemas.microsoft.com/office/drawing/2012/chart" uri="{CE6537A1-D6FC-4f65-9D91-7224C49458BB}"/>
                <c:ext xmlns:c16="http://schemas.microsoft.com/office/drawing/2014/chart" uri="{C3380CC4-5D6E-409C-BE32-E72D297353CC}">
                  <c16:uniqueId val="{00000008-9D48-4878-ABCC-32376B74DFD3}"/>
                </c:ext>
              </c:extLst>
            </c:dLbl>
            <c:dLbl>
              <c:idx val="9"/>
              <c:layout>
                <c:manualLayout>
                  <c:x val="0"/>
                  <c:y val="8.6285195277020929E-2"/>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D48-4878-ABCC-32376B74DFD3}"/>
                </c:ext>
              </c:extLst>
            </c:dLbl>
            <c:dLbl>
              <c:idx val="10"/>
              <c:delete val="1"/>
              <c:extLst>
                <c:ext xmlns:c15="http://schemas.microsoft.com/office/drawing/2012/chart" uri="{CE6537A1-D6FC-4f65-9D91-7224C49458BB}"/>
                <c:ext xmlns:c16="http://schemas.microsoft.com/office/drawing/2014/chart" uri="{C3380CC4-5D6E-409C-BE32-E72D297353CC}">
                  <c16:uniqueId val="{0000000A-9D48-4878-ABCC-32376B74DF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Medie!$V$3:$AF$3</c:f>
              <c:strCache>
                <c:ptCount val="11"/>
                <c:pt idx="0">
                  <c:v>Colour</c:v>
                </c:pt>
                <c:pt idx="1">
                  <c:v>Homogeinity</c:v>
                </c:pt>
                <c:pt idx="2">
                  <c:v>Shininess </c:v>
                </c:pt>
                <c:pt idx="3">
                  <c:v>Cooked tuna smell</c:v>
                </c:pt>
                <c:pt idx="4">
                  <c:v>Pungent smell</c:v>
                </c:pt>
                <c:pt idx="5">
                  <c:v>Hardness</c:v>
                </c:pt>
                <c:pt idx="6">
                  <c:v>Juiciness</c:v>
                </c:pt>
                <c:pt idx="7">
                  <c:v>Oily</c:v>
                </c:pt>
                <c:pt idx="8">
                  <c:v>Fish flavour</c:v>
                </c:pt>
                <c:pt idx="9">
                  <c:v>Saltiness</c:v>
                </c:pt>
                <c:pt idx="10">
                  <c:v>Sourness</c:v>
                </c:pt>
              </c:strCache>
            </c:strRef>
          </c:cat>
          <c:val>
            <c:numRef>
              <c:f>Medie!$F$4:$P$4</c:f>
              <c:numCache>
                <c:formatCode>0.00</c:formatCode>
                <c:ptCount val="11"/>
                <c:pt idx="0">
                  <c:v>3.7666666666666666</c:v>
                </c:pt>
                <c:pt idx="1">
                  <c:v>5.204761904761904</c:v>
                </c:pt>
                <c:pt idx="2">
                  <c:v>4.7857142857142856</c:v>
                </c:pt>
                <c:pt idx="3">
                  <c:v>4.9047619047619033</c:v>
                </c:pt>
                <c:pt idx="4">
                  <c:v>3.3999999999999995</c:v>
                </c:pt>
                <c:pt idx="5">
                  <c:v>2.6095238095238096</c:v>
                </c:pt>
                <c:pt idx="6">
                  <c:v>5.0047619047619047</c:v>
                </c:pt>
                <c:pt idx="7">
                  <c:v>2.9285714285714288</c:v>
                </c:pt>
                <c:pt idx="8">
                  <c:v>6.1857142857142859</c:v>
                </c:pt>
                <c:pt idx="9">
                  <c:v>7.295238095238096</c:v>
                </c:pt>
                <c:pt idx="10">
                  <c:v>3.4571428571428569</c:v>
                </c:pt>
              </c:numCache>
            </c:numRef>
          </c:val>
          <c:extLst>
            <c:ext xmlns:c16="http://schemas.microsoft.com/office/drawing/2014/chart" uri="{C3380CC4-5D6E-409C-BE32-E72D297353CC}">
              <c16:uniqueId val="{0000000B-9D48-4878-ABCC-32376B74DFD3}"/>
            </c:ext>
          </c:extLst>
        </c:ser>
        <c:ser>
          <c:idx val="1"/>
          <c:order val="1"/>
          <c:tx>
            <c:strRef>
              <c:f>Medie!$V$1</c:f>
              <c:strCache>
                <c:ptCount val="1"/>
                <c:pt idx="0">
                  <c:v>Bluefin tuna</c:v>
                </c:pt>
              </c:strCache>
            </c:strRef>
          </c:tx>
          <c:spPr>
            <a:ln w="28575" cap="rnd">
              <a:solidFill>
                <a:schemeClr val="dk1">
                  <a:tint val="55000"/>
                </a:schemeClr>
              </a:solidFill>
              <a:round/>
            </a:ln>
            <a:effectLst/>
          </c:spPr>
          <c:marker>
            <c:symbol val="none"/>
          </c:marker>
          <c:dLbls>
            <c:delete val="1"/>
          </c:dLbls>
          <c:cat>
            <c:strRef>
              <c:f>Medie!$V$3:$AF$3</c:f>
              <c:strCache>
                <c:ptCount val="11"/>
                <c:pt idx="0">
                  <c:v>Colour</c:v>
                </c:pt>
                <c:pt idx="1">
                  <c:v>Homogeinity</c:v>
                </c:pt>
                <c:pt idx="2">
                  <c:v>Shininess </c:v>
                </c:pt>
                <c:pt idx="3">
                  <c:v>Cooked tuna smell</c:v>
                </c:pt>
                <c:pt idx="4">
                  <c:v>Pungent smell</c:v>
                </c:pt>
                <c:pt idx="5">
                  <c:v>Hardness</c:v>
                </c:pt>
                <c:pt idx="6">
                  <c:v>Juiciness</c:v>
                </c:pt>
                <c:pt idx="7">
                  <c:v>Oily</c:v>
                </c:pt>
                <c:pt idx="8">
                  <c:v>Fish flavour</c:v>
                </c:pt>
                <c:pt idx="9">
                  <c:v>Saltiness</c:v>
                </c:pt>
                <c:pt idx="10">
                  <c:v>Sourness</c:v>
                </c:pt>
              </c:strCache>
            </c:strRef>
          </c:cat>
          <c:val>
            <c:numRef>
              <c:f>Medie!$V$4:$AF$4</c:f>
              <c:numCache>
                <c:formatCode>0.00</c:formatCode>
                <c:ptCount val="11"/>
                <c:pt idx="0">
                  <c:v>2.8142857142857141</c:v>
                </c:pt>
                <c:pt idx="1">
                  <c:v>5.0666666666666664</c:v>
                </c:pt>
                <c:pt idx="2">
                  <c:v>4.7095238095238088</c:v>
                </c:pt>
                <c:pt idx="3">
                  <c:v>5.8142857142857123</c:v>
                </c:pt>
                <c:pt idx="4">
                  <c:v>4.909523809523809</c:v>
                </c:pt>
                <c:pt idx="5">
                  <c:v>3.2095238095238097</c:v>
                </c:pt>
                <c:pt idx="6">
                  <c:v>4.1380952380952376</c:v>
                </c:pt>
                <c:pt idx="7">
                  <c:v>4.6904761904761889</c:v>
                </c:pt>
                <c:pt idx="8">
                  <c:v>6.204761904761904</c:v>
                </c:pt>
                <c:pt idx="9">
                  <c:v>2.8666666666666667</c:v>
                </c:pt>
                <c:pt idx="10">
                  <c:v>4.2095238095238088</c:v>
                </c:pt>
              </c:numCache>
            </c:numRef>
          </c:val>
          <c:extLst>
            <c:ext xmlns:c16="http://schemas.microsoft.com/office/drawing/2014/chart" uri="{C3380CC4-5D6E-409C-BE32-E72D297353CC}">
              <c16:uniqueId val="{0000000C-9D48-4878-ABCC-32376B74DFD3}"/>
            </c:ext>
          </c:extLst>
        </c:ser>
        <c:dLbls>
          <c:showLegendKey val="0"/>
          <c:showVal val="1"/>
          <c:showCatName val="0"/>
          <c:showSerName val="0"/>
          <c:showPercent val="0"/>
          <c:showBubbleSize val="0"/>
        </c:dLbls>
        <c:axId val="1914478943"/>
        <c:axId val="1914482271"/>
      </c:radarChart>
      <c:catAx>
        <c:axId val="191447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1914482271"/>
        <c:crosses val="autoZero"/>
        <c:auto val="1"/>
        <c:lblAlgn val="ctr"/>
        <c:lblOffset val="100"/>
        <c:noMultiLvlLbl val="0"/>
      </c:catAx>
      <c:valAx>
        <c:axId val="1914482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191447894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8869177999423"/>
          <c:y val="0.10651188697875788"/>
          <c:w val="0.83751276107244399"/>
          <c:h val="0.77607132625511122"/>
        </c:manualLayout>
      </c:layout>
      <c:scatterChart>
        <c:scatterStyle val="lineMarker"/>
        <c:varyColors val="0"/>
        <c:ser>
          <c:idx val="0"/>
          <c:order val="0"/>
          <c:tx>
            <c:strRef>
              <c:f>'Effetto trattamento II e III'!$B$1</c:f>
              <c:strCache>
                <c:ptCount val="1"/>
                <c:pt idx="0">
                  <c:v>SEF</c:v>
                </c:pt>
              </c:strCache>
            </c:strRef>
          </c:tx>
          <c:spPr>
            <a:ln w="19050" cap="rnd">
              <a:noFill/>
              <a:round/>
            </a:ln>
            <a:effectLst/>
          </c:spPr>
          <c:marker>
            <c:symbol val="triang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og"/>
            <c:dispRSqr val="0"/>
            <c:dispEq val="0"/>
          </c:trendline>
          <c:xVal>
            <c:numRef>
              <c:f>'Effetto trattamento II e III'!$A$2:$A$11</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'Effetto trattamento II e III'!$B$2:$B$11</c:f>
              <c:numCache>
                <c:formatCode>0</c:formatCode>
                <c:ptCount val="10"/>
                <c:pt idx="0" formatCode="General">
                  <c:v>0</c:v>
                </c:pt>
                <c:pt idx="1">
                  <c:v>2.3888888888888888</c:v>
                </c:pt>
                <c:pt idx="2">
                  <c:v>4.8571428571428577</c:v>
                </c:pt>
                <c:pt idx="3">
                  <c:v>8.2142857142857153</c:v>
                </c:pt>
                <c:pt idx="4">
                  <c:v>11.888888888888889</c:v>
                </c:pt>
                <c:pt idx="5">
                  <c:v>13.063492063492063</c:v>
                </c:pt>
                <c:pt idx="6">
                  <c:v>13.698412698412699</c:v>
                </c:pt>
                <c:pt idx="7">
                  <c:v>14.547619047619047</c:v>
                </c:pt>
                <c:pt idx="8">
                  <c:v>14.634920634920636</c:v>
                </c:pt>
                <c:pt idx="9">
                  <c:v>14.214285714285714</c:v>
                </c:pt>
              </c:numCache>
            </c:numRef>
          </c:yVal>
          <c:smooth val="0"/>
          <c:extLst>
            <c:ext xmlns:c16="http://schemas.microsoft.com/office/drawing/2014/chart" uri="{C3380CC4-5D6E-409C-BE32-E72D297353CC}">
              <c16:uniqueId val="{00000001-713A-4BC9-B74E-2BD5C03B7EB5}"/>
            </c:ext>
          </c:extLst>
        </c:ser>
        <c:ser>
          <c:idx val="1"/>
          <c:order val="1"/>
          <c:tx>
            <c:strRef>
              <c:f>'Effetto trattamento II e III'!$C$1</c:f>
              <c:strCache>
                <c:ptCount val="1"/>
                <c:pt idx="0">
                  <c:v>Classic</c:v>
                </c:pt>
              </c:strCache>
            </c:strRef>
          </c:tx>
          <c:spPr>
            <a:ln w="19050" cap="rnd">
              <a:noFill/>
              <a:round/>
            </a:ln>
            <a:effectLst/>
          </c:spPr>
          <c:marker>
            <c:symbol val="square"/>
            <c:size val="5"/>
            <c:spPr>
              <a:solidFill>
                <a:schemeClr val="dk1">
                  <a:tint val="55000"/>
                </a:schemeClr>
              </a:solidFill>
              <a:ln w="9525">
                <a:solidFill>
                  <a:schemeClr val="dk1">
                    <a:tint val="55000"/>
                  </a:schemeClr>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713A-4BC9-B74E-2BD5C03B7EB5}"/>
                </c:ext>
              </c:extLst>
            </c:dLbl>
            <c:dLbl>
              <c:idx val="1"/>
              <c:delete val="1"/>
              <c:extLst>
                <c:ext xmlns:c15="http://schemas.microsoft.com/office/drawing/2012/chart" uri="{CE6537A1-D6FC-4f65-9D91-7224C49458BB}"/>
                <c:ext xmlns:c16="http://schemas.microsoft.com/office/drawing/2014/chart" uri="{C3380CC4-5D6E-409C-BE32-E72D297353CC}">
                  <c16:uniqueId val="{00000003-713A-4BC9-B74E-2BD5C03B7EB5}"/>
                </c:ext>
              </c:extLst>
            </c:dLbl>
            <c:dLbl>
              <c:idx val="2"/>
              <c:delete val="1"/>
              <c:extLst>
                <c:ext xmlns:c15="http://schemas.microsoft.com/office/drawing/2012/chart" uri="{CE6537A1-D6FC-4f65-9D91-7224C49458BB}"/>
                <c:ext xmlns:c16="http://schemas.microsoft.com/office/drawing/2014/chart" uri="{C3380CC4-5D6E-409C-BE32-E72D297353CC}">
                  <c16:uniqueId val="{00000004-713A-4BC9-B74E-2BD5C03B7EB5}"/>
                </c:ext>
              </c:extLst>
            </c:dLbl>
            <c:dLbl>
              <c:idx val="3"/>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13A-4BC9-B74E-2BD5C03B7EB5}"/>
                </c:ext>
              </c:extLst>
            </c:dLbl>
            <c:dLbl>
              <c:idx val="4"/>
              <c:delete val="1"/>
              <c:extLst>
                <c:ext xmlns:c15="http://schemas.microsoft.com/office/drawing/2012/chart" uri="{CE6537A1-D6FC-4f65-9D91-7224C49458BB}"/>
                <c:ext xmlns:c16="http://schemas.microsoft.com/office/drawing/2014/chart" uri="{C3380CC4-5D6E-409C-BE32-E72D297353CC}">
                  <c16:uniqueId val="{00000006-713A-4BC9-B74E-2BD5C03B7EB5}"/>
                </c:ext>
              </c:extLst>
            </c:dLbl>
            <c:dLbl>
              <c:idx val="5"/>
              <c:delete val="1"/>
              <c:extLst>
                <c:ext xmlns:c15="http://schemas.microsoft.com/office/drawing/2012/chart" uri="{CE6537A1-D6FC-4f65-9D91-7224C49458BB}"/>
                <c:ext xmlns:c16="http://schemas.microsoft.com/office/drawing/2014/chart" uri="{C3380CC4-5D6E-409C-BE32-E72D297353CC}">
                  <c16:uniqueId val="{00000007-713A-4BC9-B74E-2BD5C03B7EB5}"/>
                </c:ext>
              </c:extLst>
            </c:dLbl>
            <c:dLbl>
              <c:idx val="6"/>
              <c:delete val="1"/>
              <c:extLst>
                <c:ext xmlns:c15="http://schemas.microsoft.com/office/drawing/2012/chart" uri="{CE6537A1-D6FC-4f65-9D91-7224C49458BB}"/>
                <c:ext xmlns:c16="http://schemas.microsoft.com/office/drawing/2014/chart" uri="{C3380CC4-5D6E-409C-BE32-E72D297353CC}">
                  <c16:uniqueId val="{00000008-713A-4BC9-B74E-2BD5C03B7EB5}"/>
                </c:ext>
              </c:extLst>
            </c:dLbl>
            <c:dLbl>
              <c:idx val="7"/>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13A-4BC9-B74E-2BD5C03B7EB5}"/>
                </c:ext>
              </c:extLst>
            </c:dLbl>
            <c:dLbl>
              <c:idx val="8"/>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13A-4BC9-B74E-2BD5C03B7EB5}"/>
                </c:ext>
              </c:extLst>
            </c:dLbl>
            <c:dLbl>
              <c:idx val="9"/>
              <c:tx>
                <c:rich>
                  <a:bodyPr/>
                  <a:lstStyle/>
                  <a:p>
                    <a:r>
                      <a:rPr lang="en-US"/>
                      <a: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13A-4BC9-B74E-2BD5C03B7E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'Effetto trattamento II e III'!$A$2:$A$11</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'Effetto trattamento II e III'!$C$2:$C$11</c:f>
              <c:numCache>
                <c:formatCode>0</c:formatCode>
                <c:ptCount val="10"/>
                <c:pt idx="0" formatCode="General">
                  <c:v>0</c:v>
                </c:pt>
                <c:pt idx="1">
                  <c:v>3.7063492063492065</c:v>
                </c:pt>
                <c:pt idx="2">
                  <c:v>5.912698412698413</c:v>
                </c:pt>
                <c:pt idx="3">
                  <c:v>11.571428571428569</c:v>
                </c:pt>
                <c:pt idx="4">
                  <c:v>13.722222222222221</c:v>
                </c:pt>
                <c:pt idx="5">
                  <c:v>13.285714285714285</c:v>
                </c:pt>
                <c:pt idx="6">
                  <c:v>15.555555555555555</c:v>
                </c:pt>
                <c:pt idx="7">
                  <c:v>18.642857142857142</c:v>
                </c:pt>
                <c:pt idx="8">
                  <c:v>17.642857142857142</c:v>
                </c:pt>
                <c:pt idx="9">
                  <c:v>19.992063492063494</c:v>
                </c:pt>
              </c:numCache>
            </c:numRef>
          </c:yVal>
          <c:smooth val="0"/>
          <c:extLst>
            <c:ext xmlns:c16="http://schemas.microsoft.com/office/drawing/2014/chart" uri="{C3380CC4-5D6E-409C-BE32-E72D297353CC}">
              <c16:uniqueId val="{0000000C-713A-4BC9-B74E-2BD5C03B7EB5}"/>
            </c:ext>
          </c:extLst>
        </c:ser>
        <c:dLbls>
          <c:showLegendKey val="0"/>
          <c:showVal val="0"/>
          <c:showCatName val="0"/>
          <c:showSerName val="0"/>
          <c:showPercent val="0"/>
          <c:showBubbleSize val="0"/>
        </c:dLbls>
        <c:axId val="1297905200"/>
        <c:axId val="1297897712"/>
      </c:scatterChart>
      <c:valAx>
        <c:axId val="1297905200"/>
        <c:scaling>
          <c:orientation val="minMax"/>
          <c:max val="9"/>
          <c:min val="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sz="900" b="1"/>
                  <a:t>Time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ysClr val="windowText" lastClr="000000">
                <a:alpha val="96000"/>
              </a:sys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1297897712"/>
        <c:crosses val="autoZero"/>
        <c:crossBetween val="midCat"/>
        <c:majorUnit val="1"/>
      </c:valAx>
      <c:valAx>
        <c:axId val="1297897712"/>
        <c:scaling>
          <c:orientation val="minMax"/>
          <c:max val="28"/>
          <c:min val="0"/>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sz="900" b="1"/>
                  <a:t>QI</a:t>
                </a:r>
                <a:r>
                  <a:rPr lang="it-IT" sz="900" b="1" baseline="0"/>
                  <a:t>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1297905200"/>
        <c:crosses val="autoZero"/>
        <c:crossBetween val="midCat"/>
        <c:majorUnit val="2"/>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0.06653</cdr:x>
      <cdr:y>0.02419</cdr:y>
    </cdr:from>
    <cdr:to>
      <cdr:x>0.17843</cdr:x>
      <cdr:y>0.14214</cdr:y>
    </cdr:to>
    <cdr:sp macro="" textlink="">
      <cdr:nvSpPr>
        <cdr:cNvPr id="2" name="Casella di testo 1"/>
        <cdr:cNvSpPr txBox="1"/>
      </cdr:nvSpPr>
      <cdr:spPr>
        <a:xfrm xmlns:a="http://schemas.openxmlformats.org/drawingml/2006/main">
          <a:off x="167640" y="60960"/>
          <a:ext cx="28194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000" b="1"/>
            <a:t>a</a:t>
          </a:r>
          <a:endParaRPr lang="it-IT"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0.08972</cdr:x>
      <cdr:y>0.01714</cdr:y>
    </cdr:from>
    <cdr:to>
      <cdr:x>0.20161</cdr:x>
      <cdr:y>0.13508</cdr:y>
    </cdr:to>
    <cdr:sp macro="" textlink="">
      <cdr:nvSpPr>
        <cdr:cNvPr id="2" name="Casella di testo 1"/>
        <cdr:cNvSpPr txBox="1"/>
      </cdr:nvSpPr>
      <cdr:spPr>
        <a:xfrm xmlns:a="http://schemas.openxmlformats.org/drawingml/2006/main">
          <a:off x="226060" y="43180"/>
          <a:ext cx="281940" cy="297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b="1"/>
            <a:t>b</a:t>
          </a:r>
        </a:p>
      </cdr:txBody>
    </cdr:sp>
  </cdr:relSizeAnchor>
</c:userShapes>
</file>

<file path=word/drawings/drawing3.xml><?xml version="1.0" encoding="utf-8"?>
<c:userShapes xmlns:c="http://schemas.openxmlformats.org/drawingml/2006/chart">
  <cdr:relSizeAnchor xmlns:cdr="http://schemas.openxmlformats.org/drawingml/2006/chartDrawing">
    <cdr:from>
      <cdr:x>0.15054</cdr:x>
      <cdr:y>0.01999</cdr:y>
    </cdr:from>
    <cdr:to>
      <cdr:x>0.28109</cdr:x>
      <cdr:y>0.1576</cdr:y>
    </cdr:to>
    <cdr:sp macro="" textlink="">
      <cdr:nvSpPr>
        <cdr:cNvPr id="2" name="Casella di testo 1"/>
        <cdr:cNvSpPr txBox="1"/>
      </cdr:nvSpPr>
      <cdr:spPr>
        <a:xfrm xmlns:a="http://schemas.openxmlformats.org/drawingml/2006/main">
          <a:off x="325120" y="43180"/>
          <a:ext cx="281940" cy="297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000" b="1"/>
            <a:t>a</a:t>
          </a:r>
          <a:endParaRPr lang="it-IT"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0.0591</cdr:x>
      <cdr:y>0.02734</cdr:y>
    </cdr:from>
    <cdr:to>
      <cdr:x>0.157</cdr:x>
      <cdr:y>0.13054</cdr:y>
    </cdr:to>
    <cdr:sp macro="" textlink="">
      <cdr:nvSpPr>
        <cdr:cNvPr id="2" name="Casella di testo 1"/>
        <cdr:cNvSpPr txBox="1"/>
      </cdr:nvSpPr>
      <cdr:spPr>
        <a:xfrm xmlns:a="http://schemas.openxmlformats.org/drawingml/2006/main">
          <a:off x="170180" y="78740"/>
          <a:ext cx="281940" cy="297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000" b="1"/>
            <a:t>a</a:t>
          </a:r>
          <a:endParaRPr lang="it-IT"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0.06086</cdr:x>
      <cdr:y>0.03175</cdr:y>
    </cdr:from>
    <cdr:to>
      <cdr:x>0.15877</cdr:x>
      <cdr:y>0.13495</cdr:y>
    </cdr:to>
    <cdr:sp macro="" textlink="">
      <cdr:nvSpPr>
        <cdr:cNvPr id="2" name="Casella di testo 1"/>
        <cdr:cNvSpPr txBox="1"/>
      </cdr:nvSpPr>
      <cdr:spPr>
        <a:xfrm xmlns:a="http://schemas.openxmlformats.org/drawingml/2006/main">
          <a:off x="175260" y="91440"/>
          <a:ext cx="281940" cy="297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b="1"/>
            <a:t>b</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F75A0-8074-4AB5-90A8-133014AD9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2738</Words>
  <Characters>15612</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MAURIELLO</dc:creator>
  <cp:keywords/>
  <dc:description/>
  <cp:lastModifiedBy>GIOVANNI FIORILE</cp:lastModifiedBy>
  <cp:revision>6</cp:revision>
  <dcterms:created xsi:type="dcterms:W3CDTF">2023-06-23T11:01:00Z</dcterms:created>
  <dcterms:modified xsi:type="dcterms:W3CDTF">2023-06-24T14:29:00Z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5aa71c2b658ab401b8894b701990a8d144e2959d57c66e8c9b43d2c745ad6680</vt:lpwstr>
  </property>
</Properties>
</file>