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D14A" w14:textId="6D229FDE" w:rsidR="00CA2F2E" w:rsidRPr="00BC6D50" w:rsidRDefault="005D1943" w:rsidP="00BC6D50">
      <w:pPr>
        <w:pStyle w:val="Titolo"/>
        <w:spacing w:before="600" w:line="240" w:lineRule="auto"/>
        <w:rPr>
          <w:lang w:val="en-GB"/>
        </w:rPr>
      </w:pPr>
      <w:r w:rsidRPr="00BC6D50">
        <w:rPr>
          <w:lang w:val="en-GB"/>
        </w:rPr>
        <w:t>From agri-food waste to high-value compounds via green technology approaches</w:t>
      </w:r>
    </w:p>
    <w:p w14:paraId="4F93AE89" w14:textId="77777777" w:rsidR="005D1943" w:rsidRPr="00BC6D50" w:rsidRDefault="005D1943" w:rsidP="00BC6D50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0"/>
          <w:sz w:val="20"/>
          <w:szCs w:val="20"/>
          <w:lang w:val="de-DE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>Agostina Colacicco (agostina.colacicco@unimi.it)</w:t>
      </w:r>
    </w:p>
    <w:p w14:paraId="6F9B8DCA" w14:textId="7DF17D49" w:rsidR="005D1943" w:rsidRPr="00BC6D50" w:rsidRDefault="005D1943" w:rsidP="00BC6D50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0"/>
          <w:sz w:val="20"/>
          <w:szCs w:val="20"/>
          <w:lang w:val="de-DE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 xml:space="preserve">Dept. </w:t>
      </w:r>
      <w:r w:rsidR="00125827"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>o</w:t>
      </w:r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 xml:space="preserve">f Food, Environmental and Nutritional Sciences, University </w:t>
      </w:r>
      <w:proofErr w:type="spellStart"/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>of</w:t>
      </w:r>
      <w:proofErr w:type="spellEnd"/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 xml:space="preserve"> Milan</w:t>
      </w:r>
      <w:r w:rsidR="00F42516">
        <w:rPr>
          <w:color w:val="auto"/>
          <w:kern w:val="0"/>
          <w:sz w:val="20"/>
          <w:szCs w:val="20"/>
          <w:lang w:val="de-DE" w:eastAsia="zh-CN"/>
          <w14:ligatures w14:val="none"/>
        </w:rPr>
        <w:t>,</w:t>
      </w:r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 xml:space="preserve"> </w:t>
      </w:r>
      <w:proofErr w:type="spellStart"/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>Italy</w:t>
      </w:r>
      <w:proofErr w:type="spellEnd"/>
    </w:p>
    <w:p w14:paraId="3D9B7E49" w14:textId="4B6E4604" w:rsidR="005D1943" w:rsidRPr="00BC6D50" w:rsidRDefault="005D1943" w:rsidP="00BC6D50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0"/>
          <w:sz w:val="20"/>
          <w:szCs w:val="20"/>
          <w:lang w:val="de-DE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>Tutor: D</w:t>
      </w:r>
      <w:r w:rsidR="00125827"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>r.</w:t>
      </w:r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 xml:space="preserve"> Martina Letizia Contente</w:t>
      </w:r>
    </w:p>
    <w:p w14:paraId="6A300E8C" w14:textId="77777777" w:rsidR="00F46ADF" w:rsidRPr="00BC6D50" w:rsidRDefault="004D3503" w:rsidP="00BC6D50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0"/>
          <w:sz w:val="20"/>
          <w:szCs w:val="20"/>
          <w:lang w:val="de-DE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de-DE" w:eastAsia="zh-CN"/>
          <w14:ligatures w14:val="none"/>
        </w:rPr>
        <w:t xml:space="preserve"> </w:t>
      </w:r>
    </w:p>
    <w:p w14:paraId="7FC6A88C" w14:textId="103D86AF" w:rsidR="005D1943" w:rsidRPr="00BC6D50" w:rsidRDefault="005D1943" w:rsidP="00BC6D50">
      <w:pPr>
        <w:pStyle w:val="Corpotesto"/>
        <w:jc w:val="both"/>
        <w:rPr>
          <w:i w:val="0"/>
          <w:iCs w:val="0"/>
          <w:sz w:val="20"/>
          <w:lang w:val="en-GB"/>
        </w:rPr>
      </w:pPr>
      <w:r w:rsidRPr="00BC6D50">
        <w:rPr>
          <w:i w:val="0"/>
          <w:iCs w:val="0"/>
          <w:sz w:val="20"/>
          <w:lang w:val="en-GB"/>
        </w:rPr>
        <w:t xml:space="preserve">The aim of this PhD project </w:t>
      </w:r>
      <w:r w:rsidR="00125827" w:rsidRPr="00BC6D50">
        <w:rPr>
          <w:i w:val="0"/>
          <w:iCs w:val="0"/>
          <w:sz w:val="20"/>
          <w:lang w:val="en-GB"/>
        </w:rPr>
        <w:t>regards the use of</w:t>
      </w:r>
      <w:r w:rsidRPr="00BC6D50">
        <w:rPr>
          <w:i w:val="0"/>
          <w:iCs w:val="0"/>
          <w:sz w:val="20"/>
          <w:lang w:val="en-GB"/>
        </w:rPr>
        <w:t xml:space="preserve"> green technologies</w:t>
      </w:r>
      <w:r w:rsidR="00125827" w:rsidRPr="00BC6D50">
        <w:rPr>
          <w:i w:val="0"/>
          <w:iCs w:val="0"/>
          <w:sz w:val="20"/>
          <w:lang w:val="en-GB"/>
        </w:rPr>
        <w:t xml:space="preserve"> such as biocatalysis, enzyme immobilization, and “in continuous” processes </w:t>
      </w:r>
      <w:r w:rsidRPr="00BC6D50">
        <w:rPr>
          <w:i w:val="0"/>
          <w:iCs w:val="0"/>
          <w:sz w:val="20"/>
          <w:lang w:val="en-GB"/>
        </w:rPr>
        <w:t>to</w:t>
      </w:r>
      <w:r w:rsidR="00125827" w:rsidRPr="00BC6D50">
        <w:rPr>
          <w:i w:val="0"/>
          <w:iCs w:val="0"/>
          <w:sz w:val="20"/>
          <w:lang w:val="en-GB"/>
        </w:rPr>
        <w:t xml:space="preserve"> transform molecules or extracts derived from agri-food waste</w:t>
      </w:r>
      <w:r w:rsidRPr="00BC6D50">
        <w:rPr>
          <w:i w:val="0"/>
          <w:iCs w:val="0"/>
          <w:sz w:val="20"/>
          <w:lang w:val="en-GB"/>
        </w:rPr>
        <w:t xml:space="preserve"> </w:t>
      </w:r>
      <w:r w:rsidR="00125827" w:rsidRPr="00BC6D50">
        <w:rPr>
          <w:i w:val="0"/>
          <w:iCs w:val="0"/>
          <w:sz w:val="20"/>
          <w:lang w:val="en-GB"/>
        </w:rPr>
        <w:t xml:space="preserve">in </w:t>
      </w:r>
      <w:r w:rsidRPr="00BC6D50">
        <w:rPr>
          <w:i w:val="0"/>
          <w:iCs w:val="0"/>
          <w:sz w:val="20"/>
          <w:lang w:val="en-GB"/>
        </w:rPr>
        <w:t>natural valuable compounds</w:t>
      </w:r>
      <w:r w:rsidR="00125827" w:rsidRPr="00BC6D50">
        <w:rPr>
          <w:i w:val="0"/>
          <w:iCs w:val="0"/>
          <w:sz w:val="20"/>
          <w:lang w:val="en-GB"/>
        </w:rPr>
        <w:t>/enriched extracts</w:t>
      </w:r>
      <w:r w:rsidRPr="00BC6D50">
        <w:rPr>
          <w:i w:val="0"/>
          <w:iCs w:val="0"/>
          <w:sz w:val="20"/>
          <w:lang w:val="en-GB"/>
        </w:rPr>
        <w:t xml:space="preserve"> with attractive biological properties</w:t>
      </w:r>
      <w:r w:rsidR="00125827" w:rsidRPr="00BC6D50">
        <w:rPr>
          <w:i w:val="0"/>
          <w:iCs w:val="0"/>
          <w:sz w:val="20"/>
          <w:lang w:val="en-GB"/>
        </w:rPr>
        <w:t xml:space="preserve"> (circular economy approach)</w:t>
      </w:r>
      <w:r w:rsidRPr="00BC6D50">
        <w:rPr>
          <w:i w:val="0"/>
          <w:iCs w:val="0"/>
          <w:sz w:val="20"/>
          <w:lang w:val="en-GB"/>
        </w:rPr>
        <w:t xml:space="preserve">. </w:t>
      </w:r>
      <w:r w:rsidR="00125827" w:rsidRPr="00BC6D50">
        <w:rPr>
          <w:i w:val="0"/>
          <w:iCs w:val="0"/>
          <w:sz w:val="20"/>
          <w:lang w:val="en-GB"/>
        </w:rPr>
        <w:t xml:space="preserve">The combination of the above cited technologies demonstrated to enhance the sustainability, </w:t>
      </w:r>
      <w:proofErr w:type="gramStart"/>
      <w:r w:rsidR="00553D81" w:rsidRPr="00BC6D50">
        <w:rPr>
          <w:i w:val="0"/>
          <w:iCs w:val="0"/>
          <w:sz w:val="20"/>
          <w:lang w:val="en-GB"/>
        </w:rPr>
        <w:t>selectivity</w:t>
      </w:r>
      <w:proofErr w:type="gramEnd"/>
      <w:r w:rsidR="00125827" w:rsidRPr="00BC6D50">
        <w:rPr>
          <w:i w:val="0"/>
          <w:iCs w:val="0"/>
          <w:sz w:val="20"/>
          <w:lang w:val="en-GB"/>
        </w:rPr>
        <w:t xml:space="preserve"> and productivity, of chemical </w:t>
      </w:r>
      <w:r w:rsidRPr="00BC6D50">
        <w:rPr>
          <w:i w:val="0"/>
          <w:iCs w:val="0"/>
          <w:sz w:val="20"/>
          <w:lang w:val="en-GB"/>
        </w:rPr>
        <w:t>processes</w:t>
      </w:r>
      <w:r w:rsidR="00125827" w:rsidRPr="00BC6D50">
        <w:rPr>
          <w:i w:val="0"/>
          <w:iCs w:val="0"/>
          <w:sz w:val="20"/>
          <w:lang w:val="en-GB"/>
        </w:rPr>
        <w:t>.</w:t>
      </w:r>
      <w:r w:rsidRPr="00BC6D50">
        <w:rPr>
          <w:i w:val="0"/>
          <w:iCs w:val="0"/>
          <w:sz w:val="20"/>
          <w:lang w:val="en-GB"/>
        </w:rPr>
        <w:t xml:space="preserve"> </w:t>
      </w:r>
    </w:p>
    <w:p w14:paraId="033CF1E9" w14:textId="561DB5E9" w:rsidR="005D1943" w:rsidRPr="00BC6D50" w:rsidRDefault="005D1943" w:rsidP="00BC6D50">
      <w:pPr>
        <w:pStyle w:val="Titolo"/>
        <w:spacing w:before="240" w:line="240" w:lineRule="auto"/>
        <w:rPr>
          <w:sz w:val="24"/>
          <w:lang w:val="it-IT"/>
        </w:rPr>
      </w:pPr>
      <w:r w:rsidRPr="00BC6D50">
        <w:rPr>
          <w:sz w:val="24"/>
          <w:lang w:val="it-IT"/>
        </w:rPr>
        <w:t xml:space="preserve">Dai rifiuti </w:t>
      </w:r>
      <w:proofErr w:type="spellStart"/>
      <w:r w:rsidRPr="00BC6D50">
        <w:rPr>
          <w:sz w:val="24"/>
          <w:lang w:val="it-IT"/>
        </w:rPr>
        <w:t>agoalimetari</w:t>
      </w:r>
      <w:proofErr w:type="spellEnd"/>
      <w:r w:rsidRPr="00BC6D50">
        <w:rPr>
          <w:sz w:val="24"/>
          <w:lang w:val="it-IT"/>
        </w:rPr>
        <w:t xml:space="preserve"> ai composti ad alto valore attraverso approcci di green </w:t>
      </w:r>
      <w:proofErr w:type="spellStart"/>
      <w:r w:rsidRPr="00BC6D50">
        <w:rPr>
          <w:sz w:val="24"/>
          <w:lang w:val="it-IT"/>
        </w:rPr>
        <w:t>technologies</w:t>
      </w:r>
      <w:proofErr w:type="spellEnd"/>
    </w:p>
    <w:p w14:paraId="369EB481" w14:textId="36707B0E" w:rsidR="00CA2F2E" w:rsidRPr="00BC6D50" w:rsidRDefault="00553D81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eastAsia="zh-CN"/>
          <w14:ligatures w14:val="none"/>
        </w:rPr>
        <w:t xml:space="preserve">L'obiettivo di questo progetto di dottorato riguarda l'uso di </w:t>
      </w:r>
      <w:r w:rsidR="00424B29" w:rsidRPr="00BC6D50">
        <w:rPr>
          <w:color w:val="auto"/>
          <w:kern w:val="0"/>
          <w:sz w:val="20"/>
          <w:szCs w:val="20"/>
          <w:lang w:eastAsia="zh-CN"/>
          <w14:ligatures w14:val="none"/>
        </w:rPr>
        <w:t xml:space="preserve">tecnologie green </w:t>
      </w:r>
      <w:r w:rsidRPr="00BC6D50">
        <w:rPr>
          <w:color w:val="auto"/>
          <w:kern w:val="0"/>
          <w:sz w:val="20"/>
          <w:szCs w:val="20"/>
          <w:lang w:eastAsia="zh-CN"/>
          <w14:ligatures w14:val="none"/>
        </w:rPr>
        <w:t xml:space="preserve">come </w:t>
      </w:r>
      <w:proofErr w:type="spellStart"/>
      <w:r w:rsidRPr="00BC6D50">
        <w:rPr>
          <w:color w:val="auto"/>
          <w:kern w:val="0"/>
          <w:sz w:val="20"/>
          <w:szCs w:val="20"/>
          <w:lang w:eastAsia="zh-CN"/>
          <w14:ligatures w14:val="none"/>
        </w:rPr>
        <w:t>biocatalisi</w:t>
      </w:r>
      <w:proofErr w:type="spellEnd"/>
      <w:r w:rsidRPr="00BC6D50">
        <w:rPr>
          <w:color w:val="auto"/>
          <w:kern w:val="0"/>
          <w:sz w:val="20"/>
          <w:szCs w:val="20"/>
          <w:lang w:eastAsia="zh-CN"/>
          <w14:ligatures w14:val="none"/>
        </w:rPr>
        <w:t>, immobilizzazione enzimatica e processi “in continuo” per trasformare molecole o estratti derivati da scarti agroalimentari in composti naturali di pregio/estratti arricchiti con interessanti proprietà biologiche (approccio di economia circolare). È stato dimostrato che la combinazione delle tecnologie sopra citate migliora la sostenibilità, la selettività e la produttività dei processi chimici.</w:t>
      </w:r>
    </w:p>
    <w:p w14:paraId="79FE7D5B" w14:textId="77777777" w:rsidR="00553D81" w:rsidRPr="00BC6D50" w:rsidRDefault="00553D81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eastAsia="zh-CN"/>
          <w14:ligatures w14:val="none"/>
        </w:rPr>
      </w:pPr>
    </w:p>
    <w:p w14:paraId="6781B87E" w14:textId="77777777" w:rsidR="00BC6D50" w:rsidRDefault="00BC6D50" w:rsidP="00BC6D50">
      <w:pPr>
        <w:pStyle w:val="Titolo1"/>
        <w:spacing w:before="240" w:after="120"/>
        <w:ind w:right="0"/>
        <w:jc w:val="left"/>
        <w:rPr>
          <w:b w:val="0"/>
          <w:bCs/>
          <w:sz w:val="24"/>
          <w:lang w:val="en-GB"/>
        </w:rPr>
      </w:pPr>
      <w:r>
        <w:rPr>
          <w:bCs/>
          <w:sz w:val="24"/>
          <w:lang w:val="en-GB"/>
        </w:rPr>
        <w:t>1. State-of-the-Art</w:t>
      </w:r>
    </w:p>
    <w:p w14:paraId="6B8ABFA7" w14:textId="52EB9A72" w:rsidR="007F2EB2" w:rsidRPr="00BC6D50" w:rsidRDefault="00CB0D99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With the population growth approaching now 8 billion people as well as the modification of the </w:t>
      </w:r>
      <w:proofErr w:type="gramStart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life-style</w:t>
      </w:r>
      <w:proofErr w:type="gramEnd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and the eating habits, a large increase of the agri-food companies involved in the production and processing of food-related compounds was observed, s</w:t>
      </w:r>
      <w:r w:rsidR="00424B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o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much that agri-food-industrial waste became a significant environmental and economic problem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(Sagar </w:t>
      </w:r>
      <w:r w:rsidR="00541AAC" w:rsidRPr="00165CE0">
        <w:rPr>
          <w:i/>
          <w:iCs/>
          <w:color w:val="auto"/>
          <w:kern w:val="0"/>
          <w:sz w:val="20"/>
          <w:szCs w:val="20"/>
          <w:lang w:val="en-GB" w:eastAsia="zh-CN"/>
          <w14:ligatures w14:val="none"/>
        </w:rPr>
        <w:t>et al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., 2018)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 In fact, tones of agri-food residues generally made up of seeds, peels, leaves, skins, branches, trunks, roots are typically unexploited and need to be managed and disposed. Moreover, m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ost of these residues have demonstrated to contain natural valuable compounds with attractive biological properties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n this context, waste minimization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together with the possibility of bioactive recovery and their modification through green methodologies 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can represent an appealing business opportunity for the agr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-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food, nutraceutical, cosmetic and pharmaceutical companies, among others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(</w:t>
      </w:r>
      <w:proofErr w:type="spellStart"/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Tonini</w:t>
      </w:r>
      <w:proofErr w:type="spellEnd"/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541AAC" w:rsidRPr="00165CE0">
        <w:rPr>
          <w:i/>
          <w:iCs/>
          <w:color w:val="auto"/>
          <w:kern w:val="0"/>
          <w:sz w:val="20"/>
          <w:szCs w:val="20"/>
          <w:lang w:val="en-GB" w:eastAsia="zh-CN"/>
          <w14:ligatures w14:val="none"/>
        </w:rPr>
        <w:t>et al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., 2018)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. </w:t>
      </w:r>
    </w:p>
    <w:p w14:paraId="414FA280" w14:textId="44FE4E19" w:rsidR="005D1943" w:rsidRPr="00BC6D50" w:rsidRDefault="005D1943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Biocatalysis</w:t>
      </w:r>
      <w:r w:rsidR="00CB0D9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the branch of biotechnologies aiming at using living systems or their parts (enzymes) to catalyze chemical reactions</w:t>
      </w:r>
      <w:r w:rsidR="00CB0D9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has been recognized 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as a valuable tool for chemists </w:t>
      </w:r>
      <w:r w:rsidR="00CB0D9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if stable and robust biocatalysts can be employed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(</w:t>
      </w:r>
      <w:proofErr w:type="spellStart"/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Contente</w:t>
      </w:r>
      <w:proofErr w:type="spellEnd"/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541AAC" w:rsidRPr="00165CE0">
        <w:rPr>
          <w:i/>
          <w:iCs/>
          <w:color w:val="auto"/>
          <w:kern w:val="0"/>
          <w:sz w:val="20"/>
          <w:szCs w:val="20"/>
          <w:lang w:val="en-GB" w:eastAsia="zh-CN"/>
          <w14:ligatures w14:val="none"/>
        </w:rPr>
        <w:t>et al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., 2021)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. 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In this context,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CB0D9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“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extremozymes</w:t>
      </w:r>
      <w:r w:rsidR="00CB0D9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”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CB0D9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proteins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derived from 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microorganisms adapted to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live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in drastic environments (e.g., high/low temperature solvent and pH) demonstrated to be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more 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tolerant to industrial processes with respect to the mesophilic counterparts.</w:t>
      </w:r>
    </w:p>
    <w:p w14:paraId="2719E2B7" w14:textId="766E63D3" w:rsidR="005D1943" w:rsidRPr="00BC6D50" w:rsidRDefault="00144DDD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To further increase enzym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e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stability and allow the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ir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recover and reuse, 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immobili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zation techniques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on solid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supports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can be exploited, also facilitating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catalyst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incorporation in flow chemistry reactors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(</w:t>
      </w:r>
      <w:proofErr w:type="spellStart"/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Bommarius</w:t>
      </w:r>
      <w:proofErr w:type="spellEnd"/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541AAC" w:rsidRPr="00165CE0">
        <w:rPr>
          <w:i/>
          <w:iCs/>
          <w:color w:val="auto"/>
          <w:kern w:val="0"/>
          <w:sz w:val="20"/>
          <w:szCs w:val="20"/>
          <w:lang w:val="en-GB" w:eastAsia="zh-CN"/>
          <w14:ligatures w14:val="none"/>
        </w:rPr>
        <w:t>et al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., 2013)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</w:t>
      </w:r>
    </w:p>
    <w:p w14:paraId="5003C48E" w14:textId="1F7A9F11" w:rsidR="00DB245C" w:rsidRPr="00BC6D50" w:rsidRDefault="007F2EB2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Among the advantages of “in continuous” systems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high local concentration of the biocatalyst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,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superior </w:t>
      </w:r>
      <w:proofErr w:type="gramStart"/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mass</w:t>
      </w:r>
      <w:proofErr w:type="gramEnd"/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and heat transfer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, impacting on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reaction times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as well as the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addition of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in-line work-up and purification steps enhancing the system automation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are noteworthy. </w:t>
      </w:r>
      <w:proofErr w:type="gramStart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Moreover</w:t>
      </w:r>
      <w:proofErr w:type="gramEnd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b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y adding more bioreactors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in series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it</w:t>
      </w:r>
      <w:r w:rsidR="00144DD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is 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possible to set up multi-enzymatic cascade reactions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(</w:t>
      </w:r>
      <w:proofErr w:type="spellStart"/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Benítez-Mateos</w:t>
      </w:r>
      <w:proofErr w:type="spellEnd"/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541AAC" w:rsidRPr="00165CE0">
        <w:rPr>
          <w:i/>
          <w:iCs/>
          <w:color w:val="auto"/>
          <w:kern w:val="0"/>
          <w:sz w:val="20"/>
          <w:szCs w:val="20"/>
          <w:lang w:val="en-GB" w:eastAsia="zh-CN"/>
          <w14:ligatures w14:val="none"/>
        </w:rPr>
        <w:t>et al</w:t>
      </w:r>
      <w:r w:rsidR="00541AA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., 2021)</w:t>
      </w:r>
      <w:r w:rsidR="005D194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. </w:t>
      </w:r>
    </w:p>
    <w:p w14:paraId="7EEE24C9" w14:textId="63CC51A9" w:rsidR="007F2EB2" w:rsidRPr="00BC6D50" w:rsidRDefault="00B96A5C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In this project we decided to focus our attention on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natural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glycosides and their transformation into the corresponding aglycones characterized by superior bioavailability and/or bioactivity. To do this extremophilic β-glycosidases were selected as biocatalysts </w:t>
      </w:r>
      <w:r w:rsidR="00012E2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together with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012E2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four different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7F2EB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agri-food </w:t>
      </w:r>
      <w:r w:rsidR="00012E2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residues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as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glycosides natural sources</w:t>
      </w:r>
      <w:r w:rsidR="00012E2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</w:t>
      </w:r>
    </w:p>
    <w:p w14:paraId="44A5D047" w14:textId="6348F7A0" w:rsidR="00144DDD" w:rsidRPr="00BC6D50" w:rsidRDefault="00144DDD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Soybean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cultivation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produces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one of the largest </w:t>
      </w:r>
      <w:proofErr w:type="spellStart"/>
      <w:r w:rsidR="00B96A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agri</w:t>
      </w:r>
      <w:proofErr w:type="spellEnd"/>
      <w:r w:rsidR="00B96A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-waste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worldwide. 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The residues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contain three types of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isoflavones (daidzein, genistei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n, and </w:t>
      </w:r>
      <w:proofErr w:type="spellStart"/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glycitein</w:t>
      </w:r>
      <w:proofErr w:type="spellEnd"/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), which can be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found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mainly as glycosides. Recently,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commercial preparations of isoflavones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have come to the public attention 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due to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their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positive effects on cognitive function. However,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when the biological activities of these compounds are considered,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the bioavailability of the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aglycones has been suggested to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be higher than that of the glycoside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s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; but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they represent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only a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minor co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nstituent of 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soy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-residues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B-gly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c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osidases can be used to hydrolyze isoflavone gly</w:t>
      </w:r>
      <w:r w:rsidR="00DB245C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cosides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to their aglycon</w:t>
      </w:r>
      <w:r w:rsidR="00BB0E0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e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s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thus obtaining 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high-value products.</w:t>
      </w:r>
      <w:r w:rsidR="00DB245C" w:rsidRPr="00BC6D50" w:rsidDel="00B96A5C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Among natural fragrances, vanilla is the most employed in the perfume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cosmetic and </w:t>
      </w:r>
      <w:r w:rsidR="00012E2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food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industry, due to its aromatic characteristics</w:t>
      </w:r>
      <w:r w:rsidR="00012E2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Being i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</w:t>
      </w:r>
      <w:r w:rsidR="00012E2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s 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plant </w:t>
      </w:r>
      <w:r w:rsidR="00012E2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extraction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quite expensive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several synthetic strategies have been developed for vanillin preparation. As an important fraction of vanillin is </w:t>
      </w:r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still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present 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as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proofErr w:type="spellStart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glucovanillin</w:t>
      </w:r>
      <w:proofErr w:type="spellEnd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in the 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plant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residues 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as well as in the </w:t>
      </w:r>
      <w:r w:rsidR="00744BF3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wastewater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distillation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β-glycosidases can be used to hydrolyze this glycoside to its aglycone. </w:t>
      </w:r>
    </w:p>
    <w:p w14:paraId="456AD078" w14:textId="723FB4F0" w:rsidR="00144DDD" w:rsidRPr="00BC6D50" w:rsidRDefault="00144DDD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Enzymes can also be associated in cascade reactions. For </w:t>
      </w:r>
      <w:proofErr w:type="gramStart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example</w:t>
      </w:r>
      <w:proofErr w:type="gramEnd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for the preparation of </w:t>
      </w:r>
      <w:proofErr w:type="spellStart"/>
      <w:r w:rsidR="00B60656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h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ydroxytyrosol</w:t>
      </w:r>
      <w:proofErr w:type="spellEnd"/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one of the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lastRenderedPageBreak/>
        <w:t>most powerful antioxidant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s starting from oleuropein, the major component of olive leaves and branches as well as for the obtainment of the aglycones from citrus </w:t>
      </w:r>
      <w:proofErr w:type="spellStart"/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rutinosides</w:t>
      </w:r>
      <w:proofErr w:type="spellEnd"/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(e.g., </w:t>
      </w:r>
      <w:proofErr w:type="spellStart"/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rutin</w:t>
      </w:r>
      <w:proofErr w:type="spellEnd"/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and </w:t>
      </w:r>
      <w:proofErr w:type="spellStart"/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hesperetin</w:t>
      </w:r>
      <w:proofErr w:type="spellEnd"/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)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mainly present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in the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inedible parts of 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citrus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fruits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especially peels and leaves.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</w:p>
    <w:p w14:paraId="45D51C2C" w14:textId="177E5CD4" w:rsidR="005B45BF" w:rsidRPr="00BC6D50" w:rsidRDefault="00144DDD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According to FDA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EMA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and EFSA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regulation, processing natural molecules through biocatalytic approaches allows for the final compounds to be 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claimed as 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natural, thus increasing their market value</w:t>
      </w:r>
      <w:r w:rsidR="0033277D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</w:t>
      </w:r>
    </w:p>
    <w:p w14:paraId="1656759D" w14:textId="77777777" w:rsidR="00BC6D50" w:rsidRDefault="00BC6D50" w:rsidP="00BC6D50">
      <w:pPr>
        <w:pStyle w:val="Titolo1"/>
        <w:spacing w:before="240" w:after="120"/>
        <w:ind w:right="0"/>
        <w:jc w:val="left"/>
        <w:rPr>
          <w:b w:val="0"/>
          <w:bCs/>
          <w:sz w:val="24"/>
          <w:lang w:val="en-GB"/>
        </w:rPr>
      </w:pPr>
      <w:r>
        <w:rPr>
          <w:bCs/>
          <w:sz w:val="24"/>
          <w:lang w:val="en-GB"/>
        </w:rPr>
        <w:t>2. PhD Thesis Objectives and Milestones</w:t>
      </w:r>
    </w:p>
    <w:p w14:paraId="0E51F489" w14:textId="36942AEA" w:rsidR="00907335" w:rsidRPr="00533309" w:rsidRDefault="00EA27C9" w:rsidP="00BC6D50">
      <w:pPr>
        <w:widowControl w:val="0"/>
        <w:suppressAutoHyphens/>
        <w:spacing w:before="300" w:after="120" w:line="240" w:lineRule="auto"/>
        <w:ind w:left="0" w:firstLine="0"/>
        <w:jc w:val="left"/>
        <w:rPr>
          <w:b/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</w:pPr>
      <w:r w:rsidRPr="00642AA4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7ACE16" wp14:editId="7B677541">
                <wp:simplePos x="0" y="0"/>
                <wp:positionH relativeFrom="column">
                  <wp:posOffset>284150</wp:posOffset>
                </wp:positionH>
                <wp:positionV relativeFrom="paragraph">
                  <wp:posOffset>344170</wp:posOffset>
                </wp:positionV>
                <wp:extent cx="914400" cy="197485"/>
                <wp:effectExtent l="0" t="0" r="12700" b="18415"/>
                <wp:wrapNone/>
                <wp:docPr id="947383578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9748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FB34F" id="Immagine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2.35pt,27.1pt" to="94.35pt,4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" strokeweight=".26mm">
                <v:stroke joinstyle="miter"/>
              </v:line>
            </w:pict>
          </mc:Fallback>
        </mc:AlternateContent>
      </w:r>
      <w:r w:rsidR="00907335" w:rsidRPr="00642AA4">
        <w:rPr>
          <w:b/>
          <w:color w:val="auto"/>
          <w:kern w:val="0"/>
          <w:sz w:val="18"/>
          <w:szCs w:val="18"/>
          <w:lang w:val="en-GB" w:eastAsia="zh-CN"/>
          <w14:ligatures w14:val="none"/>
        </w:rPr>
        <w:t>Table 1</w:t>
      </w:r>
      <w:r w:rsidR="00907335" w:rsidRPr="00533309">
        <w:rPr>
          <w:b/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="00907335" w:rsidRPr="00533309">
        <w:rPr>
          <w:bCs/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Gantt diagram for this PhD thesis project.</w:t>
      </w:r>
    </w:p>
    <w:tbl>
      <w:tblPr>
        <w:tblpPr w:leftFromText="141" w:rightFromText="141" w:vertAnchor="text" w:horzAnchor="margin" w:tblpY="29"/>
        <w:tblW w:w="5000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784"/>
        <w:gridCol w:w="240"/>
        <w:gridCol w:w="240"/>
        <w:gridCol w:w="238"/>
        <w:gridCol w:w="239"/>
        <w:gridCol w:w="239"/>
        <w:gridCol w:w="238"/>
        <w:gridCol w:w="239"/>
        <w:gridCol w:w="238"/>
        <w:gridCol w:w="239"/>
        <w:gridCol w:w="238"/>
        <w:gridCol w:w="239"/>
        <w:gridCol w:w="239"/>
        <w:gridCol w:w="237"/>
        <w:gridCol w:w="238"/>
        <w:gridCol w:w="241"/>
        <w:gridCol w:w="242"/>
        <w:gridCol w:w="240"/>
        <w:gridCol w:w="241"/>
        <w:gridCol w:w="241"/>
        <w:gridCol w:w="242"/>
        <w:gridCol w:w="240"/>
        <w:gridCol w:w="241"/>
        <w:gridCol w:w="242"/>
        <w:gridCol w:w="274"/>
      </w:tblGrid>
      <w:tr w:rsidR="00907335" w14:paraId="1FD1B3E9" w14:textId="77777777" w:rsidTr="00E35D1A">
        <w:trPr>
          <w:cantSplit/>
          <w:trHeight w:val="23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0E1" w14:textId="2A847549" w:rsidR="00907335" w:rsidRDefault="00907335" w:rsidP="00E35D1A">
            <w:pPr>
              <w:pStyle w:val="Titolo2"/>
            </w:pP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 w:rsidR="00EA27C9">
              <w:rPr>
                <w:bCs/>
                <w:sz w:val="18"/>
              </w:rPr>
              <w:t xml:space="preserve">                     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C523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C1E7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324B43B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222F1D6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1A44D47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735488D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22D3D11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C8C619C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0896C80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3143847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9BFC418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CD2D7C9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FAD18A7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E97A851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099C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8BE0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154E0ED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5A1B1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C29D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F909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9108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B3AD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D089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E5B1" w14:textId="77777777" w:rsidR="00907335" w:rsidRDefault="00907335" w:rsidP="00E35D1A">
            <w:pPr>
              <w:jc w:val="left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E35D1A" w:rsidRPr="006E4B87" w14:paraId="4EF44208" w14:textId="77777777" w:rsidTr="00E35D1A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57F9" w14:textId="4790B21C" w:rsidR="00E35D1A" w:rsidRDefault="00671BBE" w:rsidP="00671BBE">
            <w:pPr>
              <w:ind w:left="0" w:firstLine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E35D1A">
              <w:rPr>
                <w:sz w:val="18"/>
                <w:lang w:val="en-GB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D242" w14:textId="19A4E8D8" w:rsidR="00E35D1A" w:rsidRPr="00907335" w:rsidRDefault="00E35D1A" w:rsidP="00E35D1A">
            <w:pPr>
              <w:spacing w:after="0" w:line="240" w:lineRule="auto"/>
              <w:jc w:val="left"/>
              <w:rPr>
                <w:b/>
                <w:bCs/>
                <w:i/>
                <w:iCs/>
                <w:sz w:val="18"/>
                <w:lang w:val="en-US"/>
              </w:rPr>
            </w:pPr>
            <w:r w:rsidRPr="00907335">
              <w:rPr>
                <w:b/>
                <w:bCs/>
                <w:i/>
                <w:iCs/>
                <w:sz w:val="18"/>
                <w:lang w:val="en-US"/>
              </w:rPr>
              <w:t>Glycoside green extraction, purification, and analysis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3D960FE9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40ED20B5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640C8908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4FF1EA79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0EBCF362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01D1BEC3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668FEF3E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3ADA0467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8E7BCF5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4D48DF2A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7FA63821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26C43D14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168021B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E25977C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2313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5E21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7F6E3BE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BC00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2CE2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EA0" w14:textId="7777777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DF67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63DC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D461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3E78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</w:tr>
      <w:tr w:rsidR="00E35D1A" w14:paraId="254C7C6B" w14:textId="77777777" w:rsidTr="00E35D1A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C010" w14:textId="3E641170" w:rsidR="00E35D1A" w:rsidRDefault="00671BBE" w:rsidP="00E35D1A">
            <w:pPr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E35D1A">
              <w:rPr>
                <w:sz w:val="18"/>
                <w:lang w:val="en-GB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21F80" w14:textId="7D32996C" w:rsidR="00E35D1A" w:rsidRDefault="00E35D1A" w:rsidP="00E35D1A">
            <w:pPr>
              <w:jc w:val="left"/>
              <w:rPr>
                <w:b/>
                <w:bCs/>
                <w:i/>
                <w:iCs/>
                <w:sz w:val="18"/>
                <w:lang w:val="en-GB"/>
              </w:rPr>
            </w:pPr>
            <w:r w:rsidRPr="00907335">
              <w:rPr>
                <w:b/>
                <w:bCs/>
                <w:i/>
                <w:iCs/>
                <w:sz w:val="18"/>
                <w:lang w:val="en-US"/>
              </w:rPr>
              <w:t>Batch reaction optimization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03BF2461" w14:textId="0D3DEE2F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56E35D87" w14:textId="1BE7439D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6B87E668" w14:textId="12199CE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79F2016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0E9ED306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7E123749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1BDFEEDF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78DBA485" w14:textId="7BA50C9A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1D437569" w14:textId="05E1631D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3FFBF09F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3F4AD56F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34EADCB7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12226B5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633B983" w14:textId="32A40A0E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7C35" w14:textId="5A228F9B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B7C6" w14:textId="7AEC02F3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F5BFB73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406C" w14:textId="4B3A15B8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3A50" w14:textId="0E600DFC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E90D" w14:textId="160543BB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7754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C906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E085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132C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</w:tr>
      <w:tr w:rsidR="00E35D1A" w:rsidRPr="00324293" w14:paraId="4932E91D" w14:textId="77777777" w:rsidTr="00E35D1A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CB0C" w14:textId="7C7E3DD5" w:rsidR="00E35D1A" w:rsidRDefault="00671BBE" w:rsidP="00E35D1A">
            <w:pPr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E35D1A">
              <w:rPr>
                <w:sz w:val="18"/>
                <w:lang w:val="en-GB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4B58" w14:textId="6FD92357" w:rsidR="00E35D1A" w:rsidRDefault="00E35D1A" w:rsidP="00E35D1A">
            <w:pPr>
              <w:jc w:val="left"/>
              <w:rPr>
                <w:b/>
                <w:bCs/>
                <w:i/>
                <w:iCs/>
                <w:sz w:val="18"/>
                <w:lang w:val="en-GB"/>
              </w:rPr>
            </w:pPr>
            <w:r w:rsidRPr="00907335">
              <w:rPr>
                <w:b/>
                <w:bCs/>
                <w:i/>
                <w:iCs/>
                <w:sz w:val="18"/>
                <w:lang w:val="en-US"/>
              </w:rPr>
              <w:t>Enzyme immobilization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4B1E73D2" w14:textId="630425D6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6A4E0BA4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4F216FF0" w14:textId="312C78D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0D03077" w14:textId="1224410C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DE01CBF" w14:textId="13E02FA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79BBAB38" w14:textId="1A908EF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2FA46966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16C30D1" w14:textId="36C90174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3E9995B2" w14:textId="58499EAC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2510AA5A" w14:textId="1B591D0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0B640CA0" w14:textId="44BB68A3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18450602" w14:textId="64AA1FE9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2B0430D4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AD1EE09" w14:textId="6D9720A8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42A5B1E0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69A5B9B6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15D26512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437C10DF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10BC" w14:textId="59CCC644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A7FB" w14:textId="1FDEF4A6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1E0D" w14:textId="475C44E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B8B5" w14:textId="39CBCEB2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C561" w14:textId="5AC563C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FAF8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</w:tr>
      <w:tr w:rsidR="00E35D1A" w14:paraId="6ECA7519" w14:textId="77777777" w:rsidTr="00E35D1A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E264" w14:textId="03C28A67" w:rsidR="00E35D1A" w:rsidRDefault="00671BBE" w:rsidP="00E35D1A">
            <w:pPr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E35D1A">
              <w:rPr>
                <w:sz w:val="18"/>
                <w:lang w:val="en-GB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DC89" w14:textId="288F8373" w:rsidR="00E35D1A" w:rsidRDefault="00E35D1A" w:rsidP="00E35D1A">
            <w:pPr>
              <w:jc w:val="left"/>
              <w:rPr>
                <w:b/>
                <w:bCs/>
                <w:i/>
                <w:iCs/>
                <w:sz w:val="18"/>
                <w:lang w:val="en-GB"/>
              </w:rPr>
            </w:pPr>
            <w:r w:rsidRPr="00907335">
              <w:rPr>
                <w:b/>
                <w:bCs/>
                <w:i/>
                <w:iCs/>
                <w:sz w:val="18"/>
                <w:lang w:val="en-US"/>
              </w:rPr>
              <w:t>Flow processing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4F9B552D" w14:textId="619165FD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151F7E49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743C6F50" w14:textId="22028A8E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4D874420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94D6766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0984A3DA" w14:textId="568A35C9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408E95F9" w14:textId="0F3E55CF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391C38A4" w14:textId="656EAE5A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0AB5B47D" w14:textId="6223AFD3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77D9C8C4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78F81198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FC7E0F0" w14:textId="0E1D1888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120D469C" w14:textId="0D42DBF2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225A85F9" w14:textId="58FC91C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05D256E3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715BE322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6D2570AE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5060C19D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2AF08E5C" w14:textId="6C71685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69922F98" w14:textId="55BCC4C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2838C1B2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246B9D96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4F8947C0" w14:textId="45D59A73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60927CCC" w14:textId="2E93024C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</w:tr>
      <w:tr w:rsidR="00E35D1A" w14:paraId="36C59891" w14:textId="77777777" w:rsidTr="00E35D1A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3BDD" w14:textId="2AE01931" w:rsidR="00E35D1A" w:rsidRDefault="00671BBE" w:rsidP="00E35D1A">
            <w:pPr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69D3" w14:textId="77777777" w:rsidR="00E35D1A" w:rsidRDefault="00E35D1A" w:rsidP="00E35D1A">
            <w:pPr>
              <w:jc w:val="left"/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Thesis and Paper Preparation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83A3" w14:textId="58CBF340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0910" w14:textId="233FCFB2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9DF869A" w14:textId="620F934A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F3B88FB" w14:textId="0A925D7F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A02C028" w14:textId="2C197BEC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6927021" w14:textId="68B3DBB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AE4ABA1" w14:textId="570099D3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1993340" w14:textId="4D1A232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D501084" w14:textId="7EC32711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39671DF" w14:textId="1FBEB53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D9B2A4B" w14:textId="723A79CF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4B22E27" w14:textId="485FE5F2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12A15CC5" w14:textId="2205568C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5370B9CC" w14:textId="41D60656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2694A4D9" w14:textId="4ABDE40A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2F84D53A" w14:textId="71E22274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center"/>
          </w:tcPr>
          <w:p w14:paraId="15F4D4FC" w14:textId="77777777" w:rsidR="00E35D1A" w:rsidRDefault="00E35D1A" w:rsidP="00E35D1A">
            <w:pPr>
              <w:snapToGrid w:val="0"/>
              <w:jc w:val="left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6C9B82E3" w14:textId="0B50BFA5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24F93946" w14:textId="33D4C807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0817012F" w14:textId="050A7908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759517E0" w14:textId="7DD1DC21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73C1E83B" w14:textId="76F6CEFA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70F70303" w14:textId="756F49B9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14:paraId="4F3B735D" w14:textId="496C369E" w:rsidR="00E35D1A" w:rsidRDefault="00E35D1A" w:rsidP="00E35D1A">
            <w:pPr>
              <w:jc w:val="left"/>
              <w:rPr>
                <w:sz w:val="18"/>
                <w:lang w:val="en-GB"/>
              </w:rPr>
            </w:pPr>
          </w:p>
        </w:tc>
      </w:tr>
    </w:tbl>
    <w:p w14:paraId="703AC2ED" w14:textId="77777777" w:rsidR="00907335" w:rsidRDefault="00907335" w:rsidP="00EA7BDD">
      <w:pPr>
        <w:pStyle w:val="Titolo2"/>
        <w:ind w:left="-5"/>
        <w:rPr>
          <w:b w:val="0"/>
          <w:bCs/>
          <w:sz w:val="20"/>
          <w:lang w:val="en-GB"/>
        </w:rPr>
      </w:pPr>
    </w:p>
    <w:p w14:paraId="46C396AE" w14:textId="7DCE590A" w:rsidR="00EA7BDD" w:rsidRPr="00BC6D50" w:rsidRDefault="00EA7BDD" w:rsidP="00BC6D50">
      <w:pPr>
        <w:widowControl w:val="0"/>
        <w:suppressAutoHyphens/>
        <w:spacing w:after="0" w:line="240" w:lineRule="auto"/>
        <w:ind w:left="0" w:firstLine="0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Within the overall objective mentioned above this PhD thesis project can be subdivided into the following activities according to the Gantt diagram given in Table 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1</w:t>
      </w:r>
      <w:r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: </w:t>
      </w:r>
    </w:p>
    <w:p w14:paraId="4F65E0C0" w14:textId="6C31647A" w:rsidR="00907335" w:rsidRPr="00671BBE" w:rsidRDefault="00671BBE" w:rsidP="00671BBE">
      <w:pPr>
        <w:widowControl w:val="0"/>
        <w:suppressAutoHyphens/>
        <w:spacing w:after="0" w:line="240" w:lineRule="auto"/>
        <w:ind w:left="426" w:hanging="426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>A1)</w:t>
      </w:r>
      <w:r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907335" w:rsidRPr="00671BBE">
        <w:rPr>
          <w:b/>
          <w:bCs/>
          <w:color w:val="auto"/>
          <w:kern w:val="0"/>
          <w:sz w:val="20"/>
          <w:szCs w:val="20"/>
          <w:lang w:val="en-GB" w:eastAsia="zh-CN"/>
          <w14:ligatures w14:val="none"/>
        </w:rPr>
        <w:t>Glycoside green extraction, purification, and analysis.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G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reen 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methodologies involving enzyme- ultrasound- and microwave-assisted extractions will be employed.  Green 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solvents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,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onic liquids (IL), deep eutectic solvents (DES), or non-polar 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GRAS 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solvents such as 2-methyl tetrahydrofuran (2-MeTHF), D-limonene, ethyl acetate will be investigated </w:t>
      </w:r>
      <w:proofErr w:type="gramStart"/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in order to</w:t>
      </w:r>
      <w:proofErr w:type="gramEnd"/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obtain safer, eco-friendly and more efficient extractions</w:t>
      </w:r>
      <w:r w:rsidR="00000881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(</w:t>
      </w:r>
      <w:proofErr w:type="spellStart"/>
      <w:r w:rsidR="00000881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Gullon</w:t>
      </w:r>
      <w:proofErr w:type="spellEnd"/>
      <w:r w:rsidR="00000881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000881" w:rsidRPr="00165CE0">
        <w:rPr>
          <w:i/>
          <w:iCs/>
          <w:color w:val="auto"/>
          <w:kern w:val="0"/>
          <w:sz w:val="20"/>
          <w:szCs w:val="20"/>
          <w:lang w:val="en-GB" w:eastAsia="zh-CN"/>
          <w14:ligatures w14:val="none"/>
        </w:rPr>
        <w:t>et al</w:t>
      </w:r>
      <w:r w:rsidR="00000881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., 2020</w:t>
      </w:r>
      <w:r w:rsidR="00F42516">
        <w:rPr>
          <w:color w:val="auto"/>
          <w:kern w:val="0"/>
          <w:sz w:val="20"/>
          <w:szCs w:val="20"/>
          <w:lang w:val="en-GB" w:eastAsia="zh-CN"/>
          <w14:ligatures w14:val="none"/>
        </w:rPr>
        <w:t>;</w:t>
      </w:r>
      <w:r w:rsidR="00000881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proofErr w:type="spellStart"/>
      <w:r w:rsidR="00000881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Chemat</w:t>
      </w:r>
      <w:proofErr w:type="spellEnd"/>
      <w:r w:rsidR="00000881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000881" w:rsidRPr="00165CE0">
        <w:rPr>
          <w:i/>
          <w:iCs/>
          <w:color w:val="auto"/>
          <w:kern w:val="0"/>
          <w:sz w:val="20"/>
          <w:szCs w:val="20"/>
          <w:lang w:val="en-GB" w:eastAsia="zh-CN"/>
          <w14:ligatures w14:val="none"/>
        </w:rPr>
        <w:t>et al</w:t>
      </w:r>
      <w:r w:rsidR="00000881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., 2019)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Identification and quantification of the desired glycosides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will be carried out via HPLC/GC analysis</w:t>
      </w:r>
      <w:r w:rsidR="00157AF0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 This part will be performed in collaboration with partners with strong expertise in the field of green extraction and analysis.</w:t>
      </w:r>
    </w:p>
    <w:p w14:paraId="669CD663" w14:textId="0B86D867" w:rsidR="00907335" w:rsidRPr="00BC6D50" w:rsidRDefault="00671BBE" w:rsidP="00671BBE">
      <w:pPr>
        <w:widowControl w:val="0"/>
        <w:suppressAutoHyphens/>
        <w:spacing w:after="0" w:line="240" w:lineRule="auto"/>
        <w:ind w:left="426" w:hanging="426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>
        <w:rPr>
          <w:color w:val="auto"/>
          <w:kern w:val="0"/>
          <w:sz w:val="20"/>
          <w:szCs w:val="20"/>
          <w:lang w:val="en-GB" w:eastAsia="zh-CN"/>
          <w14:ligatures w14:val="none"/>
        </w:rPr>
        <w:t>A2)</w:t>
      </w:r>
      <w:r w:rsidR="00907335"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907335" w:rsidRPr="00671BBE">
        <w:rPr>
          <w:b/>
          <w:bCs/>
          <w:color w:val="auto"/>
          <w:kern w:val="0"/>
          <w:sz w:val="20"/>
          <w:szCs w:val="20"/>
          <w:lang w:val="en-GB" w:eastAsia="zh-CN"/>
          <w14:ligatures w14:val="none"/>
        </w:rPr>
        <w:t>Batch reaction optimization</w:t>
      </w:r>
      <w:r w:rsidR="000C4D72" w:rsidRPr="00671BBE">
        <w:rPr>
          <w:b/>
          <w:bCs/>
          <w:color w:val="auto"/>
          <w:kern w:val="0"/>
          <w:sz w:val="20"/>
          <w:szCs w:val="20"/>
          <w:lang w:val="en-GB" w:eastAsia="zh-CN"/>
          <w14:ligatures w14:val="none"/>
        </w:rPr>
        <w:t>.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Single-step and one-pot, multi-step r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eactions will be firstly optimized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in batch mode.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The obtained r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esults will be fundamental 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to understand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the 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catalyst 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compatibility and to select the best immobilization strategy.</w:t>
      </w:r>
    </w:p>
    <w:p w14:paraId="0F8A6FAF" w14:textId="2B1BA6CE" w:rsidR="00627929" w:rsidRPr="00BC6D50" w:rsidRDefault="00671BBE" w:rsidP="00671BBE">
      <w:pPr>
        <w:widowControl w:val="0"/>
        <w:suppressAutoHyphens/>
        <w:spacing w:after="0" w:line="240" w:lineRule="auto"/>
        <w:ind w:left="426" w:hanging="426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>A3)</w:t>
      </w:r>
      <w:r w:rsidR="00907335"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907335" w:rsidRPr="00671BBE">
        <w:rPr>
          <w:b/>
          <w:bCs/>
          <w:color w:val="auto"/>
          <w:kern w:val="0"/>
          <w:sz w:val="20"/>
          <w:szCs w:val="20"/>
          <w:lang w:val="en-GB" w:eastAsia="zh-CN"/>
          <w14:ligatures w14:val="none"/>
        </w:rPr>
        <w:t>Enzyme immobilization</w:t>
      </w:r>
      <w:r w:rsidR="000C4D72" w:rsidRPr="00671BBE">
        <w:rPr>
          <w:b/>
          <w:bCs/>
          <w:color w:val="auto"/>
          <w:kern w:val="0"/>
          <w:sz w:val="20"/>
          <w:szCs w:val="20"/>
          <w:lang w:val="en-GB" w:eastAsia="zh-CN"/>
          <w14:ligatures w14:val="none"/>
        </w:rPr>
        <w:t>.</w:t>
      </w:r>
      <w:r w:rsidR="00907335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Catalyst </w:t>
      </w:r>
      <w:r w:rsidR="00C77DD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stability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will be improved via enzymatic </w:t>
      </w:r>
      <w:r w:rsidR="00C77DD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immobilization techniques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 Particular attention will be paid on a covalent bond between the protein and</w:t>
      </w:r>
      <w:r w:rsidR="00C77DD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proofErr w:type="gramStart"/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m</w:t>
      </w:r>
      <w:r w:rsidR="00C77DD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ethacrylate</w:t>
      </w:r>
      <w:proofErr w:type="gramEnd"/>
      <w:r w:rsidR="00C77DD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or </w:t>
      </w:r>
      <w:r w:rsidR="00C77DD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agarose microbeads 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demonstrated to be </w:t>
      </w:r>
      <w:r w:rsidR="00C77DD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the most suitable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carriers</w:t>
      </w:r>
      <w:r w:rsidR="00C77DDA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for “in continuous” operations. 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The best-performing enzymes will be immobilized and assayed for operational stability and reusability.</w:t>
      </w:r>
    </w:p>
    <w:p w14:paraId="70ACD855" w14:textId="4A089AE1" w:rsidR="0010477E" w:rsidRDefault="00671BBE" w:rsidP="00671BBE">
      <w:pPr>
        <w:widowControl w:val="0"/>
        <w:suppressAutoHyphens/>
        <w:spacing w:after="0" w:line="240" w:lineRule="auto"/>
        <w:ind w:left="426" w:hanging="426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>A4)</w:t>
      </w:r>
      <w:r w:rsidR="00907335"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</w:t>
      </w:r>
      <w:r w:rsidR="00907335" w:rsidRPr="00671BBE">
        <w:rPr>
          <w:b/>
          <w:bCs/>
          <w:color w:val="auto"/>
          <w:kern w:val="0"/>
          <w:sz w:val="20"/>
          <w:szCs w:val="20"/>
          <w:lang w:val="en-GB" w:eastAsia="zh-CN"/>
          <w14:ligatures w14:val="none"/>
        </w:rPr>
        <w:t>Flow processing</w:t>
      </w:r>
      <w:r w:rsidR="000C4D72" w:rsidRPr="00671BBE">
        <w:rPr>
          <w:b/>
          <w:bCs/>
          <w:color w:val="auto"/>
          <w:kern w:val="0"/>
          <w:sz w:val="20"/>
          <w:szCs w:val="20"/>
          <w:lang w:val="en-GB" w:eastAsia="zh-CN"/>
          <w14:ligatures w14:val="none"/>
        </w:rPr>
        <w:t>.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In-continuous processes will be developed to increase the productivity and sustainability of the process. T</w:t>
      </w:r>
      <w:r w:rsidR="0010477E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o solve solubility problems, 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water-miscible co-solvents, multi-phase enzymatic reactions, or pure organic solvents will be studied. In-line extractions </w:t>
      </w:r>
      <w:r w:rsidR="0010477E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and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purification protocols </w:t>
      </w:r>
      <w:r w:rsidR="0010477E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will be carried out</w:t>
      </w:r>
      <w:r w:rsidR="000C4D72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, </w:t>
      </w:r>
      <w:r w:rsidR="0010477E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thus </w:t>
      </w:r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avoiding any manual </w:t>
      </w:r>
      <w:proofErr w:type="gramStart"/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handling</w:t>
      </w:r>
      <w:proofErr w:type="gramEnd"/>
      <w:r w:rsidR="00627929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and increasing the safety and automation of the system</w:t>
      </w:r>
      <w:r w:rsidR="0010477E" w:rsidRPr="00BC6D50">
        <w:rPr>
          <w:color w:val="auto"/>
          <w:kern w:val="0"/>
          <w:sz w:val="20"/>
          <w:szCs w:val="20"/>
          <w:lang w:val="en-GB" w:eastAsia="zh-CN"/>
          <w14:ligatures w14:val="none"/>
        </w:rPr>
        <w:t>.</w:t>
      </w:r>
    </w:p>
    <w:p w14:paraId="33D3EDC1" w14:textId="4668A0CF" w:rsidR="00671BBE" w:rsidRPr="00671BBE" w:rsidRDefault="00671BBE" w:rsidP="00671BBE">
      <w:pPr>
        <w:widowControl w:val="0"/>
        <w:suppressAutoHyphens/>
        <w:spacing w:after="0" w:line="240" w:lineRule="auto"/>
        <w:ind w:left="426" w:hanging="426"/>
        <w:rPr>
          <w:color w:val="auto"/>
          <w:kern w:val="0"/>
          <w:sz w:val="20"/>
          <w:szCs w:val="20"/>
          <w:lang w:val="en-GB" w:eastAsia="zh-CN"/>
          <w14:ligatures w14:val="none"/>
        </w:rPr>
      </w:pPr>
      <w:r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>A5)</w:t>
      </w:r>
      <w:r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ab/>
      </w:r>
      <w:r w:rsidRPr="00671BBE">
        <w:rPr>
          <w:b/>
          <w:bCs/>
          <w:color w:val="auto"/>
          <w:kern w:val="0"/>
          <w:sz w:val="20"/>
          <w:szCs w:val="20"/>
          <w:lang w:val="en-GB" w:eastAsia="zh-CN"/>
          <w14:ligatures w14:val="none"/>
        </w:rPr>
        <w:t>Writing and Editing</w:t>
      </w:r>
      <w:r w:rsidRPr="00671BBE">
        <w:rPr>
          <w:color w:val="auto"/>
          <w:kern w:val="0"/>
          <w:sz w:val="20"/>
          <w:szCs w:val="20"/>
          <w:lang w:val="en-GB" w:eastAsia="zh-CN"/>
          <w14:ligatures w14:val="none"/>
        </w:rPr>
        <w:t xml:space="preserve"> of the PhD thesis, scientific papers and oral and/or poster communications.</w:t>
      </w:r>
    </w:p>
    <w:p w14:paraId="5A151F0C" w14:textId="720E6D47" w:rsidR="00CA2F2E" w:rsidRPr="00E514D8" w:rsidRDefault="00BC6D50" w:rsidP="00BC6D50">
      <w:pPr>
        <w:pStyle w:val="Titolo1"/>
        <w:spacing w:before="240" w:after="120"/>
        <w:ind w:right="0"/>
        <w:jc w:val="left"/>
        <w:rPr>
          <w:b w:val="0"/>
          <w:sz w:val="24"/>
          <w:lang w:val="en-US"/>
        </w:rPr>
      </w:pPr>
      <w:r w:rsidRPr="00E514D8">
        <w:rPr>
          <w:sz w:val="24"/>
          <w:lang w:val="en-US"/>
        </w:rPr>
        <w:t>3. Selected References</w:t>
      </w:r>
    </w:p>
    <w:p w14:paraId="3FF37D15" w14:textId="6914792E" w:rsidR="00E61214" w:rsidRPr="00BC6D50" w:rsidRDefault="00E61214" w:rsidP="00BC6D50">
      <w:pPr>
        <w:widowControl w:val="0"/>
        <w:suppressAutoHyphens/>
        <w:spacing w:after="0" w:line="240" w:lineRule="auto"/>
        <w:ind w:left="425" w:hanging="425"/>
        <w:rPr>
          <w:color w:val="auto"/>
          <w:kern w:val="0"/>
          <w:sz w:val="18"/>
          <w:szCs w:val="18"/>
          <w:lang w:val="en-GB" w:eastAsia="zh-CN"/>
          <w14:ligatures w14:val="none"/>
        </w:rPr>
      </w:pP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Benítez-Mateos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AI</w:t>
      </w:r>
      <w:r w:rsidR="006E4B87">
        <w:rPr>
          <w:color w:val="auto"/>
          <w:kern w:val="0"/>
          <w:sz w:val="18"/>
          <w:szCs w:val="18"/>
          <w:lang w:val="en-GB" w:eastAsia="zh-CN"/>
          <w14:ligatures w14:val="none"/>
        </w:rPr>
        <w:t>,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Contente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ML</w:t>
      </w:r>
      <w:r w:rsidR="006E4B87">
        <w:rPr>
          <w:color w:val="auto"/>
          <w:kern w:val="0"/>
          <w:sz w:val="18"/>
          <w:szCs w:val="18"/>
          <w:lang w:val="en-GB" w:eastAsia="zh-CN"/>
          <w14:ligatures w14:val="none"/>
        </w:rPr>
        <w:t>,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Roura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Padrosa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D</w:t>
      </w:r>
      <w:r w:rsidR="006E4B87">
        <w:rPr>
          <w:color w:val="auto"/>
          <w:kern w:val="0"/>
          <w:sz w:val="18"/>
          <w:szCs w:val="18"/>
          <w:lang w:val="en-GB" w:eastAsia="zh-CN"/>
          <w14:ligatures w14:val="none"/>
        </w:rPr>
        <w:t>,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Paradisi F (2021) Flow biocatalysis 101: design, development and applications</w:t>
      </w:r>
      <w:r w:rsidR="00E514D8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E514D8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React. Chem. Eng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. </w:t>
      </w:r>
      <w:r w:rsidRPr="00E514D8">
        <w:rPr>
          <w:b/>
          <w:bCs/>
          <w:color w:val="auto"/>
          <w:kern w:val="0"/>
          <w:sz w:val="18"/>
          <w:szCs w:val="18"/>
          <w:lang w:val="en-GB" w:eastAsia="zh-CN"/>
          <w14:ligatures w14:val="none"/>
        </w:rPr>
        <w:t>6</w:t>
      </w:r>
      <w:r w:rsidR="00E514D8">
        <w:rPr>
          <w:color w:val="auto"/>
          <w:kern w:val="0"/>
          <w:sz w:val="18"/>
          <w:szCs w:val="18"/>
          <w:lang w:val="en-GB" w:eastAsia="zh-CN"/>
          <w14:ligatures w14:val="none"/>
        </w:rPr>
        <w:t>: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599-611. </w:t>
      </w:r>
    </w:p>
    <w:p w14:paraId="46DC0E87" w14:textId="676A0997" w:rsidR="00E61214" w:rsidRPr="00BC6D50" w:rsidRDefault="00E61214" w:rsidP="00BC6D50">
      <w:pPr>
        <w:widowControl w:val="0"/>
        <w:suppressAutoHyphens/>
        <w:spacing w:after="0" w:line="240" w:lineRule="auto"/>
        <w:ind w:left="425" w:hanging="425"/>
        <w:rPr>
          <w:color w:val="auto"/>
          <w:kern w:val="0"/>
          <w:sz w:val="18"/>
          <w:szCs w:val="18"/>
          <w:lang w:val="en-GB" w:eastAsia="zh-CN"/>
          <w14:ligatures w14:val="none"/>
        </w:rPr>
      </w:pP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Bommarius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AS,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Paye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MF, (2013) Stabilizing biocatalysts</w:t>
      </w:r>
      <w:r w:rsidR="00E514D8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E514D8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Chem. Soc. Rev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. </w:t>
      </w:r>
      <w:r w:rsidRPr="00E514D8">
        <w:rPr>
          <w:b/>
          <w:bCs/>
          <w:color w:val="auto"/>
          <w:kern w:val="0"/>
          <w:sz w:val="18"/>
          <w:szCs w:val="18"/>
          <w:lang w:val="en-GB" w:eastAsia="zh-CN"/>
          <w14:ligatures w14:val="none"/>
        </w:rPr>
        <w:t>42</w:t>
      </w:r>
      <w:r w:rsidR="00E514D8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: 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6534-6565 </w:t>
      </w:r>
    </w:p>
    <w:p w14:paraId="697BDAF4" w14:textId="7A7BD5B3" w:rsidR="00E61214" w:rsidRPr="00BC6D50" w:rsidRDefault="00E61214" w:rsidP="00BC6D50">
      <w:pPr>
        <w:widowControl w:val="0"/>
        <w:suppressAutoHyphens/>
        <w:spacing w:after="0" w:line="240" w:lineRule="auto"/>
        <w:ind w:left="425" w:hanging="425"/>
        <w:rPr>
          <w:color w:val="auto"/>
          <w:kern w:val="0"/>
          <w:sz w:val="18"/>
          <w:szCs w:val="18"/>
          <w:lang w:val="en-GB" w:eastAsia="zh-CN"/>
          <w14:ligatures w14:val="none"/>
        </w:rPr>
      </w:pP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Chemat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F,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Vian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MA, Ravi K,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Khadhraoui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B,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Hilali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S, Perino S, Fabiano SA,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Clodoveo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ML</w:t>
      </w:r>
      <w:r w:rsidR="00E514D8">
        <w:rPr>
          <w:color w:val="auto"/>
          <w:kern w:val="0"/>
          <w:sz w:val="18"/>
          <w:szCs w:val="18"/>
          <w:lang w:val="en-GB" w:eastAsia="zh-CN"/>
          <w14:ligatures w14:val="none"/>
        </w:rPr>
        <w:t>,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Corbo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F (2019) Review of Alternative Solvents for Green Extraction of Food and Natural Products: Panorama, Principles, Applications and Prospects</w:t>
      </w:r>
      <w:r w:rsidR="00E514D8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E514D8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Molecules</w:t>
      </w:r>
      <w:r w:rsidR="00E514D8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E514D8">
        <w:rPr>
          <w:b/>
          <w:bCs/>
          <w:color w:val="auto"/>
          <w:kern w:val="0"/>
          <w:sz w:val="18"/>
          <w:szCs w:val="18"/>
          <w:lang w:val="en-GB" w:eastAsia="zh-CN"/>
          <w14:ligatures w14:val="none"/>
        </w:rPr>
        <w:t>24</w:t>
      </w:r>
      <w:r w:rsidR="00E514D8">
        <w:rPr>
          <w:color w:val="auto"/>
          <w:kern w:val="0"/>
          <w:sz w:val="18"/>
          <w:szCs w:val="18"/>
          <w:lang w:val="en-GB" w:eastAsia="zh-CN"/>
          <w14:ligatures w14:val="none"/>
        </w:rPr>
        <w:t>: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3007 </w:t>
      </w:r>
    </w:p>
    <w:p w14:paraId="38FF9492" w14:textId="39C6728F" w:rsidR="00E61214" w:rsidRPr="00BC6D50" w:rsidRDefault="00E61214" w:rsidP="00BC6D50">
      <w:pPr>
        <w:widowControl w:val="0"/>
        <w:suppressAutoHyphens/>
        <w:spacing w:after="0" w:line="240" w:lineRule="auto"/>
        <w:ind w:left="425" w:hanging="425"/>
        <w:rPr>
          <w:color w:val="auto"/>
          <w:kern w:val="0"/>
          <w:sz w:val="18"/>
          <w:szCs w:val="18"/>
          <w:lang w:val="en-GB" w:eastAsia="zh-CN"/>
          <w14:ligatures w14:val="none"/>
        </w:rPr>
      </w:pP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Contente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ML, Annunziata F,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Cannazza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P, Donzella S, Pinna C, Romano D,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Tamborini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L, Barbosa FG, Molinari F, Pinto A (2021) Biocatalytic Approaches for an Efficient and Sustainable Preparation of Polyphenols and Their Derivatives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J</w:t>
      </w:r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 xml:space="preserve">. </w:t>
      </w:r>
      <w:proofErr w:type="spellStart"/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Agr</w:t>
      </w:r>
      <w:proofErr w:type="spellEnd"/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. Food Chem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D467C5">
        <w:rPr>
          <w:b/>
          <w:bCs/>
          <w:color w:val="auto"/>
          <w:kern w:val="0"/>
          <w:sz w:val="18"/>
          <w:szCs w:val="18"/>
          <w:lang w:val="en-GB" w:eastAsia="zh-CN"/>
          <w14:ligatures w14:val="none"/>
        </w:rPr>
        <w:t>69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: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13669 – 13681.</w:t>
      </w:r>
    </w:p>
    <w:p w14:paraId="6EBF99A8" w14:textId="0D25B503" w:rsidR="00E61214" w:rsidRPr="00BC6D50" w:rsidRDefault="00E61214" w:rsidP="00BC6D50">
      <w:pPr>
        <w:widowControl w:val="0"/>
        <w:suppressAutoHyphens/>
        <w:spacing w:after="0" w:line="240" w:lineRule="auto"/>
        <w:ind w:left="425" w:hanging="425"/>
        <w:rPr>
          <w:color w:val="auto"/>
          <w:kern w:val="0"/>
          <w:sz w:val="18"/>
          <w:szCs w:val="18"/>
          <w:lang w:val="en-GB" w:eastAsia="zh-CN"/>
          <w14:ligatures w14:val="none"/>
        </w:rPr>
      </w:pP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Gullón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P,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Gullón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B, Romaní A,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Rocchetti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G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,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Lorenzo JM (2020) Smart advanced solvents for bioactive compounds recovery from agri-food by-products: A review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Trends Food Sci Tech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D467C5">
        <w:rPr>
          <w:b/>
          <w:bCs/>
          <w:color w:val="auto"/>
          <w:kern w:val="0"/>
          <w:sz w:val="18"/>
          <w:szCs w:val="18"/>
          <w:lang w:val="en-GB" w:eastAsia="zh-CN"/>
          <w14:ligatures w14:val="none"/>
        </w:rPr>
        <w:t>101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: 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182–197. </w:t>
      </w:r>
    </w:p>
    <w:p w14:paraId="2104D1D8" w14:textId="7A9DFE7E" w:rsidR="004565D9" w:rsidRPr="00BC6D50" w:rsidRDefault="004565D9" w:rsidP="00BC6D50">
      <w:pPr>
        <w:widowControl w:val="0"/>
        <w:suppressAutoHyphens/>
        <w:spacing w:after="0" w:line="240" w:lineRule="auto"/>
        <w:ind w:left="425" w:hanging="425"/>
        <w:rPr>
          <w:color w:val="auto"/>
          <w:kern w:val="0"/>
          <w:sz w:val="18"/>
          <w:szCs w:val="18"/>
          <w:lang w:val="en-GB" w:eastAsia="zh-CN"/>
          <w14:ligatures w14:val="none"/>
        </w:rPr>
      </w:pP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Sagar NA, Pareek S, Sharma S, Yahia EM and Lobo MG (2018)</w:t>
      </w:r>
      <w:r w:rsidR="00AE1E6B"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Fruit and Vegetable Waste: Bioactive</w:t>
      </w:r>
      <w:r w:rsidR="000C4D72"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="00AE1E6B"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Compounds, Their Extraction, and Possible Utilization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proofErr w:type="spellStart"/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Compr</w:t>
      </w:r>
      <w:proofErr w:type="spellEnd"/>
      <w:r w:rsidR="00D467C5"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 xml:space="preserve"> Rev</w:t>
      </w:r>
      <w:r w:rsidR="00D467C5"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 xml:space="preserve"> Food Sci</w:t>
      </w:r>
      <w:r w:rsidR="00D467C5"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="00AE1E6B"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 xml:space="preserve">Food </w:t>
      </w:r>
      <w:proofErr w:type="spellStart"/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Saf</w:t>
      </w:r>
      <w:proofErr w:type="spellEnd"/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D467C5">
        <w:rPr>
          <w:b/>
          <w:bCs/>
          <w:color w:val="auto"/>
          <w:kern w:val="0"/>
          <w:sz w:val="18"/>
          <w:szCs w:val="18"/>
          <w:lang w:val="en-GB" w:eastAsia="zh-CN"/>
          <w14:ligatures w14:val="none"/>
        </w:rPr>
        <w:t>17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: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512–531</w:t>
      </w:r>
      <w:r w:rsidR="00AE1E6B"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</w:p>
    <w:p w14:paraId="6E5CAFF3" w14:textId="797AAC56" w:rsidR="000F66A7" w:rsidRPr="00BC6D50" w:rsidRDefault="00541AAC" w:rsidP="00BC6D50">
      <w:pPr>
        <w:widowControl w:val="0"/>
        <w:suppressAutoHyphens/>
        <w:spacing w:after="0" w:line="240" w:lineRule="auto"/>
        <w:ind w:left="425" w:hanging="425"/>
        <w:rPr>
          <w:color w:val="auto"/>
          <w:kern w:val="0"/>
          <w:sz w:val="18"/>
          <w:szCs w:val="18"/>
          <w:lang w:val="en-GB" w:eastAsia="zh-CN"/>
          <w14:ligatures w14:val="none"/>
        </w:rPr>
      </w:pP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Tonini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D,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Albizzati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PF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, </w:t>
      </w:r>
      <w:proofErr w:type="spellStart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>Astrup</w:t>
      </w:r>
      <w:proofErr w:type="spellEnd"/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TF (2018) Environmental impacts of food waste: Learnings and challenges from a case study on UK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 xml:space="preserve">Waste </w:t>
      </w:r>
      <w:proofErr w:type="spellStart"/>
      <w:r w:rsidRPr="00D467C5">
        <w:rPr>
          <w:i/>
          <w:iCs/>
          <w:color w:val="auto"/>
          <w:kern w:val="0"/>
          <w:sz w:val="18"/>
          <w:szCs w:val="18"/>
          <w:lang w:val="en-GB" w:eastAsia="zh-CN"/>
          <w14:ligatures w14:val="none"/>
        </w:rPr>
        <w:t>Manag</w:t>
      </w:r>
      <w:proofErr w:type="spellEnd"/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.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</w:t>
      </w:r>
      <w:r w:rsidRPr="00D467C5">
        <w:rPr>
          <w:b/>
          <w:bCs/>
          <w:color w:val="auto"/>
          <w:kern w:val="0"/>
          <w:sz w:val="18"/>
          <w:szCs w:val="18"/>
          <w:lang w:val="en-GB" w:eastAsia="zh-CN"/>
          <w14:ligatures w14:val="none"/>
        </w:rPr>
        <w:t>76</w:t>
      </w:r>
      <w:r w:rsidR="00D467C5">
        <w:rPr>
          <w:color w:val="auto"/>
          <w:kern w:val="0"/>
          <w:sz w:val="18"/>
          <w:szCs w:val="18"/>
          <w:lang w:val="en-GB" w:eastAsia="zh-CN"/>
          <w14:ligatures w14:val="none"/>
        </w:rPr>
        <w:t>:</w:t>
      </w:r>
      <w:r w:rsidRPr="00BC6D50">
        <w:rPr>
          <w:color w:val="auto"/>
          <w:kern w:val="0"/>
          <w:sz w:val="18"/>
          <w:szCs w:val="18"/>
          <w:lang w:val="en-GB" w:eastAsia="zh-CN"/>
          <w14:ligatures w14:val="none"/>
        </w:rPr>
        <w:t xml:space="preserve"> 744–766. </w:t>
      </w:r>
    </w:p>
    <w:sectPr w:rsidR="000F66A7" w:rsidRPr="00BC6D50">
      <w:footnotePr>
        <w:numRestart w:val="eachPage"/>
      </w:footnotePr>
      <w:pgSz w:w="11904" w:h="16838"/>
      <w:pgMar w:top="981" w:right="1120" w:bottom="1129" w:left="1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1A29" w14:textId="77777777" w:rsidR="00D869F7" w:rsidRDefault="00D869F7">
      <w:pPr>
        <w:spacing w:after="0" w:line="240" w:lineRule="auto"/>
      </w:pPr>
      <w:r>
        <w:separator/>
      </w:r>
    </w:p>
  </w:endnote>
  <w:endnote w:type="continuationSeparator" w:id="0">
    <w:p w14:paraId="2A17AAEC" w14:textId="77777777" w:rsidR="00D869F7" w:rsidRDefault="00D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4AF6" w14:textId="77777777" w:rsidR="00D869F7" w:rsidRDefault="00D869F7">
      <w:pPr>
        <w:spacing w:after="0" w:line="250" w:lineRule="auto"/>
        <w:ind w:left="0" w:right="104" w:firstLine="0"/>
      </w:pPr>
      <w:r>
        <w:separator/>
      </w:r>
    </w:p>
  </w:footnote>
  <w:footnote w:type="continuationSeparator" w:id="0">
    <w:p w14:paraId="317B7A42" w14:textId="77777777" w:rsidR="00D869F7" w:rsidRDefault="00D869F7">
      <w:pPr>
        <w:spacing w:after="0" w:line="250" w:lineRule="auto"/>
        <w:ind w:left="0" w:right="104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9D2"/>
    <w:multiLevelType w:val="hybridMultilevel"/>
    <w:tmpl w:val="8A2092C0"/>
    <w:lvl w:ilvl="0" w:tplc="6728CA2A">
      <w:start w:val="1"/>
      <w:numFmt w:val="lowerLetter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F80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0D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C9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4F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4B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6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69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81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B474A"/>
    <w:multiLevelType w:val="hybridMultilevel"/>
    <w:tmpl w:val="06D43586"/>
    <w:lvl w:ilvl="0" w:tplc="4A7AB310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D854D59"/>
    <w:multiLevelType w:val="hybridMultilevel"/>
    <w:tmpl w:val="29B2EE52"/>
    <w:lvl w:ilvl="0" w:tplc="5B924F76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6A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AE9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CC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4C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29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80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A5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44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54D15"/>
    <w:multiLevelType w:val="hybridMultilevel"/>
    <w:tmpl w:val="28F80D76"/>
    <w:lvl w:ilvl="0" w:tplc="B2480B7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99B56D7"/>
    <w:multiLevelType w:val="multilevel"/>
    <w:tmpl w:val="2954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5272795">
    <w:abstractNumId w:val="0"/>
  </w:num>
  <w:num w:numId="2" w16cid:durableId="1395087415">
    <w:abstractNumId w:val="2"/>
  </w:num>
  <w:num w:numId="3" w16cid:durableId="1053235663">
    <w:abstractNumId w:val="4"/>
  </w:num>
  <w:num w:numId="4" w16cid:durableId="508132289">
    <w:abstractNumId w:val="3"/>
  </w:num>
  <w:num w:numId="5" w16cid:durableId="1231693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DF"/>
    <w:rsid w:val="00000881"/>
    <w:rsid w:val="00001BFD"/>
    <w:rsid w:val="00012E23"/>
    <w:rsid w:val="000C4D72"/>
    <w:rsid w:val="000F66A7"/>
    <w:rsid w:val="0010477E"/>
    <w:rsid w:val="00125827"/>
    <w:rsid w:val="00144DDD"/>
    <w:rsid w:val="00157AF0"/>
    <w:rsid w:val="00165CE0"/>
    <w:rsid w:val="001B69A5"/>
    <w:rsid w:val="0026190C"/>
    <w:rsid w:val="0033277D"/>
    <w:rsid w:val="00424B29"/>
    <w:rsid w:val="004565D9"/>
    <w:rsid w:val="004D3503"/>
    <w:rsid w:val="00533309"/>
    <w:rsid w:val="00541AAC"/>
    <w:rsid w:val="00553D81"/>
    <w:rsid w:val="005B45BF"/>
    <w:rsid w:val="005D1943"/>
    <w:rsid w:val="00606375"/>
    <w:rsid w:val="00627929"/>
    <w:rsid w:val="00642AA4"/>
    <w:rsid w:val="00671BBE"/>
    <w:rsid w:val="006E4B87"/>
    <w:rsid w:val="00744BF3"/>
    <w:rsid w:val="007F2EB2"/>
    <w:rsid w:val="00907335"/>
    <w:rsid w:val="009E4591"/>
    <w:rsid w:val="00A02A4B"/>
    <w:rsid w:val="00A2279B"/>
    <w:rsid w:val="00A923DF"/>
    <w:rsid w:val="00AE1E6B"/>
    <w:rsid w:val="00AE56DA"/>
    <w:rsid w:val="00B60656"/>
    <w:rsid w:val="00B96A5C"/>
    <w:rsid w:val="00BB0E0A"/>
    <w:rsid w:val="00BC6D50"/>
    <w:rsid w:val="00C77DDA"/>
    <w:rsid w:val="00CA2F2E"/>
    <w:rsid w:val="00CB0D99"/>
    <w:rsid w:val="00D467C5"/>
    <w:rsid w:val="00D869F7"/>
    <w:rsid w:val="00DB245C"/>
    <w:rsid w:val="00E35D1A"/>
    <w:rsid w:val="00E514D8"/>
    <w:rsid w:val="00E5410F"/>
    <w:rsid w:val="00E61214"/>
    <w:rsid w:val="00E77EB0"/>
    <w:rsid w:val="00EA27C9"/>
    <w:rsid w:val="00EA7BDD"/>
    <w:rsid w:val="00EB5009"/>
    <w:rsid w:val="00F42516"/>
    <w:rsid w:val="00F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7E6"/>
  <w15:docId w15:val="{384BB3E4-2FC3-7340-BCE1-9FD6282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1" w:line="259" w:lineRule="auto"/>
      <w:ind w:left="10" w:righ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5" w:line="24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line="250" w:lineRule="auto"/>
      <w:ind w:right="10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NormaleWeb">
    <w:name w:val="Normal (Web)"/>
    <w:basedOn w:val="Normale"/>
    <w:uiPriority w:val="99"/>
    <w:unhideWhenUsed/>
    <w:rsid w:val="004565D9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14:ligatures w14:val="none"/>
    </w:rPr>
  </w:style>
  <w:style w:type="paragraph" w:styleId="Intestazione">
    <w:name w:val="header"/>
    <w:basedOn w:val="Normale"/>
    <w:link w:val="IntestazioneCarattere"/>
    <w:rsid w:val="00AE56DA"/>
    <w:pPr>
      <w:tabs>
        <w:tab w:val="center" w:pos="4819"/>
        <w:tab w:val="right" w:pos="9638"/>
      </w:tabs>
      <w:suppressAutoHyphens/>
      <w:spacing w:after="0" w:line="264" w:lineRule="auto"/>
      <w:ind w:left="0" w:firstLine="0"/>
    </w:pPr>
    <w:rPr>
      <w:color w:val="auto"/>
      <w:sz w:val="20"/>
      <w:szCs w:val="20"/>
      <w:lang w:val="nl-NL" w:eastAsia="zh-CN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AE56DA"/>
    <w:rPr>
      <w:rFonts w:ascii="Times New Roman" w:eastAsia="Times New Roman" w:hAnsi="Times New Roman" w:cs="Times New Roman"/>
      <w:sz w:val="20"/>
      <w:szCs w:val="20"/>
      <w:lang w:val="nl-NL" w:eastAsia="zh-CN"/>
      <w14:ligatures w14:val="none"/>
    </w:rPr>
  </w:style>
  <w:style w:type="paragraph" w:styleId="Paragrafoelenco">
    <w:name w:val="List Paragraph"/>
    <w:basedOn w:val="Normale"/>
    <w:uiPriority w:val="34"/>
    <w:qFormat/>
    <w:rsid w:val="00CA2F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827"/>
    <w:rPr>
      <w:rFonts w:ascii="Tahoma" w:eastAsia="Times New Roman" w:hAnsi="Tahoma" w:cs="Tahoma"/>
      <w:color w:val="000000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258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58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58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58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582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B60656"/>
    <w:rPr>
      <w:rFonts w:ascii="Times New Roman" w:eastAsia="Times New Roman" w:hAnsi="Times New Roman" w:cs="Times New Roman"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6D50"/>
    <w:pPr>
      <w:suppressAutoHyphens/>
      <w:spacing w:before="720" w:after="120" w:line="264" w:lineRule="auto"/>
      <w:ind w:left="0" w:firstLine="0"/>
      <w:jc w:val="center"/>
    </w:pPr>
    <w:rPr>
      <w:b/>
      <w:color w:val="auto"/>
      <w:sz w:val="28"/>
      <w:szCs w:val="20"/>
      <w:lang w:val="nl-NL" w:eastAsia="zh-CN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BC6D50"/>
    <w:rPr>
      <w:rFonts w:ascii="Times New Roman" w:eastAsia="Times New Roman" w:hAnsi="Times New Roman" w:cs="Times New Roman"/>
      <w:b/>
      <w:sz w:val="28"/>
      <w:szCs w:val="20"/>
      <w:lang w:val="nl-NL" w:eastAsia="zh-CN"/>
      <w14:ligatures w14:val="none"/>
    </w:rPr>
  </w:style>
  <w:style w:type="paragraph" w:styleId="Corpotesto">
    <w:name w:val="Body Text"/>
    <w:basedOn w:val="Normale"/>
    <w:link w:val="CorpotestoCarattere"/>
    <w:rsid w:val="00BC6D50"/>
    <w:pPr>
      <w:widowControl w:val="0"/>
      <w:suppressAutoHyphens/>
      <w:spacing w:after="0" w:line="240" w:lineRule="auto"/>
      <w:ind w:left="0" w:firstLine="0"/>
      <w:jc w:val="left"/>
    </w:pPr>
    <w:rPr>
      <w:i/>
      <w:iCs/>
      <w:color w:val="auto"/>
      <w:kern w:val="0"/>
      <w:sz w:val="32"/>
      <w:szCs w:val="20"/>
      <w:lang w:eastAsia="zh-C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C6D50"/>
    <w:rPr>
      <w:rFonts w:ascii="Times New Roman" w:eastAsia="Times New Roman" w:hAnsi="Times New Roman" w:cs="Times New Roman"/>
      <w:i/>
      <w:iCs/>
      <w:kern w:val="0"/>
      <w:sz w:val="32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1D486-632E-49FB-8F2B-C6B0CBE4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LINEEGUIDA-PhDWORKSHOP2022</vt:lpstr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LINEEGUIDA-PhDWORKSHOP2022</dc:title>
  <dc:subject/>
  <dc:creator>Gianluigi Mauriello</dc:creator>
  <cp:keywords/>
  <cp:lastModifiedBy>Agostina Colacicco</cp:lastModifiedBy>
  <cp:revision>15</cp:revision>
  <dcterms:created xsi:type="dcterms:W3CDTF">2023-06-07T15:54:00Z</dcterms:created>
  <dcterms:modified xsi:type="dcterms:W3CDTF">2023-06-29T16:42:00Z</dcterms:modified>
</cp:coreProperties>
</file>