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6BAD" w14:textId="04A5511B" w:rsidR="008324CB" w:rsidRPr="00BB3282" w:rsidRDefault="00EC3BDD" w:rsidP="00BB3282">
      <w:pPr>
        <w:pStyle w:val="Titolo"/>
        <w:suppressAutoHyphens/>
        <w:spacing w:before="600" w:after="120"/>
        <w:contextualSpacing w:val="0"/>
        <w:jc w:val="center"/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</w:pPr>
      <w:bookmarkStart w:id="0" w:name="_Hlk138680189"/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A “green</w:t>
      </w:r>
      <w:r w:rsidR="00F1502F"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 xml:space="preserve"> </w:t>
      </w:r>
      <w:proofErr w:type="spellStart"/>
      <w:r w:rsidR="00F1502F"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path</w:t>
      </w:r>
      <w:proofErr w:type="spellEnd"/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”</w:t>
      </w:r>
      <w:r w:rsidR="00F1502F"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 xml:space="preserve"> </w:t>
      </w:r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strategy</w:t>
      </w:r>
      <w:r w:rsidR="00F1502F"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 xml:space="preserve"> for complete recovery of </w:t>
      </w:r>
      <w:proofErr w:type="spellStart"/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buckwheat</w:t>
      </w:r>
      <w:proofErr w:type="spellEnd"/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 xml:space="preserve"> processing </w:t>
      </w:r>
      <w:proofErr w:type="spellStart"/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8"/>
          <w:szCs w:val="20"/>
          <w:lang w:val="en-GB" w:eastAsia="zh-CN"/>
        </w:rPr>
        <w:t>byproducts</w:t>
      </w:r>
      <w:proofErr w:type="spellEnd"/>
    </w:p>
    <w:bookmarkEnd w:id="0"/>
    <w:p w14:paraId="44E3AE53" w14:textId="6EFFD52C" w:rsidR="008324CB" w:rsidRPr="00BB3282" w:rsidRDefault="008324CB" w:rsidP="00BB32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Anna Ramona Speranza (</w:t>
      </w:r>
      <w:hyperlink r:id="rId6" w:history="1">
        <w:r w:rsidRPr="00BB3282">
          <w:rPr>
            <w:rFonts w:ascii="Times New Roman" w:eastAsia="Times New Roman" w:hAnsi="Times New Roman" w:cs="Times New Roman"/>
            <w:sz w:val="20"/>
            <w:szCs w:val="20"/>
            <w:lang w:val="de-DE" w:eastAsia="zh-CN"/>
          </w:rPr>
          <w:t>anna.speranza@unimi.it</w:t>
        </w:r>
      </w:hyperlink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)</w:t>
      </w:r>
    </w:p>
    <w:p w14:paraId="67A1E8C6" w14:textId="77777777" w:rsidR="008324CB" w:rsidRPr="00BB3282" w:rsidRDefault="008324CB" w:rsidP="00BB32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Dept. of Food, Environmental and Nutritional Sciences, University of Milan, Milan, Italy</w:t>
      </w:r>
    </w:p>
    <w:p w14:paraId="4843D6BC" w14:textId="210F3665" w:rsidR="008324CB" w:rsidRDefault="008324CB" w:rsidP="00BB32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 xml:space="preserve">Tutor: </w:t>
      </w:r>
      <w:proofErr w:type="spellStart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Prof.ssa</w:t>
      </w:r>
      <w:proofErr w:type="spellEnd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 xml:space="preserve"> Stefania </w:t>
      </w:r>
      <w:proofErr w:type="spellStart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Iametti</w:t>
      </w:r>
      <w:proofErr w:type="spellEnd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 xml:space="preserve"> Co-tutor: </w:t>
      </w:r>
      <w:proofErr w:type="spellStart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>Prof.ssa</w:t>
      </w:r>
      <w:proofErr w:type="spellEnd"/>
      <w:r w:rsidRPr="00BB3282">
        <w:rPr>
          <w:rFonts w:ascii="Times New Roman" w:eastAsia="Times New Roman" w:hAnsi="Times New Roman" w:cs="Times New Roman"/>
          <w:sz w:val="20"/>
          <w:szCs w:val="20"/>
          <w:lang w:val="de-DE" w:eastAsia="zh-CN"/>
        </w:rPr>
        <w:t xml:space="preserve"> Sara Limbo</w:t>
      </w:r>
    </w:p>
    <w:p w14:paraId="4A2A1400" w14:textId="77777777" w:rsidR="00183A39" w:rsidRPr="00183A39" w:rsidRDefault="00183A39" w:rsidP="00183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294D279" w14:textId="770FA915" w:rsidR="00F1502F" w:rsidRPr="00BB3282" w:rsidRDefault="007E6A85" w:rsidP="00D7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 aim of this Ph.D. project</w:t>
      </w:r>
      <w:r w:rsidR="00273574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is to set up a sustainable recovery process </w:t>
      </w:r>
      <w:r w:rsidR="00CB5E38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to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8F78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valorize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as much as possible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residual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from buckwheat processing. Buckwheat husk has a high content of polyphenolic compounds and dietary </w:t>
      </w:r>
      <w:proofErr w:type="spellStart"/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fibre</w:t>
      </w:r>
      <w:r w:rsidR="008F78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proofErr w:type="spellEnd"/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 We propose a sequential approach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first step is the extraction of compounds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to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be used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as functional ingredients 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in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 formulation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of novel foods.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 second step plans to recover the cellulosic fraction from the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residual lignocellulosic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material, and to evaluate its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applications in various fields due to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its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mechanical properties, reinforcing capacity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</w:t>
      </w:r>
      <w:r w:rsidR="009B256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and biodegradability.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</w:p>
    <w:p w14:paraId="5C9C5DEF" w14:textId="52FE591D" w:rsidR="00F1502F" w:rsidRPr="00BB3282" w:rsidRDefault="00F1502F" w:rsidP="00BB3282">
      <w:pPr>
        <w:pStyle w:val="Titolo"/>
        <w:suppressAutoHyphens/>
        <w:spacing w:before="240" w:after="120"/>
        <w:contextualSpacing w:val="0"/>
        <w:jc w:val="center"/>
        <w:rPr>
          <w:rFonts w:ascii="Times New Roman" w:eastAsia="Times New Roman" w:hAnsi="Times New Roman" w:cs="Times New Roman"/>
          <w:b/>
          <w:spacing w:val="0"/>
          <w:kern w:val="2"/>
          <w:sz w:val="24"/>
          <w:szCs w:val="20"/>
          <w:lang w:eastAsia="zh-CN"/>
        </w:rPr>
      </w:pPr>
      <w:r w:rsidRPr="00BB3282">
        <w:rPr>
          <w:rFonts w:ascii="Times New Roman" w:eastAsia="Times New Roman" w:hAnsi="Times New Roman" w:cs="Times New Roman"/>
          <w:b/>
          <w:spacing w:val="0"/>
          <w:kern w:val="2"/>
          <w:sz w:val="24"/>
          <w:szCs w:val="20"/>
          <w:lang w:eastAsia="zh-CN"/>
        </w:rPr>
        <w:t>Un approccio "green" per la valorizzazione dei sottoprodotti: una proposta per il recupero completo dei sottoprodotti della lavorazione del grano saraceno</w:t>
      </w:r>
    </w:p>
    <w:p w14:paraId="46460FEA" w14:textId="05B36E28" w:rsidR="00BB3282" w:rsidRDefault="00F1502F" w:rsidP="00D7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Il presente progetto di dottorato mira a valorizzare</w:t>
      </w:r>
      <w:r w:rsidR="00F0581F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lo scarto residuo derivante dalla lavorazione del grano saraceno</w:t>
      </w:r>
      <w:r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attraverso</w:t>
      </w:r>
      <w:r w:rsidR="00A0496B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processi che </w:t>
      </w:r>
      <w:r w:rsidR="00F0581F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hanno</w:t>
      </w:r>
      <w:r w:rsidR="00A0496B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un basso impatto ambientale</w:t>
      </w:r>
      <w:r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La pula di grano saraceno presenta un alto contenuto di composti </w:t>
      </w:r>
      <w:proofErr w:type="spellStart"/>
      <w:r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polifenolici</w:t>
      </w:r>
      <w:proofErr w:type="spellEnd"/>
      <w:r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e fibre alimentari. </w:t>
      </w:r>
      <w:r w:rsidR="00414452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Proponiamo un approccio sequenziale che prevede come primo step l'estrazione di composti che possono essere utilizzati nella composizione di nuovi alimenti come ingredienti funzionali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La frazione lignocellulosica residua sarà utilizzata tal quale o per il recupero della frazione cellulosica che trova applicazioni in diversi campi, grazie </w:t>
      </w:r>
      <w:r w:rsidR="00F748FE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>alle sue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proprietà meccaniche, capacità di rinforzo</w:t>
      </w:r>
      <w:r w:rsidR="009B2567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B4D55" w:rsidRPr="00BB32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 biodegradabilità. </w:t>
      </w:r>
    </w:p>
    <w:p w14:paraId="73B22624" w14:textId="77777777" w:rsidR="00D72713" w:rsidRPr="00BB3282" w:rsidRDefault="00D72713" w:rsidP="00D7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8CB5A8" w14:textId="77777777" w:rsidR="00A0496B" w:rsidRPr="00BB3282" w:rsidRDefault="00A0496B" w:rsidP="00BB3282">
      <w:pPr>
        <w:pStyle w:val="Titolo1"/>
        <w:suppressAutoHyphens/>
        <w:autoSpaceDE/>
        <w:autoSpaceDN/>
        <w:adjustRightInd/>
        <w:spacing w:before="240"/>
        <w:ind w:right="0"/>
        <w:jc w:val="left"/>
        <w:rPr>
          <w:bCs/>
          <w:color w:val="000000"/>
          <w:lang w:val="en-GB" w:eastAsia="zh-CN"/>
        </w:rPr>
      </w:pPr>
      <w:r w:rsidRPr="00BB3282">
        <w:rPr>
          <w:bCs/>
          <w:color w:val="000000"/>
          <w:lang w:val="en-GB" w:eastAsia="zh-CN"/>
        </w:rPr>
        <w:t>1. State-of-the-Art</w:t>
      </w:r>
    </w:p>
    <w:p w14:paraId="3F62F0F8" w14:textId="122732D3" w:rsidR="008B7F7F" w:rsidRPr="00BB3282" w:rsidRDefault="00A0496B" w:rsidP="00BB32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Buckwheat is a summer-growing pseudocereal belonging to the </w:t>
      </w:r>
      <w:proofErr w:type="spellStart"/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Polygonaceae</w:t>
      </w:r>
      <w:proofErr w:type="spellEnd"/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family, </w:t>
      </w:r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that complete its life cycle in less than 3/4 months, it has a good climate adaptability, with a preference for cool summers. Among the many buckwheat species, only two are cultivated </w:t>
      </w:r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for human </w:t>
      </w:r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consumption: common buckwheat (Fagopyrum esculentum) and </w:t>
      </w:r>
      <w:proofErr w:type="spellStart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tartary</w:t>
      </w:r>
      <w:proofErr w:type="spellEnd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buckwheat (Fagopyrum </w:t>
      </w:r>
      <w:proofErr w:type="spellStart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tataricum</w:t>
      </w:r>
      <w:proofErr w:type="spellEnd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),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latter </w:t>
      </w:r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characterized by a bitter taste and smaller seed (</w:t>
      </w:r>
      <w:proofErr w:type="spellStart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Siracusa</w:t>
      </w:r>
      <w:proofErr w:type="spellEnd"/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292B0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2017).</w:t>
      </w:r>
      <w:r w:rsidR="009B256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Buckwheat is an </w:t>
      </w:r>
      <w:proofErr w:type="spellStart"/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healty</w:t>
      </w:r>
      <w:proofErr w:type="spellEnd"/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gluten-free grain, so it is suitable for the diet of people suffer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ing</w:t>
      </w:r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from celiac disease or other gluten related disorders.</w:t>
      </w:r>
      <w:r w:rsidR="00345DF8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Buckwheat has </w:t>
      </w:r>
      <w:r w:rsidR="00273574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 </w:t>
      </w:r>
      <w:r w:rsidR="00345DF8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high nutritional value and health beneficial properties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="003D0403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is a source of edible </w:t>
      </w:r>
      <w:proofErr w:type="spellStart"/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fibres</w:t>
      </w:r>
      <w:proofErr w:type="spellEnd"/>
      <w:r w:rsidR="003D0403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minerals, 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low-digestibility carbohydrates, proteins with high biological value, vitamins such as B1, B2 and B6 and essential amino acids (Mota et al</w:t>
      </w:r>
      <w:r w:rsidR="00F5492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2017; </w:t>
      </w:r>
      <w:proofErr w:type="spellStart"/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Dziedzic</w:t>
      </w:r>
      <w:proofErr w:type="spellEnd"/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2018). 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other bioactive ingredients of this pseudocereal include phytosterols, squalene, </w:t>
      </w:r>
      <w:proofErr w:type="spellStart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phagopyritols</w:t>
      </w:r>
      <w:proofErr w:type="spellEnd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polyphenols and flavonoids. Unlike other cereals in which the phenols are mainly attached to cell wall components, the flavonoids in </w:t>
      </w:r>
      <w:proofErr w:type="spellStart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tartary</w:t>
      </w:r>
      <w:proofErr w:type="spellEnd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buckwheat, including </w:t>
      </w:r>
      <w:proofErr w:type="spellStart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rutin</w:t>
      </w:r>
      <w:proofErr w:type="spellEnd"/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quercetin and quercitrin, are commonly present in 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free form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</w:t>
      </w:r>
      <w:proofErr w:type="spellStart"/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Siracusa</w:t>
      </w:r>
      <w:proofErr w:type="spellEnd"/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2017)</w:t>
      </w:r>
      <w:r w:rsidR="00273574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F1690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</w:t>
      </w: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ood and agro-industrial buckwheat processing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results in </w:t>
      </w:r>
      <w:proofErr w:type="gramStart"/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 number </w:t>
      </w: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of</w:t>
      </w:r>
      <w:proofErr w:type="gramEnd"/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byproduct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904BE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Husk is a high-volume byproduct of decortication - t</w:t>
      </w:r>
      <w:r w:rsidR="00EC3BDD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he first step of</w:t>
      </w: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buckwheat </w:t>
      </w:r>
      <w:r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processing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- and</w:t>
      </w:r>
      <w:r w:rsidR="003D0403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is a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valuable</w:t>
      </w:r>
      <w:r w:rsidR="003D0403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source of </w:t>
      </w:r>
      <w:proofErr w:type="spellStart"/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bioactives</w:t>
      </w:r>
      <w:proofErr w:type="spellEnd"/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including</w:t>
      </w:r>
      <w:r w:rsidR="0066700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polyphenols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</w:t>
      </w:r>
      <w:r w:rsidR="00273574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66700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dietary fibe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r</w:t>
      </w:r>
      <w:r w:rsidR="0066700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Husk has a much higher </w:t>
      </w:r>
      <w:r w:rsidR="00273574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antioxidant activity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F0AB7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than dehulled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seeds, making its addition to novel formulations</w:t>
      </w:r>
      <w:r w:rsidR="00667009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beneficial to humans (</w:t>
      </w:r>
      <w:proofErr w:type="spellStart"/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Dziadek</w:t>
      </w:r>
      <w:proofErr w:type="spellEnd"/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2016) and to the food industry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507270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However, implementing such a strategy implies production of bioactive-enriched materials without the intrinsic limitations of the original husk. 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Studies on the industrial-scale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recovery of 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bioactive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fractions in this context are relatively 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scarce,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the application of 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“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green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”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proc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edures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has been explored</w:t>
      </w:r>
      <w:r w:rsidR="00F17212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on a very sporadic and semi-empirical basis</w:t>
      </w:r>
      <w:r w:rsidR="008B7F7F" w:rsidRPr="00BB328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2B54BC34" w14:textId="243B0E30" w:rsidR="00523D83" w:rsidRPr="00BB3282" w:rsidRDefault="008B7F7F" w:rsidP="00BB3282">
      <w:pPr>
        <w:pStyle w:val="Titolo1"/>
        <w:suppressAutoHyphens/>
        <w:autoSpaceDE/>
        <w:autoSpaceDN/>
        <w:adjustRightInd/>
        <w:spacing w:before="240"/>
        <w:ind w:right="0"/>
        <w:jc w:val="left"/>
        <w:rPr>
          <w:bCs/>
          <w:color w:val="000000"/>
          <w:lang w:val="en-GB" w:eastAsia="zh-CN"/>
        </w:rPr>
      </w:pPr>
      <w:r w:rsidRPr="00BB3282">
        <w:rPr>
          <w:bCs/>
          <w:color w:val="000000"/>
          <w:lang w:val="en-GB" w:eastAsia="zh-CN"/>
        </w:rPr>
        <w:t xml:space="preserve"> </w:t>
      </w:r>
      <w:r w:rsidR="00523D83" w:rsidRPr="00BB3282">
        <w:rPr>
          <w:bCs/>
          <w:color w:val="000000"/>
          <w:lang w:val="en-GB" w:eastAsia="zh-CN"/>
        </w:rPr>
        <w:t>2. PhD Thesis Objectives and Milestones</w:t>
      </w:r>
    </w:p>
    <w:p w14:paraId="262D1A3F" w14:textId="5D57E224" w:rsidR="00523D83" w:rsidRPr="00E61336" w:rsidRDefault="00942E19" w:rsidP="00E613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work will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involve </w:t>
      </w:r>
      <w:r w:rsidR="00F748FE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six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main activities,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as listed in </w:t>
      </w:r>
      <w:r w:rsidR="00A808C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what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follows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4980CAF0" w14:textId="59790A8F" w:rsidR="00322FAA" w:rsidRPr="00E61336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A1) </w:t>
      </w:r>
      <w:r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Literature research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: research, reading and comprehension of the most recent publications related to the </w:t>
      </w:r>
      <w:r w:rsidR="00912B0F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project.</w:t>
      </w:r>
    </w:p>
    <w:p w14:paraId="1AD2A8C9" w14:textId="5A12CF1A" w:rsidR="008F7855" w:rsidRPr="00E61336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A2) </w:t>
      </w:r>
      <w:r w:rsidR="00F17212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Macromolecular</w:t>
      </w:r>
      <w:r w:rsidR="008F785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 xml:space="preserve"> and </w:t>
      </w:r>
      <w:r w:rsidR="00F17212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micromolecular</w:t>
      </w:r>
      <w:r w:rsidR="008F785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 xml:space="preserve"> characterization of byproducts</w:t>
      </w:r>
      <w:r w:rsidR="008F785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B3709C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hulk </w:t>
      </w:r>
      <w:r w:rsidR="00B3709C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biomass will be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ground and sifted for assessing the</w:t>
      </w:r>
      <w:r w:rsidR="00B3709C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</w:t>
      </w:r>
      <w:r w:rsidR="00B3709C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otal dietary fibers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content</w:t>
      </w:r>
      <w:r w:rsidR="002E3F10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(A2.1)</w:t>
      </w:r>
      <w:r w:rsidR="00751CE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same materials will be used for 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extraction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of phenolics in acidified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water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concomitantly with either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u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ltraso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nic treatment (Ultrasonic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assisted</w:t>
      </w:r>
      <w:proofErr w:type="spellEnd"/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Extraction, 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UAE)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or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Microwave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ssisted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</w:t>
      </w:r>
      <w:r w:rsidR="00293C1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xtraction (MAE)</w:t>
      </w:r>
      <w:r w:rsidR="002E3F10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(A2.2)</w:t>
      </w:r>
      <w:r w:rsidR="0018510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</w:p>
    <w:p w14:paraId="1CBA6A46" w14:textId="58B578EE" w:rsidR="008123B1" w:rsidRPr="00E61336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A3) </w:t>
      </w:r>
      <w:r w:rsidR="008F785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Polyphenolic fraction characterization</w:t>
      </w:r>
      <w:r w:rsidR="009A182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.</w:t>
      </w:r>
      <w:r w:rsidR="009A182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otal phenolics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in the different samples will be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assessed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by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Folin-</w:t>
      </w:r>
      <w:proofErr w:type="spellStart"/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Ciocalteau</w:t>
      </w:r>
      <w:proofErr w:type="spellEnd"/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assay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he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total </w:t>
      </w:r>
      <w:proofErr w:type="spellStart"/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antioxydant</w:t>
      </w:r>
      <w:proofErr w:type="spellEnd"/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activity will be measured through two different radical scavenging method, DPPH and ABTS. </w:t>
      </w:r>
      <w:r w:rsidR="00C34404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 phenolic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C34404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profile of the extract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C34404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will be determined by 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HPLC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</w:t>
      </w:r>
      <w:r w:rsidR="00912B0F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</w:t>
      </w:r>
      <w:r w:rsidR="00F56F2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.1)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BA134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Subsequently, the potential protective effect of the extracts on cell inflammation will be evaluated on 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lastRenderedPageBreak/>
        <w:t xml:space="preserve">an established </w:t>
      </w:r>
      <w:r w:rsidR="00BA1348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Caco-2 cell</w:t>
      </w:r>
      <w:r w:rsidR="00F1721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model,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along with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 inhibitory capacity against enzymes responsible for glucose metabolism. </w:t>
      </w:r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(Abbasi-</w:t>
      </w:r>
      <w:proofErr w:type="spellStart"/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Parizad</w:t>
      </w:r>
      <w:proofErr w:type="spellEnd"/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2020, </w:t>
      </w:r>
      <w:proofErr w:type="spellStart"/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Capraro</w:t>
      </w:r>
      <w:proofErr w:type="spellEnd"/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et al</w:t>
      </w:r>
      <w:r w:rsidR="00F54922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2021)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</w:t>
      </w:r>
      <w:r w:rsidR="00912B0F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.2)</w:t>
      </w:r>
      <w:r w:rsidR="008123B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possible use of the solid residual fr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om phenolics extraction 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as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an 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ingr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dient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of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fiber-enriched gluten-free extruded product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will be tested on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blends with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maize or rice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and products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will be evaluated in terms of consistency, water retention capacity, viscosity, </w:t>
      </w:r>
      <w:proofErr w:type="spellStart"/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flavour</w:t>
      </w:r>
      <w:proofErr w:type="spellEnd"/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quality and sensory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traits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</w:t>
      </w:r>
      <w:r w:rsidR="00912B0F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.3).</w:t>
      </w:r>
    </w:p>
    <w:p w14:paraId="5AC99E24" w14:textId="1F8CB9E0" w:rsidR="008F7855" w:rsidRPr="00E61336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A4) </w:t>
      </w:r>
      <w:r w:rsidR="008F785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Recovery of specific macromolecules by mechanical and biotechnological treatments</w:t>
      </w:r>
      <w:r w:rsidR="009A61B3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M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echanical an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d/or biotechnological treatments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will be used 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to recover other valuable compounds,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with a specific focus on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cellulose fibrils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(A4.1)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Physical properties of</w:t>
      </w:r>
      <w:r w:rsidR="0017173B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he cellulose fiber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will be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assessed </w:t>
      </w:r>
      <w:r w:rsidR="00E53F6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to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provide 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guidelines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for their use as ingredient in pack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ag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ing and non-pack</w:t>
      </w:r>
      <w:r w:rsidR="004C08F6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ag</w:t>
      </w:r>
      <w:r w:rsidR="009053DD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ing products (A4.2).</w:t>
      </w:r>
    </w:p>
    <w:p w14:paraId="2B0EEF32" w14:textId="1AD57BF8" w:rsidR="008F7855" w:rsidRPr="00E61336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A5) </w:t>
      </w:r>
      <w:r w:rsidR="008F7855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Definition of prototype end products</w:t>
      </w:r>
      <w:r w:rsidR="004C08F6"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 xml:space="preserve"> and of their potential</w:t>
      </w:r>
      <w:r w:rsidR="0018510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 Development of prototype product from isolated cellulose fibril and solid residu</w:t>
      </w:r>
      <w:r w:rsidR="00B76B03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al</w:t>
      </w:r>
      <w:r w:rsidR="0018510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fraction, for obtaining environmentally friendly and biocompatible products in packaging and non-packaging field.</w:t>
      </w:r>
      <w:r w:rsidR="00912B0F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</w:p>
    <w:p w14:paraId="490360F4" w14:textId="55B066C1" w:rsidR="00E53F61" w:rsidRDefault="00322FAA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A6) </w:t>
      </w:r>
      <w:r w:rsidRPr="00E6133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Data dissemination</w:t>
      </w:r>
      <w:r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185105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of the obtained data in scientific papers and conference. PhD thesis writing</w:t>
      </w:r>
      <w:r w:rsidR="00E53F61" w:rsidRPr="00E6133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753AB1C6" w14:textId="77777777" w:rsidR="00E61336" w:rsidRDefault="00E61336" w:rsidP="00E6133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644250A7" w14:textId="58245A92" w:rsidR="00E61336" w:rsidRPr="00E61336" w:rsidRDefault="00E61336" w:rsidP="00E61336">
      <w:pPr>
        <w:widowControl w:val="0"/>
        <w:suppressAutoHyphens/>
        <w:spacing w:before="300" w:after="12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20"/>
          <w:lang w:val="en-GB" w:eastAsia="zh-CN"/>
        </w:rPr>
      </w:pPr>
      <w:r w:rsidRPr="00E61336">
        <w:rPr>
          <w:rFonts w:ascii="Times New Roman" w:eastAsia="Times New Roman" w:hAnsi="Times New Roman" w:cs="Times New Roman"/>
          <w:b/>
          <w:i/>
          <w:iCs/>
          <w:sz w:val="18"/>
          <w:szCs w:val="20"/>
          <w:lang w:val="en-GB" w:eastAsia="zh-CN"/>
        </w:rPr>
        <w:t xml:space="preserve">Table </w:t>
      </w:r>
      <w:r w:rsidRPr="00E61336">
        <w:rPr>
          <w:rFonts w:ascii="Times New Roman" w:eastAsia="Times New Roman" w:hAnsi="Times New Roman" w:cs="Times New Roman"/>
          <w:b/>
          <w:i/>
          <w:iCs/>
          <w:sz w:val="18"/>
          <w:szCs w:val="20"/>
          <w:lang w:val="en-GB" w:eastAsia="zh-CN"/>
        </w:rPr>
        <w:t>1</w:t>
      </w:r>
      <w:r w:rsidRPr="00E61336">
        <w:rPr>
          <w:rFonts w:ascii="Times New Roman" w:eastAsia="Times New Roman" w:hAnsi="Times New Roman" w:cs="Times New Roman"/>
          <w:b/>
          <w:i/>
          <w:iCs/>
          <w:sz w:val="18"/>
          <w:szCs w:val="20"/>
          <w:lang w:val="en-GB" w:eastAsia="zh-CN"/>
        </w:rPr>
        <w:tab/>
      </w:r>
      <w:r w:rsidRPr="00E6133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Gantt diagram for this PhD thesis project</w:t>
      </w:r>
      <w:r w:rsidRPr="00E61336">
        <w:rPr>
          <w:rFonts w:ascii="Times New Roman" w:eastAsia="Times New Roman" w:hAnsi="Times New Roman" w:cs="Times New Roman"/>
          <w:b/>
          <w:i/>
          <w:iCs/>
          <w:sz w:val="18"/>
          <w:szCs w:val="20"/>
          <w:lang w:val="en-GB" w:eastAsia="zh-CN"/>
        </w:rPr>
        <w:t>.</w:t>
      </w:r>
    </w:p>
    <w:p w14:paraId="72D798F0" w14:textId="215E2139" w:rsidR="00E53F61" w:rsidRPr="00E61336" w:rsidRDefault="00E53F61" w:rsidP="00E6133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r w:rsidRPr="008852A8">
        <w:rPr>
          <w:rFonts w:ascii="Times New Roman" w:hAnsi="Times New Roman" w:cs="Times New Roman"/>
          <w:noProof/>
          <w:color w:val="000000"/>
          <w:sz w:val="24"/>
          <w:szCs w:val="24"/>
          <w:lang w:val="en-US"/>
          <w14:ligatures w14:val="standardContextual"/>
        </w:rPr>
        <w:drawing>
          <wp:inline distT="0" distB="0" distL="0" distR="0" wp14:anchorId="025CF983" wp14:editId="48BB54C8">
            <wp:extent cx="5710204" cy="2106222"/>
            <wp:effectExtent l="0" t="0" r="5080" b="8890"/>
            <wp:docPr id="1654754577" name="Immagine 2" descr="Immagine che contiene testo, schermata, linea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54577" name="Immagine 2" descr="Immagine che contiene testo, schermata, linea, numer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342" cy="211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41C6" w14:textId="03572C95" w:rsidR="00E53F61" w:rsidRPr="00E61336" w:rsidRDefault="00D72713" w:rsidP="00E61336">
      <w:pPr>
        <w:pStyle w:val="Titolo1"/>
        <w:suppressAutoHyphens/>
        <w:autoSpaceDE/>
        <w:autoSpaceDN/>
        <w:adjustRightInd/>
        <w:spacing w:before="240"/>
        <w:ind w:right="0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>3</w:t>
      </w:r>
      <w:r w:rsidR="00E53F61" w:rsidRPr="00E61336">
        <w:rPr>
          <w:color w:val="000000"/>
          <w:lang w:eastAsia="zh-CN"/>
        </w:rPr>
        <w:t>. Selected References</w:t>
      </w:r>
    </w:p>
    <w:p w14:paraId="7C821D8C" w14:textId="77777777" w:rsidR="000E5FF1" w:rsidRPr="00E61336" w:rsidRDefault="00E53F61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Abbasi-Parizad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P, De Nisi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P, Adani F, Pepé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Sciarria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T, Squillace P, Scarafoni A,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Iametti</w:t>
      </w:r>
      <w:proofErr w:type="spellEnd"/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="00B00E9E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 Scaglia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B (2020)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Antioxidant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and anti-inflammatory activities of the crude extracts of raw and fermented tomato pomace and their correlations with </w:t>
      </w:r>
      <w:proofErr w:type="spellStart"/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aglycate</w:t>
      </w:r>
      <w:proofErr w:type="spellEnd"/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-polyphenols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Antioxidants 9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: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17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9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</w:p>
    <w:p w14:paraId="548D3050" w14:textId="6DE36D0E" w:rsidR="000E5FF1" w:rsidRPr="00E61336" w:rsidRDefault="00E53F61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Capraro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J, 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De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Benedetti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S,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Heinzl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GC,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Scarafoni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A, Magni C</w:t>
      </w:r>
      <w:r w:rsidR="00B00E9E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(2021)</w:t>
      </w:r>
      <w:r w:rsidR="008156D8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Bioactivities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of pseudocereal fractionated seed proteins and derived peptides relevant for maintaining human well-being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Int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.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J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Mol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.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Sci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22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: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3543.</w:t>
      </w:r>
    </w:p>
    <w:p w14:paraId="5853709B" w14:textId="48DB9B49" w:rsidR="000E5FF1" w:rsidRPr="00E61336" w:rsidRDefault="00C556E0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Dziedzic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K,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Górecka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D,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Szwengiel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Sulewska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H,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Kreft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I,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Gujska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Walkowiak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J (2018) The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content of dietary </w:t>
      </w:r>
      <w:proofErr w:type="spellStart"/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fibre</w:t>
      </w:r>
      <w:proofErr w:type="spellEnd"/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and polyphenols in morphological parts of buckwheat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(Fagopyrum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tataricum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)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Plant Foods Hu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m.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Nut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r</w:t>
      </w:r>
      <w:proofErr w:type="spellEnd"/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="001C3AA7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73: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82-88. </w:t>
      </w:r>
    </w:p>
    <w:p w14:paraId="36AAF102" w14:textId="77777777" w:rsidR="000E5FF1" w:rsidRPr="00E61336" w:rsidRDefault="00C556E0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Dziadek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K,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Kopeć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</w:t>
      </w:r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Pastucha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</w:t>
      </w:r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Piątkowska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,</w:t>
      </w:r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Leszczyńska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T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Pisulewska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Witkowicz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R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Francik</w:t>
      </w:r>
      <w:proofErr w:type="spellEnd"/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R</w:t>
      </w:r>
      <w:r w:rsidR="00A808CD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(2016)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Basic chemical composition and bioactive compounds content in selected cultivars of buckwheat whole seeds, dehulled seeds and hulls</w:t>
      </w:r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J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Cereal Sci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="0020617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69</w:t>
      </w:r>
      <w:r w:rsidR="009560B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: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1-8</w:t>
      </w:r>
      <w:r w:rsidR="001C3AA7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</w:p>
    <w:p w14:paraId="20C91C12" w14:textId="2BE11A42" w:rsidR="000E5FF1" w:rsidRPr="00E61336" w:rsidRDefault="00206172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Mota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C, Santos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M, Mauro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R, Samman N, Matos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AS, Torres D,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Castanheira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I (2016)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Protein content and amino acids profile of pseudocereals Food </w:t>
      </w:r>
      <w:r w:rsidR="004C08F6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C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hem</w:t>
      </w:r>
      <w:r w:rsidR="00CA6894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193</w:t>
      </w:r>
      <w:r w:rsidR="00F5492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: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55–61</w:t>
      </w:r>
      <w:r w:rsidR="001C3AA7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</w:p>
    <w:p w14:paraId="5F95E742" w14:textId="75B92E8A" w:rsidR="00A808CD" w:rsidRPr="00E61336" w:rsidRDefault="00206172" w:rsidP="00E61336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</w:pP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Siracusa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L,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Gresta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F,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Serlinga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E,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Ruberto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G</w:t>
      </w:r>
      <w:r w:rsidR="00A808CD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(2017)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Effect of sowing time and soil water content on grain yield and phenolic profile of four buckwheat (Fagopyrum esculentum </w:t>
      </w:r>
      <w:proofErr w:type="spellStart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Moench</w:t>
      </w:r>
      <w:proofErr w:type="spellEnd"/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.) varieties in a Mediterranean environment</w:t>
      </w:r>
      <w:r w:rsidR="00F5492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J</w:t>
      </w:r>
      <w:r w:rsidR="00F5492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 Food Compos</w:t>
      </w:r>
      <w:r w:rsidR="00F5492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t.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Anal</w:t>
      </w:r>
      <w:r w:rsidR="005C765F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. 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62</w:t>
      </w:r>
      <w:r w:rsidR="00F54922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:</w:t>
      </w:r>
      <w:r w:rsidR="001C3AA7"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 xml:space="preserve"> 1-7</w:t>
      </w:r>
      <w:r w:rsidRPr="00E61336">
        <w:rPr>
          <w:rFonts w:ascii="Times New Roman" w:eastAsia="Times New Roman" w:hAnsi="Times New Roman" w:cs="Times New Roman"/>
          <w:sz w:val="18"/>
          <w:szCs w:val="18"/>
          <w:lang w:val="en-GB" w:eastAsia="zh-CN"/>
        </w:rPr>
        <w:t>.</w:t>
      </w:r>
    </w:p>
    <w:sectPr w:rsidR="00A808CD" w:rsidRPr="00E61336" w:rsidSect="008852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FA"/>
    <w:multiLevelType w:val="hybridMultilevel"/>
    <w:tmpl w:val="7F648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5F9D"/>
    <w:multiLevelType w:val="hybridMultilevel"/>
    <w:tmpl w:val="8B8C1A3E"/>
    <w:lvl w:ilvl="0" w:tplc="3DA8E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4DD1"/>
    <w:multiLevelType w:val="hybridMultilevel"/>
    <w:tmpl w:val="3F3AE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356F"/>
    <w:multiLevelType w:val="hybridMultilevel"/>
    <w:tmpl w:val="46D0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3414">
    <w:abstractNumId w:val="1"/>
  </w:num>
  <w:num w:numId="2" w16cid:durableId="782726629">
    <w:abstractNumId w:val="3"/>
  </w:num>
  <w:num w:numId="3" w16cid:durableId="1571386998">
    <w:abstractNumId w:val="2"/>
  </w:num>
  <w:num w:numId="4" w16cid:durableId="135076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CB"/>
    <w:rsid w:val="000E5FF1"/>
    <w:rsid w:val="0017173B"/>
    <w:rsid w:val="00183A39"/>
    <w:rsid w:val="00185105"/>
    <w:rsid w:val="001A18BC"/>
    <w:rsid w:val="001C3AA7"/>
    <w:rsid w:val="001C3F28"/>
    <w:rsid w:val="00206172"/>
    <w:rsid w:val="00273574"/>
    <w:rsid w:val="00292B02"/>
    <w:rsid w:val="00293C18"/>
    <w:rsid w:val="002E3F10"/>
    <w:rsid w:val="00322FAA"/>
    <w:rsid w:val="00345DF8"/>
    <w:rsid w:val="003D0403"/>
    <w:rsid w:val="003E56A1"/>
    <w:rsid w:val="00414452"/>
    <w:rsid w:val="004B4D55"/>
    <w:rsid w:val="004C08F6"/>
    <w:rsid w:val="004D74E8"/>
    <w:rsid w:val="004F0AB7"/>
    <w:rsid w:val="00507270"/>
    <w:rsid w:val="00523D83"/>
    <w:rsid w:val="00537878"/>
    <w:rsid w:val="005673BE"/>
    <w:rsid w:val="005A639F"/>
    <w:rsid w:val="005B71A8"/>
    <w:rsid w:val="005C765F"/>
    <w:rsid w:val="00667009"/>
    <w:rsid w:val="00694D10"/>
    <w:rsid w:val="00740A06"/>
    <w:rsid w:val="00751CE6"/>
    <w:rsid w:val="007E6A85"/>
    <w:rsid w:val="007F0729"/>
    <w:rsid w:val="008123B1"/>
    <w:rsid w:val="008156D8"/>
    <w:rsid w:val="008324CB"/>
    <w:rsid w:val="008852A8"/>
    <w:rsid w:val="008B7F7F"/>
    <w:rsid w:val="008F7855"/>
    <w:rsid w:val="00904BE9"/>
    <w:rsid w:val="009053DD"/>
    <w:rsid w:val="00912B0F"/>
    <w:rsid w:val="00942E19"/>
    <w:rsid w:val="009560B6"/>
    <w:rsid w:val="009A1825"/>
    <w:rsid w:val="009A61B3"/>
    <w:rsid w:val="009B2567"/>
    <w:rsid w:val="00A0496B"/>
    <w:rsid w:val="00A808CD"/>
    <w:rsid w:val="00B00E9E"/>
    <w:rsid w:val="00B3709C"/>
    <w:rsid w:val="00B72A47"/>
    <w:rsid w:val="00B76B03"/>
    <w:rsid w:val="00B9268D"/>
    <w:rsid w:val="00BA1348"/>
    <w:rsid w:val="00BB3282"/>
    <w:rsid w:val="00C05813"/>
    <w:rsid w:val="00C34404"/>
    <w:rsid w:val="00C556E0"/>
    <w:rsid w:val="00CA67A3"/>
    <w:rsid w:val="00CA6894"/>
    <w:rsid w:val="00CB5E38"/>
    <w:rsid w:val="00D34671"/>
    <w:rsid w:val="00D72713"/>
    <w:rsid w:val="00E53F61"/>
    <w:rsid w:val="00E61336"/>
    <w:rsid w:val="00EA75F6"/>
    <w:rsid w:val="00EC3BDD"/>
    <w:rsid w:val="00F0581F"/>
    <w:rsid w:val="00F1502F"/>
    <w:rsid w:val="00F16907"/>
    <w:rsid w:val="00F17212"/>
    <w:rsid w:val="00F54922"/>
    <w:rsid w:val="00F56F26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12B5"/>
  <w15:chartTrackingRefBased/>
  <w15:docId w15:val="{E92F4467-6D3D-42A8-BF6C-320CE88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4CB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0A06"/>
    <w:pPr>
      <w:keepNext/>
      <w:widowControl w:val="0"/>
      <w:shd w:val="clear" w:color="auto" w:fill="FFFFFF"/>
      <w:autoSpaceDE w:val="0"/>
      <w:autoSpaceDN w:val="0"/>
      <w:adjustRightInd w:val="0"/>
      <w:spacing w:before="820" w:after="120" w:line="240" w:lineRule="auto"/>
      <w:ind w:right="32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pacing w:val="-2"/>
      <w:sz w:val="24"/>
      <w:szCs w:val="52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4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24CB"/>
    <w:rPr>
      <w:color w:val="605E5C"/>
      <w:shd w:val="clear" w:color="auto" w:fill="E1DFDD"/>
    </w:rPr>
  </w:style>
  <w:style w:type="paragraph" w:customStyle="1" w:styleId="Default">
    <w:name w:val="Default"/>
    <w:rsid w:val="00523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A06"/>
    <w:rPr>
      <w:rFonts w:ascii="Times New Roman" w:eastAsia="Times New Roman" w:hAnsi="Times New Roman" w:cs="Times New Roman"/>
      <w:b/>
      <w:color w:val="000000" w:themeColor="text1"/>
      <w:spacing w:val="-2"/>
      <w:kern w:val="0"/>
      <w:sz w:val="24"/>
      <w:szCs w:val="52"/>
      <w:shd w:val="clear" w:color="auto" w:fill="FFFFFF"/>
      <w:lang w:val="en-US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F785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740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0A0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speranza@uni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658C-6902-4E2F-AC82-6CA853C3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12</cp:revision>
  <dcterms:created xsi:type="dcterms:W3CDTF">2023-06-03T01:39:00Z</dcterms:created>
  <dcterms:modified xsi:type="dcterms:W3CDTF">2023-06-26T12:21:00Z</dcterms:modified>
</cp:coreProperties>
</file>