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6D0FE6" w14:textId="0E8B4177" w:rsidR="00512D9B" w:rsidRDefault="004D70F4" w:rsidP="009E5685">
      <w:pPr>
        <w:pStyle w:val="Titolo"/>
        <w:spacing w:line="240" w:lineRule="auto"/>
        <w:rPr>
          <w:lang w:val="en-GB"/>
        </w:rPr>
      </w:pPr>
      <w:r w:rsidRPr="004D70F4">
        <w:rPr>
          <w:lang w:val="en-GB"/>
        </w:rPr>
        <w:t>Impact of vine shoots</w:t>
      </w:r>
      <w:r w:rsidR="00CD5931" w:rsidRPr="00CD5931">
        <w:rPr>
          <w:lang w:val="en-GB"/>
        </w:rPr>
        <w:t xml:space="preserve"> xylooligosaccharides </w:t>
      </w:r>
      <w:r w:rsidRPr="004D70F4">
        <w:rPr>
          <w:lang w:val="en-GB"/>
        </w:rPr>
        <w:t>on the nutritional, technological, and sensory properties of spreadable goat cheese</w:t>
      </w:r>
    </w:p>
    <w:p w14:paraId="3607B32A" w14:textId="3ED783CA" w:rsidR="00512D9B" w:rsidRPr="004D70F4" w:rsidRDefault="004D70F4">
      <w:pPr>
        <w:jc w:val="center"/>
      </w:pPr>
      <w:r w:rsidRPr="004D70F4">
        <w:t>Claudia Antonino</w:t>
      </w:r>
      <w:r w:rsidR="00FB589C" w:rsidRPr="004D70F4">
        <w:t xml:space="preserve"> (</w:t>
      </w:r>
      <w:r w:rsidR="00757F12">
        <w:t>c</w:t>
      </w:r>
      <w:r w:rsidRPr="004D70F4">
        <w:t>laudia.antonino@uniba</w:t>
      </w:r>
      <w:r w:rsidR="00FB589C" w:rsidRPr="004D70F4">
        <w:t>.it)</w:t>
      </w:r>
    </w:p>
    <w:p w14:paraId="6071147E" w14:textId="4ADBE424" w:rsidR="00512D9B" w:rsidRDefault="00FB589C">
      <w:pPr>
        <w:jc w:val="center"/>
        <w:rPr>
          <w:lang w:val="en-GB"/>
        </w:rPr>
      </w:pPr>
      <w:r>
        <w:rPr>
          <w:lang w:val="en-GB"/>
        </w:rPr>
        <w:t xml:space="preserve">Dept. </w:t>
      </w:r>
      <w:r w:rsidR="004D70F4">
        <w:rPr>
          <w:lang w:val="en-GB"/>
        </w:rPr>
        <w:t xml:space="preserve">Soil, Plant and </w:t>
      </w:r>
      <w:r>
        <w:rPr>
          <w:lang w:val="en-GB"/>
        </w:rPr>
        <w:t xml:space="preserve">Food Science </w:t>
      </w:r>
      <w:r w:rsidR="004D70F4">
        <w:rPr>
          <w:lang w:val="en-GB"/>
        </w:rPr>
        <w:t>(DiSSPA)</w:t>
      </w:r>
      <w:r>
        <w:rPr>
          <w:lang w:val="en-GB"/>
        </w:rPr>
        <w:t>,  University of</w:t>
      </w:r>
      <w:r w:rsidR="004D70F4">
        <w:rPr>
          <w:lang w:val="en-GB"/>
        </w:rPr>
        <w:t xml:space="preserve"> Bari Aldo Moro</w:t>
      </w:r>
      <w:r>
        <w:rPr>
          <w:lang w:val="en-GB"/>
        </w:rPr>
        <w:t xml:space="preserve">, </w:t>
      </w:r>
      <w:r w:rsidR="004D70F4">
        <w:rPr>
          <w:lang w:val="en-GB"/>
        </w:rPr>
        <w:t>Bari</w:t>
      </w:r>
      <w:r>
        <w:rPr>
          <w:lang w:val="en-GB"/>
        </w:rPr>
        <w:t>, Italy</w:t>
      </w:r>
    </w:p>
    <w:p w14:paraId="4F4155F1" w14:textId="35F95CF2" w:rsidR="00512D9B" w:rsidRPr="00757F12" w:rsidRDefault="00FB589C" w:rsidP="005F4CCB">
      <w:pPr>
        <w:spacing w:after="240"/>
        <w:jc w:val="center"/>
      </w:pPr>
      <w:r w:rsidRPr="00757F12">
        <w:t xml:space="preserve">Tutor: Prof. </w:t>
      </w:r>
      <w:r w:rsidR="004D70F4" w:rsidRPr="00757F12">
        <w:t>Michele Faccia</w:t>
      </w:r>
      <w:r w:rsidR="005F4CCB">
        <w:t xml:space="preserve"> </w:t>
      </w:r>
      <w:r w:rsidR="00757F12" w:rsidRPr="00757F12">
        <w:t>Co-</w:t>
      </w:r>
      <w:r w:rsidR="00757F12">
        <w:t>t</w:t>
      </w:r>
      <w:r w:rsidR="00757F12" w:rsidRPr="00757F12">
        <w:t xml:space="preserve">utor: </w:t>
      </w:r>
      <w:r w:rsidR="00757F12">
        <w:t>Do</w:t>
      </w:r>
      <w:r w:rsidR="00A82025">
        <w:t>t</w:t>
      </w:r>
      <w:r w:rsidR="00757F12">
        <w:t xml:space="preserve">t. </w:t>
      </w:r>
      <w:r w:rsidR="00757F12" w:rsidRPr="00757F12">
        <w:t>Graziana Difonzo</w:t>
      </w:r>
    </w:p>
    <w:p w14:paraId="188AF05F" w14:textId="646616C2" w:rsidR="00512D9B" w:rsidRPr="00757F12" w:rsidRDefault="000C2C18">
      <w:pPr>
        <w:tabs>
          <w:tab w:val="left" w:pos="0"/>
        </w:tabs>
        <w:jc w:val="both"/>
      </w:pPr>
      <w:r>
        <w:rPr>
          <w:lang w:val="en-GB"/>
        </w:rPr>
        <w:t xml:space="preserve">A </w:t>
      </w:r>
      <w:r w:rsidR="0000730B">
        <w:rPr>
          <w:lang w:val="en-GB"/>
        </w:rPr>
        <w:t xml:space="preserve">spreadable goat </w:t>
      </w:r>
      <w:r>
        <w:rPr>
          <w:lang w:val="en-GB"/>
        </w:rPr>
        <w:t xml:space="preserve">milk </w:t>
      </w:r>
      <w:r w:rsidR="0000730B">
        <w:rPr>
          <w:lang w:val="en-GB"/>
        </w:rPr>
        <w:t xml:space="preserve">cheese </w:t>
      </w:r>
      <w:r>
        <w:rPr>
          <w:lang w:val="en-GB"/>
        </w:rPr>
        <w:t>fortified with</w:t>
      </w:r>
      <w:r w:rsidR="00FB589C">
        <w:rPr>
          <w:lang w:val="en-GB"/>
        </w:rPr>
        <w:t xml:space="preserve"> </w:t>
      </w:r>
      <w:r w:rsidR="004E0486">
        <w:rPr>
          <w:lang w:val="en-GB"/>
        </w:rPr>
        <w:t>a rich-</w:t>
      </w:r>
      <w:r w:rsidR="00A75986" w:rsidRPr="004D70F4">
        <w:rPr>
          <w:lang w:val="en-GB"/>
        </w:rPr>
        <w:t>xylooligosaccharides</w:t>
      </w:r>
      <w:r w:rsidR="0000730B" w:rsidRPr="004D70F4">
        <w:rPr>
          <w:lang w:val="en-GB"/>
        </w:rPr>
        <w:t xml:space="preserve"> extract</w:t>
      </w:r>
      <w:r w:rsidR="0000730B">
        <w:rPr>
          <w:lang w:val="en-GB"/>
        </w:rPr>
        <w:t xml:space="preserve"> (XE)</w:t>
      </w:r>
      <w:r>
        <w:rPr>
          <w:lang w:val="en-GB"/>
        </w:rPr>
        <w:t xml:space="preserve"> was developed</w:t>
      </w:r>
      <w:r w:rsidR="00757F12">
        <w:rPr>
          <w:lang w:val="en-GB"/>
        </w:rPr>
        <w:t>.</w:t>
      </w:r>
      <w:r>
        <w:rPr>
          <w:lang w:val="en-GB"/>
        </w:rPr>
        <w:t xml:space="preserve"> The experimental</w:t>
      </w:r>
      <w:r w:rsidR="00A75986">
        <w:rPr>
          <w:lang w:val="en-GB"/>
        </w:rPr>
        <w:t xml:space="preserve"> samples were analysed for proximate composition, </w:t>
      </w:r>
      <w:r w:rsidR="00A75986" w:rsidRPr="00A75986">
        <w:rPr>
          <w:lang w:val="en-GB"/>
        </w:rPr>
        <w:t>colorimetric and textural properties</w:t>
      </w:r>
      <w:r w:rsidR="00A75986">
        <w:rPr>
          <w:lang w:val="en-GB"/>
        </w:rPr>
        <w:t>.</w:t>
      </w:r>
      <w:r w:rsidR="00A75986" w:rsidRPr="00A75986">
        <w:rPr>
          <w:lang w:val="en-GB"/>
        </w:rPr>
        <w:t xml:space="preserve"> </w:t>
      </w:r>
      <w:r w:rsidR="00A75986" w:rsidRPr="00757F12">
        <w:t xml:space="preserve">Finally, </w:t>
      </w:r>
      <w:r w:rsidRPr="00757F12">
        <w:t xml:space="preserve">the </w:t>
      </w:r>
      <w:r w:rsidR="00A75986" w:rsidRPr="00757F12">
        <w:t xml:space="preserve">sensory features were evaluated. </w:t>
      </w:r>
    </w:p>
    <w:p w14:paraId="25341C9E" w14:textId="43F85632" w:rsidR="00512D9B" w:rsidRDefault="0000730B" w:rsidP="00904565">
      <w:pPr>
        <w:pStyle w:val="Titolo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 xml:space="preserve">Impatto di xilooligosaccaridi </w:t>
      </w:r>
      <w:r w:rsidR="00904565">
        <w:rPr>
          <w:sz w:val="24"/>
          <w:lang w:val="it-IT"/>
        </w:rPr>
        <w:t>estratti</w:t>
      </w:r>
      <w:r w:rsidR="00A82025">
        <w:rPr>
          <w:sz w:val="24"/>
          <w:lang w:val="it-IT"/>
        </w:rPr>
        <w:t xml:space="preserve"> </w:t>
      </w:r>
      <w:r>
        <w:rPr>
          <w:sz w:val="24"/>
          <w:lang w:val="it-IT"/>
        </w:rPr>
        <w:t>da tralci di vite sulle proprietà nutrizionali, tecnologiche e sensoriali di formaggio spalmabile di capra</w:t>
      </w:r>
    </w:p>
    <w:p w14:paraId="0B067436" w14:textId="3818E885" w:rsidR="00956118" w:rsidRDefault="00FB589C">
      <w:pPr>
        <w:tabs>
          <w:tab w:val="left" w:pos="0"/>
        </w:tabs>
        <w:jc w:val="both"/>
      </w:pPr>
      <w:r>
        <w:t xml:space="preserve">Le attività del progetto di tesi di dottorato </w:t>
      </w:r>
      <w:r w:rsidR="00A75986">
        <w:t xml:space="preserve">hanno previsto la produzione di formaggio spalmabile di capra fortificato con estratto </w:t>
      </w:r>
      <w:r w:rsidR="00904565">
        <w:t>ricco in</w:t>
      </w:r>
      <w:r w:rsidR="00A75986">
        <w:t xml:space="preserve"> xilooligosaccaridi</w:t>
      </w:r>
      <w:r w:rsidR="00ED3F1B">
        <w:t xml:space="preserve"> (XOS)</w:t>
      </w:r>
      <w:r w:rsidR="00A75986">
        <w:t>. Successivamente i campioni ottenuti sono stati caratterizzati valutando la composizione centesimale, il colore e le caratteristiche strutturali. È stata inoltre effettuata la valutazione del profilo sensoriale.</w:t>
      </w:r>
    </w:p>
    <w:p w14:paraId="192E0720" w14:textId="77777777" w:rsidR="004044C0" w:rsidRPr="004044C0" w:rsidRDefault="004044C0">
      <w:pPr>
        <w:tabs>
          <w:tab w:val="left" w:pos="0"/>
        </w:tabs>
        <w:jc w:val="both"/>
        <w:rPr>
          <w:sz w:val="10"/>
          <w:szCs w:val="10"/>
        </w:rPr>
      </w:pPr>
    </w:p>
    <w:p w14:paraId="6E4C6A6A" w14:textId="3883C08C" w:rsidR="00512D9B" w:rsidRPr="00904565" w:rsidRDefault="0000730B">
      <w:pPr>
        <w:ind w:left="567" w:hanging="567"/>
        <w:jc w:val="both"/>
      </w:pPr>
      <w:r w:rsidRPr="00904565">
        <w:rPr>
          <w:b/>
          <w:bCs/>
        </w:rPr>
        <w:t>Keywords</w:t>
      </w:r>
      <w:r w:rsidR="00FB589C" w:rsidRPr="00904565">
        <w:t xml:space="preserve">: </w:t>
      </w:r>
      <w:r w:rsidRPr="00904565">
        <w:t>spreadable goat cheese; vine shoot; xylooligosaccharide extract.</w:t>
      </w:r>
    </w:p>
    <w:p w14:paraId="20DC5EB5" w14:textId="77777777" w:rsidR="004044C0" w:rsidRPr="00904565" w:rsidRDefault="004044C0">
      <w:pPr>
        <w:ind w:left="567" w:hanging="567"/>
        <w:jc w:val="both"/>
        <w:rPr>
          <w:sz w:val="10"/>
          <w:szCs w:val="10"/>
        </w:rPr>
      </w:pPr>
    </w:p>
    <w:p w14:paraId="049B5BB9" w14:textId="77777777" w:rsidR="00512D9B" w:rsidRDefault="00FB589C" w:rsidP="005F4CCB">
      <w:pPr>
        <w:pStyle w:val="Titolo1"/>
        <w:spacing w:before="0" w:after="24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40FA4B8D" w14:textId="618307EA" w:rsidR="004044C0" w:rsidRPr="004835D9" w:rsidRDefault="000C2C18" w:rsidP="005F4CCB">
      <w:pPr>
        <w:spacing w:after="240"/>
        <w:jc w:val="both"/>
        <w:rPr>
          <w:lang w:val="en-GB"/>
        </w:rPr>
      </w:pPr>
      <w:r>
        <w:rPr>
          <w:lang w:val="en-GB"/>
        </w:rPr>
        <w:t>T</w:t>
      </w:r>
      <w:r w:rsidR="00FB589C">
        <w:rPr>
          <w:lang w:val="en-GB"/>
        </w:rPr>
        <w:t>his poster reports the main results of</w:t>
      </w:r>
      <w:r w:rsidR="00B4399F">
        <w:rPr>
          <w:lang w:val="en-GB"/>
        </w:rPr>
        <w:t xml:space="preserve"> </w:t>
      </w:r>
      <w:r w:rsidR="00FB589C">
        <w:rPr>
          <w:lang w:val="en-GB"/>
        </w:rPr>
        <w:t>the activities concerning</w:t>
      </w:r>
      <w:r w:rsidR="004044C0">
        <w:rPr>
          <w:lang w:val="en-GB"/>
        </w:rPr>
        <w:t xml:space="preserve"> the m</w:t>
      </w:r>
      <w:r w:rsidR="00B4399F" w:rsidRPr="004044C0">
        <w:rPr>
          <w:lang w:val="en-GB"/>
        </w:rPr>
        <w:t xml:space="preserve">anufacturing </w:t>
      </w:r>
      <w:r w:rsidR="004044C0" w:rsidRPr="004044C0">
        <w:rPr>
          <w:lang w:val="en-GB"/>
        </w:rPr>
        <w:t xml:space="preserve">and characterization </w:t>
      </w:r>
      <w:r w:rsidR="00B4399F" w:rsidRPr="004044C0">
        <w:rPr>
          <w:lang w:val="en-GB"/>
        </w:rPr>
        <w:t xml:space="preserve">of </w:t>
      </w:r>
      <w:r>
        <w:rPr>
          <w:lang w:val="en-GB"/>
        </w:rPr>
        <w:t xml:space="preserve">a </w:t>
      </w:r>
      <w:r w:rsidR="00B4399F" w:rsidRPr="004044C0">
        <w:rPr>
          <w:lang w:val="en-GB"/>
        </w:rPr>
        <w:t>spreadable goat cheese fortified with XE obtained from vine shoots</w:t>
      </w:r>
      <w:r w:rsidR="00904565">
        <w:rPr>
          <w:lang w:val="en-GB"/>
        </w:rPr>
        <w:t xml:space="preserve"> by steam explosion</w:t>
      </w:r>
      <w:r w:rsidR="004044C0" w:rsidRPr="004044C0">
        <w:rPr>
          <w:lang w:val="en-GB"/>
        </w:rPr>
        <w:t>.</w:t>
      </w:r>
    </w:p>
    <w:p w14:paraId="525E1D35" w14:textId="77777777" w:rsidR="00512D9B" w:rsidRDefault="00FB589C" w:rsidP="005F4CCB">
      <w:pPr>
        <w:pStyle w:val="Titolo1"/>
        <w:spacing w:before="0" w:after="24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725A3089" w14:textId="60AFEAB9" w:rsidR="004D70F4" w:rsidRPr="00E35009" w:rsidRDefault="004D70F4" w:rsidP="004044C0">
      <w:pPr>
        <w:jc w:val="both"/>
        <w:rPr>
          <w:b/>
          <w:bCs/>
          <w:lang w:val="en-GB"/>
        </w:rPr>
      </w:pPr>
      <w:r w:rsidRPr="00E35009">
        <w:rPr>
          <w:b/>
          <w:bCs/>
          <w:lang w:val="en-GB"/>
        </w:rPr>
        <w:t>2.1.Preparation of the XE</w:t>
      </w:r>
      <w:r w:rsidR="00CD5931">
        <w:rPr>
          <w:b/>
          <w:bCs/>
          <w:lang w:val="en-GB"/>
        </w:rPr>
        <w:t xml:space="preserve"> and</w:t>
      </w:r>
      <w:r w:rsidR="00CD5931" w:rsidRPr="00E35009">
        <w:rPr>
          <w:b/>
          <w:bCs/>
          <w:lang w:val="en-GB"/>
        </w:rPr>
        <w:t xml:space="preserve"> spreadable goat cheese</w:t>
      </w:r>
      <w:r w:rsidR="00CD5931">
        <w:rPr>
          <w:b/>
          <w:bCs/>
          <w:lang w:val="en-GB"/>
        </w:rPr>
        <w:t xml:space="preserve"> production </w:t>
      </w:r>
    </w:p>
    <w:p w14:paraId="61D85CF7" w14:textId="1652A08B" w:rsidR="004D70F4" w:rsidRPr="004D70F4" w:rsidRDefault="004D70F4" w:rsidP="004D70F4">
      <w:pPr>
        <w:jc w:val="both"/>
        <w:rPr>
          <w:lang w:val="en-GB"/>
        </w:rPr>
      </w:pPr>
      <w:r w:rsidRPr="004D70F4">
        <w:rPr>
          <w:lang w:val="en-GB"/>
        </w:rPr>
        <w:t xml:space="preserve">The XE was </w:t>
      </w:r>
      <w:r w:rsidR="00B667F6">
        <w:rPr>
          <w:lang w:val="en-GB"/>
        </w:rPr>
        <w:t>extracted</w:t>
      </w:r>
      <w:r w:rsidRPr="004D70F4">
        <w:rPr>
          <w:lang w:val="en-GB"/>
        </w:rPr>
        <w:t xml:space="preserve"> from vine shoots with the steam explosion technique, operating at 210 °C for 5 minutes</w:t>
      </w:r>
      <w:r w:rsidR="00D92AA5">
        <w:rPr>
          <w:lang w:val="en-GB"/>
        </w:rPr>
        <w:t xml:space="preserve">. </w:t>
      </w:r>
      <w:r w:rsidRPr="004D70F4">
        <w:rPr>
          <w:lang w:val="en-GB"/>
        </w:rPr>
        <w:t>XOS</w:t>
      </w:r>
      <w:r w:rsidR="00A82025">
        <w:rPr>
          <w:lang w:val="en-GB"/>
        </w:rPr>
        <w:t xml:space="preserve"> </w:t>
      </w:r>
      <w:r w:rsidRPr="004D70F4">
        <w:rPr>
          <w:lang w:val="en-GB"/>
        </w:rPr>
        <w:t>concentration in the extract was 34 g/L</w:t>
      </w:r>
      <w:r w:rsidR="00B667F6">
        <w:rPr>
          <w:lang w:val="en-GB"/>
        </w:rPr>
        <w:t xml:space="preserve">. </w:t>
      </w:r>
      <w:r w:rsidRPr="004D70F4">
        <w:rPr>
          <w:lang w:val="en-GB"/>
        </w:rPr>
        <w:t>The XOS syrup was freeze-dried and stored at -20 °C.</w:t>
      </w:r>
      <w:r w:rsidR="00CD5931">
        <w:rPr>
          <w:lang w:val="en-GB"/>
        </w:rPr>
        <w:t xml:space="preserve"> </w:t>
      </w:r>
      <w:r w:rsidRPr="004D70F4">
        <w:rPr>
          <w:lang w:val="en-GB"/>
        </w:rPr>
        <w:t xml:space="preserve">Raw goat milk was pasteurized at 65 °C for 30 minutes in a thermostatic bath. After lowering the temperature to 30 °C, a </w:t>
      </w:r>
      <w:r w:rsidR="000C2C18">
        <w:rPr>
          <w:lang w:val="en-GB"/>
        </w:rPr>
        <w:t xml:space="preserve">mixed </w:t>
      </w:r>
      <w:r w:rsidRPr="004D70F4">
        <w:rPr>
          <w:lang w:val="en-GB"/>
        </w:rPr>
        <w:t>starter culture (</w:t>
      </w:r>
      <w:r w:rsidRPr="00B667F6">
        <w:rPr>
          <w:i/>
          <w:iCs/>
          <w:lang w:val="en-GB"/>
        </w:rPr>
        <w:t>Lactobacillus delbrueckii subsp. bulgaricus</w:t>
      </w:r>
      <w:r w:rsidRPr="004D70F4">
        <w:rPr>
          <w:lang w:val="en-GB"/>
        </w:rPr>
        <w:t xml:space="preserve"> and </w:t>
      </w:r>
      <w:r w:rsidRPr="00B667F6">
        <w:rPr>
          <w:i/>
          <w:iCs/>
          <w:lang w:val="en-GB"/>
        </w:rPr>
        <w:t>Streptococcus thermophilus</w:t>
      </w:r>
      <w:r w:rsidRPr="004D70F4">
        <w:rPr>
          <w:lang w:val="en-GB"/>
        </w:rPr>
        <w:t xml:space="preserve">) and a small amount of rennet were added (75 µL/L). Coagulation occurred at 30 °C overnight, then the curd obtained was cut into fragments of about 3 </w:t>
      </w:r>
      <w:r w:rsidR="004835D9">
        <w:rPr>
          <w:lang w:val="en-GB"/>
        </w:rPr>
        <w:t>centimetres</w:t>
      </w:r>
      <w:r w:rsidRPr="004D70F4">
        <w:rPr>
          <w:lang w:val="en-GB"/>
        </w:rPr>
        <w:t xml:space="preserve"> to allow a slight whey draining. The </w:t>
      </w:r>
      <w:r w:rsidR="000C2C18">
        <w:rPr>
          <w:lang w:val="en-GB"/>
        </w:rPr>
        <w:t>curd</w:t>
      </w:r>
      <w:r w:rsidR="000C2C18" w:rsidRPr="004D70F4">
        <w:rPr>
          <w:lang w:val="en-GB"/>
        </w:rPr>
        <w:t xml:space="preserve"> </w:t>
      </w:r>
      <w:r w:rsidRPr="004D70F4">
        <w:rPr>
          <w:lang w:val="en-GB"/>
        </w:rPr>
        <w:t>obtained was added with 5.5 g of XE per 100 g of product and homogenized</w:t>
      </w:r>
      <w:r w:rsidR="000C2C18">
        <w:rPr>
          <w:lang w:val="en-GB"/>
        </w:rPr>
        <w:t>, a</w:t>
      </w:r>
      <w:r w:rsidR="000C2C18" w:rsidRPr="004D70F4">
        <w:rPr>
          <w:lang w:val="en-GB"/>
        </w:rPr>
        <w:t>fter</w:t>
      </w:r>
      <w:r w:rsidR="000C2C18">
        <w:rPr>
          <w:lang w:val="en-GB"/>
        </w:rPr>
        <w:t xml:space="preserve"> that</w:t>
      </w:r>
      <w:r w:rsidRPr="004D70F4">
        <w:rPr>
          <w:lang w:val="en-GB"/>
        </w:rPr>
        <w:t xml:space="preserve"> the cheese was placed in hermetically sealed </w:t>
      </w:r>
      <w:r w:rsidR="000C2C18">
        <w:rPr>
          <w:lang w:val="en-GB"/>
        </w:rPr>
        <w:t>jar</w:t>
      </w:r>
      <w:r w:rsidRPr="004D70F4">
        <w:rPr>
          <w:lang w:val="en-GB"/>
        </w:rPr>
        <w:t xml:space="preserve">, pasteurized at 65 °C for 30 minutes, and stored at 4 °C. </w:t>
      </w:r>
      <w:r w:rsidR="000C2C18">
        <w:rPr>
          <w:lang w:val="en-GB"/>
        </w:rPr>
        <w:t>A</w:t>
      </w:r>
      <w:r w:rsidRPr="004D70F4">
        <w:rPr>
          <w:lang w:val="en-GB"/>
        </w:rPr>
        <w:t xml:space="preserve"> </w:t>
      </w:r>
      <w:r w:rsidR="000C2C18">
        <w:rPr>
          <w:lang w:val="en-GB"/>
        </w:rPr>
        <w:t>cheese sample prepared without XE</w:t>
      </w:r>
      <w:r w:rsidRPr="004D70F4">
        <w:rPr>
          <w:lang w:val="en-GB"/>
        </w:rPr>
        <w:t xml:space="preserve"> </w:t>
      </w:r>
      <w:r w:rsidR="000C2C18">
        <w:rPr>
          <w:lang w:val="en-GB"/>
        </w:rPr>
        <w:t xml:space="preserve">was used as control </w:t>
      </w:r>
      <w:r w:rsidRPr="004D70F4">
        <w:rPr>
          <w:lang w:val="en-GB"/>
        </w:rPr>
        <w:t>(FC)</w:t>
      </w:r>
      <w:r w:rsidR="000C2C18">
        <w:rPr>
          <w:lang w:val="en-GB"/>
        </w:rPr>
        <w:t>.</w:t>
      </w:r>
      <w:r w:rsidRPr="004D70F4">
        <w:rPr>
          <w:lang w:val="en-GB"/>
        </w:rPr>
        <w:t xml:space="preserve"> </w:t>
      </w:r>
    </w:p>
    <w:p w14:paraId="44495FAE" w14:textId="538EC6D8" w:rsidR="004D70F4" w:rsidRPr="00E35009" w:rsidRDefault="004D70F4" w:rsidP="004D70F4">
      <w:pPr>
        <w:jc w:val="both"/>
        <w:rPr>
          <w:b/>
          <w:bCs/>
          <w:lang w:val="en-GB"/>
        </w:rPr>
      </w:pPr>
      <w:r w:rsidRPr="00E35009">
        <w:rPr>
          <w:b/>
          <w:bCs/>
          <w:lang w:val="en-GB"/>
        </w:rPr>
        <w:t>2.</w:t>
      </w:r>
      <w:r w:rsidR="00956118">
        <w:rPr>
          <w:b/>
          <w:bCs/>
          <w:lang w:val="en-GB"/>
        </w:rPr>
        <w:t>2</w:t>
      </w:r>
      <w:r w:rsidRPr="00E35009">
        <w:rPr>
          <w:b/>
          <w:bCs/>
          <w:lang w:val="en-GB"/>
        </w:rPr>
        <w:t>.</w:t>
      </w:r>
      <w:r w:rsidR="00E04349">
        <w:rPr>
          <w:b/>
          <w:bCs/>
          <w:lang w:val="en-GB"/>
        </w:rPr>
        <w:t xml:space="preserve"> Characterization</w:t>
      </w:r>
      <w:r w:rsidRPr="00E35009">
        <w:rPr>
          <w:b/>
          <w:bCs/>
          <w:lang w:val="en-GB"/>
        </w:rPr>
        <w:t xml:space="preserve"> of FC and FX</w:t>
      </w:r>
    </w:p>
    <w:p w14:paraId="2FDA9005" w14:textId="7236F97F" w:rsidR="004044C0" w:rsidRPr="004835D9" w:rsidRDefault="004D70F4" w:rsidP="005F4CCB">
      <w:pPr>
        <w:spacing w:after="240"/>
        <w:jc w:val="both"/>
        <w:rPr>
          <w:lang w:val="en-US"/>
        </w:rPr>
      </w:pPr>
      <w:r w:rsidRPr="004D70F4">
        <w:rPr>
          <w:lang w:val="en-GB"/>
        </w:rPr>
        <w:t>Protein, ash, lipid, and total fiber content were determined using the AOAC methods 979.09, 923.03, 945.38, and 991.43</w:t>
      </w:r>
      <w:r w:rsidR="00A82025">
        <w:rPr>
          <w:lang w:val="en-GB"/>
        </w:rPr>
        <w:t>,</w:t>
      </w:r>
      <w:r w:rsidRPr="004D70F4">
        <w:rPr>
          <w:lang w:val="en-GB"/>
        </w:rPr>
        <w:t xml:space="preserve"> respectively. Lactose</w:t>
      </w:r>
      <w:r w:rsidR="00D92AA5">
        <w:rPr>
          <w:lang w:val="en-GB"/>
        </w:rPr>
        <w:t>,</w:t>
      </w:r>
      <w:r w:rsidRPr="004D70F4">
        <w:rPr>
          <w:lang w:val="en-GB"/>
        </w:rPr>
        <w:t xml:space="preserve"> galactose</w:t>
      </w:r>
      <w:r w:rsidR="00D92AA5">
        <w:rPr>
          <w:lang w:val="en-GB"/>
        </w:rPr>
        <w:t>, and organic acids</w:t>
      </w:r>
      <w:r w:rsidRPr="004D70F4">
        <w:rPr>
          <w:lang w:val="en-GB"/>
        </w:rPr>
        <w:t xml:space="preserve"> were determined by high-performance liquid chromatography (HPLC) </w:t>
      </w:r>
      <w:r w:rsidR="00D92AA5">
        <w:rPr>
          <w:lang w:val="en-GB"/>
        </w:rPr>
        <w:t>(</w:t>
      </w:r>
      <w:r w:rsidRPr="004D70F4">
        <w:rPr>
          <w:lang w:val="en-GB"/>
        </w:rPr>
        <w:t>Trani</w:t>
      </w:r>
      <w:r w:rsidR="00A82025">
        <w:rPr>
          <w:lang w:val="en-GB"/>
        </w:rPr>
        <w:t xml:space="preserve"> et al.</w:t>
      </w:r>
      <w:r w:rsidR="00D92AA5">
        <w:rPr>
          <w:lang w:val="en-GB"/>
        </w:rPr>
        <w:t>, 20</w:t>
      </w:r>
      <w:r w:rsidR="00FF0F5A">
        <w:rPr>
          <w:lang w:val="en-GB"/>
        </w:rPr>
        <w:t>17</w:t>
      </w:r>
      <w:r w:rsidR="00D92AA5">
        <w:rPr>
          <w:lang w:val="en-GB"/>
        </w:rPr>
        <w:t>; Buffa</w:t>
      </w:r>
      <w:r w:rsidR="00A82025">
        <w:rPr>
          <w:lang w:val="en-GB"/>
        </w:rPr>
        <w:t xml:space="preserve"> et al.</w:t>
      </w:r>
      <w:r w:rsidR="00D92AA5">
        <w:rPr>
          <w:lang w:val="en-GB"/>
        </w:rPr>
        <w:t>, 20</w:t>
      </w:r>
      <w:r w:rsidR="00FF0F5A">
        <w:rPr>
          <w:lang w:val="en-GB"/>
        </w:rPr>
        <w:t>04</w:t>
      </w:r>
      <w:r w:rsidR="00D92AA5">
        <w:rPr>
          <w:lang w:val="en-GB"/>
        </w:rPr>
        <w:t>)</w:t>
      </w:r>
      <w:r w:rsidRPr="004D70F4">
        <w:rPr>
          <w:lang w:val="en-GB"/>
        </w:rPr>
        <w:t>. Moisture</w:t>
      </w:r>
      <w:r w:rsidR="005A4CE0">
        <w:rPr>
          <w:lang w:val="en-GB"/>
        </w:rPr>
        <w:t xml:space="preserve"> </w:t>
      </w:r>
      <w:r w:rsidRPr="004D70F4">
        <w:rPr>
          <w:lang w:val="en-GB"/>
        </w:rPr>
        <w:t xml:space="preserve">was determined by a moisture </w:t>
      </w:r>
      <w:r w:rsidR="00FF0F5A" w:rsidRPr="004D70F4">
        <w:rPr>
          <w:lang w:val="en-GB"/>
        </w:rPr>
        <w:t>analyser</w:t>
      </w:r>
      <w:r w:rsidRPr="004D70F4">
        <w:rPr>
          <w:lang w:val="en-GB"/>
        </w:rPr>
        <w:t xml:space="preserve"> MAC 110/NP. The pH was measured with a pH-meter. Water activity (</w:t>
      </w:r>
      <w:r w:rsidR="00A82025">
        <w:rPr>
          <w:lang w:val="en-GB"/>
        </w:rPr>
        <w:t>a</w:t>
      </w:r>
      <w:r w:rsidRPr="004044C0">
        <w:rPr>
          <w:vertAlign w:val="subscript"/>
          <w:lang w:val="en-GB"/>
        </w:rPr>
        <w:t>w</w:t>
      </w:r>
      <w:r w:rsidRPr="004D70F4">
        <w:rPr>
          <w:lang w:val="en-GB"/>
        </w:rPr>
        <w:t>) was determined by using the water activity meter Aqua Lab 4TE</w:t>
      </w:r>
      <w:r w:rsidR="00D80F9F">
        <w:rPr>
          <w:lang w:val="en-GB"/>
        </w:rPr>
        <w:t>.</w:t>
      </w:r>
      <w:r w:rsidR="00E04349">
        <w:rPr>
          <w:lang w:val="en-GB"/>
        </w:rPr>
        <w:t xml:space="preserve"> </w:t>
      </w:r>
      <w:r w:rsidRPr="004D70F4">
        <w:rPr>
          <w:lang w:val="en-GB"/>
        </w:rPr>
        <w:t>The CM-600d colorimeter (Konica Minolta, Tokyo, Japan) and SpectraMagic NX software were used for the color analysis</w:t>
      </w:r>
      <w:r w:rsidR="0085288F">
        <w:rPr>
          <w:lang w:val="en-GB"/>
        </w:rPr>
        <w:t xml:space="preserve">. </w:t>
      </w:r>
      <w:r w:rsidRPr="004D70F4">
        <w:rPr>
          <w:lang w:val="en-GB"/>
        </w:rPr>
        <w:t>Brightness (</w:t>
      </w:r>
      <w:r w:rsidRPr="009B672A">
        <w:rPr>
          <w:i/>
          <w:iCs/>
          <w:lang w:val="en-GB"/>
        </w:rPr>
        <w:t>L*</w:t>
      </w:r>
      <w:r w:rsidRPr="004D70F4">
        <w:rPr>
          <w:lang w:val="en-GB"/>
        </w:rPr>
        <w:t>), red index (</w:t>
      </w:r>
      <w:r w:rsidRPr="009B672A">
        <w:rPr>
          <w:i/>
          <w:iCs/>
          <w:lang w:val="en-GB"/>
        </w:rPr>
        <w:t>a*</w:t>
      </w:r>
      <w:r w:rsidRPr="004D70F4">
        <w:rPr>
          <w:lang w:val="en-GB"/>
        </w:rPr>
        <w:t>), and yellow index (</w:t>
      </w:r>
      <w:r w:rsidRPr="009B672A">
        <w:rPr>
          <w:i/>
          <w:iCs/>
          <w:lang w:val="en-GB"/>
        </w:rPr>
        <w:t>b*</w:t>
      </w:r>
      <w:r w:rsidRPr="004D70F4">
        <w:rPr>
          <w:lang w:val="en-GB"/>
        </w:rPr>
        <w:t>) are considered in accordance with the International Commission on Illumination.</w:t>
      </w:r>
      <w:r w:rsidR="00E04349">
        <w:rPr>
          <w:lang w:val="en-GB"/>
        </w:rPr>
        <w:t xml:space="preserve"> </w:t>
      </w:r>
      <w:r w:rsidRPr="004D70F4">
        <w:rPr>
          <w:lang w:val="en-GB"/>
        </w:rPr>
        <w:t xml:space="preserve">Back extrusion was </w:t>
      </w:r>
      <w:r w:rsidR="00582A69">
        <w:rPr>
          <w:lang w:val="en-GB"/>
        </w:rPr>
        <w:t>evaluated</w:t>
      </w:r>
      <w:r w:rsidRPr="004D70F4">
        <w:rPr>
          <w:lang w:val="en-GB"/>
        </w:rPr>
        <w:t xml:space="preserve"> according to De Angelis</w:t>
      </w:r>
      <w:r w:rsidR="00A82025">
        <w:rPr>
          <w:lang w:val="en-GB"/>
        </w:rPr>
        <w:t xml:space="preserve"> et al.</w:t>
      </w:r>
      <w:r w:rsidRPr="004D70F4">
        <w:rPr>
          <w:lang w:val="en-GB"/>
        </w:rPr>
        <w:t xml:space="preserve"> </w:t>
      </w:r>
      <w:r w:rsidR="00FF0F5A">
        <w:rPr>
          <w:lang w:val="en-GB"/>
        </w:rPr>
        <w:t>(2022)</w:t>
      </w:r>
      <w:r w:rsidRPr="004D70F4">
        <w:rPr>
          <w:lang w:val="en-GB"/>
        </w:rPr>
        <w:t>.</w:t>
      </w:r>
      <w:r w:rsidR="0085288F">
        <w:rPr>
          <w:lang w:val="en-GB"/>
        </w:rPr>
        <w:t xml:space="preserve"> </w:t>
      </w:r>
      <w:r w:rsidR="00B667F6" w:rsidRPr="00B667F6">
        <w:rPr>
          <w:lang w:val="en-US"/>
        </w:rPr>
        <w:t xml:space="preserve">Sensory analysis of cheeses was performed by a semi-trained sensory panel </w:t>
      </w:r>
      <w:r w:rsidR="000C2C18">
        <w:rPr>
          <w:lang w:val="en-US"/>
        </w:rPr>
        <w:t xml:space="preserve">composed </w:t>
      </w:r>
      <w:r w:rsidR="00B667F6" w:rsidRPr="00B667F6">
        <w:rPr>
          <w:lang w:val="en-US"/>
        </w:rPr>
        <w:t xml:space="preserve">of ten </w:t>
      </w:r>
      <w:r w:rsidR="000C2C18">
        <w:rPr>
          <w:lang w:val="en-US"/>
        </w:rPr>
        <w:t>members</w:t>
      </w:r>
      <w:r w:rsidR="00B667F6" w:rsidRPr="00B667F6">
        <w:rPr>
          <w:lang w:val="en-US"/>
        </w:rPr>
        <w:t>. The descriptors were selected</w:t>
      </w:r>
      <w:r w:rsidR="00582A69">
        <w:rPr>
          <w:lang w:val="en-US"/>
        </w:rPr>
        <w:t xml:space="preserve"> considering</w:t>
      </w:r>
      <w:r w:rsidR="00A82025">
        <w:rPr>
          <w:lang w:val="en-US"/>
        </w:rPr>
        <w:t xml:space="preserve"> </w:t>
      </w:r>
      <w:r w:rsidR="00B667F6" w:rsidRPr="00B667F6">
        <w:rPr>
          <w:lang w:val="en-US"/>
        </w:rPr>
        <w:t xml:space="preserve">the ONAF (Italian Organization of Cheese Tasters) vocabulary </w:t>
      </w:r>
      <w:r w:rsidR="003675A3">
        <w:rPr>
          <w:lang w:val="en-US"/>
        </w:rPr>
        <w:t>(Gambera, 2008)</w:t>
      </w:r>
      <w:r w:rsidR="00B667F6" w:rsidRPr="00B667F6">
        <w:rPr>
          <w:lang w:val="en-US"/>
        </w:rPr>
        <w:t xml:space="preserve"> were rated on a 1-5 score range.</w:t>
      </w:r>
      <w:r w:rsidR="00E04349">
        <w:rPr>
          <w:lang w:val="en-GB"/>
        </w:rPr>
        <w:t xml:space="preserve"> </w:t>
      </w:r>
      <w:r w:rsidR="00E35009" w:rsidRPr="00E35009">
        <w:rPr>
          <w:lang w:val="en-US"/>
        </w:rPr>
        <w:t>Minitab19 (Minitab Inc., State College, PA, USA) was used for the statistical analysis of all results, reported as mean ± standard deviation (SD) of three replications. To evaluate the differences between samples, one-way ANOVA followed by Tukey’s HSD test was applied.</w:t>
      </w:r>
    </w:p>
    <w:p w14:paraId="7B7F4BDD" w14:textId="00218164" w:rsidR="00512D9B" w:rsidRPr="00E35009" w:rsidRDefault="00FB589C" w:rsidP="004044C0">
      <w:pPr>
        <w:pStyle w:val="Titolo1"/>
        <w:spacing w:before="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3D0410FE" w14:textId="7E824DE0" w:rsidR="00755FC3" w:rsidRPr="00D92AA5" w:rsidRDefault="00D92AA5" w:rsidP="005F4CCB">
      <w:pPr>
        <w:spacing w:before="240"/>
        <w:jc w:val="both"/>
        <w:rPr>
          <w:lang w:val="en-US"/>
        </w:rPr>
      </w:pPr>
      <w:r w:rsidRPr="00D92AA5">
        <w:rPr>
          <w:lang w:val="en-US"/>
        </w:rPr>
        <w:t>The addition of XOS caused a slight increase in p</w:t>
      </w:r>
      <w:r w:rsidR="000B55AF">
        <w:rPr>
          <w:lang w:val="en-US"/>
        </w:rPr>
        <w:t>H</w:t>
      </w:r>
      <w:r w:rsidR="000C2C18">
        <w:rPr>
          <w:lang w:val="en-US"/>
        </w:rPr>
        <w:t xml:space="preserve">, </w:t>
      </w:r>
      <w:r w:rsidRPr="00D92AA5">
        <w:rPr>
          <w:lang w:val="en-US"/>
        </w:rPr>
        <w:t xml:space="preserve">as </w:t>
      </w:r>
      <w:r w:rsidR="000C2C18">
        <w:rPr>
          <w:lang w:val="en-US"/>
        </w:rPr>
        <w:t>the</w:t>
      </w:r>
      <w:r w:rsidRPr="00D92AA5">
        <w:rPr>
          <w:lang w:val="en-US"/>
        </w:rPr>
        <w:t xml:space="preserve"> pH value </w:t>
      </w:r>
      <w:r w:rsidR="000C2C18">
        <w:rPr>
          <w:lang w:val="en-US"/>
        </w:rPr>
        <w:t>of the extract was</w:t>
      </w:r>
      <w:r w:rsidRPr="00D92AA5">
        <w:rPr>
          <w:lang w:val="en-US"/>
        </w:rPr>
        <w:t xml:space="preserve"> 4.40. The addition of XE in FX led to about 5% decrease in moisture, probably due to a higher syneresis during the homogenization process. In addition, non-digestible oligosaccharides such as XOS contribute to an increase in soluble solids in cheese formulation with a consequence on </w:t>
      </w:r>
      <w:r w:rsidRPr="004835D9">
        <w:rPr>
          <w:lang w:val="en-US"/>
        </w:rPr>
        <w:t xml:space="preserve">product moisture. </w:t>
      </w:r>
      <w:r w:rsidR="000B55AF" w:rsidRPr="004835D9">
        <w:rPr>
          <w:lang w:val="en-US"/>
        </w:rPr>
        <w:t>No</w:t>
      </w:r>
      <w:r w:rsidR="000B55AF" w:rsidRPr="00D92AA5">
        <w:rPr>
          <w:lang w:val="en-US"/>
        </w:rPr>
        <w:t xml:space="preserve"> significant differences were found</w:t>
      </w:r>
      <w:r w:rsidR="000B55AF">
        <w:rPr>
          <w:lang w:val="en-US"/>
        </w:rPr>
        <w:t xml:space="preserve"> for water activity, lipid, l</w:t>
      </w:r>
      <w:r w:rsidR="000B55AF" w:rsidRPr="004D70F4">
        <w:rPr>
          <w:lang w:val="en-GB"/>
        </w:rPr>
        <w:t>actose</w:t>
      </w:r>
      <w:r w:rsidR="000B55AF">
        <w:rPr>
          <w:lang w:val="en-GB"/>
        </w:rPr>
        <w:t>,</w:t>
      </w:r>
      <w:r w:rsidR="000B55AF" w:rsidRPr="004D70F4">
        <w:rPr>
          <w:lang w:val="en-GB"/>
        </w:rPr>
        <w:t xml:space="preserve"> galactose</w:t>
      </w:r>
      <w:r w:rsidR="000B55AF">
        <w:rPr>
          <w:lang w:val="en-GB"/>
        </w:rPr>
        <w:t>, and organic acids</w:t>
      </w:r>
      <w:r w:rsidR="000B55AF" w:rsidRPr="00D92AA5">
        <w:rPr>
          <w:lang w:val="en-US"/>
        </w:rPr>
        <w:t>.</w:t>
      </w:r>
      <w:r w:rsidR="004835D9">
        <w:rPr>
          <w:lang w:val="en-US"/>
        </w:rPr>
        <w:t xml:space="preserve"> </w:t>
      </w:r>
      <w:r w:rsidRPr="00D92AA5">
        <w:rPr>
          <w:lang w:val="en-US"/>
        </w:rPr>
        <w:t xml:space="preserve">An opposite trend occurred for proteins that were found to be greater in FX. </w:t>
      </w:r>
      <w:r w:rsidR="004C6730" w:rsidRPr="004C6730">
        <w:rPr>
          <w:lang w:val="en-US"/>
        </w:rPr>
        <w:t xml:space="preserve">The addition of plant extracts may promote the fixation of soluble proteins to the para-casein network or the formation of small protein aggregates, resulting in an increase in the protein content of cheeses </w:t>
      </w:r>
      <w:r w:rsidR="004C6730">
        <w:rPr>
          <w:lang w:val="en-US"/>
        </w:rPr>
        <w:t>(</w:t>
      </w:r>
      <w:r w:rsidR="004C6730" w:rsidRPr="004C6730">
        <w:rPr>
          <w:lang w:val="en-US"/>
        </w:rPr>
        <w:t>da Silva et al.</w:t>
      </w:r>
      <w:r w:rsidR="004C6730">
        <w:rPr>
          <w:lang w:val="en-US"/>
        </w:rPr>
        <w:t>,</w:t>
      </w:r>
      <w:r w:rsidR="004C6730" w:rsidRPr="004C6730">
        <w:rPr>
          <w:lang w:val="en-US"/>
        </w:rPr>
        <w:t xml:space="preserve"> </w:t>
      </w:r>
      <w:r w:rsidR="004C6730" w:rsidRPr="004C6730">
        <w:rPr>
          <w:lang w:val="en-US"/>
        </w:rPr>
        <w:lastRenderedPageBreak/>
        <w:t>2015).</w:t>
      </w:r>
      <w:r w:rsidRPr="00D92AA5">
        <w:rPr>
          <w:lang w:val="en-US"/>
        </w:rPr>
        <w:t xml:space="preserve"> The results of the total dietary fibers highlight the high concentration of fibers in FX. </w:t>
      </w:r>
      <w:r w:rsidR="003675A3">
        <w:rPr>
          <w:lang w:val="en-US"/>
        </w:rPr>
        <w:t xml:space="preserve">One of the </w:t>
      </w:r>
      <w:r w:rsidRPr="00D92AA5">
        <w:rPr>
          <w:lang w:val="en-US"/>
        </w:rPr>
        <w:t>objective</w:t>
      </w:r>
      <w:r w:rsidR="003675A3">
        <w:rPr>
          <w:lang w:val="en-US"/>
        </w:rPr>
        <w:t>s</w:t>
      </w:r>
      <w:r w:rsidRPr="00D92AA5">
        <w:rPr>
          <w:lang w:val="en-US"/>
        </w:rPr>
        <w:t xml:space="preserve"> of this study was the enrichment of spreadable goat cheese with xylooligosaccharides for the attribution of the claim “</w:t>
      </w:r>
      <w:r w:rsidRPr="003675A3">
        <w:rPr>
          <w:i/>
          <w:iCs/>
          <w:lang w:val="en-US"/>
        </w:rPr>
        <w:t>Source of fiber</w:t>
      </w:r>
      <w:r w:rsidRPr="00D92AA5">
        <w:rPr>
          <w:lang w:val="en-US"/>
        </w:rPr>
        <w:t xml:space="preserve">” (at least 3 g of fiber per 100 g of product in accordance with EC Regulation No. 1924/2006). The results show that the amount of fiber found in functional cheese was 3.56 g/100g of cheese. </w:t>
      </w:r>
    </w:p>
    <w:p w14:paraId="191869E6" w14:textId="37C7790E" w:rsidR="0085288F" w:rsidRPr="0085288F" w:rsidRDefault="0085288F" w:rsidP="0085288F">
      <w:pPr>
        <w:jc w:val="both"/>
        <w:rPr>
          <w:sz w:val="18"/>
          <w:szCs w:val="18"/>
          <w:lang w:val="en-US"/>
        </w:rPr>
      </w:pPr>
      <w:r w:rsidRPr="0085288F">
        <w:rPr>
          <w:b/>
          <w:bCs/>
          <w:i/>
          <w:iCs/>
          <w:sz w:val="18"/>
          <w:szCs w:val="18"/>
          <w:lang w:val="en-US"/>
        </w:rPr>
        <w:t>Tab</w:t>
      </w:r>
      <w:r w:rsidR="004044C0">
        <w:rPr>
          <w:b/>
          <w:bCs/>
          <w:i/>
          <w:iCs/>
          <w:sz w:val="18"/>
          <w:szCs w:val="18"/>
          <w:lang w:val="en-US"/>
        </w:rPr>
        <w:t>le</w:t>
      </w:r>
      <w:r w:rsidRPr="0085288F">
        <w:rPr>
          <w:b/>
          <w:bCs/>
          <w:i/>
          <w:iCs/>
          <w:sz w:val="18"/>
          <w:szCs w:val="18"/>
          <w:lang w:val="en-US"/>
        </w:rPr>
        <w:t xml:space="preserve"> </w:t>
      </w:r>
      <w:r w:rsidR="00ED1DA9">
        <w:rPr>
          <w:b/>
          <w:bCs/>
          <w:i/>
          <w:iCs/>
          <w:sz w:val="18"/>
          <w:szCs w:val="18"/>
          <w:lang w:val="en-US"/>
        </w:rPr>
        <w:t>1</w:t>
      </w:r>
      <w:r w:rsidRPr="0085288F">
        <w:rPr>
          <w:b/>
          <w:bCs/>
          <w:i/>
          <w:iCs/>
          <w:sz w:val="18"/>
          <w:szCs w:val="18"/>
          <w:lang w:val="en-US"/>
        </w:rPr>
        <w:t xml:space="preserve">. </w:t>
      </w:r>
      <w:r w:rsidRPr="0085288F">
        <w:rPr>
          <w:sz w:val="18"/>
          <w:szCs w:val="18"/>
          <w:lang w:val="en-US"/>
        </w:rPr>
        <w:t>Proximate composition</w:t>
      </w:r>
      <w:r w:rsidR="00D80F9F">
        <w:rPr>
          <w:sz w:val="18"/>
          <w:szCs w:val="18"/>
          <w:lang w:val="en-US"/>
        </w:rPr>
        <w:t xml:space="preserve"> (g</w:t>
      </w:r>
      <w:r w:rsidR="005F4CCB">
        <w:rPr>
          <w:sz w:val="18"/>
          <w:szCs w:val="18"/>
          <w:lang w:val="en-US"/>
        </w:rPr>
        <w:t>/</w:t>
      </w:r>
      <w:r w:rsidR="00D80F9F">
        <w:rPr>
          <w:sz w:val="18"/>
          <w:szCs w:val="18"/>
          <w:lang w:val="en-US"/>
        </w:rPr>
        <w:t>100g)</w:t>
      </w:r>
      <w:r w:rsidRPr="0085288F">
        <w:rPr>
          <w:sz w:val="18"/>
          <w:szCs w:val="18"/>
          <w:lang w:val="en-US"/>
        </w:rPr>
        <w:t xml:space="preserve"> of FC and FX. </w:t>
      </w:r>
    </w:p>
    <w:tbl>
      <w:tblPr>
        <w:tblStyle w:val="Grigliatabella"/>
        <w:tblW w:w="935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017"/>
        <w:gridCol w:w="708"/>
        <w:gridCol w:w="709"/>
        <w:gridCol w:w="851"/>
        <w:gridCol w:w="708"/>
        <w:gridCol w:w="851"/>
        <w:gridCol w:w="850"/>
        <w:gridCol w:w="993"/>
        <w:gridCol w:w="708"/>
        <w:gridCol w:w="709"/>
        <w:gridCol w:w="7"/>
        <w:gridCol w:w="702"/>
      </w:tblGrid>
      <w:tr w:rsidR="00D60FDF" w:rsidRPr="00D80F9F" w14:paraId="142694B3" w14:textId="0EE0DF3A" w:rsidTr="00F34CD7">
        <w:trPr>
          <w:trHeight w:val="407"/>
          <w:jc w:val="center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14:paraId="58A3593F" w14:textId="334216B2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6CC54310" w14:textId="2645E295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Moisture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6DFBE3B" w14:textId="1912F2D7" w:rsidR="00D60FDF" w:rsidRPr="00D80F9F" w:rsidRDefault="004E0486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</w:t>
            </w:r>
            <w:r w:rsidR="00D60FDF" w:rsidRPr="00757F12">
              <w:rPr>
                <w:b/>
                <w:bCs/>
                <w:sz w:val="18"/>
                <w:szCs w:val="18"/>
                <w:vertAlign w:val="subscript"/>
                <w:lang w:val="en-US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7EB963" w14:textId="663CF32C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80F9F">
              <w:rPr>
                <w:b/>
                <w:bCs/>
                <w:sz w:val="18"/>
                <w:szCs w:val="18"/>
                <w:lang w:val="en-US"/>
              </w:rPr>
              <w:t>pH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826B8B" w14:textId="2654FA83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80F9F">
              <w:rPr>
                <w:b/>
                <w:bCs/>
                <w:sz w:val="18"/>
                <w:szCs w:val="18"/>
                <w:lang w:val="en-US"/>
              </w:rPr>
              <w:t>Lipid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EB50552" w14:textId="46F7AA81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80F9F">
              <w:rPr>
                <w:b/>
                <w:bCs/>
                <w:sz w:val="18"/>
                <w:szCs w:val="18"/>
                <w:lang w:val="en-US"/>
              </w:rPr>
              <w:t xml:space="preserve">Total </w:t>
            </w:r>
            <w:r>
              <w:rPr>
                <w:b/>
                <w:bCs/>
                <w:sz w:val="18"/>
                <w:szCs w:val="18"/>
                <w:lang w:val="en-US"/>
              </w:rPr>
              <w:t>fiber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326D3BC" w14:textId="08F08740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80F9F">
              <w:rPr>
                <w:b/>
                <w:bCs/>
                <w:sz w:val="18"/>
                <w:szCs w:val="18"/>
                <w:lang w:val="en-US"/>
              </w:rPr>
              <w:t>Protein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7450E4" w14:textId="38DACC93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80F9F">
              <w:rPr>
                <w:b/>
                <w:bCs/>
                <w:sz w:val="18"/>
                <w:szCs w:val="18"/>
                <w:lang w:val="en-US"/>
              </w:rPr>
              <w:t>Lactose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C78508" w14:textId="674DDABD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80F9F">
              <w:rPr>
                <w:b/>
                <w:bCs/>
                <w:sz w:val="18"/>
                <w:szCs w:val="18"/>
                <w:lang w:val="en-US"/>
              </w:rPr>
              <w:t>Galactose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01CDD7E" w14:textId="7D1A7661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Lactic acid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E61A68" w14:textId="731A3E59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80F9F">
              <w:rPr>
                <w:b/>
                <w:bCs/>
                <w:sz w:val="18"/>
                <w:szCs w:val="18"/>
                <w:lang w:val="en-US"/>
              </w:rPr>
              <w:t>Acetic acid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064C6" w14:textId="13798EFE" w:rsidR="00D60FDF" w:rsidRPr="00D80F9F" w:rsidRDefault="00D60FDF" w:rsidP="006841F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80F9F">
              <w:rPr>
                <w:b/>
                <w:bCs/>
                <w:sz w:val="18"/>
                <w:szCs w:val="18"/>
                <w:lang w:val="en-US"/>
              </w:rPr>
              <w:t>Ash</w:t>
            </w:r>
          </w:p>
        </w:tc>
      </w:tr>
      <w:tr w:rsidR="00D60FDF" w:rsidRPr="00D80F9F" w14:paraId="0BBCCD7A" w14:textId="28C575D4" w:rsidTr="00F34CD7">
        <w:trPr>
          <w:trHeight w:val="343"/>
          <w:jc w:val="center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14:paraId="5B2B7E37" w14:textId="31A9D6EE" w:rsidR="00D60FDF" w:rsidRPr="00D80F9F" w:rsidRDefault="00D60FDF" w:rsidP="006841F4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FC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0D0A26EB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sz w:val="18"/>
                <w:szCs w:val="18"/>
              </w:rPr>
              <w:t>74.6±</w:t>
            </w:r>
          </w:p>
          <w:p w14:paraId="3C64B3C2" w14:textId="46F0556E" w:rsidR="00D60FDF" w:rsidRPr="0085288F" w:rsidRDefault="00D60FDF" w:rsidP="006841F4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>0.84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8683B1" w14:textId="550FDBAB" w:rsidR="00D60FDF" w:rsidRPr="0085288F" w:rsidRDefault="00D60FDF" w:rsidP="006841F4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>0.99±0.00</w:t>
            </w:r>
            <w:r w:rsidRPr="0085288F">
              <w:rPr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39A2B3" w14:textId="21C4E9BE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>4.12±0.01</w:t>
            </w:r>
            <w:r w:rsidRPr="0085288F">
              <w:rPr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EB7BCC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sz w:val="18"/>
                <w:szCs w:val="18"/>
              </w:rPr>
              <w:t>11.89±</w:t>
            </w:r>
          </w:p>
          <w:p w14:paraId="12A0AFAC" w14:textId="6080167C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0.26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EA30444" w14:textId="06FAD330" w:rsidR="00D60FDF" w:rsidRPr="00D80F9F" w:rsidRDefault="001A5EA9" w:rsidP="006841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DA671A5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sz w:val="18"/>
                <w:szCs w:val="18"/>
              </w:rPr>
              <w:t>8.88±</w:t>
            </w:r>
          </w:p>
          <w:p w14:paraId="1424FB2A" w14:textId="202A30FF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0.04 </w:t>
            </w:r>
            <w:r w:rsidRPr="0085288F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C473F8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color w:val="000000"/>
                <w:sz w:val="18"/>
                <w:szCs w:val="18"/>
              </w:rPr>
              <w:t>1.63</w:t>
            </w:r>
            <w:r w:rsidRPr="0085288F">
              <w:rPr>
                <w:sz w:val="18"/>
                <w:szCs w:val="18"/>
              </w:rPr>
              <w:t>±</w:t>
            </w:r>
          </w:p>
          <w:p w14:paraId="7BF08D62" w14:textId="143DDFEE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0.18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30AE635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color w:val="000000"/>
                <w:sz w:val="18"/>
                <w:szCs w:val="18"/>
              </w:rPr>
              <w:t>0.60</w:t>
            </w:r>
            <w:r w:rsidRPr="0085288F">
              <w:rPr>
                <w:sz w:val="18"/>
                <w:szCs w:val="18"/>
              </w:rPr>
              <w:t>±</w:t>
            </w:r>
          </w:p>
          <w:p w14:paraId="1FA9B7AA" w14:textId="2534BB87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0.12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7A1FE7" w14:textId="77777777" w:rsidR="00D60FDF" w:rsidRPr="00D60FDF" w:rsidRDefault="00D60FDF" w:rsidP="006841F4">
            <w:pPr>
              <w:jc w:val="center"/>
              <w:rPr>
                <w:color w:val="000000"/>
                <w:sz w:val="18"/>
                <w:szCs w:val="18"/>
              </w:rPr>
            </w:pPr>
            <w:r w:rsidRPr="00D60FDF">
              <w:rPr>
                <w:color w:val="000000"/>
                <w:sz w:val="18"/>
                <w:szCs w:val="18"/>
              </w:rPr>
              <w:t>0.67±</w:t>
            </w:r>
          </w:p>
          <w:p w14:paraId="005779B7" w14:textId="4A26ACBF" w:rsidR="00D60FDF" w:rsidRPr="0085288F" w:rsidRDefault="00D60FDF" w:rsidP="006841F4">
            <w:pPr>
              <w:jc w:val="center"/>
              <w:rPr>
                <w:color w:val="000000"/>
                <w:sz w:val="18"/>
                <w:szCs w:val="18"/>
              </w:rPr>
            </w:pPr>
            <w:r w:rsidRPr="00D60FDF">
              <w:rPr>
                <w:color w:val="000000"/>
                <w:sz w:val="18"/>
                <w:szCs w:val="18"/>
              </w:rPr>
              <w:t xml:space="preserve">0.27 </w:t>
            </w:r>
            <w:r w:rsidRPr="00D60FDF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7F364" w14:textId="0E08CF06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color w:val="000000"/>
                <w:sz w:val="18"/>
                <w:szCs w:val="18"/>
              </w:rPr>
              <w:t>0.31</w:t>
            </w:r>
            <w:r w:rsidRPr="0085288F">
              <w:rPr>
                <w:sz w:val="18"/>
                <w:szCs w:val="18"/>
              </w:rPr>
              <w:t xml:space="preserve">±0.14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60674D5C" w14:textId="77777777" w:rsidR="006841F4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sz w:val="18"/>
                <w:szCs w:val="18"/>
              </w:rPr>
              <w:t>0.63±</w:t>
            </w:r>
          </w:p>
          <w:p w14:paraId="7ABEE7D7" w14:textId="5F6FD5BB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0.03 </w:t>
            </w:r>
            <w:r w:rsidRPr="0085288F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D60FDF" w:rsidRPr="00D80F9F" w14:paraId="5DE123CA" w14:textId="08D109D6" w:rsidTr="00F34CD7">
        <w:trPr>
          <w:trHeight w:val="422"/>
          <w:jc w:val="center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14:paraId="673861E1" w14:textId="38AA8C89" w:rsidR="00D60FDF" w:rsidRPr="00D80F9F" w:rsidRDefault="00D60FDF" w:rsidP="006841F4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80F9F">
              <w:rPr>
                <w:i/>
                <w:iCs/>
                <w:sz w:val="18"/>
                <w:szCs w:val="18"/>
                <w:lang w:val="en-US"/>
              </w:rPr>
              <w:t>FX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14:paraId="513DB25C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sz w:val="18"/>
                <w:szCs w:val="18"/>
              </w:rPr>
              <w:t>71.17±</w:t>
            </w:r>
          </w:p>
          <w:p w14:paraId="7F040517" w14:textId="654633CA" w:rsidR="00D60FDF" w:rsidRPr="0085288F" w:rsidRDefault="00D60FDF" w:rsidP="006841F4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>0.91</w:t>
            </w:r>
            <w:r w:rsidRPr="0085288F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A6F8C30" w14:textId="51ADD2BA" w:rsidR="00D60FDF" w:rsidRPr="0085288F" w:rsidRDefault="00D60FDF" w:rsidP="006841F4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>0.99±0.00</w:t>
            </w:r>
            <w:r w:rsidRPr="0085288F">
              <w:rPr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1F22A3" w14:textId="71DAC517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>4.22±0.01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29F258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sz w:val="18"/>
                <w:szCs w:val="18"/>
              </w:rPr>
              <w:t>11.40±</w:t>
            </w:r>
          </w:p>
          <w:p w14:paraId="00A6493C" w14:textId="60F91866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0.10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AE9E880" w14:textId="2A47E2EF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  <w:lang w:val="en-US"/>
              </w:rPr>
              <w:t>3.56</w:t>
            </w:r>
            <w:r w:rsidRPr="0085288F">
              <w:rPr>
                <w:sz w:val="18"/>
                <w:szCs w:val="18"/>
              </w:rPr>
              <w:t xml:space="preserve">±0.09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F9984F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sz w:val="18"/>
                <w:szCs w:val="18"/>
              </w:rPr>
              <w:t>9.42±</w:t>
            </w:r>
          </w:p>
          <w:p w14:paraId="2A3487C4" w14:textId="45627399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0.10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82E98B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color w:val="000000"/>
                <w:sz w:val="18"/>
                <w:szCs w:val="18"/>
              </w:rPr>
              <w:t>1.60</w:t>
            </w:r>
            <w:r w:rsidRPr="0085288F">
              <w:rPr>
                <w:sz w:val="18"/>
                <w:szCs w:val="18"/>
              </w:rPr>
              <w:t>±</w:t>
            </w:r>
          </w:p>
          <w:p w14:paraId="2B349845" w14:textId="1FA1C803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0.20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0AA6C5" w14:textId="77777777" w:rsidR="00D60FDF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color w:val="000000"/>
                <w:sz w:val="18"/>
                <w:szCs w:val="18"/>
              </w:rPr>
              <w:t>0.56</w:t>
            </w:r>
            <w:r w:rsidRPr="0085288F">
              <w:rPr>
                <w:sz w:val="18"/>
                <w:szCs w:val="18"/>
              </w:rPr>
              <w:t>±</w:t>
            </w:r>
          </w:p>
          <w:p w14:paraId="53BBBA71" w14:textId="042E79FE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0.06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3CA5E4B" w14:textId="77777777" w:rsidR="00D60FDF" w:rsidRPr="00D60FDF" w:rsidRDefault="00D60FDF" w:rsidP="006841F4">
            <w:pPr>
              <w:jc w:val="center"/>
              <w:rPr>
                <w:color w:val="000000"/>
                <w:sz w:val="18"/>
                <w:szCs w:val="18"/>
              </w:rPr>
            </w:pPr>
            <w:r w:rsidRPr="00D60FDF">
              <w:rPr>
                <w:color w:val="000000"/>
                <w:sz w:val="18"/>
                <w:szCs w:val="18"/>
              </w:rPr>
              <w:t>0.61±</w:t>
            </w:r>
          </w:p>
          <w:p w14:paraId="0F83F41C" w14:textId="65905D4D" w:rsidR="00D60FDF" w:rsidRPr="0085288F" w:rsidRDefault="00D60FDF" w:rsidP="006841F4">
            <w:pPr>
              <w:jc w:val="center"/>
              <w:rPr>
                <w:color w:val="000000"/>
                <w:sz w:val="18"/>
                <w:szCs w:val="18"/>
              </w:rPr>
            </w:pPr>
            <w:r w:rsidRPr="00D60FDF">
              <w:rPr>
                <w:color w:val="000000"/>
                <w:sz w:val="18"/>
                <w:szCs w:val="18"/>
              </w:rPr>
              <w:t xml:space="preserve">0.10 </w:t>
            </w:r>
            <w:r w:rsidRPr="00D60FDF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B1BCC6" w14:textId="2770B654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color w:val="000000"/>
                <w:sz w:val="18"/>
                <w:szCs w:val="18"/>
              </w:rPr>
              <w:t>0.35</w:t>
            </w:r>
            <w:r w:rsidRPr="0085288F">
              <w:rPr>
                <w:sz w:val="18"/>
                <w:szCs w:val="18"/>
              </w:rPr>
              <w:t xml:space="preserve">±0.17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51A813F7" w14:textId="77777777" w:rsidR="006841F4" w:rsidRDefault="00D60FDF" w:rsidP="006841F4">
            <w:pPr>
              <w:jc w:val="center"/>
              <w:rPr>
                <w:sz w:val="18"/>
                <w:szCs w:val="18"/>
              </w:rPr>
            </w:pPr>
            <w:r w:rsidRPr="0085288F">
              <w:rPr>
                <w:sz w:val="18"/>
                <w:szCs w:val="18"/>
              </w:rPr>
              <w:t>0.99±</w:t>
            </w:r>
          </w:p>
          <w:p w14:paraId="56730B6A" w14:textId="760FA7DF" w:rsidR="00D60FDF" w:rsidRPr="00D80F9F" w:rsidRDefault="00D60FDF" w:rsidP="006841F4">
            <w:pPr>
              <w:jc w:val="center"/>
              <w:rPr>
                <w:sz w:val="18"/>
                <w:szCs w:val="18"/>
                <w:lang w:val="en-US"/>
              </w:rPr>
            </w:pPr>
            <w:r w:rsidRPr="0085288F">
              <w:rPr>
                <w:sz w:val="18"/>
                <w:szCs w:val="18"/>
              </w:rPr>
              <w:t xml:space="preserve">0.05 </w:t>
            </w:r>
            <w:r w:rsidRPr="0085288F"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F34CD7" w:rsidRPr="005F4CCB" w14:paraId="3EF560A6" w14:textId="77777777" w:rsidTr="009B672A">
        <w:trPr>
          <w:trHeight w:val="351"/>
          <w:jc w:val="center"/>
        </w:trPr>
        <w:tc>
          <w:tcPr>
            <w:tcW w:w="9356" w:type="dxa"/>
            <w:gridSpan w:val="13"/>
            <w:tcBorders>
              <w:top w:val="single" w:sz="4" w:space="0" w:color="auto"/>
              <w:bottom w:val="nil"/>
            </w:tcBorders>
          </w:tcPr>
          <w:p w14:paraId="59189E61" w14:textId="6D48AF30" w:rsidR="00F34CD7" w:rsidRPr="009E5685" w:rsidRDefault="00F34CD7" w:rsidP="00F34CD7">
            <w:pPr>
              <w:rPr>
                <w:sz w:val="12"/>
                <w:szCs w:val="12"/>
                <w:lang w:val="en-US"/>
              </w:rPr>
            </w:pPr>
            <w:r w:rsidRPr="009E5685">
              <w:rPr>
                <w:sz w:val="12"/>
                <w:szCs w:val="12"/>
                <w:lang w:val="en-US"/>
              </w:rPr>
              <w:t>FC, spreadable goat cheese; FX, spreadable goat cheese with xylooligosaccharides extract; a</w:t>
            </w:r>
            <w:r w:rsidRPr="009E5685">
              <w:rPr>
                <w:sz w:val="12"/>
                <w:szCs w:val="12"/>
                <w:vertAlign w:val="subscript"/>
                <w:lang w:val="en-US"/>
              </w:rPr>
              <w:t>w</w:t>
            </w:r>
            <w:r w:rsidRPr="009E5685">
              <w:rPr>
                <w:sz w:val="12"/>
                <w:szCs w:val="12"/>
                <w:lang w:val="en-US"/>
              </w:rPr>
              <w:t>, water activity.</w:t>
            </w:r>
          </w:p>
          <w:p w14:paraId="0CCA10DB" w14:textId="2080CB67" w:rsidR="00F34CD7" w:rsidRPr="00F34CD7" w:rsidRDefault="00F34CD7" w:rsidP="00F34CD7">
            <w:pPr>
              <w:rPr>
                <w:sz w:val="13"/>
                <w:szCs w:val="13"/>
                <w:lang w:val="en-US"/>
              </w:rPr>
            </w:pPr>
            <w:r w:rsidRPr="009E5685">
              <w:rPr>
                <w:sz w:val="12"/>
                <w:szCs w:val="12"/>
                <w:lang w:val="en-US"/>
              </w:rPr>
              <w:t>Results are expressed as mean±standard deviation. Analysis performed in triplicate. Different letters indicate statistical differences according to Tukey’s test (p &lt; 0.05).</w:t>
            </w:r>
          </w:p>
        </w:tc>
      </w:tr>
    </w:tbl>
    <w:p w14:paraId="2A4C4CFD" w14:textId="64BEBB6B" w:rsidR="00CD5931" w:rsidRPr="009A5A0C" w:rsidRDefault="00CD5931" w:rsidP="00CD5931">
      <w:pPr>
        <w:jc w:val="both"/>
        <w:rPr>
          <w:sz w:val="18"/>
          <w:szCs w:val="18"/>
          <w:lang w:val="en-US"/>
        </w:rPr>
      </w:pPr>
      <w:r w:rsidRPr="009A5A0C">
        <w:rPr>
          <w:b/>
          <w:bCs/>
          <w:i/>
          <w:iCs/>
          <w:sz w:val="18"/>
          <w:szCs w:val="18"/>
          <w:lang w:val="en-US"/>
        </w:rPr>
        <w:t>Table 2</w:t>
      </w:r>
      <w:r w:rsidRPr="009A5A0C">
        <w:rPr>
          <w:sz w:val="18"/>
          <w:szCs w:val="18"/>
          <w:lang w:val="en-US"/>
        </w:rPr>
        <w:t xml:space="preserve">. Colorimetric and textural properties of </w:t>
      </w:r>
      <w:r>
        <w:rPr>
          <w:sz w:val="18"/>
          <w:szCs w:val="18"/>
          <w:lang w:val="en-US"/>
        </w:rPr>
        <w:t xml:space="preserve">FC and FX. </w:t>
      </w:r>
    </w:p>
    <w:tbl>
      <w:tblPr>
        <w:tblStyle w:val="Grigliatabella"/>
        <w:tblW w:w="907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134"/>
        <w:gridCol w:w="1039"/>
        <w:gridCol w:w="1229"/>
        <w:gridCol w:w="1276"/>
        <w:gridCol w:w="1276"/>
      </w:tblGrid>
      <w:tr w:rsidR="00CD5931" w:rsidRPr="00D80F9F" w14:paraId="13E182D2" w14:textId="77777777" w:rsidTr="000D2ACF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24FDD" w14:textId="77777777" w:rsidR="00CD5931" w:rsidRPr="00D80F9F" w:rsidRDefault="00CD5931" w:rsidP="000F455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EB5D7" w14:textId="77777777" w:rsidR="00CD5931" w:rsidRPr="00D80F9F" w:rsidRDefault="00CD5931" w:rsidP="000F455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53EB3">
              <w:rPr>
                <w:b/>
                <w:bCs/>
                <w:sz w:val="18"/>
                <w:szCs w:val="18"/>
                <w:lang w:val="en-US"/>
              </w:rPr>
              <w:t>L*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2C9CE" w14:textId="77777777" w:rsidR="00CD5931" w:rsidRPr="00D80F9F" w:rsidRDefault="00CD5931" w:rsidP="000F455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D4E">
              <w:rPr>
                <w:b/>
                <w:bCs/>
                <w:sz w:val="18"/>
                <w:szCs w:val="18"/>
                <w:lang w:val="en-US"/>
              </w:rPr>
              <w:t>a*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4AF5D" w14:textId="77777777" w:rsidR="00CD5931" w:rsidRPr="00D80F9F" w:rsidRDefault="00CD5931" w:rsidP="000F455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D4E">
              <w:rPr>
                <w:b/>
                <w:bCs/>
                <w:sz w:val="18"/>
                <w:szCs w:val="18"/>
                <w:lang w:val="en-US"/>
              </w:rPr>
              <w:t>b*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86038" w14:textId="77777777" w:rsidR="00CD5931" w:rsidRPr="00D80F9F" w:rsidRDefault="00CD5931" w:rsidP="000F455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D4E">
              <w:rPr>
                <w:b/>
                <w:bCs/>
                <w:sz w:val="18"/>
                <w:szCs w:val="18"/>
                <w:lang w:val="en-US"/>
              </w:rPr>
              <w:t>Firmness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3197" w14:textId="77777777" w:rsidR="00CD5931" w:rsidRPr="00D80F9F" w:rsidRDefault="00CD5931" w:rsidP="000F455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D4E">
              <w:rPr>
                <w:b/>
                <w:bCs/>
                <w:sz w:val="18"/>
                <w:szCs w:val="18"/>
                <w:lang w:val="en-US"/>
              </w:rPr>
              <w:t>Consistency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B4166" w14:textId="77777777" w:rsidR="00CD5931" w:rsidRPr="00D80F9F" w:rsidRDefault="00CD5931" w:rsidP="000F455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D4E">
              <w:rPr>
                <w:b/>
                <w:bCs/>
                <w:sz w:val="18"/>
                <w:szCs w:val="18"/>
                <w:lang w:val="en-US"/>
              </w:rPr>
              <w:t>Cohesiveness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8D434" w14:textId="77777777" w:rsidR="00CD5931" w:rsidRPr="00D80F9F" w:rsidRDefault="00CD5931" w:rsidP="000F455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D4E">
              <w:rPr>
                <w:b/>
                <w:bCs/>
                <w:sz w:val="18"/>
                <w:szCs w:val="18"/>
                <w:lang w:val="en-US"/>
              </w:rPr>
              <w:t>Viscosity</w:t>
            </w:r>
          </w:p>
        </w:tc>
      </w:tr>
      <w:tr w:rsidR="00CD5931" w:rsidRPr="00D80F9F" w14:paraId="6E53976D" w14:textId="77777777" w:rsidTr="000D2ACF">
        <w:trPr>
          <w:trHeight w:val="17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4610B" w14:textId="77777777" w:rsidR="00CD5931" w:rsidRPr="00D80F9F" w:rsidRDefault="00CD5931" w:rsidP="000F4552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FC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EBCA06" w14:textId="77777777" w:rsidR="00CD5931" w:rsidRPr="0085288F" w:rsidRDefault="00CD5931" w:rsidP="000F4552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53EB3">
              <w:rPr>
                <w:sz w:val="18"/>
                <w:szCs w:val="18"/>
                <w:lang w:val="en-US"/>
              </w:rPr>
              <w:t>82.17±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3EB3">
              <w:rPr>
                <w:sz w:val="18"/>
                <w:szCs w:val="18"/>
                <w:lang w:val="en-US"/>
              </w:rPr>
              <w:t>0.04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B218A7" w14:textId="77777777" w:rsidR="00CD5931" w:rsidRPr="0085288F" w:rsidRDefault="00CD5931" w:rsidP="000F4552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53EB3">
              <w:rPr>
                <w:sz w:val="18"/>
                <w:szCs w:val="18"/>
                <w:lang w:val="en-US"/>
              </w:rPr>
              <w:t>-1.51±0.0</w:t>
            </w:r>
            <w:r>
              <w:rPr>
                <w:sz w:val="18"/>
                <w:szCs w:val="18"/>
                <w:lang w:val="en-US"/>
              </w:rPr>
              <w:t>0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689BA8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753EB3">
              <w:rPr>
                <w:sz w:val="18"/>
                <w:szCs w:val="18"/>
                <w:lang w:val="en-US"/>
              </w:rPr>
              <w:t>10.47±0.06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0D283F78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3D1D4E">
              <w:rPr>
                <w:sz w:val="18"/>
                <w:szCs w:val="18"/>
              </w:rPr>
              <w:t>2.38±0.30</w:t>
            </w:r>
            <w:r w:rsidRPr="003D1D4E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5C17A45A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3D1D4E">
              <w:rPr>
                <w:sz w:val="18"/>
                <w:szCs w:val="18"/>
                <w:lang w:val="en-US"/>
              </w:rPr>
              <w:t>19.54±1.09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08EEA9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3D1D4E">
              <w:rPr>
                <w:sz w:val="18"/>
                <w:szCs w:val="18"/>
                <w:lang w:val="en-US"/>
              </w:rPr>
              <w:t>-0.87±0.10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B87453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3D1D4E">
              <w:rPr>
                <w:color w:val="000000"/>
                <w:sz w:val="18"/>
                <w:szCs w:val="18"/>
              </w:rPr>
              <w:t>8.54±0.91</w:t>
            </w:r>
            <w:r w:rsidRPr="003D1D4E">
              <w:rPr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D5931" w:rsidRPr="00D80F9F" w14:paraId="0BB6A36B" w14:textId="77777777" w:rsidTr="000D2ACF">
        <w:trPr>
          <w:trHeight w:val="21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E5136E" w14:textId="77777777" w:rsidR="00CD5931" w:rsidRPr="00D80F9F" w:rsidRDefault="00CD5931" w:rsidP="000F4552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80F9F">
              <w:rPr>
                <w:i/>
                <w:iCs/>
                <w:sz w:val="18"/>
                <w:szCs w:val="18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72CEA" w14:textId="77777777" w:rsidR="00CD5931" w:rsidRPr="0085288F" w:rsidRDefault="00CD5931" w:rsidP="000F4552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53EB3">
              <w:rPr>
                <w:sz w:val="18"/>
                <w:szCs w:val="18"/>
                <w:lang w:val="en-US"/>
              </w:rPr>
              <w:t>50.78±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753EB3">
              <w:rPr>
                <w:sz w:val="18"/>
                <w:szCs w:val="18"/>
                <w:lang w:val="en-US"/>
              </w:rPr>
              <w:t>0.44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F2F18F" w14:textId="77777777" w:rsidR="00CD5931" w:rsidRPr="0085288F" w:rsidRDefault="00CD5931" w:rsidP="000F4552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753EB3">
              <w:rPr>
                <w:sz w:val="18"/>
                <w:szCs w:val="18"/>
                <w:lang w:val="en-US"/>
              </w:rPr>
              <w:t>7.93±0.22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29F203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753EB3">
              <w:rPr>
                <w:sz w:val="18"/>
                <w:szCs w:val="18"/>
                <w:lang w:val="en-US"/>
              </w:rPr>
              <w:t>26.11±0.51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6E36289D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3D1D4E">
              <w:rPr>
                <w:sz w:val="18"/>
                <w:szCs w:val="18"/>
              </w:rPr>
              <w:t>1.74±0.07</w:t>
            </w:r>
            <w:r w:rsidRPr="003D1D4E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14:paraId="2EC112D6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3D1D4E">
              <w:rPr>
                <w:sz w:val="18"/>
                <w:szCs w:val="18"/>
                <w:lang w:val="en-US"/>
              </w:rPr>
              <w:t>12.34±1.06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FC62B3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3D1D4E">
              <w:rPr>
                <w:sz w:val="18"/>
                <w:szCs w:val="18"/>
                <w:lang w:val="en-US"/>
              </w:rPr>
              <w:t>-0.66±0.22</w:t>
            </w:r>
            <w:r w:rsidRPr="003D1D4E">
              <w:rPr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634764" w14:textId="77777777" w:rsidR="00CD5931" w:rsidRPr="00D80F9F" w:rsidRDefault="00CD5931" w:rsidP="000F4552">
            <w:pPr>
              <w:jc w:val="center"/>
              <w:rPr>
                <w:sz w:val="18"/>
                <w:szCs w:val="18"/>
                <w:lang w:val="en-US"/>
              </w:rPr>
            </w:pPr>
            <w:r w:rsidRPr="003D1D4E">
              <w:rPr>
                <w:color w:val="000000"/>
                <w:sz w:val="18"/>
                <w:szCs w:val="18"/>
              </w:rPr>
              <w:t>5.53±0.63</w:t>
            </w:r>
            <w:r w:rsidRPr="003D1D4E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D2ACF" w:rsidRPr="005F4CCB" w14:paraId="1A38C7BD" w14:textId="77777777" w:rsidTr="000D2ACF">
        <w:trPr>
          <w:trHeight w:val="214"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bottom w:val="nil"/>
            </w:tcBorders>
          </w:tcPr>
          <w:p w14:paraId="33D744C3" w14:textId="30975F67" w:rsidR="000D2ACF" w:rsidRPr="009E5685" w:rsidRDefault="000D2ACF" w:rsidP="000D2ACF">
            <w:pPr>
              <w:rPr>
                <w:color w:val="000000"/>
                <w:sz w:val="12"/>
                <w:szCs w:val="12"/>
                <w:lang w:val="en-US"/>
              </w:rPr>
            </w:pPr>
            <w:r w:rsidRPr="009E5685">
              <w:rPr>
                <w:color w:val="000000"/>
                <w:sz w:val="12"/>
                <w:szCs w:val="12"/>
                <w:lang w:val="en-US"/>
              </w:rPr>
              <w:t xml:space="preserve">FC, spreadable goat cheese; FX, spreadable goat cheese with xylooligosaccharides extract; L*, </w:t>
            </w:r>
            <w:r w:rsidRPr="009E5685">
              <w:rPr>
                <w:sz w:val="12"/>
                <w:szCs w:val="12"/>
                <w:lang w:val="en-GB"/>
              </w:rPr>
              <w:t>brightness; a*, red index; b*, yellow index.</w:t>
            </w:r>
          </w:p>
          <w:p w14:paraId="40B5D1A7" w14:textId="6475B2D2" w:rsidR="000D2ACF" w:rsidRPr="009E5685" w:rsidRDefault="000D2ACF" w:rsidP="000D2ACF">
            <w:pPr>
              <w:rPr>
                <w:color w:val="000000"/>
                <w:sz w:val="12"/>
                <w:szCs w:val="12"/>
                <w:lang w:val="en-US"/>
              </w:rPr>
            </w:pPr>
            <w:r w:rsidRPr="009E5685">
              <w:rPr>
                <w:color w:val="000000"/>
                <w:sz w:val="12"/>
                <w:szCs w:val="12"/>
                <w:lang w:val="en-US"/>
              </w:rPr>
              <w:t>Results are expressed as mean±standard deviation. Analysis performed in triplicate. Different letters indicate statistical differences according to Tukey’s test (p &lt; 0.05).</w:t>
            </w:r>
          </w:p>
        </w:tc>
      </w:tr>
    </w:tbl>
    <w:p w14:paraId="3F9FF76C" w14:textId="753C4F59" w:rsidR="000A3FAF" w:rsidRDefault="000A3FAF" w:rsidP="000A3FAF">
      <w:pPr>
        <w:jc w:val="both"/>
        <w:rPr>
          <w:b/>
          <w:bCs/>
          <w:i/>
          <w:iCs/>
          <w:sz w:val="18"/>
          <w:szCs w:val="18"/>
          <w:lang w:val="en-US"/>
        </w:rPr>
        <w:sectPr w:rsidR="000A3FAF">
          <w:type w:val="continuous"/>
          <w:pgSz w:w="11906" w:h="16838"/>
          <w:pgMar w:top="964" w:right="1134" w:bottom="1134" w:left="1701" w:header="0" w:footer="0" w:gutter="0"/>
          <w:cols w:space="720"/>
          <w:formProt w:val="0"/>
          <w:docGrid w:linePitch="360"/>
        </w:sectPr>
      </w:pPr>
    </w:p>
    <w:p w14:paraId="58B4E9D7" w14:textId="0BEE23C9" w:rsidR="000A3FAF" w:rsidRDefault="009A5A0C" w:rsidP="005F4CCB">
      <w:pPr>
        <w:rPr>
          <w:sz w:val="18"/>
          <w:szCs w:val="18"/>
          <w:lang w:val="en-US"/>
        </w:rPr>
      </w:pPr>
      <w:r w:rsidRPr="009A5A0C">
        <w:rPr>
          <w:b/>
          <w:bCs/>
          <w:i/>
          <w:iCs/>
          <w:sz w:val="18"/>
          <w:szCs w:val="18"/>
          <w:lang w:val="en-US"/>
        </w:rPr>
        <w:t>Figure 1</w:t>
      </w:r>
      <w:r w:rsidRPr="009A5A0C">
        <w:rPr>
          <w:sz w:val="18"/>
          <w:szCs w:val="18"/>
          <w:lang w:val="en-US"/>
        </w:rPr>
        <w:t>. Sensory analysis of FC and FX. *</w:t>
      </w:r>
      <w:r w:rsidR="007172F4">
        <w:rPr>
          <w:sz w:val="18"/>
          <w:szCs w:val="18"/>
          <w:lang w:val="en-US"/>
        </w:rPr>
        <w:t>,</w:t>
      </w:r>
      <w:r w:rsidRPr="009A5A0C">
        <w:rPr>
          <w:sz w:val="18"/>
          <w:szCs w:val="18"/>
          <w:lang w:val="en-US"/>
        </w:rPr>
        <w:t xml:space="preserve"> statistically different values (p &lt; 0.05).</w:t>
      </w:r>
    </w:p>
    <w:p w14:paraId="694B226C" w14:textId="27A2F0CD" w:rsidR="000A3FAF" w:rsidRDefault="009E5685" w:rsidP="000A3FAF">
      <w:pPr>
        <w:jc w:val="center"/>
        <w:rPr>
          <w:sz w:val="24"/>
          <w:szCs w:val="24"/>
          <w:lang w:val="en-US"/>
        </w:rPr>
      </w:pPr>
      <w:r w:rsidRPr="00956118">
        <w:rPr>
          <w:b/>
          <w:bCs/>
          <w:i/>
          <w:i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4E90E" wp14:editId="477B504C">
                <wp:simplePos x="0" y="0"/>
                <wp:positionH relativeFrom="column">
                  <wp:posOffset>272359</wp:posOffset>
                </wp:positionH>
                <wp:positionV relativeFrom="paragraph">
                  <wp:posOffset>179070</wp:posOffset>
                </wp:positionV>
                <wp:extent cx="368300" cy="298450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AD16" w14:textId="77777777" w:rsidR="000A3FAF" w:rsidRPr="0012506E" w:rsidRDefault="000A3FAF" w:rsidP="000A3F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FC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E90E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21.45pt;margin-top:14.1pt;width:29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" filled="f" stroked="f">
                <v:textbox>
                  <w:txbxContent>
                    <w:p w14:paraId="64A6AD16" w14:textId="77777777" w:rsidR="000A3FAF" w:rsidRPr="0012506E" w:rsidRDefault="000A3FAF" w:rsidP="000A3FAF">
                      <w:pPr>
                        <w:rPr>
                          <w:sz w:val="24"/>
                          <w:szCs w:val="24"/>
                        </w:rPr>
                      </w:pPr>
                      <w:r w:rsidRPr="00755FC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3D4D89A" wp14:editId="066486DE">
            <wp:simplePos x="0" y="0"/>
            <wp:positionH relativeFrom="column">
              <wp:posOffset>634421</wp:posOffset>
            </wp:positionH>
            <wp:positionV relativeFrom="paragraph">
              <wp:posOffset>224790</wp:posOffset>
            </wp:positionV>
            <wp:extent cx="758825" cy="755650"/>
            <wp:effectExtent l="0" t="0" r="3175" b="6350"/>
            <wp:wrapNone/>
            <wp:docPr id="3" name="Immagine 3" descr="Immagine che contiene tazza, interni, caffè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azza, interni, caffè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61" b="89990" l="9961" r="90299">
                                  <a14:foregroundMark x1="90299" y1="45410" x2="86328" y2="53711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3" t="20277" r="8721" b="20724"/>
                    <a:stretch/>
                  </pic:blipFill>
                  <pic:spPr bwMode="auto">
                    <a:xfrm>
                      <a:off x="0" y="0"/>
                      <a:ext cx="758825" cy="75565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118">
        <w:rPr>
          <w:b/>
          <w:bCs/>
          <w:i/>
          <w:iCs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26E14" wp14:editId="30FCADB5">
                <wp:simplePos x="0" y="0"/>
                <wp:positionH relativeFrom="column">
                  <wp:posOffset>1508704</wp:posOffset>
                </wp:positionH>
                <wp:positionV relativeFrom="paragraph">
                  <wp:posOffset>180340</wp:posOffset>
                </wp:positionV>
                <wp:extent cx="368300" cy="298450"/>
                <wp:effectExtent l="0" t="0" r="0" b="63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12F77" w14:textId="77777777" w:rsidR="000A3FAF" w:rsidRPr="0012506E" w:rsidRDefault="000A3FAF" w:rsidP="000A3F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FC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6E14" id="Casella di testo 4" o:spid="_x0000_s1027" type="#_x0000_t202" style="position:absolute;left:0;text-align:left;margin-left:118.8pt;margin-top:14.2pt;width:29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" filled="f" stroked="f">
                <v:textbox>
                  <w:txbxContent>
                    <w:p w14:paraId="0AA12F77" w14:textId="77777777" w:rsidR="000A3FAF" w:rsidRPr="0012506E" w:rsidRDefault="000A3FAF" w:rsidP="000A3FAF">
                      <w:pPr>
                        <w:rPr>
                          <w:sz w:val="24"/>
                          <w:szCs w:val="24"/>
                        </w:rPr>
                      </w:pPr>
                      <w:r w:rsidRPr="00755FC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3FAF" w:rsidRPr="00956118">
        <w:rPr>
          <w:b/>
          <w:bCs/>
          <w:i/>
          <w:iCs/>
          <w:sz w:val="18"/>
          <w:szCs w:val="18"/>
          <w:lang w:val="en-US"/>
        </w:rPr>
        <w:t>Figure 2.</w:t>
      </w:r>
      <w:r w:rsidR="000A3FAF" w:rsidRPr="00956118">
        <w:rPr>
          <w:sz w:val="18"/>
          <w:szCs w:val="18"/>
          <w:lang w:val="en-US"/>
        </w:rPr>
        <w:t xml:space="preserve"> Appearance of FC (</w:t>
      </w:r>
      <w:r w:rsidR="000A3FAF" w:rsidRPr="00F34CD7">
        <w:rPr>
          <w:b/>
          <w:bCs/>
          <w:i/>
          <w:iCs/>
          <w:sz w:val="18"/>
          <w:szCs w:val="18"/>
          <w:lang w:val="en-US"/>
        </w:rPr>
        <w:t>A</w:t>
      </w:r>
      <w:r w:rsidR="000A3FAF" w:rsidRPr="00956118">
        <w:rPr>
          <w:sz w:val="18"/>
          <w:szCs w:val="18"/>
          <w:lang w:val="en-US"/>
        </w:rPr>
        <w:t>) and FX (</w:t>
      </w:r>
      <w:r w:rsidR="000A3FAF" w:rsidRPr="00F34CD7">
        <w:rPr>
          <w:b/>
          <w:bCs/>
          <w:i/>
          <w:iCs/>
          <w:sz w:val="18"/>
          <w:szCs w:val="18"/>
          <w:lang w:val="en-US"/>
        </w:rPr>
        <w:t>B</w:t>
      </w:r>
      <w:r w:rsidR="000A3FAF" w:rsidRPr="00956118">
        <w:rPr>
          <w:sz w:val="18"/>
          <w:szCs w:val="18"/>
          <w:lang w:val="en-US"/>
        </w:rPr>
        <w:t>).</w:t>
      </w:r>
    </w:p>
    <w:p w14:paraId="76E3B037" w14:textId="7813BF36" w:rsidR="000A3FAF" w:rsidRPr="000A3FAF" w:rsidRDefault="000A3FAF" w:rsidP="000A3FAF">
      <w:pPr>
        <w:jc w:val="center"/>
        <w:rPr>
          <w:noProof/>
          <w:lang w:val="en-US"/>
        </w:rPr>
        <w:sectPr w:rsidR="000A3FAF" w:rsidRPr="000A3FAF" w:rsidSect="000A3FAF">
          <w:type w:val="continuous"/>
          <w:pgSz w:w="11906" w:h="16838"/>
          <w:pgMar w:top="964" w:right="1134" w:bottom="1134" w:left="1701" w:header="0" w:footer="0" w:gutter="0"/>
          <w:cols w:num="2" w:space="720"/>
          <w:formProt w:val="0"/>
          <w:docGrid w:linePitch="360"/>
        </w:sectPr>
      </w:pPr>
    </w:p>
    <w:p w14:paraId="4FCEA8E3" w14:textId="25BD0723" w:rsidR="000A3FAF" w:rsidRPr="000A3FAF" w:rsidRDefault="009E5685" w:rsidP="000A3FAF">
      <w:pPr>
        <w:jc w:val="center"/>
        <w:rPr>
          <w:noProof/>
          <w:lang w:val="en-US"/>
        </w:rPr>
        <w:sectPr w:rsidR="000A3FAF" w:rsidRPr="000A3FAF">
          <w:type w:val="continuous"/>
          <w:pgSz w:w="11906" w:h="16838"/>
          <w:pgMar w:top="964" w:right="1134" w:bottom="1134" w:left="1701" w:header="0" w:footer="0" w:gutter="0"/>
          <w:cols w:space="720"/>
          <w:formProt w:val="0"/>
          <w:docGrid w:linePitch="360"/>
        </w:sect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EF7E727" wp14:editId="39358EC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99945" cy="1743710"/>
            <wp:effectExtent l="0" t="0" r="0" b="8890"/>
            <wp:wrapSquare wrapText="bothSides"/>
            <wp:docPr id="118980941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1" t="3461" r="4841" b="6076"/>
                    <a:stretch/>
                  </pic:blipFill>
                  <pic:spPr bwMode="auto">
                    <a:xfrm>
                      <a:off x="0" y="0"/>
                      <a:ext cx="2129466" cy="176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6C45C41" wp14:editId="4D787588">
            <wp:simplePos x="0" y="0"/>
            <wp:positionH relativeFrom="margin">
              <wp:posOffset>4896485</wp:posOffset>
            </wp:positionH>
            <wp:positionV relativeFrom="paragraph">
              <wp:posOffset>635</wp:posOffset>
            </wp:positionV>
            <wp:extent cx="762000" cy="737870"/>
            <wp:effectExtent l="0" t="0" r="0" b="5080"/>
            <wp:wrapTopAndBottom/>
            <wp:docPr id="1" name="Immagine 1" descr="Immagine che contiene interni, t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interni, tazz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995" b="89974" l="9961" r="89893">
                                  <a14:foregroundMark x1="28467" y1="16732" x2="30859" y2="49414"/>
                                  <a14:foregroundMark x1="24951" y1="33464" x2="27197" y2="51237"/>
                                  <a14:foregroundMark x1="27197" y1="51237" x2="36035" y2="72591"/>
                                  <a14:foregroundMark x1="36035" y1="72591" x2="38037" y2="75326"/>
                                  <a14:foregroundMark x1="25488" y1="22721" x2="21924" y2="34180"/>
                                  <a14:foregroundMark x1="21924" y1="34180" x2="23877" y2="49349"/>
                                  <a14:foregroundMark x1="23877" y1="49349" x2="43359" y2="80599"/>
                                  <a14:foregroundMark x1="43359" y1="80599" x2="55322" y2="82617"/>
                                  <a14:foregroundMark x1="55322" y1="82617" x2="66650" y2="79232"/>
                                  <a14:foregroundMark x1="66650" y1="79232" x2="73145" y2="74414"/>
                                  <a14:foregroundMark x1="21582" y1="46029" x2="35840" y2="74154"/>
                                  <a14:foregroundMark x1="35840" y1="74154" x2="40723" y2="80599"/>
                                  <a14:foregroundMark x1="32959" y1="28906" x2="48193" y2="12500"/>
                                  <a14:foregroundMark x1="48193" y1="12500" x2="50732" y2="11263"/>
                                  <a14:foregroundMark x1="33545" y1="19531" x2="58203" y2="7682"/>
                                  <a14:foregroundMark x1="31299" y1="13542" x2="52441" y2="4102"/>
                                  <a14:foregroundMark x1="57520" y1="2995" x2="81055" y2="20638"/>
                                  <a14:foregroundMark x1="60596" y1="10352" x2="81201" y2="27214"/>
                                  <a14:foregroundMark x1="62744" y1="2995" x2="72656" y2="8789"/>
                                  <a14:foregroundMark x1="72656" y1="8789" x2="79199" y2="15755"/>
                                  <a14:foregroundMark x1="81201" y1="28385" x2="79053" y2="62174"/>
                                  <a14:foregroundMark x1="75977" y1="24609" x2="81055" y2="42253"/>
                                  <a14:foregroundMark x1="27930" y1="45443" x2="33984" y2="22721"/>
                                  <a14:foregroundMark x1="27344" y1="43034" x2="27490" y2="30469"/>
                                  <a14:foregroundMark x1="34668" y1="76107" x2="49072" y2="85872"/>
                                  <a14:foregroundMark x1="84131" y1="55599" x2="79639" y2="22526"/>
                                  <a14:foregroundMark x1="79639" y1="22526" x2="79199" y2="21810"/>
                                  <a14:backgroundMark x1="42139" y1="1497" x2="46240" y2="911"/>
                                  <a14:backgroundMark x1="66797" y1="911" x2="62305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0" r="13296" b="14222"/>
                    <a:stretch/>
                  </pic:blipFill>
                  <pic:spPr bwMode="auto">
                    <a:xfrm>
                      <a:off x="0" y="0"/>
                      <a:ext cx="762000" cy="73787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1E99A" w14:textId="4D5F9BD1" w:rsidR="000A3FAF" w:rsidRPr="000A3FAF" w:rsidRDefault="000A3FAF" w:rsidP="00956118">
      <w:pPr>
        <w:rPr>
          <w:noProof/>
          <w:lang w:val="en-US"/>
        </w:rPr>
        <w:sectPr w:rsidR="000A3FAF" w:rsidRPr="000A3FAF" w:rsidSect="000A3FAF">
          <w:type w:val="continuous"/>
          <w:pgSz w:w="11906" w:h="16838"/>
          <w:pgMar w:top="964" w:right="1134" w:bottom="1134" w:left="1701" w:header="0" w:footer="0" w:gutter="0"/>
          <w:cols w:num="2" w:space="720"/>
          <w:formProt w:val="0"/>
          <w:docGrid w:linePitch="360"/>
        </w:sectPr>
      </w:pPr>
    </w:p>
    <w:p w14:paraId="5394F9BE" w14:textId="13673FBB" w:rsidR="004044C0" w:rsidRPr="004835D9" w:rsidRDefault="00646ADA" w:rsidP="00646ADA">
      <w:pPr>
        <w:spacing w:after="120"/>
        <w:jc w:val="both"/>
        <w:rPr>
          <w:lang w:val="en-US"/>
        </w:rPr>
      </w:pPr>
      <w:r>
        <w:rPr>
          <w:lang w:val="en-US"/>
        </w:rPr>
        <w:t>Concerning color analysis, t</w:t>
      </w:r>
      <w:r w:rsidRPr="0085288F">
        <w:rPr>
          <w:lang w:val="en-US"/>
        </w:rPr>
        <w:t>he addition of X</w:t>
      </w:r>
      <w:r>
        <w:rPr>
          <w:lang w:val="en-US"/>
        </w:rPr>
        <w:t>E</w:t>
      </w:r>
      <w:r w:rsidRPr="0085288F">
        <w:rPr>
          <w:lang w:val="en-US"/>
        </w:rPr>
        <w:t xml:space="preserve"> determined a decrease in </w:t>
      </w:r>
      <w:r w:rsidRPr="00F34CD7">
        <w:rPr>
          <w:i/>
          <w:iCs/>
          <w:lang w:val="en-US"/>
        </w:rPr>
        <w:t>L*</w:t>
      </w:r>
      <w:r w:rsidRPr="0085288F">
        <w:rPr>
          <w:lang w:val="en-US"/>
        </w:rPr>
        <w:t xml:space="preserve"> for FX</w:t>
      </w:r>
      <w:r>
        <w:rPr>
          <w:lang w:val="en-US"/>
        </w:rPr>
        <w:t xml:space="preserve"> and an increase of </w:t>
      </w:r>
      <w:r w:rsidRPr="00F34CD7">
        <w:rPr>
          <w:i/>
          <w:iCs/>
          <w:lang w:val="en-US"/>
        </w:rPr>
        <w:t>a*</w:t>
      </w:r>
      <w:r w:rsidRPr="0085288F">
        <w:rPr>
          <w:lang w:val="en-US"/>
        </w:rPr>
        <w:t xml:space="preserve"> and </w:t>
      </w:r>
      <w:r w:rsidRPr="00F34CD7">
        <w:rPr>
          <w:i/>
          <w:iCs/>
          <w:lang w:val="en-US"/>
        </w:rPr>
        <w:t>b*</w:t>
      </w:r>
      <w:r>
        <w:rPr>
          <w:lang w:val="en-US"/>
        </w:rPr>
        <w:t xml:space="preserve"> values</w:t>
      </w:r>
      <w:r w:rsidRPr="0085288F">
        <w:rPr>
          <w:lang w:val="en-US"/>
        </w:rPr>
        <w:t>.</w:t>
      </w:r>
      <w:r>
        <w:rPr>
          <w:lang w:val="en-US"/>
        </w:rPr>
        <w:t xml:space="preserve"> </w:t>
      </w:r>
      <w:r w:rsidRPr="00956118">
        <w:rPr>
          <w:lang w:val="en-US"/>
        </w:rPr>
        <w:t>FX showed a brown</w:t>
      </w:r>
      <w:r>
        <w:rPr>
          <w:lang w:val="en-US"/>
        </w:rPr>
        <w:t>ing effect</w:t>
      </w:r>
      <w:r w:rsidRPr="00956118">
        <w:rPr>
          <w:lang w:val="en-US"/>
        </w:rPr>
        <w:t xml:space="preserve"> (</w:t>
      </w:r>
      <w:r w:rsidRPr="00956118">
        <w:rPr>
          <w:b/>
          <w:bCs/>
          <w:i/>
          <w:iCs/>
          <w:lang w:val="en-US"/>
        </w:rPr>
        <w:t>Figure 2B</w:t>
      </w:r>
      <w:r w:rsidRPr="00956118">
        <w:rPr>
          <w:lang w:val="en-US"/>
        </w:rPr>
        <w:t xml:space="preserve">), caused by dark pigments </w:t>
      </w:r>
      <w:r>
        <w:rPr>
          <w:lang w:val="en-US"/>
        </w:rPr>
        <w:t>in XE</w:t>
      </w:r>
      <w:r w:rsidRPr="00956118">
        <w:rPr>
          <w:lang w:val="en-US"/>
        </w:rPr>
        <w:t xml:space="preserve">. </w:t>
      </w:r>
      <w:r w:rsidRPr="0085288F">
        <w:rPr>
          <w:lang w:val="en-US"/>
        </w:rPr>
        <w:t xml:space="preserve"> In general, the addition of by-product extracts or flours in the cheese formulation leads to a tendency to decrease </w:t>
      </w:r>
      <w:r>
        <w:rPr>
          <w:lang w:val="en-US"/>
        </w:rPr>
        <w:t xml:space="preserve">the </w:t>
      </w:r>
      <w:r w:rsidRPr="0085288F">
        <w:rPr>
          <w:lang w:val="en-US"/>
        </w:rPr>
        <w:t>brightness in the final product and to increase the red and yellow parameters depending on the type of extract added</w:t>
      </w:r>
      <w:r>
        <w:rPr>
          <w:lang w:val="en-US"/>
        </w:rPr>
        <w:t xml:space="preserve"> (Difonzo et al., 2023). </w:t>
      </w:r>
      <w:r w:rsidRPr="00931A46">
        <w:rPr>
          <w:lang w:val="en-US"/>
        </w:rPr>
        <w:t xml:space="preserve">Significant differences between the two samples were also found for back extrusion analysis. </w:t>
      </w:r>
      <w:r>
        <w:rPr>
          <w:lang w:val="en-US"/>
        </w:rPr>
        <w:t xml:space="preserve">In FX was found </w:t>
      </w:r>
      <w:r w:rsidRPr="00931A46">
        <w:rPr>
          <w:lang w:val="en-US"/>
        </w:rPr>
        <w:t>a decrease in firmness</w:t>
      </w:r>
      <w:r>
        <w:rPr>
          <w:lang w:val="en-US"/>
        </w:rPr>
        <w:t>,</w:t>
      </w:r>
      <w:r w:rsidRPr="00931A46">
        <w:rPr>
          <w:lang w:val="en-US"/>
        </w:rPr>
        <w:t xml:space="preserve"> related to an increase in pH, as mentioned above. The homogenization process for incorporating XE in the cheese may be the cause of a reduction in cheese consistency. This phase of the production process subjected the cheese to greater mechanical stress that was reflected in the consistency parameter.</w:t>
      </w:r>
      <w:r>
        <w:rPr>
          <w:lang w:val="en-US"/>
        </w:rPr>
        <w:t xml:space="preserve"> The</w:t>
      </w:r>
      <w:r w:rsidRPr="00063FB9">
        <w:rPr>
          <w:lang w:val="en-US"/>
        </w:rPr>
        <w:t xml:space="preserve"> addition of XOS extract </w:t>
      </w:r>
      <w:r>
        <w:rPr>
          <w:lang w:val="en-US"/>
        </w:rPr>
        <w:t xml:space="preserve">also caused </w:t>
      </w:r>
      <w:r w:rsidRPr="00063FB9">
        <w:rPr>
          <w:lang w:val="en-US"/>
        </w:rPr>
        <w:t>a decrease in cheese viscosity</w:t>
      </w:r>
      <w:r>
        <w:rPr>
          <w:lang w:val="en-US"/>
        </w:rPr>
        <w:t>,</w:t>
      </w:r>
      <w:r w:rsidRPr="00063FB9">
        <w:rPr>
          <w:lang w:val="en-US"/>
        </w:rPr>
        <w:t xml:space="preserve"> and</w:t>
      </w:r>
      <w:r>
        <w:rPr>
          <w:lang w:val="en-US"/>
        </w:rPr>
        <w:t xml:space="preserve"> an increase in</w:t>
      </w:r>
      <w:r w:rsidRPr="00063FB9">
        <w:rPr>
          <w:lang w:val="en-US"/>
        </w:rPr>
        <w:t xml:space="preserve"> </w:t>
      </w:r>
      <w:r>
        <w:rPr>
          <w:lang w:val="en-US"/>
        </w:rPr>
        <w:t>cohesiveness. T</w:t>
      </w:r>
      <w:r w:rsidRPr="000D2ACF">
        <w:rPr>
          <w:lang w:val="en-US"/>
        </w:rPr>
        <w:t xml:space="preserve">extural features may depend on the particle size </w:t>
      </w:r>
      <w:r>
        <w:rPr>
          <w:lang w:val="en-US"/>
        </w:rPr>
        <w:t xml:space="preserve">of the extract </w:t>
      </w:r>
      <w:r w:rsidRPr="000D2ACF">
        <w:rPr>
          <w:lang w:val="en-US"/>
        </w:rPr>
        <w:t>and the interaction between the insoluble fibres and the protein gel created during cheesemaking</w:t>
      </w:r>
      <w:r>
        <w:rPr>
          <w:lang w:val="en-US"/>
        </w:rPr>
        <w:t xml:space="preserve"> (Xue et al., 2020). </w:t>
      </w:r>
      <w:r w:rsidR="00ED1DA9">
        <w:rPr>
          <w:lang w:val="en-US"/>
        </w:rPr>
        <w:t>T</w:t>
      </w:r>
      <w:r w:rsidR="00931A46" w:rsidRPr="00931A46">
        <w:rPr>
          <w:lang w:val="en-US"/>
        </w:rPr>
        <w:t xml:space="preserve">he addition of XE significantly affected the </w:t>
      </w:r>
      <w:r w:rsidR="008B5399">
        <w:rPr>
          <w:lang w:val="en-US"/>
        </w:rPr>
        <w:t>cheese’s</w:t>
      </w:r>
      <w:r w:rsidR="00931A46" w:rsidRPr="00931A46">
        <w:rPr>
          <w:lang w:val="en-US"/>
        </w:rPr>
        <w:t xml:space="preserve"> sensory features</w:t>
      </w:r>
      <w:r w:rsidR="006802DD">
        <w:rPr>
          <w:lang w:val="en-US"/>
        </w:rPr>
        <w:t xml:space="preserve"> (</w:t>
      </w:r>
      <w:r w:rsidR="006802DD">
        <w:rPr>
          <w:b/>
          <w:bCs/>
          <w:i/>
          <w:iCs/>
          <w:lang w:val="en-US"/>
        </w:rPr>
        <w:t>Figure 1</w:t>
      </w:r>
      <w:r w:rsidR="006802DD">
        <w:rPr>
          <w:lang w:val="en-US"/>
        </w:rPr>
        <w:t xml:space="preserve">). </w:t>
      </w:r>
      <w:r w:rsidR="00931A46" w:rsidRPr="00931A46">
        <w:rPr>
          <w:lang w:val="en-US"/>
        </w:rPr>
        <w:t>The results of the visual analysis confirmed the instrumental color analysis</w:t>
      </w:r>
      <w:r w:rsidR="006802DD">
        <w:rPr>
          <w:lang w:val="en-US"/>
        </w:rPr>
        <w:t xml:space="preserve">. </w:t>
      </w:r>
      <w:r w:rsidR="00931A46" w:rsidRPr="00931A46">
        <w:rPr>
          <w:lang w:val="en-US"/>
        </w:rPr>
        <w:t>Maillard compounds present in XE thus influenced the final color of FX.</w:t>
      </w:r>
      <w:r w:rsidR="008B5399">
        <w:rPr>
          <w:lang w:val="en-US"/>
        </w:rPr>
        <w:t xml:space="preserve"> </w:t>
      </w:r>
      <w:r w:rsidR="00931A46" w:rsidRPr="00931A46">
        <w:rPr>
          <w:lang w:val="en-US"/>
        </w:rPr>
        <w:t xml:space="preserve">The </w:t>
      </w:r>
      <w:r w:rsidR="008B5399">
        <w:rPr>
          <w:lang w:val="en-US"/>
        </w:rPr>
        <w:t>flavor, which includes s</w:t>
      </w:r>
      <w:r w:rsidR="008B5399" w:rsidRPr="008B5399">
        <w:rPr>
          <w:lang w:val="en-US"/>
        </w:rPr>
        <w:t>weet</w:t>
      </w:r>
      <w:r w:rsidR="008B5399">
        <w:rPr>
          <w:lang w:val="en-US"/>
        </w:rPr>
        <w:t>, s</w:t>
      </w:r>
      <w:r w:rsidR="008B5399" w:rsidRPr="008B5399">
        <w:rPr>
          <w:lang w:val="en-US"/>
        </w:rPr>
        <w:t>alty</w:t>
      </w:r>
      <w:r w:rsidR="008B5399">
        <w:rPr>
          <w:lang w:val="en-US"/>
        </w:rPr>
        <w:t>, a</w:t>
      </w:r>
      <w:r w:rsidR="008B5399" w:rsidRPr="008B5399">
        <w:rPr>
          <w:lang w:val="en-US"/>
        </w:rPr>
        <w:t>cid</w:t>
      </w:r>
      <w:r w:rsidR="008B5399">
        <w:rPr>
          <w:lang w:val="en-US"/>
        </w:rPr>
        <w:t>, b</w:t>
      </w:r>
      <w:r w:rsidR="008B5399" w:rsidRPr="008B5399">
        <w:rPr>
          <w:lang w:val="en-US"/>
        </w:rPr>
        <w:t>itter</w:t>
      </w:r>
      <w:r w:rsidR="008B5399">
        <w:rPr>
          <w:lang w:val="en-US"/>
        </w:rPr>
        <w:t>, and a</w:t>
      </w:r>
      <w:r w:rsidR="008B5399" w:rsidRPr="008B5399">
        <w:rPr>
          <w:lang w:val="en-US"/>
        </w:rPr>
        <w:t>stringent</w:t>
      </w:r>
      <w:r w:rsidR="008B5399">
        <w:rPr>
          <w:lang w:val="en-US"/>
        </w:rPr>
        <w:t xml:space="preserve"> was similar in FC and FX</w:t>
      </w:r>
      <w:r w:rsidR="00931A46" w:rsidRPr="00931A46">
        <w:rPr>
          <w:lang w:val="en-US"/>
        </w:rPr>
        <w:t xml:space="preserve">. </w:t>
      </w:r>
      <w:r w:rsidR="00DC5D20">
        <w:rPr>
          <w:lang w:val="en-US"/>
        </w:rPr>
        <w:t>Thus</w:t>
      </w:r>
      <w:r w:rsidR="00931A46" w:rsidRPr="00931A46">
        <w:rPr>
          <w:lang w:val="en-US"/>
        </w:rPr>
        <w:t>, it can be stated that the addition of XE resulted in a limited change in the perception of basic tastes.</w:t>
      </w:r>
      <w:r w:rsidR="008B5399">
        <w:rPr>
          <w:lang w:val="en-US"/>
        </w:rPr>
        <w:t xml:space="preserve"> </w:t>
      </w:r>
      <w:r w:rsidR="00931A46" w:rsidRPr="00931A46">
        <w:rPr>
          <w:lang w:val="en-US"/>
        </w:rPr>
        <w:t>The same trend was found for the texture attributes</w:t>
      </w:r>
      <w:r w:rsidR="008B5399">
        <w:rPr>
          <w:lang w:val="en-US"/>
        </w:rPr>
        <w:t>.</w:t>
      </w:r>
      <w:r w:rsidR="00CD5931">
        <w:rPr>
          <w:lang w:val="en-US"/>
        </w:rPr>
        <w:t xml:space="preserve"> </w:t>
      </w:r>
      <w:r w:rsidR="008B5399" w:rsidRPr="00931A46">
        <w:rPr>
          <w:lang w:val="en-US"/>
        </w:rPr>
        <w:t xml:space="preserve">The </w:t>
      </w:r>
      <w:r w:rsidR="008B5399">
        <w:rPr>
          <w:lang w:val="en-US"/>
        </w:rPr>
        <w:t>taste-</w:t>
      </w:r>
      <w:r w:rsidR="008B5399" w:rsidRPr="00931A46">
        <w:rPr>
          <w:lang w:val="en-US"/>
        </w:rPr>
        <w:t>olfactory attributes showed strong differences between the two samples. The odor intensity increased significantly in FX</w:t>
      </w:r>
      <w:r w:rsidR="008B5399">
        <w:rPr>
          <w:lang w:val="en-US"/>
        </w:rPr>
        <w:t xml:space="preserve">. </w:t>
      </w:r>
      <w:r w:rsidR="008B5399" w:rsidRPr="00931A46">
        <w:rPr>
          <w:lang w:val="en-US"/>
        </w:rPr>
        <w:t>No significant differences were found for vegetable</w:t>
      </w:r>
      <w:r w:rsidR="008B5399">
        <w:rPr>
          <w:lang w:val="en-US"/>
        </w:rPr>
        <w:t xml:space="preserve"> and</w:t>
      </w:r>
      <w:r w:rsidR="008B5399" w:rsidRPr="00931A46">
        <w:rPr>
          <w:lang w:val="en-US"/>
        </w:rPr>
        <w:t xml:space="preserve"> buttermilk</w:t>
      </w:r>
      <w:r w:rsidR="007172F4">
        <w:rPr>
          <w:lang w:val="en-US"/>
        </w:rPr>
        <w:t xml:space="preserve"> descriptors</w:t>
      </w:r>
      <w:r w:rsidR="008B5399">
        <w:rPr>
          <w:lang w:val="en-US"/>
        </w:rPr>
        <w:t>.</w:t>
      </w:r>
      <w:r w:rsidR="008B5399" w:rsidRPr="00931A46">
        <w:rPr>
          <w:lang w:val="en-US"/>
        </w:rPr>
        <w:t xml:space="preserve"> The significantly higher attributes in FX were roasted coffee and caramel. The hazelnut, chocolate, and woody odors showed a significant increase in FX and were absent in CT. </w:t>
      </w:r>
      <w:r w:rsidR="00CD5931">
        <w:rPr>
          <w:lang w:val="en-US"/>
        </w:rPr>
        <w:t xml:space="preserve">The </w:t>
      </w:r>
      <w:r w:rsidR="00931A46" w:rsidRPr="00931A46">
        <w:rPr>
          <w:lang w:val="en-US"/>
        </w:rPr>
        <w:t>overall acceptability was not significantly different (3.6 FC and 3.5 FX). In general, the experimental cheese showed a greater complexity of smells and flavors that was appreciated by the group of tasters.</w:t>
      </w:r>
    </w:p>
    <w:p w14:paraId="4A28FD62" w14:textId="77777777" w:rsidR="00512D9B" w:rsidRDefault="00FB589C" w:rsidP="005F4CCB">
      <w:pPr>
        <w:pStyle w:val="Titolo1"/>
        <w:spacing w:before="0" w:after="24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4. References</w:t>
      </w:r>
    </w:p>
    <w:p w14:paraId="5E5C049E" w14:textId="77777777" w:rsidR="00956118" w:rsidRPr="009E5685" w:rsidRDefault="00956118" w:rsidP="00745AAC">
      <w:pPr>
        <w:jc w:val="both"/>
        <w:rPr>
          <w:sz w:val="16"/>
          <w:szCs w:val="16"/>
          <w:lang w:val="en-US"/>
        </w:rPr>
      </w:pPr>
      <w:r w:rsidRPr="009E5685">
        <w:rPr>
          <w:sz w:val="16"/>
          <w:szCs w:val="16"/>
          <w:lang w:val="en-US"/>
        </w:rPr>
        <w:t xml:space="preserve">AOAC International (2006). </w:t>
      </w:r>
      <w:r w:rsidRPr="009E5685">
        <w:rPr>
          <w:i/>
          <w:iCs/>
          <w:sz w:val="16"/>
          <w:szCs w:val="16"/>
          <w:lang w:val="en-US"/>
        </w:rPr>
        <w:t>Official Method of Analyisis</w:t>
      </w:r>
      <w:r w:rsidRPr="009E5685">
        <w:rPr>
          <w:sz w:val="16"/>
          <w:szCs w:val="16"/>
          <w:lang w:val="en-US"/>
        </w:rPr>
        <w:t>, 17th ed.; AOAC International: Gaithersburg, MD, USA.</w:t>
      </w:r>
    </w:p>
    <w:p w14:paraId="0B2A0DD3" w14:textId="7CAF4509" w:rsidR="00956118" w:rsidRPr="009E5685" w:rsidRDefault="00956118">
      <w:pPr>
        <w:ind w:left="425" w:hanging="425"/>
        <w:jc w:val="both"/>
        <w:rPr>
          <w:sz w:val="16"/>
          <w:szCs w:val="16"/>
          <w:lang w:val="en-GB"/>
        </w:rPr>
      </w:pPr>
      <w:r w:rsidRPr="009E5685">
        <w:rPr>
          <w:sz w:val="16"/>
          <w:szCs w:val="16"/>
          <w:lang w:val="en-US"/>
        </w:rPr>
        <w:t>Buffa M</w:t>
      </w:r>
      <w:r w:rsidR="009B672A" w:rsidRPr="009E5685">
        <w:rPr>
          <w:sz w:val="16"/>
          <w:szCs w:val="16"/>
          <w:lang w:val="en-US"/>
        </w:rPr>
        <w:t>,</w:t>
      </w:r>
      <w:r w:rsidRPr="009E5685">
        <w:rPr>
          <w:sz w:val="16"/>
          <w:szCs w:val="16"/>
          <w:lang w:val="en-US"/>
        </w:rPr>
        <w:t xml:space="preserve"> </w:t>
      </w:r>
      <w:r w:rsidR="009B672A" w:rsidRPr="009E5685">
        <w:rPr>
          <w:sz w:val="16"/>
          <w:szCs w:val="16"/>
          <w:lang w:val="en-US"/>
        </w:rPr>
        <w:t xml:space="preserve">Guamis B, Saldo J, Trujillo A </w:t>
      </w:r>
      <w:r w:rsidRPr="009E5685">
        <w:rPr>
          <w:sz w:val="16"/>
          <w:szCs w:val="16"/>
          <w:lang w:val="en-US"/>
        </w:rPr>
        <w:t xml:space="preserve">(2004). </w:t>
      </w:r>
      <w:r w:rsidRPr="009E5685">
        <w:rPr>
          <w:i/>
          <w:iCs/>
          <w:sz w:val="16"/>
          <w:szCs w:val="16"/>
          <w:lang w:val="en-GB"/>
        </w:rPr>
        <w:t>Changes in organic acids during ripening of cheeses made from raw, pasteurized or high-pressure-treated goats’ milk</w:t>
      </w:r>
      <w:r w:rsidRPr="009E5685">
        <w:rPr>
          <w:sz w:val="16"/>
          <w:szCs w:val="16"/>
          <w:lang w:val="en-GB"/>
        </w:rPr>
        <w:t xml:space="preserve">. LWT, </w:t>
      </w:r>
      <w:r w:rsidRPr="009E5685">
        <w:rPr>
          <w:b/>
          <w:bCs/>
          <w:sz w:val="16"/>
          <w:szCs w:val="16"/>
          <w:lang w:val="en-GB"/>
        </w:rPr>
        <w:t>37</w:t>
      </w:r>
      <w:r w:rsidRPr="009E5685">
        <w:rPr>
          <w:sz w:val="16"/>
          <w:szCs w:val="16"/>
          <w:lang w:val="en-GB"/>
        </w:rPr>
        <w:t>, 247–253.</w:t>
      </w:r>
    </w:p>
    <w:p w14:paraId="2D81BBE0" w14:textId="493D4441" w:rsidR="004C6730" w:rsidRPr="009E5685" w:rsidRDefault="004C6730">
      <w:pPr>
        <w:ind w:left="425" w:hanging="425"/>
        <w:jc w:val="both"/>
        <w:rPr>
          <w:sz w:val="16"/>
          <w:szCs w:val="16"/>
        </w:rPr>
      </w:pPr>
      <w:r w:rsidRPr="009E5685">
        <w:rPr>
          <w:sz w:val="16"/>
          <w:szCs w:val="16"/>
          <w:lang w:val="pt-PT"/>
        </w:rPr>
        <w:t>da Silva D</w:t>
      </w:r>
      <w:r w:rsidR="009B672A" w:rsidRPr="009E5685">
        <w:rPr>
          <w:sz w:val="16"/>
          <w:szCs w:val="16"/>
          <w:lang w:val="pt-PT"/>
        </w:rPr>
        <w:t>, de Carvalho Silva J, Mingotti J, Barão C, Klososki S, Pimentel T</w:t>
      </w:r>
      <w:r w:rsidRPr="009E5685">
        <w:rPr>
          <w:sz w:val="16"/>
          <w:szCs w:val="16"/>
          <w:lang w:val="pt-PT"/>
        </w:rPr>
        <w:t xml:space="preserve"> (2015). </w:t>
      </w:r>
      <w:r w:rsidRPr="009E5685">
        <w:rPr>
          <w:i/>
          <w:iCs/>
          <w:sz w:val="16"/>
          <w:szCs w:val="16"/>
          <w:lang w:val="en-GB"/>
        </w:rPr>
        <w:t>Effect of commercial grape extracts on the cheese-making properties of milk</w:t>
      </w:r>
      <w:r w:rsidRPr="009E5685">
        <w:rPr>
          <w:sz w:val="16"/>
          <w:szCs w:val="16"/>
          <w:lang w:val="en-GB"/>
        </w:rPr>
        <w:t xml:space="preserve">. </w:t>
      </w:r>
      <w:r w:rsidRPr="009E5685">
        <w:rPr>
          <w:sz w:val="16"/>
          <w:szCs w:val="16"/>
        </w:rPr>
        <w:t xml:space="preserve">J Dairy Sci, </w:t>
      </w:r>
      <w:r w:rsidRPr="009E5685">
        <w:rPr>
          <w:b/>
          <w:bCs/>
          <w:sz w:val="16"/>
          <w:szCs w:val="16"/>
        </w:rPr>
        <w:t>98</w:t>
      </w:r>
      <w:r w:rsidRPr="009E5685">
        <w:rPr>
          <w:sz w:val="16"/>
          <w:szCs w:val="16"/>
        </w:rPr>
        <w:t>(3), 1552-1562.</w:t>
      </w:r>
    </w:p>
    <w:p w14:paraId="10006DA8" w14:textId="393EF0F1" w:rsidR="00956118" w:rsidRPr="009E5685" w:rsidRDefault="00956118">
      <w:pPr>
        <w:ind w:left="425" w:hanging="425"/>
        <w:jc w:val="both"/>
        <w:rPr>
          <w:sz w:val="16"/>
          <w:szCs w:val="16"/>
        </w:rPr>
      </w:pPr>
      <w:r w:rsidRPr="009E5685">
        <w:rPr>
          <w:sz w:val="16"/>
          <w:szCs w:val="16"/>
        </w:rPr>
        <w:t>De Angelis D</w:t>
      </w:r>
      <w:r w:rsidR="009B672A" w:rsidRPr="009E5685">
        <w:rPr>
          <w:sz w:val="16"/>
          <w:szCs w:val="16"/>
        </w:rPr>
        <w:t>, Squeo G, Pasqualone A, Summo C</w:t>
      </w:r>
      <w:r w:rsidRPr="009E5685">
        <w:rPr>
          <w:sz w:val="16"/>
          <w:szCs w:val="16"/>
        </w:rPr>
        <w:t xml:space="preserve"> (2022</w:t>
      </w:r>
      <w:r w:rsidRPr="009E5685">
        <w:rPr>
          <w:i/>
          <w:iCs/>
          <w:sz w:val="16"/>
          <w:szCs w:val="16"/>
        </w:rPr>
        <w:t xml:space="preserve">). </w:t>
      </w:r>
      <w:r w:rsidRPr="009E5685">
        <w:rPr>
          <w:i/>
          <w:iCs/>
          <w:sz w:val="16"/>
          <w:szCs w:val="16"/>
          <w:lang w:val="en-GB"/>
        </w:rPr>
        <w:t>Optimization of formulation and physicochemical, nutritional and sensory evaluation of vegan chickpea-based salad dressings</w:t>
      </w:r>
      <w:r w:rsidRPr="009E5685">
        <w:rPr>
          <w:sz w:val="16"/>
          <w:szCs w:val="16"/>
          <w:lang w:val="en-GB"/>
        </w:rPr>
        <w:t xml:space="preserve">. </w:t>
      </w:r>
      <w:r w:rsidRPr="009E5685">
        <w:rPr>
          <w:sz w:val="16"/>
          <w:szCs w:val="16"/>
        </w:rPr>
        <w:t xml:space="preserve">J Food Sci Technol </w:t>
      </w:r>
      <w:r w:rsidRPr="009E5685">
        <w:rPr>
          <w:b/>
          <w:bCs/>
          <w:sz w:val="16"/>
          <w:szCs w:val="16"/>
        </w:rPr>
        <w:t>59</w:t>
      </w:r>
      <w:r w:rsidRPr="009E5685">
        <w:rPr>
          <w:sz w:val="16"/>
          <w:szCs w:val="16"/>
        </w:rPr>
        <w:t>, 2685–2693.</w:t>
      </w:r>
    </w:p>
    <w:p w14:paraId="5396CDDE" w14:textId="1F719DD4" w:rsidR="003D14E0" w:rsidRPr="009E5685" w:rsidRDefault="003D14E0" w:rsidP="00745AAC">
      <w:pPr>
        <w:ind w:left="425" w:hanging="425"/>
        <w:jc w:val="both"/>
        <w:rPr>
          <w:sz w:val="16"/>
          <w:szCs w:val="16"/>
          <w:lang w:val="pt-PT"/>
        </w:rPr>
      </w:pPr>
      <w:r w:rsidRPr="009E5685">
        <w:rPr>
          <w:sz w:val="16"/>
          <w:szCs w:val="16"/>
        </w:rPr>
        <w:t>Difonzo G</w:t>
      </w:r>
      <w:r w:rsidR="009B672A" w:rsidRPr="009E5685">
        <w:rPr>
          <w:sz w:val="16"/>
          <w:szCs w:val="16"/>
        </w:rPr>
        <w:t>,</w:t>
      </w:r>
      <w:r w:rsidRPr="009E5685">
        <w:rPr>
          <w:sz w:val="16"/>
          <w:szCs w:val="16"/>
        </w:rPr>
        <w:t xml:space="preserve"> </w:t>
      </w:r>
      <w:r w:rsidR="009B672A" w:rsidRPr="009E5685">
        <w:rPr>
          <w:sz w:val="16"/>
          <w:szCs w:val="16"/>
        </w:rPr>
        <w:t xml:space="preserve">Antonino C, Squeo G, Caponio F, Faccia M </w:t>
      </w:r>
      <w:r w:rsidRPr="009E5685">
        <w:rPr>
          <w:sz w:val="16"/>
          <w:szCs w:val="16"/>
        </w:rPr>
        <w:t xml:space="preserve">(2023). </w:t>
      </w:r>
      <w:r w:rsidRPr="009E5685">
        <w:rPr>
          <w:i/>
          <w:iCs/>
          <w:sz w:val="16"/>
          <w:szCs w:val="16"/>
          <w:lang w:val="en-US"/>
        </w:rPr>
        <w:t>Application of Agri-Food By-Products in Cheesemaking</w:t>
      </w:r>
      <w:r w:rsidRPr="009E5685">
        <w:rPr>
          <w:sz w:val="16"/>
          <w:szCs w:val="16"/>
          <w:lang w:val="en-US"/>
        </w:rPr>
        <w:t xml:space="preserve">. </w:t>
      </w:r>
      <w:r w:rsidRPr="009E5685">
        <w:rPr>
          <w:sz w:val="16"/>
          <w:szCs w:val="16"/>
          <w:lang w:val="pt-PT"/>
        </w:rPr>
        <w:t xml:space="preserve">Antioxidants, </w:t>
      </w:r>
      <w:r w:rsidRPr="009E5685">
        <w:rPr>
          <w:b/>
          <w:bCs/>
          <w:sz w:val="16"/>
          <w:szCs w:val="16"/>
          <w:lang w:val="pt-PT"/>
        </w:rPr>
        <w:t>12</w:t>
      </w:r>
      <w:r w:rsidRPr="009E5685">
        <w:rPr>
          <w:sz w:val="16"/>
          <w:szCs w:val="16"/>
          <w:lang w:val="pt-PT"/>
        </w:rPr>
        <w:t>(3), 660.</w:t>
      </w:r>
    </w:p>
    <w:p w14:paraId="7B7B7E13" w14:textId="1B7FB495" w:rsidR="00956118" w:rsidRPr="009E5685" w:rsidRDefault="00956118" w:rsidP="00745AAC">
      <w:pPr>
        <w:ind w:left="425" w:hanging="425"/>
        <w:jc w:val="both"/>
        <w:rPr>
          <w:sz w:val="16"/>
          <w:szCs w:val="16"/>
        </w:rPr>
      </w:pPr>
      <w:r w:rsidRPr="009E5685">
        <w:rPr>
          <w:sz w:val="16"/>
          <w:szCs w:val="16"/>
          <w:lang w:val="pt-PT"/>
        </w:rPr>
        <w:t>Ferrão L</w:t>
      </w:r>
      <w:r w:rsidR="009B672A" w:rsidRPr="009E5685">
        <w:rPr>
          <w:sz w:val="16"/>
          <w:szCs w:val="16"/>
          <w:lang w:val="pt-PT"/>
        </w:rPr>
        <w:t xml:space="preserve">, Ferreira M, Cavalcanti R, Carvalho A, Pimentel T, Silva H, Cruz, A </w:t>
      </w:r>
      <w:r w:rsidRPr="009E5685">
        <w:rPr>
          <w:sz w:val="16"/>
          <w:szCs w:val="16"/>
          <w:lang w:val="pt-PT"/>
        </w:rPr>
        <w:t xml:space="preserve">(2018). </w:t>
      </w:r>
      <w:r w:rsidRPr="009E5685">
        <w:rPr>
          <w:i/>
          <w:iCs/>
          <w:sz w:val="16"/>
          <w:szCs w:val="16"/>
          <w:lang w:val="en-GB"/>
        </w:rPr>
        <w:t>The xylooligosaccharide addition and sodium reduction in requeijão cremoso processed cheese</w:t>
      </w:r>
      <w:r w:rsidRPr="009E5685">
        <w:rPr>
          <w:sz w:val="16"/>
          <w:szCs w:val="16"/>
          <w:lang w:val="en-GB"/>
        </w:rPr>
        <w:t xml:space="preserve">. </w:t>
      </w:r>
      <w:r w:rsidRPr="009E5685">
        <w:rPr>
          <w:sz w:val="16"/>
          <w:szCs w:val="16"/>
        </w:rPr>
        <w:t xml:space="preserve">Food Res Int, </w:t>
      </w:r>
      <w:r w:rsidRPr="009E5685">
        <w:rPr>
          <w:b/>
          <w:bCs/>
          <w:sz w:val="16"/>
          <w:szCs w:val="16"/>
        </w:rPr>
        <w:t>107</w:t>
      </w:r>
      <w:r w:rsidRPr="009E5685">
        <w:rPr>
          <w:sz w:val="16"/>
          <w:szCs w:val="16"/>
        </w:rPr>
        <w:t>, 137-147.</w:t>
      </w:r>
    </w:p>
    <w:p w14:paraId="4BA09A02" w14:textId="0A534CE0" w:rsidR="00956118" w:rsidRPr="009E5685" w:rsidRDefault="00956118">
      <w:pPr>
        <w:ind w:left="425" w:hanging="425"/>
        <w:jc w:val="both"/>
        <w:rPr>
          <w:sz w:val="16"/>
          <w:szCs w:val="16"/>
        </w:rPr>
      </w:pPr>
      <w:r w:rsidRPr="009E5685">
        <w:rPr>
          <w:sz w:val="16"/>
          <w:szCs w:val="16"/>
        </w:rPr>
        <w:t xml:space="preserve">Gambera A (2018). </w:t>
      </w:r>
      <w:r w:rsidRPr="009E5685">
        <w:rPr>
          <w:i/>
          <w:iCs/>
          <w:sz w:val="16"/>
          <w:szCs w:val="16"/>
        </w:rPr>
        <w:t>Metodica di assaggio dei formaggi. In: L’assaggio dei formaggi</w:t>
      </w:r>
      <w:r w:rsidRPr="009E5685">
        <w:rPr>
          <w:sz w:val="16"/>
          <w:szCs w:val="16"/>
        </w:rPr>
        <w:t xml:space="preserve"> (edited by ONAF) pp 9–31</w:t>
      </w:r>
      <w:r w:rsidR="009E5685" w:rsidRPr="009E5685">
        <w:rPr>
          <w:sz w:val="16"/>
          <w:szCs w:val="16"/>
        </w:rPr>
        <w:t>,</w:t>
      </w:r>
      <w:r w:rsidRPr="009E5685">
        <w:rPr>
          <w:sz w:val="16"/>
          <w:szCs w:val="16"/>
        </w:rPr>
        <w:t xml:space="preserve"> Bari, Italy</w:t>
      </w:r>
      <w:r w:rsidR="004044C0" w:rsidRPr="009E5685">
        <w:rPr>
          <w:sz w:val="16"/>
          <w:szCs w:val="16"/>
        </w:rPr>
        <w:t>.</w:t>
      </w:r>
    </w:p>
    <w:p w14:paraId="6B412959" w14:textId="132E7871" w:rsidR="00956118" w:rsidRPr="009E5685" w:rsidRDefault="00956118">
      <w:pPr>
        <w:ind w:left="425" w:hanging="425"/>
        <w:jc w:val="both"/>
        <w:rPr>
          <w:sz w:val="16"/>
          <w:szCs w:val="16"/>
          <w:lang w:val="en-US"/>
        </w:rPr>
      </w:pPr>
      <w:r w:rsidRPr="009E5685">
        <w:rPr>
          <w:sz w:val="16"/>
          <w:szCs w:val="16"/>
        </w:rPr>
        <w:t>Trani A</w:t>
      </w:r>
      <w:r w:rsidR="00755FC3" w:rsidRPr="009E5685">
        <w:rPr>
          <w:sz w:val="16"/>
          <w:szCs w:val="16"/>
        </w:rPr>
        <w:t xml:space="preserve">, Gambacorta G, Loizzo P, Cassone A, Fasciano C, Zambrini A, Faccia M </w:t>
      </w:r>
      <w:r w:rsidRPr="009E5685">
        <w:rPr>
          <w:sz w:val="16"/>
          <w:szCs w:val="16"/>
        </w:rPr>
        <w:t xml:space="preserve">(2017). </w:t>
      </w:r>
      <w:r w:rsidRPr="009E5685">
        <w:rPr>
          <w:i/>
          <w:iCs/>
          <w:sz w:val="16"/>
          <w:szCs w:val="16"/>
          <w:lang w:val="en-US"/>
        </w:rPr>
        <w:t>Comparison of HPLC-RI, LC/MS-MS and enzymatic assays for the analysis of residual lactose in lactose-free milk</w:t>
      </w:r>
      <w:r w:rsidRPr="009E5685">
        <w:rPr>
          <w:sz w:val="16"/>
          <w:szCs w:val="16"/>
          <w:lang w:val="en-US"/>
        </w:rPr>
        <w:t xml:space="preserve">. Food Chem, </w:t>
      </w:r>
      <w:r w:rsidRPr="009E5685">
        <w:rPr>
          <w:b/>
          <w:bCs/>
          <w:sz w:val="16"/>
          <w:szCs w:val="16"/>
          <w:lang w:val="en-US"/>
        </w:rPr>
        <w:t>233</w:t>
      </w:r>
      <w:r w:rsidRPr="009E5685">
        <w:rPr>
          <w:sz w:val="16"/>
          <w:szCs w:val="16"/>
          <w:lang w:val="en-US"/>
        </w:rPr>
        <w:t>, 385–390.</w:t>
      </w:r>
    </w:p>
    <w:p w14:paraId="56EB86EF" w14:textId="7BC7A41B" w:rsidR="000D2ACF" w:rsidRPr="009E5685" w:rsidRDefault="000D2ACF" w:rsidP="00793A22">
      <w:pPr>
        <w:ind w:left="425" w:hanging="425"/>
        <w:jc w:val="both"/>
        <w:rPr>
          <w:sz w:val="16"/>
          <w:szCs w:val="16"/>
          <w:lang w:val="en-US"/>
        </w:rPr>
      </w:pPr>
      <w:r w:rsidRPr="009E5685">
        <w:rPr>
          <w:sz w:val="16"/>
          <w:szCs w:val="16"/>
          <w:lang w:val="en-US"/>
        </w:rPr>
        <w:t>Xue X</w:t>
      </w:r>
      <w:r w:rsidR="00755FC3" w:rsidRPr="009E5685">
        <w:rPr>
          <w:sz w:val="16"/>
          <w:szCs w:val="16"/>
          <w:lang w:val="en-US"/>
        </w:rPr>
        <w:t>,</w:t>
      </w:r>
      <w:r w:rsidRPr="009E5685">
        <w:rPr>
          <w:sz w:val="16"/>
          <w:szCs w:val="16"/>
          <w:lang w:val="en-US"/>
        </w:rPr>
        <w:t xml:space="preserve"> </w:t>
      </w:r>
      <w:r w:rsidR="00755FC3" w:rsidRPr="009E5685">
        <w:rPr>
          <w:sz w:val="16"/>
          <w:szCs w:val="16"/>
          <w:lang w:val="en-US"/>
        </w:rPr>
        <w:t xml:space="preserve">Wang J, Li S, Zhang X, Dong J, Gui L, Chang Q </w:t>
      </w:r>
      <w:r w:rsidRPr="009E5685">
        <w:rPr>
          <w:sz w:val="16"/>
          <w:szCs w:val="16"/>
          <w:lang w:val="en-US"/>
        </w:rPr>
        <w:t xml:space="preserve">(2020). </w:t>
      </w:r>
      <w:r w:rsidRPr="009E5685">
        <w:rPr>
          <w:i/>
          <w:iCs/>
          <w:sz w:val="16"/>
          <w:szCs w:val="16"/>
          <w:lang w:val="en-US"/>
        </w:rPr>
        <w:t>Effect of micronised oat bran by ultrafine grinding on dietary fibre, texture and rheological characteristic of soft cheese.</w:t>
      </w:r>
      <w:r w:rsidRPr="009E5685">
        <w:rPr>
          <w:sz w:val="16"/>
          <w:szCs w:val="16"/>
          <w:lang w:val="en-US"/>
        </w:rPr>
        <w:t xml:space="preserve"> Int J Food Sci Technol, </w:t>
      </w:r>
      <w:r w:rsidRPr="009E5685">
        <w:rPr>
          <w:b/>
          <w:bCs/>
          <w:sz w:val="16"/>
          <w:szCs w:val="16"/>
          <w:lang w:val="en-US"/>
        </w:rPr>
        <w:t>55</w:t>
      </w:r>
      <w:r w:rsidRPr="009E5685">
        <w:rPr>
          <w:sz w:val="16"/>
          <w:szCs w:val="16"/>
          <w:lang w:val="en-US"/>
        </w:rPr>
        <w:t>(2), 578-588.</w:t>
      </w:r>
    </w:p>
    <w:sectPr w:rsidR="000D2ACF" w:rsidRPr="009E5685">
      <w:type w:val="continuous"/>
      <w:pgSz w:w="11906" w:h="16838"/>
      <w:pgMar w:top="96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D01F" w14:textId="77777777" w:rsidR="00F65FD8" w:rsidRDefault="00F65FD8">
      <w:r>
        <w:separator/>
      </w:r>
    </w:p>
  </w:endnote>
  <w:endnote w:type="continuationSeparator" w:id="0">
    <w:p w14:paraId="6303E6B2" w14:textId="77777777" w:rsidR="00F65FD8" w:rsidRDefault="00F6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B5F6" w14:textId="77777777" w:rsidR="00F65FD8" w:rsidRDefault="00F65FD8">
      <w:r>
        <w:separator/>
      </w:r>
    </w:p>
  </w:footnote>
  <w:footnote w:type="continuationSeparator" w:id="0">
    <w:p w14:paraId="19CB644C" w14:textId="77777777" w:rsidR="00F65FD8" w:rsidRDefault="00F65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86A"/>
    <w:multiLevelType w:val="multilevel"/>
    <w:tmpl w:val="A8F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B26F2"/>
    <w:multiLevelType w:val="hybridMultilevel"/>
    <w:tmpl w:val="347A75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805196955">
    <w:abstractNumId w:val="3"/>
  </w:num>
  <w:num w:numId="2" w16cid:durableId="231282145">
    <w:abstractNumId w:val="2"/>
  </w:num>
  <w:num w:numId="3" w16cid:durableId="586690508">
    <w:abstractNumId w:val="0"/>
  </w:num>
  <w:num w:numId="4" w16cid:durableId="69377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0730B"/>
    <w:rsid w:val="000430D7"/>
    <w:rsid w:val="000A3FAF"/>
    <w:rsid w:val="000B55AF"/>
    <w:rsid w:val="000C2C18"/>
    <w:rsid w:val="000D2ACF"/>
    <w:rsid w:val="001A5EA9"/>
    <w:rsid w:val="002B60D3"/>
    <w:rsid w:val="003642F2"/>
    <w:rsid w:val="003675A3"/>
    <w:rsid w:val="003D14E0"/>
    <w:rsid w:val="003D1D4E"/>
    <w:rsid w:val="004044C0"/>
    <w:rsid w:val="00432AC7"/>
    <w:rsid w:val="00432BF2"/>
    <w:rsid w:val="004517D1"/>
    <w:rsid w:val="004835D9"/>
    <w:rsid w:val="004C6730"/>
    <w:rsid w:val="004D70F4"/>
    <w:rsid w:val="004E0486"/>
    <w:rsid w:val="00512D9B"/>
    <w:rsid w:val="00582A69"/>
    <w:rsid w:val="005A4CE0"/>
    <w:rsid w:val="005F4CCB"/>
    <w:rsid w:val="00646ADA"/>
    <w:rsid w:val="006802DD"/>
    <w:rsid w:val="006841F4"/>
    <w:rsid w:val="00701216"/>
    <w:rsid w:val="007172F4"/>
    <w:rsid w:val="00745AAC"/>
    <w:rsid w:val="00746B7D"/>
    <w:rsid w:val="00753EB3"/>
    <w:rsid w:val="00755FC3"/>
    <w:rsid w:val="00757F12"/>
    <w:rsid w:val="00793A22"/>
    <w:rsid w:val="007B6FFD"/>
    <w:rsid w:val="007E1A6E"/>
    <w:rsid w:val="0085288F"/>
    <w:rsid w:val="008B5399"/>
    <w:rsid w:val="00902D5C"/>
    <w:rsid w:val="00904565"/>
    <w:rsid w:val="00931A46"/>
    <w:rsid w:val="00940A61"/>
    <w:rsid w:val="00956118"/>
    <w:rsid w:val="009854CA"/>
    <w:rsid w:val="009A5A0C"/>
    <w:rsid w:val="009B672A"/>
    <w:rsid w:val="009E5685"/>
    <w:rsid w:val="009F1474"/>
    <w:rsid w:val="00A75986"/>
    <w:rsid w:val="00A82025"/>
    <w:rsid w:val="00B4399F"/>
    <w:rsid w:val="00B57A40"/>
    <w:rsid w:val="00B667F6"/>
    <w:rsid w:val="00B8030B"/>
    <w:rsid w:val="00CD5931"/>
    <w:rsid w:val="00D60FDF"/>
    <w:rsid w:val="00D61EDF"/>
    <w:rsid w:val="00D76006"/>
    <w:rsid w:val="00D80F9F"/>
    <w:rsid w:val="00D92AA5"/>
    <w:rsid w:val="00DB66C7"/>
    <w:rsid w:val="00DC5D20"/>
    <w:rsid w:val="00E04349"/>
    <w:rsid w:val="00E17F5E"/>
    <w:rsid w:val="00E34413"/>
    <w:rsid w:val="00E35009"/>
    <w:rsid w:val="00E73C9C"/>
    <w:rsid w:val="00ED1DA9"/>
    <w:rsid w:val="00ED3F1B"/>
    <w:rsid w:val="00F34CD7"/>
    <w:rsid w:val="00F65FD8"/>
    <w:rsid w:val="00FB589C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customStyle="1" w:styleId="html-xx">
    <w:name w:val="html-xx"/>
    <w:basedOn w:val="Normale"/>
    <w:rsid w:val="00B667F6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tml-italic">
    <w:name w:val="html-italic"/>
    <w:basedOn w:val="Carpredefinitoparagrafo"/>
    <w:rsid w:val="00B667F6"/>
  </w:style>
  <w:style w:type="character" w:styleId="Collegamentoipertestuale">
    <w:name w:val="Hyperlink"/>
    <w:basedOn w:val="Carpredefinitoparagrafo"/>
    <w:uiPriority w:val="99"/>
    <w:semiHidden/>
    <w:unhideWhenUsed/>
    <w:rsid w:val="00B667F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35009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399F"/>
    <w:pPr>
      <w:ind w:left="720"/>
      <w:contextualSpacing/>
    </w:pPr>
  </w:style>
  <w:style w:type="paragraph" w:styleId="Revisione">
    <w:name w:val="Revision"/>
    <w:hidden/>
    <w:uiPriority w:val="99"/>
    <w:semiHidden/>
    <w:rsid w:val="00904565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Claudia Antonino</cp:lastModifiedBy>
  <cp:revision>9</cp:revision>
  <cp:lastPrinted>2023-02-24T09:51:00Z</cp:lastPrinted>
  <dcterms:created xsi:type="dcterms:W3CDTF">2023-06-05T13:46:00Z</dcterms:created>
  <dcterms:modified xsi:type="dcterms:W3CDTF">2023-06-23T16:01:00Z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GrammarlyDocumentId">
    <vt:lpwstr>fe7844c84c25c44126511a7ca12cd395492e5e0ac95cc8d6e97571811899505b</vt:lpwstr>
  </property>
</Properties>
</file>