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6403" w:rsidRPr="0051219B" w:rsidRDefault="000C3D79" w:rsidP="006B714B">
      <w:pPr>
        <w:pStyle w:val="Title"/>
        <w:spacing w:before="600" w:line="240" w:lineRule="auto"/>
        <w:rPr>
          <w:lang w:val="en-GB"/>
        </w:rPr>
      </w:pPr>
      <w:r w:rsidRPr="0051219B">
        <w:rPr>
          <w:lang w:val="en-GB"/>
        </w:rPr>
        <w:t xml:space="preserve">Dual Approaches </w:t>
      </w:r>
      <w:r w:rsidR="00AC2FAE" w:rsidRPr="0051219B">
        <w:rPr>
          <w:lang w:val="en-GB"/>
        </w:rPr>
        <w:t xml:space="preserve">to Investigate the Infant Food Microbiome and </w:t>
      </w:r>
      <w:r w:rsidR="00AC2FAE" w:rsidRPr="00056987">
        <w:rPr>
          <w:i/>
          <w:iCs/>
          <w:lang w:val="en-GB"/>
        </w:rPr>
        <w:t>Listeria monocytogenes</w:t>
      </w:r>
      <w:r w:rsidR="00AC2FAE" w:rsidRPr="0051219B">
        <w:rPr>
          <w:lang w:val="en-GB"/>
        </w:rPr>
        <w:t xml:space="preserve"> Behaviour under Severe Acidic Conditions</w:t>
      </w:r>
    </w:p>
    <w:p w:rsidR="000C3D79" w:rsidRPr="0051219B" w:rsidRDefault="000C3D79" w:rsidP="006B714B">
      <w:pPr>
        <w:widowControl w:val="0"/>
        <w:suppressAutoHyphens/>
        <w:jc w:val="center"/>
        <w:rPr>
          <w:rFonts w:eastAsia="Times New Roman" w:cs="Times New Roman"/>
          <w:kern w:val="0"/>
          <w:szCs w:val="20"/>
          <w:lang w:val="de-DE" w:eastAsia="zh-CN"/>
          <w14:ligatures w14:val="none"/>
        </w:rPr>
      </w:pPr>
      <w:r w:rsidRPr="0051219B">
        <w:rPr>
          <w:rFonts w:eastAsia="Times New Roman" w:cs="Times New Roman"/>
          <w:kern w:val="0"/>
          <w:szCs w:val="20"/>
          <w:lang w:val="de-DE" w:eastAsia="zh-CN"/>
          <w14:ligatures w14:val="none"/>
        </w:rPr>
        <w:t xml:space="preserve">Dimitra </w:t>
      </w:r>
      <w:proofErr w:type="spellStart"/>
      <w:r w:rsidRPr="0051219B">
        <w:rPr>
          <w:rFonts w:eastAsia="Times New Roman" w:cs="Times New Roman"/>
          <w:kern w:val="0"/>
          <w:szCs w:val="20"/>
          <w:lang w:val="de-DE" w:eastAsia="zh-CN"/>
          <w14:ligatures w14:val="none"/>
        </w:rPr>
        <w:t>Tsoureki</w:t>
      </w:r>
      <w:proofErr w:type="spellEnd"/>
      <w:r w:rsidRPr="0051219B">
        <w:rPr>
          <w:rFonts w:eastAsia="Times New Roman" w:cs="Times New Roman"/>
          <w:kern w:val="0"/>
          <w:szCs w:val="20"/>
          <w:lang w:val="de-DE" w:eastAsia="zh-CN"/>
          <w14:ligatures w14:val="none"/>
        </w:rPr>
        <w:t xml:space="preserve"> (</w:t>
      </w:r>
      <w:hyperlink r:id="rId7" w:history="1">
        <w:r w:rsidRPr="0051219B">
          <w:rPr>
            <w:rFonts w:eastAsia="Times New Roman" w:cs="Times New Roman"/>
            <w:kern w:val="0"/>
            <w:szCs w:val="20"/>
            <w:lang w:val="de-DE" w:eastAsia="zh-CN"/>
            <w14:ligatures w14:val="none"/>
          </w:rPr>
          <w:t>dimitra.tsoureki@unito.it</w:t>
        </w:r>
      </w:hyperlink>
      <w:r w:rsidRPr="0051219B">
        <w:rPr>
          <w:rFonts w:eastAsia="Times New Roman" w:cs="Times New Roman"/>
          <w:kern w:val="0"/>
          <w:szCs w:val="20"/>
          <w:lang w:val="de-DE" w:eastAsia="zh-CN"/>
          <w14:ligatures w14:val="none"/>
        </w:rPr>
        <w:t>)</w:t>
      </w:r>
    </w:p>
    <w:p w:rsidR="000C3D79" w:rsidRPr="0051219B" w:rsidRDefault="000C3D79" w:rsidP="006B714B">
      <w:pPr>
        <w:widowControl w:val="0"/>
        <w:suppressAutoHyphens/>
        <w:jc w:val="center"/>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 xml:space="preserve">Department of Agricultural, Forest and Food </w:t>
      </w:r>
      <w:r w:rsidR="006B714B" w:rsidRPr="0051219B">
        <w:rPr>
          <w:rFonts w:eastAsia="Times New Roman" w:cs="Times New Roman"/>
          <w:kern w:val="0"/>
          <w:szCs w:val="20"/>
          <w:lang w:val="en-GB" w:eastAsia="zh-CN"/>
          <w14:ligatures w14:val="none"/>
        </w:rPr>
        <w:t xml:space="preserve">Sciences, University of Turin, </w:t>
      </w:r>
      <w:proofErr w:type="spellStart"/>
      <w:r w:rsidR="006B714B" w:rsidRPr="0051219B">
        <w:rPr>
          <w:rFonts w:eastAsia="Times New Roman" w:cs="Times New Roman"/>
          <w:kern w:val="0"/>
          <w:szCs w:val="20"/>
          <w:lang w:val="en-GB" w:eastAsia="zh-CN"/>
          <w14:ligatures w14:val="none"/>
        </w:rPr>
        <w:t>Grugliasco</w:t>
      </w:r>
      <w:proofErr w:type="spellEnd"/>
      <w:r w:rsidR="006B714B" w:rsidRPr="0051219B">
        <w:rPr>
          <w:rFonts w:eastAsia="Times New Roman" w:cs="Times New Roman"/>
          <w:kern w:val="0"/>
          <w:szCs w:val="20"/>
          <w:lang w:val="en-GB" w:eastAsia="zh-CN"/>
          <w14:ligatures w14:val="none"/>
        </w:rPr>
        <w:t>, Italy</w:t>
      </w:r>
    </w:p>
    <w:p w:rsidR="006B714B" w:rsidRPr="0051219B" w:rsidRDefault="006B714B" w:rsidP="006B714B">
      <w:pPr>
        <w:widowControl w:val="0"/>
        <w:suppressAutoHyphens/>
        <w:jc w:val="center"/>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 xml:space="preserve">Tutor: Prof. </w:t>
      </w:r>
      <w:proofErr w:type="spellStart"/>
      <w:r w:rsidRPr="0051219B">
        <w:rPr>
          <w:rFonts w:eastAsia="Times New Roman" w:cs="Times New Roman"/>
          <w:kern w:val="0"/>
          <w:szCs w:val="20"/>
          <w:lang w:val="en-GB" w:eastAsia="zh-CN"/>
          <w14:ligatures w14:val="none"/>
        </w:rPr>
        <w:t>Kalliopi</w:t>
      </w:r>
      <w:proofErr w:type="spellEnd"/>
      <w:r w:rsidRPr="0051219B">
        <w:rPr>
          <w:rFonts w:eastAsia="Times New Roman" w:cs="Times New Roman"/>
          <w:kern w:val="0"/>
          <w:szCs w:val="20"/>
          <w:lang w:val="en-GB" w:eastAsia="zh-CN"/>
          <w14:ligatures w14:val="none"/>
        </w:rPr>
        <w:t xml:space="preserve"> </w:t>
      </w:r>
      <w:proofErr w:type="spellStart"/>
      <w:r w:rsidRPr="0051219B">
        <w:rPr>
          <w:rFonts w:eastAsia="Times New Roman" w:cs="Times New Roman"/>
          <w:kern w:val="0"/>
          <w:szCs w:val="20"/>
          <w:lang w:val="en-GB" w:eastAsia="zh-CN"/>
          <w14:ligatures w14:val="none"/>
        </w:rPr>
        <w:t>Rantsiou</w:t>
      </w:r>
      <w:proofErr w:type="spellEnd"/>
    </w:p>
    <w:p w:rsidR="006B714B" w:rsidRPr="0051219B" w:rsidRDefault="006B714B" w:rsidP="006B714B">
      <w:pPr>
        <w:widowControl w:val="0"/>
        <w:suppressAutoHyphens/>
        <w:rPr>
          <w:rFonts w:eastAsia="Times New Roman" w:cs="Times New Roman"/>
          <w:kern w:val="0"/>
          <w:szCs w:val="20"/>
          <w:lang w:val="en-GB" w:eastAsia="zh-CN"/>
          <w14:ligatures w14:val="none"/>
        </w:rPr>
      </w:pPr>
    </w:p>
    <w:p w:rsidR="006B714B" w:rsidRPr="00056987" w:rsidRDefault="009462AA" w:rsidP="00056987">
      <w:pPr>
        <w:widowControl w:val="0"/>
        <w:suppressAutoHyphens/>
        <w:rPr>
          <w:rFonts w:eastAsia="Times New Roman" w:cs="Times New Roman"/>
          <w:kern w:val="0"/>
          <w:szCs w:val="20"/>
          <w:lang w:val="en-GB" w:eastAsia="zh-CN"/>
          <w14:ligatures w14:val="none"/>
        </w:rPr>
      </w:pPr>
      <w:r w:rsidRPr="00056987">
        <w:rPr>
          <w:rFonts w:eastAsia="Times New Roman" w:cs="Times New Roman"/>
          <w:kern w:val="0"/>
          <w:szCs w:val="20"/>
          <w:lang w:val="en-GB" w:eastAsia="zh-CN"/>
          <w14:ligatures w14:val="none"/>
        </w:rPr>
        <w:t xml:space="preserve">The aim of this PhD thesis research project was to implement untargeted (metataxonomic analysis) and targeted (culturing and </w:t>
      </w:r>
      <w:r w:rsidR="00056987">
        <w:rPr>
          <w:rFonts w:eastAsia="Times New Roman" w:cs="Times New Roman"/>
          <w:kern w:val="0"/>
          <w:szCs w:val="20"/>
          <w:lang w:val="en-GB" w:eastAsia="zh-CN"/>
          <w14:ligatures w14:val="none"/>
        </w:rPr>
        <w:t>q</w:t>
      </w:r>
      <w:r w:rsidRPr="00056987">
        <w:rPr>
          <w:rFonts w:eastAsia="Times New Roman" w:cs="Times New Roman"/>
          <w:kern w:val="0"/>
          <w:szCs w:val="20"/>
          <w:lang w:val="en-GB" w:eastAsia="zh-CN"/>
          <w14:ligatures w14:val="none"/>
        </w:rPr>
        <w:t xml:space="preserve">PCR) </w:t>
      </w:r>
      <w:r w:rsidR="00E67EC1" w:rsidRPr="00056987">
        <w:rPr>
          <w:rFonts w:eastAsia="Times New Roman" w:cs="Times New Roman"/>
          <w:kern w:val="0"/>
          <w:szCs w:val="20"/>
          <w:lang w:val="en-GB" w:eastAsia="zh-CN"/>
          <w14:ligatures w14:val="none"/>
        </w:rPr>
        <w:t xml:space="preserve">approaches to decipher </w:t>
      </w:r>
      <w:r w:rsidR="00006D2F" w:rsidRPr="00056987">
        <w:rPr>
          <w:rFonts w:eastAsia="Times New Roman" w:cs="Times New Roman"/>
          <w:kern w:val="0"/>
          <w:szCs w:val="20"/>
          <w:lang w:val="en-GB" w:eastAsia="zh-CN"/>
          <w14:ligatures w14:val="none"/>
        </w:rPr>
        <w:t>the distribution of pathogens</w:t>
      </w:r>
      <w:r w:rsidR="00E0076C" w:rsidRPr="00056987">
        <w:rPr>
          <w:rFonts w:eastAsia="Times New Roman" w:cs="Times New Roman"/>
          <w:kern w:val="0"/>
          <w:szCs w:val="20"/>
          <w:lang w:val="en-GB" w:eastAsia="zh-CN"/>
          <w14:ligatures w14:val="none"/>
        </w:rPr>
        <w:t xml:space="preserve"> and </w:t>
      </w:r>
      <w:r w:rsidR="009A5BCD" w:rsidRPr="00056987">
        <w:rPr>
          <w:rFonts w:eastAsia="Times New Roman" w:cs="Times New Roman"/>
          <w:kern w:val="0"/>
          <w:szCs w:val="20"/>
          <w:lang w:val="en-GB" w:eastAsia="zh-CN"/>
          <w14:ligatures w14:val="none"/>
        </w:rPr>
        <w:t xml:space="preserve">how </w:t>
      </w:r>
      <w:r w:rsidR="00E0076C" w:rsidRPr="00056987">
        <w:rPr>
          <w:rFonts w:eastAsia="Times New Roman" w:cs="Times New Roman"/>
          <w:kern w:val="0"/>
          <w:szCs w:val="20"/>
          <w:lang w:val="en-GB" w:eastAsia="zh-CN"/>
          <w14:ligatures w14:val="none"/>
        </w:rPr>
        <w:t xml:space="preserve">they persist inside a complex microbial </w:t>
      </w:r>
      <w:r w:rsidR="009A5BCD" w:rsidRPr="00056987">
        <w:rPr>
          <w:rFonts w:eastAsia="Times New Roman" w:cs="Times New Roman"/>
          <w:kern w:val="0"/>
          <w:szCs w:val="20"/>
          <w:lang w:val="en-GB" w:eastAsia="zh-CN"/>
          <w14:ligatures w14:val="none"/>
        </w:rPr>
        <w:t>community of an infant food processing line throug</w:t>
      </w:r>
      <w:r w:rsidR="00B87B1C" w:rsidRPr="00056987">
        <w:rPr>
          <w:rFonts w:eastAsia="Times New Roman" w:cs="Times New Roman"/>
          <w:kern w:val="0"/>
          <w:szCs w:val="20"/>
          <w:lang w:val="en-GB" w:eastAsia="zh-CN"/>
          <w14:ligatures w14:val="none"/>
        </w:rPr>
        <w:t>h</w:t>
      </w:r>
      <w:r w:rsidR="009A5BCD" w:rsidRPr="00056987">
        <w:rPr>
          <w:rFonts w:eastAsia="Times New Roman" w:cs="Times New Roman"/>
          <w:kern w:val="0"/>
          <w:szCs w:val="20"/>
          <w:lang w:val="en-GB" w:eastAsia="zh-CN"/>
          <w14:ligatures w14:val="none"/>
        </w:rPr>
        <w:t xml:space="preserve"> time and space. Furthermore, a comprehension of the </w:t>
      </w:r>
      <w:r w:rsidR="00B87B1C" w:rsidRPr="00056987">
        <w:rPr>
          <w:rFonts w:eastAsia="Times New Roman" w:cs="Times New Roman"/>
          <w:kern w:val="0"/>
          <w:szCs w:val="20"/>
          <w:lang w:val="en-GB" w:eastAsia="zh-CN"/>
          <w14:ligatures w14:val="none"/>
        </w:rPr>
        <w:t xml:space="preserve">behavioural </w:t>
      </w:r>
      <w:r w:rsidR="009A5BCD" w:rsidRPr="00056987">
        <w:rPr>
          <w:rFonts w:eastAsia="Times New Roman" w:cs="Times New Roman"/>
          <w:kern w:val="0"/>
          <w:szCs w:val="20"/>
          <w:lang w:val="en-GB" w:eastAsia="zh-CN"/>
          <w14:ligatures w14:val="none"/>
        </w:rPr>
        <w:t>mechanisms (</w:t>
      </w:r>
      <w:r w:rsidR="0071499F" w:rsidRPr="00056987">
        <w:rPr>
          <w:rFonts w:eastAsia="Times New Roman" w:cs="Times New Roman"/>
          <w:kern w:val="0"/>
          <w:szCs w:val="20"/>
          <w:lang w:val="en-GB" w:eastAsia="zh-CN"/>
          <w14:ligatures w14:val="none"/>
        </w:rPr>
        <w:t xml:space="preserve">phenotypes, </w:t>
      </w:r>
      <w:r w:rsidR="00B87B1C" w:rsidRPr="00056987">
        <w:rPr>
          <w:rFonts w:eastAsia="Times New Roman" w:cs="Times New Roman"/>
          <w:kern w:val="0"/>
          <w:szCs w:val="20"/>
          <w:lang w:val="en-GB" w:eastAsia="zh-CN"/>
          <w14:ligatures w14:val="none"/>
        </w:rPr>
        <w:t>gene expression</w:t>
      </w:r>
      <w:r w:rsidR="0071499F" w:rsidRPr="00056987">
        <w:rPr>
          <w:rFonts w:eastAsia="Times New Roman" w:cs="Times New Roman"/>
          <w:kern w:val="0"/>
          <w:szCs w:val="20"/>
          <w:lang w:val="en-GB" w:eastAsia="zh-CN"/>
          <w14:ligatures w14:val="none"/>
        </w:rPr>
        <w:t xml:space="preserve">) of a </w:t>
      </w:r>
      <w:r w:rsidR="00041541" w:rsidRPr="00056987">
        <w:rPr>
          <w:rFonts w:eastAsia="Times New Roman" w:cs="Times New Roman"/>
          <w:i/>
          <w:iCs/>
          <w:kern w:val="0"/>
          <w:szCs w:val="20"/>
          <w:lang w:val="en-GB" w:eastAsia="zh-CN"/>
          <w14:ligatures w14:val="none"/>
        </w:rPr>
        <w:t>Listeria monocytogenes</w:t>
      </w:r>
      <w:r w:rsidR="0071499F" w:rsidRPr="00056987">
        <w:rPr>
          <w:rFonts w:eastAsia="Times New Roman" w:cs="Times New Roman"/>
          <w:kern w:val="0"/>
          <w:szCs w:val="20"/>
          <w:lang w:val="en-GB" w:eastAsia="zh-CN"/>
          <w14:ligatures w14:val="none"/>
        </w:rPr>
        <w:t xml:space="preserve"> pathogenic strain after adaptation at low acidic conditions </w:t>
      </w:r>
      <w:r w:rsidR="00EB0282" w:rsidRPr="00056987">
        <w:rPr>
          <w:rFonts w:eastAsia="Times New Roman" w:cs="Times New Roman"/>
          <w:kern w:val="0"/>
          <w:szCs w:val="20"/>
          <w:lang w:val="en-GB" w:eastAsia="zh-CN"/>
          <w14:ligatures w14:val="none"/>
        </w:rPr>
        <w:t xml:space="preserve">led to conclusions on </w:t>
      </w:r>
      <w:r w:rsidR="00A546F0" w:rsidRPr="00056987">
        <w:rPr>
          <w:rFonts w:eastAsia="Times New Roman" w:cs="Times New Roman"/>
          <w:kern w:val="0"/>
          <w:szCs w:val="20"/>
          <w:lang w:val="en-GB" w:eastAsia="zh-CN"/>
          <w14:ligatures w14:val="none"/>
        </w:rPr>
        <w:t>possible predictive models for the benefit of food safety. This PhD is part of the European Project “SAFFI - Safe Food for Infants in the EU and China”.</w:t>
      </w:r>
    </w:p>
    <w:p w:rsidR="00A546F0" w:rsidRPr="0051219B" w:rsidRDefault="00AC2FAE" w:rsidP="00A546F0">
      <w:pPr>
        <w:pStyle w:val="Title"/>
        <w:spacing w:before="240" w:line="240" w:lineRule="auto"/>
        <w:rPr>
          <w:sz w:val="24"/>
          <w:lang w:val="it-IT"/>
        </w:rPr>
      </w:pPr>
      <w:r w:rsidRPr="0051219B">
        <w:rPr>
          <w:sz w:val="24"/>
          <w:lang w:val="it-IT"/>
        </w:rPr>
        <w:t xml:space="preserve">Doppio Approccio per Studiare il Microbioma degli Alimenti per Infanzia e il Comportamento di </w:t>
      </w:r>
      <w:r w:rsidRPr="00056987">
        <w:rPr>
          <w:i/>
          <w:iCs/>
          <w:sz w:val="24"/>
          <w:lang w:val="it-IT"/>
        </w:rPr>
        <w:t xml:space="preserve">Listeria </w:t>
      </w:r>
      <w:proofErr w:type="spellStart"/>
      <w:r w:rsidRPr="00056987">
        <w:rPr>
          <w:i/>
          <w:iCs/>
          <w:sz w:val="24"/>
          <w:lang w:val="it-IT"/>
        </w:rPr>
        <w:t>monocytogenes</w:t>
      </w:r>
      <w:proofErr w:type="spellEnd"/>
      <w:r w:rsidRPr="0051219B">
        <w:rPr>
          <w:sz w:val="24"/>
          <w:lang w:val="it-IT"/>
        </w:rPr>
        <w:t xml:space="preserve"> in Condizioni di </w:t>
      </w:r>
      <w:r w:rsidR="00041541" w:rsidRPr="0051219B">
        <w:rPr>
          <w:sz w:val="24"/>
          <w:lang w:val="it-IT"/>
        </w:rPr>
        <w:t>Elevata</w:t>
      </w:r>
      <w:r w:rsidRPr="0051219B">
        <w:rPr>
          <w:sz w:val="24"/>
          <w:lang w:val="it-IT"/>
        </w:rPr>
        <w:t xml:space="preserve"> Acidità</w:t>
      </w:r>
    </w:p>
    <w:p w:rsidR="00E67EC1" w:rsidRPr="00197B60" w:rsidRDefault="00A546F0" w:rsidP="00056987">
      <w:pPr>
        <w:widowControl w:val="0"/>
        <w:suppressAutoHyphens/>
        <w:rPr>
          <w:rFonts w:eastAsia="Times New Roman" w:cs="Times New Roman"/>
          <w:kern w:val="0"/>
          <w:szCs w:val="20"/>
          <w:lang w:val="en-US" w:eastAsia="zh-CN"/>
          <w14:ligatures w14:val="none"/>
        </w:rPr>
      </w:pPr>
      <w:r w:rsidRPr="00056987">
        <w:rPr>
          <w:rFonts w:eastAsia="Times New Roman" w:cs="Times New Roman"/>
          <w:kern w:val="0"/>
          <w:szCs w:val="20"/>
          <w:lang w:val="it-IT" w:eastAsia="zh-CN"/>
          <w14:ligatures w14:val="none"/>
        </w:rPr>
        <w:t xml:space="preserve">L’obiettivo di questo progetto di ricerca di tesi di dottorato è stato quello di implementare approcci non mirati (analisi </w:t>
      </w:r>
      <w:proofErr w:type="spellStart"/>
      <w:r w:rsidRPr="00056987">
        <w:rPr>
          <w:rFonts w:eastAsia="Times New Roman" w:cs="Times New Roman"/>
          <w:kern w:val="0"/>
          <w:szCs w:val="20"/>
          <w:lang w:val="it-IT" w:eastAsia="zh-CN"/>
          <w14:ligatures w14:val="none"/>
        </w:rPr>
        <w:t>metatassonomica</w:t>
      </w:r>
      <w:proofErr w:type="spellEnd"/>
      <w:r w:rsidRPr="00056987">
        <w:rPr>
          <w:rFonts w:eastAsia="Times New Roman" w:cs="Times New Roman"/>
          <w:kern w:val="0"/>
          <w:szCs w:val="20"/>
          <w:lang w:val="it-IT" w:eastAsia="zh-CN"/>
          <w14:ligatures w14:val="none"/>
        </w:rPr>
        <w:t>) e mirati (coltura</w:t>
      </w:r>
      <w:r w:rsidR="00041541" w:rsidRPr="00056987">
        <w:rPr>
          <w:rFonts w:eastAsia="Times New Roman" w:cs="Times New Roman"/>
          <w:kern w:val="0"/>
          <w:szCs w:val="20"/>
          <w:lang w:val="it-IT" w:eastAsia="zh-CN"/>
          <w14:ligatures w14:val="none"/>
        </w:rPr>
        <w:t>li</w:t>
      </w:r>
      <w:r w:rsidRPr="00056987">
        <w:rPr>
          <w:rFonts w:eastAsia="Times New Roman" w:cs="Times New Roman"/>
          <w:kern w:val="0"/>
          <w:szCs w:val="20"/>
          <w:lang w:val="it-IT" w:eastAsia="zh-CN"/>
          <w14:ligatures w14:val="none"/>
        </w:rPr>
        <w:t xml:space="preserve"> e</w:t>
      </w:r>
      <w:r w:rsidR="00041541" w:rsidRPr="00056987">
        <w:rPr>
          <w:rFonts w:eastAsia="Times New Roman" w:cs="Times New Roman"/>
          <w:kern w:val="0"/>
          <w:szCs w:val="20"/>
          <w:lang w:val="it-IT" w:eastAsia="zh-CN"/>
          <w14:ligatures w14:val="none"/>
        </w:rPr>
        <w:t xml:space="preserve"> </w:t>
      </w:r>
      <w:proofErr w:type="spellStart"/>
      <w:r w:rsidR="00056987">
        <w:rPr>
          <w:rFonts w:eastAsia="Times New Roman" w:cs="Times New Roman"/>
          <w:kern w:val="0"/>
          <w:szCs w:val="20"/>
          <w:lang w:val="it-IT" w:eastAsia="zh-CN"/>
          <w14:ligatures w14:val="none"/>
        </w:rPr>
        <w:t>q</w:t>
      </w:r>
      <w:r w:rsidRPr="00056987">
        <w:rPr>
          <w:rFonts w:eastAsia="Times New Roman" w:cs="Times New Roman"/>
          <w:kern w:val="0"/>
          <w:szCs w:val="20"/>
          <w:lang w:val="it-IT" w:eastAsia="zh-CN"/>
          <w14:ligatures w14:val="none"/>
        </w:rPr>
        <w:t>PCR</w:t>
      </w:r>
      <w:proofErr w:type="spellEnd"/>
      <w:r w:rsidRPr="00056987">
        <w:rPr>
          <w:rFonts w:eastAsia="Times New Roman" w:cs="Times New Roman"/>
          <w:kern w:val="0"/>
          <w:szCs w:val="20"/>
          <w:lang w:val="it-IT" w:eastAsia="zh-CN"/>
          <w14:ligatures w14:val="none"/>
        </w:rPr>
        <w:t>) per de</w:t>
      </w:r>
      <w:r w:rsidR="00041541" w:rsidRPr="00056987">
        <w:rPr>
          <w:rFonts w:eastAsia="Times New Roman" w:cs="Times New Roman"/>
          <w:kern w:val="0"/>
          <w:szCs w:val="20"/>
          <w:lang w:val="it-IT" w:eastAsia="zh-CN"/>
          <w14:ligatures w14:val="none"/>
        </w:rPr>
        <w:t>finire</w:t>
      </w:r>
      <w:r w:rsidRPr="00056987">
        <w:rPr>
          <w:rFonts w:eastAsia="Times New Roman" w:cs="Times New Roman"/>
          <w:kern w:val="0"/>
          <w:szCs w:val="20"/>
          <w:lang w:val="it-IT" w:eastAsia="zh-CN"/>
          <w14:ligatures w14:val="none"/>
        </w:rPr>
        <w:t xml:space="preserve"> la distribuzione dei patogeni e il modo in cui</w:t>
      </w:r>
      <w:r w:rsidR="00041541" w:rsidRPr="00056987">
        <w:rPr>
          <w:rFonts w:eastAsia="Times New Roman" w:cs="Times New Roman"/>
          <w:kern w:val="0"/>
          <w:szCs w:val="20"/>
          <w:lang w:val="it-IT" w:eastAsia="zh-CN"/>
          <w14:ligatures w14:val="none"/>
        </w:rPr>
        <w:t xml:space="preserve"> essi</w:t>
      </w:r>
      <w:r w:rsidRPr="00056987">
        <w:rPr>
          <w:rFonts w:eastAsia="Times New Roman" w:cs="Times New Roman"/>
          <w:kern w:val="0"/>
          <w:szCs w:val="20"/>
          <w:lang w:val="it-IT" w:eastAsia="zh-CN"/>
          <w14:ligatures w14:val="none"/>
        </w:rPr>
        <w:t xml:space="preserve"> persistono all'interno di una complessa comunità microbica </w:t>
      </w:r>
      <w:r w:rsidR="00041541" w:rsidRPr="00056987">
        <w:rPr>
          <w:rFonts w:eastAsia="Times New Roman" w:cs="Times New Roman"/>
          <w:kern w:val="0"/>
          <w:szCs w:val="20"/>
          <w:lang w:val="it-IT" w:eastAsia="zh-CN"/>
          <w14:ligatures w14:val="none"/>
        </w:rPr>
        <w:t xml:space="preserve">come quella </w:t>
      </w:r>
      <w:r w:rsidRPr="00056987">
        <w:rPr>
          <w:rFonts w:eastAsia="Times New Roman" w:cs="Times New Roman"/>
          <w:kern w:val="0"/>
          <w:szCs w:val="20"/>
          <w:lang w:val="it-IT" w:eastAsia="zh-CN"/>
          <w14:ligatures w14:val="none"/>
        </w:rPr>
        <w:t xml:space="preserve">di una linea di trasformazione </w:t>
      </w:r>
      <w:r w:rsidR="00041541" w:rsidRPr="00056987">
        <w:rPr>
          <w:rFonts w:eastAsia="Times New Roman" w:cs="Times New Roman"/>
          <w:kern w:val="0"/>
          <w:szCs w:val="20"/>
          <w:lang w:val="it-IT" w:eastAsia="zh-CN"/>
          <w14:ligatures w14:val="none"/>
        </w:rPr>
        <w:t xml:space="preserve">di </w:t>
      </w:r>
      <w:r w:rsidRPr="00056987">
        <w:rPr>
          <w:rFonts w:eastAsia="Times New Roman" w:cs="Times New Roman"/>
          <w:kern w:val="0"/>
          <w:szCs w:val="20"/>
          <w:lang w:val="it-IT" w:eastAsia="zh-CN"/>
          <w14:ligatures w14:val="none"/>
        </w:rPr>
        <w:t>aliment</w:t>
      </w:r>
      <w:r w:rsidR="00041541" w:rsidRPr="00056987">
        <w:rPr>
          <w:rFonts w:eastAsia="Times New Roman" w:cs="Times New Roman"/>
          <w:kern w:val="0"/>
          <w:szCs w:val="20"/>
          <w:lang w:val="it-IT" w:eastAsia="zh-CN"/>
          <w14:ligatures w14:val="none"/>
        </w:rPr>
        <w:t>i per</w:t>
      </w:r>
      <w:r w:rsidRPr="00056987">
        <w:rPr>
          <w:rFonts w:eastAsia="Times New Roman" w:cs="Times New Roman"/>
          <w:kern w:val="0"/>
          <w:szCs w:val="20"/>
          <w:lang w:val="it-IT" w:eastAsia="zh-CN"/>
          <w14:ligatures w14:val="none"/>
        </w:rPr>
        <w:t xml:space="preserve"> </w:t>
      </w:r>
      <w:r w:rsidR="00B24DCC" w:rsidRPr="00056987">
        <w:rPr>
          <w:rFonts w:eastAsia="Times New Roman" w:cs="Times New Roman"/>
          <w:kern w:val="0"/>
          <w:szCs w:val="20"/>
          <w:lang w:val="it-IT" w:eastAsia="zh-CN"/>
          <w14:ligatures w14:val="none"/>
        </w:rPr>
        <w:t>l’infanzia</w:t>
      </w:r>
      <w:r w:rsidR="00041541" w:rsidRPr="00056987">
        <w:rPr>
          <w:rFonts w:eastAsia="Times New Roman" w:cs="Times New Roman"/>
          <w:kern w:val="0"/>
          <w:szCs w:val="20"/>
          <w:lang w:val="it-IT" w:eastAsia="zh-CN"/>
          <w14:ligatures w14:val="none"/>
        </w:rPr>
        <w:t>, sia</w:t>
      </w:r>
      <w:r w:rsidRPr="00056987">
        <w:rPr>
          <w:rFonts w:eastAsia="Times New Roman" w:cs="Times New Roman"/>
          <w:kern w:val="0"/>
          <w:szCs w:val="20"/>
          <w:lang w:val="it-IT" w:eastAsia="zh-CN"/>
          <w14:ligatures w14:val="none"/>
        </w:rPr>
        <w:t xml:space="preserve"> nel tempo </w:t>
      </w:r>
      <w:r w:rsidR="00041541" w:rsidRPr="00056987">
        <w:rPr>
          <w:rFonts w:eastAsia="Times New Roman" w:cs="Times New Roman"/>
          <w:kern w:val="0"/>
          <w:szCs w:val="20"/>
          <w:lang w:val="it-IT" w:eastAsia="zh-CN"/>
          <w14:ligatures w14:val="none"/>
        </w:rPr>
        <w:t xml:space="preserve">che nello </w:t>
      </w:r>
      <w:r w:rsidRPr="00056987">
        <w:rPr>
          <w:rFonts w:eastAsia="Times New Roman" w:cs="Times New Roman"/>
          <w:kern w:val="0"/>
          <w:szCs w:val="20"/>
          <w:lang w:val="it-IT" w:eastAsia="zh-CN"/>
          <w14:ligatures w14:val="none"/>
        </w:rPr>
        <w:t>spazio. Inoltre, la comprensione de</w:t>
      </w:r>
      <w:r w:rsidR="00041541" w:rsidRPr="00056987">
        <w:rPr>
          <w:rFonts w:eastAsia="Times New Roman" w:cs="Times New Roman"/>
          <w:kern w:val="0"/>
          <w:szCs w:val="20"/>
          <w:lang w:val="it-IT" w:eastAsia="zh-CN"/>
          <w14:ligatures w14:val="none"/>
        </w:rPr>
        <w:t>l</w:t>
      </w:r>
      <w:r w:rsidRPr="00056987">
        <w:rPr>
          <w:rFonts w:eastAsia="Times New Roman" w:cs="Times New Roman"/>
          <w:kern w:val="0"/>
          <w:szCs w:val="20"/>
          <w:lang w:val="it-IT" w:eastAsia="zh-CN"/>
          <w14:ligatures w14:val="none"/>
        </w:rPr>
        <w:t xml:space="preserve"> </w:t>
      </w:r>
      <w:r w:rsidR="00041541" w:rsidRPr="00056987">
        <w:rPr>
          <w:rFonts w:eastAsia="Times New Roman" w:cs="Times New Roman"/>
          <w:kern w:val="0"/>
          <w:szCs w:val="20"/>
          <w:lang w:val="it-IT" w:eastAsia="zh-CN"/>
          <w14:ligatures w14:val="none"/>
        </w:rPr>
        <w:t xml:space="preserve">comportamento </w:t>
      </w:r>
      <w:r w:rsidRPr="00056987">
        <w:rPr>
          <w:rFonts w:eastAsia="Times New Roman" w:cs="Times New Roman"/>
          <w:kern w:val="0"/>
          <w:szCs w:val="20"/>
          <w:lang w:val="it-IT" w:eastAsia="zh-CN"/>
          <w14:ligatures w14:val="none"/>
        </w:rPr>
        <w:t>(</w:t>
      </w:r>
      <w:proofErr w:type="gramStart"/>
      <w:r w:rsidR="00041541" w:rsidRPr="00056987">
        <w:rPr>
          <w:rFonts w:eastAsia="Times New Roman" w:cs="Times New Roman"/>
          <w:kern w:val="0"/>
          <w:szCs w:val="20"/>
          <w:lang w:val="it-IT" w:eastAsia="zh-CN"/>
          <w14:ligatures w14:val="none"/>
        </w:rPr>
        <w:t xml:space="preserve">i </w:t>
      </w:r>
      <w:r w:rsidRPr="00056987">
        <w:rPr>
          <w:rFonts w:eastAsia="Times New Roman" w:cs="Times New Roman"/>
          <w:kern w:val="0"/>
          <w:szCs w:val="20"/>
          <w:lang w:val="it-IT" w:eastAsia="zh-CN"/>
          <w14:ligatures w14:val="none"/>
        </w:rPr>
        <w:t>fenotip</w:t>
      </w:r>
      <w:r w:rsidR="00041541" w:rsidRPr="00056987">
        <w:rPr>
          <w:rFonts w:eastAsia="Times New Roman" w:cs="Times New Roman"/>
          <w:kern w:val="0"/>
          <w:szCs w:val="20"/>
          <w:lang w:val="it-IT" w:eastAsia="zh-CN"/>
          <w14:ligatures w14:val="none"/>
        </w:rPr>
        <w:t>o</w:t>
      </w:r>
      <w:proofErr w:type="gramEnd"/>
      <w:r w:rsidRPr="00056987">
        <w:rPr>
          <w:rFonts w:eastAsia="Times New Roman" w:cs="Times New Roman"/>
          <w:kern w:val="0"/>
          <w:szCs w:val="20"/>
          <w:lang w:val="it-IT" w:eastAsia="zh-CN"/>
          <w14:ligatures w14:val="none"/>
        </w:rPr>
        <w:t xml:space="preserve">, espressione genica) di un ceppo patogeno </w:t>
      </w:r>
      <w:r w:rsidR="00041541" w:rsidRPr="00056987">
        <w:rPr>
          <w:rFonts w:eastAsia="Times New Roman" w:cs="Times New Roman"/>
          <w:kern w:val="0"/>
          <w:szCs w:val="20"/>
          <w:lang w:val="it-IT" w:eastAsia="zh-CN"/>
          <w14:ligatures w14:val="none"/>
        </w:rPr>
        <w:t xml:space="preserve">di </w:t>
      </w:r>
      <w:r w:rsidR="00041541" w:rsidRPr="00056987">
        <w:rPr>
          <w:rFonts w:eastAsia="Times New Roman" w:cs="Times New Roman"/>
          <w:i/>
          <w:iCs/>
          <w:kern w:val="0"/>
          <w:szCs w:val="20"/>
          <w:lang w:val="it-IT" w:eastAsia="zh-CN"/>
          <w14:ligatures w14:val="none"/>
        </w:rPr>
        <w:t xml:space="preserve">Listeria </w:t>
      </w:r>
      <w:proofErr w:type="spellStart"/>
      <w:r w:rsidR="00041541" w:rsidRPr="00056987">
        <w:rPr>
          <w:rFonts w:eastAsia="Times New Roman" w:cs="Times New Roman"/>
          <w:i/>
          <w:iCs/>
          <w:kern w:val="0"/>
          <w:szCs w:val="20"/>
          <w:lang w:val="it-IT" w:eastAsia="zh-CN"/>
          <w14:ligatures w14:val="none"/>
        </w:rPr>
        <w:t>monocytogenes</w:t>
      </w:r>
      <w:proofErr w:type="spellEnd"/>
      <w:r w:rsidR="00041541" w:rsidRPr="00056987">
        <w:rPr>
          <w:rFonts w:eastAsia="Times New Roman" w:cs="Times New Roman"/>
          <w:kern w:val="0"/>
          <w:szCs w:val="20"/>
          <w:lang w:val="it-IT" w:eastAsia="zh-CN"/>
          <w14:ligatures w14:val="none"/>
        </w:rPr>
        <w:t xml:space="preserve"> </w:t>
      </w:r>
      <w:r w:rsidRPr="00056987">
        <w:rPr>
          <w:rFonts w:eastAsia="Times New Roman" w:cs="Times New Roman"/>
          <w:kern w:val="0"/>
          <w:szCs w:val="20"/>
          <w:lang w:val="it-IT" w:eastAsia="zh-CN"/>
          <w14:ligatures w14:val="none"/>
        </w:rPr>
        <w:t>dopo l'adattamento a condizioni di bassa acidità ha portato a conclusioni su possibili modelli predittivi a vantaggio della sicurezza alimentare.</w:t>
      </w:r>
      <w:r w:rsidR="00EF7FB0">
        <w:rPr>
          <w:rFonts w:eastAsia="Times New Roman" w:cs="Times New Roman"/>
          <w:kern w:val="0"/>
          <w:szCs w:val="20"/>
          <w:lang w:val="it-IT" w:eastAsia="zh-CN"/>
          <w14:ligatures w14:val="none"/>
        </w:rPr>
        <w:t xml:space="preserve"> </w:t>
      </w:r>
      <w:r w:rsidR="00EF7FB0" w:rsidRPr="00197B60">
        <w:rPr>
          <w:rFonts w:eastAsia="Times New Roman" w:cs="Times New Roman"/>
          <w:kern w:val="0"/>
          <w:szCs w:val="20"/>
          <w:lang w:val="en-US" w:eastAsia="zh-CN"/>
          <w14:ligatures w14:val="none"/>
        </w:rPr>
        <w:t>(SAFFI)</w:t>
      </w:r>
    </w:p>
    <w:p w:rsidR="00A5680A" w:rsidRPr="00197B60" w:rsidRDefault="00A5680A" w:rsidP="00A5680A">
      <w:pPr>
        <w:pStyle w:val="Header"/>
        <w:tabs>
          <w:tab w:val="clear" w:pos="4513"/>
          <w:tab w:val="clear" w:pos="9026"/>
        </w:tabs>
        <w:suppressAutoHyphens/>
        <w:rPr>
          <w:rFonts w:eastAsia="Times New Roman" w:cs="Times New Roman"/>
          <w:szCs w:val="20"/>
          <w:lang w:val="en-US" w:eastAsia="zh-CN"/>
          <w14:ligatures w14:val="none"/>
        </w:rPr>
      </w:pPr>
    </w:p>
    <w:p w:rsidR="00E67EC1" w:rsidRPr="0051219B" w:rsidRDefault="00E67EC1" w:rsidP="006B714B">
      <w:pPr>
        <w:widowControl w:val="0"/>
        <w:suppressAutoHyphens/>
        <w:rPr>
          <w:rFonts w:eastAsia="Times New Roman" w:cs="Times New Roman"/>
          <w:kern w:val="0"/>
          <w:szCs w:val="20"/>
          <w:lang w:val="en-GB" w:eastAsia="zh-CN"/>
          <w14:ligatures w14:val="none"/>
        </w:rPr>
      </w:pPr>
      <w:r w:rsidRPr="0051219B">
        <w:rPr>
          <w:rFonts w:eastAsia="Times New Roman" w:cs="Times New Roman"/>
          <w:b/>
          <w:bCs/>
          <w:kern w:val="0"/>
          <w:szCs w:val="20"/>
          <w:lang w:val="en-GB" w:eastAsia="zh-CN"/>
          <w14:ligatures w14:val="none"/>
        </w:rPr>
        <w:t>Keywords:</w:t>
      </w:r>
      <w:r w:rsidRPr="0051219B">
        <w:rPr>
          <w:rFonts w:eastAsia="Times New Roman" w:cs="Times New Roman"/>
          <w:kern w:val="0"/>
          <w:szCs w:val="20"/>
          <w:lang w:val="en-GB" w:eastAsia="zh-CN"/>
          <w14:ligatures w14:val="none"/>
        </w:rPr>
        <w:t xml:space="preserve"> infant food, pathogens, DNA, real-time PCR, meta</w:t>
      </w:r>
      <w:r w:rsidR="009A5BCD" w:rsidRPr="0051219B">
        <w:rPr>
          <w:rFonts w:eastAsia="Times New Roman" w:cs="Times New Roman"/>
          <w:kern w:val="0"/>
          <w:szCs w:val="20"/>
          <w:lang w:val="en-GB" w:eastAsia="zh-CN"/>
          <w14:ligatures w14:val="none"/>
        </w:rPr>
        <w:t>ta</w:t>
      </w:r>
      <w:r w:rsidRPr="0051219B">
        <w:rPr>
          <w:rFonts w:eastAsia="Times New Roman" w:cs="Times New Roman"/>
          <w:kern w:val="0"/>
          <w:szCs w:val="20"/>
          <w:lang w:val="en-GB" w:eastAsia="zh-CN"/>
          <w14:ligatures w14:val="none"/>
        </w:rPr>
        <w:t xml:space="preserve">xonomic analysis, </w:t>
      </w:r>
      <w:r w:rsidRPr="00056987">
        <w:rPr>
          <w:rFonts w:eastAsia="Times New Roman" w:cs="Times New Roman"/>
          <w:kern w:val="0"/>
          <w:szCs w:val="20"/>
          <w:lang w:val="en-GB" w:eastAsia="zh-CN"/>
          <w14:ligatures w14:val="none"/>
        </w:rPr>
        <w:t>in vitro</w:t>
      </w:r>
      <w:r w:rsidRPr="0051219B">
        <w:rPr>
          <w:rFonts w:eastAsia="Times New Roman" w:cs="Times New Roman"/>
          <w:kern w:val="0"/>
          <w:szCs w:val="20"/>
          <w:lang w:val="en-GB" w:eastAsia="zh-CN"/>
          <w14:ligatures w14:val="none"/>
        </w:rPr>
        <w:t xml:space="preserve">, </w:t>
      </w:r>
      <w:r w:rsidR="00E0076C" w:rsidRPr="0051219B">
        <w:rPr>
          <w:rFonts w:eastAsia="Times New Roman" w:cs="Times New Roman"/>
          <w:kern w:val="0"/>
          <w:szCs w:val="20"/>
          <w:lang w:val="en-GB" w:eastAsia="zh-CN"/>
          <w14:ligatures w14:val="none"/>
        </w:rPr>
        <w:t>behaviour, severe acidity, adaptation</w:t>
      </w:r>
      <w:r w:rsidR="009A5BCD" w:rsidRPr="0051219B">
        <w:rPr>
          <w:rFonts w:eastAsia="Times New Roman" w:cs="Times New Roman"/>
          <w:kern w:val="0"/>
          <w:szCs w:val="20"/>
          <w:lang w:val="en-GB" w:eastAsia="zh-CN"/>
          <w14:ligatures w14:val="none"/>
        </w:rPr>
        <w:t>, stress</w:t>
      </w:r>
      <w:r w:rsidRPr="0051219B">
        <w:rPr>
          <w:rFonts w:eastAsia="Times New Roman" w:cs="Times New Roman"/>
          <w:kern w:val="0"/>
          <w:szCs w:val="20"/>
          <w:lang w:val="en-GB" w:eastAsia="zh-CN"/>
          <w14:ligatures w14:val="none"/>
        </w:rPr>
        <w:t>.</w:t>
      </w:r>
    </w:p>
    <w:p w:rsidR="007C284B" w:rsidRPr="0051219B" w:rsidRDefault="007C284B" w:rsidP="007C284B">
      <w:pPr>
        <w:pStyle w:val="Heading1"/>
        <w:spacing w:before="240" w:after="120"/>
        <w:ind w:right="0"/>
        <w:jc w:val="both"/>
        <w:rPr>
          <w:b/>
          <w:bCs/>
          <w:color w:val="000000"/>
          <w:sz w:val="24"/>
          <w:lang w:val="en-GB"/>
        </w:rPr>
      </w:pPr>
      <w:r w:rsidRPr="0051219B">
        <w:rPr>
          <w:b/>
          <w:bCs/>
          <w:color w:val="000000"/>
          <w:sz w:val="24"/>
          <w:lang w:val="en-GB"/>
        </w:rPr>
        <w:t>1. Introduction</w:t>
      </w:r>
    </w:p>
    <w:p w:rsidR="007C284B" w:rsidRPr="0051219B" w:rsidRDefault="00606E65" w:rsidP="006B714B">
      <w:pPr>
        <w:widowControl w:val="0"/>
        <w:suppressAutoHyphens/>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In line with the previous year’s manuscripts this oral communication reports the main results obtained following the activities directed to:</w:t>
      </w:r>
    </w:p>
    <w:p w:rsidR="00606E65" w:rsidRPr="0051219B" w:rsidRDefault="00606E65" w:rsidP="00056987">
      <w:pPr>
        <w:widowControl w:val="0"/>
        <w:suppressAutoHyphens/>
        <w:ind w:left="426" w:hanging="426"/>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 xml:space="preserve">A1) </w:t>
      </w:r>
      <w:r w:rsidR="00374AE3" w:rsidRPr="0051219B">
        <w:rPr>
          <w:rFonts w:eastAsia="Times New Roman" w:cs="Times New Roman"/>
          <w:kern w:val="0"/>
          <w:szCs w:val="20"/>
          <w:lang w:val="en-GB" w:eastAsia="zh-CN"/>
          <w14:ligatures w14:val="none"/>
        </w:rPr>
        <w:t>detect targeted pathogens by combining culture dependent and culture independent methods.</w:t>
      </w:r>
    </w:p>
    <w:p w:rsidR="00374AE3" w:rsidRPr="0051219B" w:rsidRDefault="00374AE3" w:rsidP="00056987">
      <w:pPr>
        <w:widowControl w:val="0"/>
        <w:suppressAutoHyphens/>
        <w:ind w:left="426" w:hanging="426"/>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A2) find out routes of transmission and determine the microbial taxonomic composition, focusing on its protagonist’s associations</w:t>
      </w:r>
      <w:r w:rsidR="00AF1B3A" w:rsidRPr="0051219B">
        <w:rPr>
          <w:rFonts w:eastAsia="Times New Roman" w:cs="Times New Roman"/>
          <w:kern w:val="0"/>
          <w:szCs w:val="20"/>
          <w:lang w:val="en-GB" w:eastAsia="zh-CN"/>
          <w14:ligatures w14:val="none"/>
        </w:rPr>
        <w:t xml:space="preserve"> (co</w:t>
      </w:r>
      <w:r w:rsidR="005A744E">
        <w:rPr>
          <w:rFonts w:eastAsia="Times New Roman" w:cs="Times New Roman"/>
          <w:kern w:val="0"/>
          <w:szCs w:val="20"/>
          <w:lang w:val="en-GB" w:eastAsia="zh-CN"/>
          <w14:ligatures w14:val="none"/>
        </w:rPr>
        <w:t xml:space="preserve"> </w:t>
      </w:r>
      <w:r w:rsidR="00AF1B3A" w:rsidRPr="0051219B">
        <w:rPr>
          <w:rFonts w:eastAsia="Times New Roman" w:cs="Times New Roman"/>
          <w:kern w:val="0"/>
          <w:szCs w:val="20"/>
          <w:lang w:val="en-GB" w:eastAsia="zh-CN"/>
          <w14:ligatures w14:val="none"/>
        </w:rPr>
        <w:t>-</w:t>
      </w:r>
      <w:r w:rsidR="005A744E">
        <w:rPr>
          <w:rFonts w:eastAsia="Times New Roman" w:cs="Times New Roman"/>
          <w:kern w:val="0"/>
          <w:szCs w:val="20"/>
          <w:lang w:val="en-GB" w:eastAsia="zh-CN"/>
          <w14:ligatures w14:val="none"/>
        </w:rPr>
        <w:t xml:space="preserve"> </w:t>
      </w:r>
      <w:r w:rsidR="00AF1B3A" w:rsidRPr="0051219B">
        <w:rPr>
          <w:rFonts w:eastAsia="Times New Roman" w:cs="Times New Roman"/>
          <w:kern w:val="0"/>
          <w:szCs w:val="20"/>
          <w:lang w:val="en-GB" w:eastAsia="zh-CN"/>
          <w14:ligatures w14:val="none"/>
        </w:rPr>
        <w:t>exclusion / co</w:t>
      </w:r>
      <w:r w:rsidR="005A744E">
        <w:rPr>
          <w:rFonts w:eastAsia="Times New Roman" w:cs="Times New Roman"/>
          <w:kern w:val="0"/>
          <w:szCs w:val="20"/>
          <w:lang w:val="en-GB" w:eastAsia="zh-CN"/>
          <w14:ligatures w14:val="none"/>
        </w:rPr>
        <w:t xml:space="preserve"> </w:t>
      </w:r>
      <w:r w:rsidR="00AF1B3A" w:rsidRPr="0051219B">
        <w:rPr>
          <w:rFonts w:eastAsia="Times New Roman" w:cs="Times New Roman"/>
          <w:kern w:val="0"/>
          <w:szCs w:val="20"/>
          <w:lang w:val="en-GB" w:eastAsia="zh-CN"/>
          <w14:ligatures w14:val="none"/>
        </w:rPr>
        <w:t>-</w:t>
      </w:r>
      <w:r w:rsidR="005A744E">
        <w:rPr>
          <w:rFonts w:eastAsia="Times New Roman" w:cs="Times New Roman"/>
          <w:kern w:val="0"/>
          <w:szCs w:val="20"/>
          <w:lang w:val="en-GB" w:eastAsia="zh-CN"/>
          <w14:ligatures w14:val="none"/>
        </w:rPr>
        <w:t xml:space="preserve"> </w:t>
      </w:r>
      <w:r w:rsidR="00AF1B3A" w:rsidRPr="0051219B">
        <w:rPr>
          <w:rFonts w:eastAsia="Times New Roman" w:cs="Times New Roman"/>
          <w:kern w:val="0"/>
          <w:szCs w:val="20"/>
          <w:lang w:val="en-GB" w:eastAsia="zh-CN"/>
          <w14:ligatures w14:val="none"/>
        </w:rPr>
        <w:t>existence)</w:t>
      </w:r>
      <w:r w:rsidR="0003475C">
        <w:rPr>
          <w:rFonts w:eastAsia="Times New Roman" w:cs="Times New Roman"/>
          <w:kern w:val="0"/>
          <w:szCs w:val="20"/>
          <w:lang w:val="en-GB" w:eastAsia="zh-CN"/>
          <w14:ligatures w14:val="none"/>
        </w:rPr>
        <w:t xml:space="preserve">, </w:t>
      </w:r>
      <w:r w:rsidR="00077F99">
        <w:rPr>
          <w:rFonts w:eastAsia="Times New Roman" w:cs="Times New Roman"/>
          <w:kern w:val="0"/>
          <w:szCs w:val="20"/>
          <w:lang w:val="en-GB" w:eastAsia="zh-CN"/>
          <w14:ligatures w14:val="none"/>
        </w:rPr>
        <w:t>in other words</w:t>
      </w:r>
      <w:r w:rsidR="0003475C">
        <w:rPr>
          <w:rFonts w:eastAsia="Times New Roman" w:cs="Times New Roman"/>
          <w:kern w:val="0"/>
          <w:szCs w:val="20"/>
          <w:lang w:val="en-GB" w:eastAsia="zh-CN"/>
          <w14:ligatures w14:val="none"/>
        </w:rPr>
        <w:t xml:space="preserve"> of correlations between the most abundant taxa and the targeted pathogens.</w:t>
      </w:r>
    </w:p>
    <w:p w:rsidR="00374AE3" w:rsidRPr="0051219B" w:rsidRDefault="00374AE3" w:rsidP="00056987">
      <w:pPr>
        <w:widowControl w:val="0"/>
        <w:suppressAutoHyphens/>
        <w:ind w:left="426" w:hanging="426"/>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 xml:space="preserve">A3) </w:t>
      </w:r>
      <w:r w:rsidR="00EA3369" w:rsidRPr="0051219B">
        <w:rPr>
          <w:rFonts w:eastAsia="Times New Roman" w:cs="Times New Roman"/>
          <w:kern w:val="0"/>
          <w:szCs w:val="20"/>
          <w:lang w:val="en-GB" w:eastAsia="zh-CN"/>
          <w14:ligatures w14:val="none"/>
        </w:rPr>
        <w:t>determine the microbial response</w:t>
      </w:r>
      <w:r w:rsidR="005D6EEB" w:rsidRPr="0051219B">
        <w:rPr>
          <w:rFonts w:eastAsia="Times New Roman" w:cs="Times New Roman"/>
          <w:kern w:val="0"/>
          <w:szCs w:val="20"/>
          <w:lang w:val="en-GB" w:eastAsia="zh-CN"/>
          <w14:ligatures w14:val="none"/>
        </w:rPr>
        <w:t xml:space="preserve"> of </w:t>
      </w:r>
      <w:r w:rsidR="005D6EEB" w:rsidRPr="0051219B">
        <w:rPr>
          <w:rFonts w:eastAsia="Times New Roman" w:cs="Times New Roman"/>
          <w:i/>
          <w:iCs/>
          <w:kern w:val="0"/>
          <w:szCs w:val="20"/>
          <w:lang w:val="en-GB" w:eastAsia="zh-CN"/>
          <w14:ligatures w14:val="none"/>
        </w:rPr>
        <w:t>Listeria monocytogenes</w:t>
      </w:r>
      <w:r w:rsidR="00EA3369" w:rsidRPr="0051219B">
        <w:rPr>
          <w:rFonts w:eastAsia="Times New Roman" w:cs="Times New Roman"/>
          <w:kern w:val="0"/>
          <w:szCs w:val="20"/>
          <w:lang w:val="en-GB" w:eastAsia="zh-CN"/>
          <w14:ligatures w14:val="none"/>
        </w:rPr>
        <w:t xml:space="preserve"> under acidic conditions by evaluating the robustness gained through a survival under severe acidity</w:t>
      </w:r>
      <w:r w:rsidR="00A37D69" w:rsidRPr="0051219B">
        <w:rPr>
          <w:rFonts w:eastAsia="Times New Roman" w:cs="Times New Roman"/>
          <w:kern w:val="0"/>
          <w:szCs w:val="20"/>
          <w:lang w:val="en-GB" w:eastAsia="zh-CN"/>
          <w14:ligatures w14:val="none"/>
        </w:rPr>
        <w:t>, through phenotype and transcriptomics</w:t>
      </w:r>
      <w:r w:rsidR="00EA3369" w:rsidRPr="0051219B">
        <w:rPr>
          <w:rFonts w:eastAsia="Times New Roman" w:cs="Times New Roman"/>
          <w:kern w:val="0"/>
          <w:szCs w:val="20"/>
          <w:lang w:val="en-GB" w:eastAsia="zh-CN"/>
          <w14:ligatures w14:val="none"/>
        </w:rPr>
        <w:t>.</w:t>
      </w:r>
    </w:p>
    <w:p w:rsidR="000C295B" w:rsidRPr="0051219B" w:rsidRDefault="00313A7A" w:rsidP="000E38BD">
      <w:pPr>
        <w:widowControl w:val="0"/>
        <w:autoSpaceDE w:val="0"/>
        <w:autoSpaceDN w:val="0"/>
        <w:adjustRightInd w:val="0"/>
        <w:rPr>
          <w:rFonts w:cs="Times New Roman"/>
          <w:kern w:val="0"/>
          <w:lang w:val="en-GB"/>
        </w:rPr>
      </w:pPr>
      <w:r w:rsidRPr="0051219B">
        <w:rPr>
          <w:rFonts w:eastAsia="Times New Roman" w:cs="Times New Roman"/>
          <w:kern w:val="0"/>
          <w:szCs w:val="20"/>
          <w:lang w:val="en-GB" w:eastAsia="zh-CN"/>
          <w14:ligatures w14:val="none"/>
        </w:rPr>
        <w:t>All these aspects are relevant matters of great interest as foodborne pathogens and foodborne diseases, are still a significant public health issue worldwide and an immense challenge for food industries</w:t>
      </w:r>
      <w:r w:rsidR="000E38BD" w:rsidRPr="0051219B">
        <w:rPr>
          <w:rFonts w:eastAsia="Times New Roman" w:cs="Times New Roman"/>
          <w:kern w:val="0"/>
          <w:szCs w:val="20"/>
          <w:lang w:val="en-GB" w:eastAsia="zh-CN"/>
          <w14:ligatures w14:val="none"/>
        </w:rPr>
        <w:t xml:space="preserve"> </w:t>
      </w:r>
      <w:r w:rsidR="000E38BD" w:rsidRPr="0051219B">
        <w:rPr>
          <w:rFonts w:eastAsia="Times New Roman" w:cs="Times New Roman"/>
          <w:kern w:val="0"/>
          <w:szCs w:val="20"/>
          <w:lang w:val="en-GB" w:eastAsia="zh-CN"/>
          <w14:ligatures w14:val="none"/>
        </w:rPr>
        <w:fldChar w:fldCharType="begin" w:fldLock="1"/>
      </w:r>
      <w:r w:rsidR="0020192A" w:rsidRPr="0051219B">
        <w:rPr>
          <w:rFonts w:eastAsia="Times New Roman" w:cs="Times New Roman"/>
          <w:kern w:val="0"/>
          <w:szCs w:val="20"/>
          <w:lang w:val="en-GB" w:eastAsia="zh-CN"/>
          <w14:ligatures w14:val="none"/>
        </w:rPr>
        <w:instrText>ADDIN CSL_CITATION {"citationItems":[{"id":"ITEM-1","itemData":{"ISBN":"978 92 4 156516 5","author":[{"dropping-particle":"","family":"World Health Organization","given":"","non-dropping-particle":"","parse-names":false,"suffix":""}],"container-title":"World Health Organization","id":"ITEM-1","issued":{"date-parts":[["2015"]]},"number-of-pages":"265","publisher":"World Health Organization","publisher-place":"Geneva","title":"WHO Estimates of the Global Burden of Foodborne Diseases","type":"book"},"uris":["http://www.mendeley.com/documents/?uuid=c4539047-f2ad-4564-9ee9-61cf4c9c55f7"]},{"id":"ITEM-2","itemData":{"abstract":"The first estimates of the global and regional burden of foodborne disease, published by WHO in December 2015, show that the burden is significant throughout the world. This report presents data for the WHO European Region. Every year, more than 23 million people fall ill from eating contaminated food, resulting in 5000 deaths and more than 400 000 disability-adjusted life years. The most frequent causes of foodborne disease are diarrhoeal disease agents, the most common being Norovirus followed by Campylobacter spp. Non-typhoidal Salmonella spp. are responsible for the majority of deaths. Non-typhoidal Salmonella spp. followed by Campylobacter spp. cause the highest burden; the parasitic disease toxoplasmosis, which can cause severe damage to unborn children and immunodeficient patients, represents the third highest burden of foodborne disease. These figures indicate the need for strengthened prevention, surveillance and management of foodborne disease in the European Region, including risk communication, awareness-raising and consumer education. Furthermore, the data can be used to guide food safety policy-making and decision-making, including prioritization, at national and regional levels. WHO is committed to working with its Member States and partners to strengthen prevention, detection and management of food safety risks, with the overall aim of lowering the burden of foodborne disease.","author":[{"dropping-particle":"","family":"World Health Organization","given":"","non-dropping-particle":"","parse-names":false,"suffix":""}],"id":"ITEM-2","issued":{"date-parts":[["2017"]]},"number-of-pages":"48","publisher":"World Health Organization","publisher-place":"Copenhagen","title":"The Burden of Foodborne Diseases in the WHO European Region","type":"book"},"uris":["http://www.mendeley.com/documents/?uuid=e58b25b4-9901-4afd-97a8-b6e08e902576"]},{"id":"ITEM-3","itemData":{"DOI":"10.1038/s41522-020-0136-z","ISSN":"20555008","PMID":"32651393","abstract":"Microbial food spoilage is responsible for a considerable amount of waste and can cause food-borne diseases in humans, particularly in immunocompromised individuals and children. Therefore, preventing microbial food spoilage is a major concern for health authorities, regulators, consumers, and the food industry. However, the contamination of food products is difficult to control because there are several potential sources during production, processing, storage, distribution, and consumption, where microorganisms come in contact with the product. Here, we use high-throughput full-length 16S rRNA gene sequencing to provide insights into bacterial community structure throughout a pork-processing plant. Specifically, we investigated what proportion of bacteria on meat are presumptively not animal-associated and are therefore transferred during cutting via personnel, equipment, machines, or the slaughter environment. We then created a facility-specific transmission map of bacterial flow, which predicted previously unknown sources of bacterial contamination. This allowed us to pinpoint specific taxa to particular environmental sources and provide the facility with essential information for targeted disinfection. For example, Moraxella spp., a prominent meat spoilage organism, which was one of the most abundant amplicon sequence variants (ASVs) detected on the meat, was most likely transferred from the gloves of employees, a railing at the classification step, and the polishing tunnel whips. Our results suggest that high-throughput full-length 16S rRNA gene sequencing has great potential in food monitoring applications.","author":[{"dropping-particle":"","family":"Zwirzitz","given":"Benjamin","non-dropping-particle":"","parse-names":false,"suffix":""},{"dropping-particle":"","family":"Wetzels","given":"Stefanie U.","non-dropping-particle":"","parse-names":false,"suffix":""},{"dropping-particle":"","family":"Dixon","given":"Emmanuel D.","non-dropping-particle":"","parse-names":false,"suffix":""},{"dropping-particle":"","family":"Stessl","given":"Beatrix","non-dropping-particle":"","parse-names":false,"suffix":""},{"dropping-particle":"","family":"Zaiser","given":"Andreas","non-dropping-particle":"","parse-names":false,"suffix":""},{"dropping-particle":"","family":"Rabanser","given":"Isabel","non-dropping-particle":"","parse-names":false,"suffix":""},{"dropping-particle":"","family":"Thalguter","given":"Sarah","non-dropping-particle":"","parse-names":false,"suffix":""},{"dropping-particle":"","family":"Pinior","given":"Beate","non-dropping-particle":"","parse-names":false,"suffix":""},{"dropping-particle":"","family":"Roch","given":"Franz Ferdinand","non-dropping-particle":"","parse-names":false,"suffix":""},{"dropping-particle":"","family":"Strachan","given":"Cameron","non-dropping-particle":"","parse-names":false,"suffix":""},{"dropping-particle":"","family":"Zanghellini","given":"Jürgen","non-dropping-particle":"","parse-names":false,"suffix":""},{"dropping-particle":"","family":"Dzieciol","given":"Monika","non-dropping-particle":"","parse-names":false,"suffix":""},{"dropping-particle":"","family":"Wagner","given":"Martin","non-dropping-particle":"","parse-names":false,"suffix":""},{"dropping-particle":"","family":"Selberherr","given":"Evelyne","non-dropping-particle":"","parse-names":false,"suffix":""}],"container-title":"npj Biofilms and Microbiomes","id":"ITEM-3","issue":"1","issued":{"date-parts":[["2020"]]},"page":"1-12","publisher":"Springer US","title":"The sources and transmission routes of microbial populations throughout a meat processing facility","type":"article-journal","volume":"6"},"uris":["http://www.mendeley.com/documents/?uuid=552d7d22-c35d-4bdc-9896-95913492c862"]}],"mendeley":{"formattedCitation":"(World Health Organization, 2017, 2015; Zwirzitz et al., 2020)","plainTextFormattedCitation":"(World Health Organization, 2017, 2015; Zwirzitz et al., 2020)","previouslyFormattedCitation":"(World Health Organization, 2017, 2015; Zwirzitz et al., 2020)"},"properties":{"noteIndex":0},"schema":"https://github.com/citation-style-language/schema/raw/master/csl-citation.json"}</w:instrText>
      </w:r>
      <w:r w:rsidR="000E38BD" w:rsidRPr="0051219B">
        <w:rPr>
          <w:rFonts w:eastAsia="Times New Roman" w:cs="Times New Roman"/>
          <w:kern w:val="0"/>
          <w:szCs w:val="20"/>
          <w:lang w:val="en-GB" w:eastAsia="zh-CN"/>
          <w14:ligatures w14:val="none"/>
        </w:rPr>
        <w:fldChar w:fldCharType="separate"/>
      </w:r>
      <w:r w:rsidR="000E38BD" w:rsidRPr="0051219B">
        <w:rPr>
          <w:rFonts w:eastAsia="Times New Roman" w:cs="Times New Roman"/>
          <w:noProof/>
          <w:kern w:val="0"/>
          <w:szCs w:val="20"/>
          <w:lang w:val="en-GB" w:eastAsia="zh-CN"/>
          <w14:ligatures w14:val="none"/>
        </w:rPr>
        <w:t>(World Health Organization, 2017, 2015; Zwirzitz et al., 2020)</w:t>
      </w:r>
      <w:r w:rsidR="000E38BD" w:rsidRPr="0051219B">
        <w:rPr>
          <w:rFonts w:eastAsia="Times New Roman" w:cs="Times New Roman"/>
          <w:kern w:val="0"/>
          <w:szCs w:val="20"/>
          <w:lang w:val="en-GB" w:eastAsia="zh-CN"/>
          <w14:ligatures w14:val="none"/>
        </w:rPr>
        <w:fldChar w:fldCharType="end"/>
      </w:r>
      <w:r w:rsidRPr="0051219B">
        <w:rPr>
          <w:rFonts w:eastAsia="Times New Roman" w:cs="Times New Roman"/>
          <w:kern w:val="0"/>
          <w:szCs w:val="20"/>
          <w:lang w:val="en-GB" w:eastAsia="zh-CN"/>
          <w14:ligatures w14:val="none"/>
        </w:rPr>
        <w:t>.</w:t>
      </w:r>
    </w:p>
    <w:p w:rsidR="00B05D29" w:rsidRPr="0051219B" w:rsidRDefault="00B05D29" w:rsidP="00B05D29">
      <w:pPr>
        <w:pStyle w:val="Heading1"/>
        <w:spacing w:before="240" w:after="120"/>
        <w:ind w:right="0"/>
        <w:jc w:val="both"/>
        <w:rPr>
          <w:b/>
          <w:bCs/>
          <w:color w:val="000000"/>
          <w:sz w:val="24"/>
          <w:lang w:val="en-GB"/>
        </w:rPr>
      </w:pPr>
      <w:r w:rsidRPr="0051219B">
        <w:rPr>
          <w:b/>
          <w:bCs/>
          <w:color w:val="000000"/>
          <w:sz w:val="24"/>
          <w:lang w:val="en-GB"/>
        </w:rPr>
        <w:t xml:space="preserve">2. </w:t>
      </w:r>
      <w:r w:rsidR="00F94B45" w:rsidRPr="0051219B">
        <w:rPr>
          <w:b/>
          <w:bCs/>
          <w:color w:val="000000"/>
          <w:sz w:val="24"/>
          <w:lang w:val="en-GB"/>
        </w:rPr>
        <w:t xml:space="preserve">Culture </w:t>
      </w:r>
      <w:r w:rsidR="006F304F" w:rsidRPr="0051219B">
        <w:rPr>
          <w:b/>
          <w:bCs/>
          <w:color w:val="000000"/>
          <w:sz w:val="24"/>
          <w:lang w:val="en-GB"/>
        </w:rPr>
        <w:t>-</w:t>
      </w:r>
      <w:r w:rsidR="00F94B45" w:rsidRPr="0051219B">
        <w:rPr>
          <w:b/>
          <w:bCs/>
          <w:color w:val="000000"/>
          <w:sz w:val="24"/>
          <w:lang w:val="en-GB"/>
        </w:rPr>
        <w:t xml:space="preserve"> dependent</w:t>
      </w:r>
      <w:r w:rsidR="006F304F" w:rsidRPr="0051219B">
        <w:rPr>
          <w:b/>
          <w:bCs/>
          <w:color w:val="000000"/>
          <w:sz w:val="24"/>
          <w:lang w:val="en-GB"/>
        </w:rPr>
        <w:t xml:space="preserve"> and Culture - independent</w:t>
      </w:r>
      <w:r w:rsidR="00F94B45" w:rsidRPr="0051219B">
        <w:rPr>
          <w:b/>
          <w:bCs/>
          <w:color w:val="000000"/>
          <w:sz w:val="24"/>
          <w:lang w:val="en-GB"/>
        </w:rPr>
        <w:t xml:space="preserve"> Methods</w:t>
      </w:r>
    </w:p>
    <w:p w:rsidR="00F94B45" w:rsidRPr="0051219B" w:rsidRDefault="00270FDB" w:rsidP="00E815C2">
      <w:pPr>
        <w:widowControl w:val="0"/>
        <w:tabs>
          <w:tab w:val="left" w:pos="0"/>
        </w:tabs>
        <w:suppressAutoHyphens/>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 xml:space="preserve">Both approaches are directed </w:t>
      </w:r>
      <w:r w:rsidR="008905B6" w:rsidRPr="0051219B">
        <w:rPr>
          <w:rFonts w:eastAsia="Times New Roman" w:cs="Times New Roman"/>
          <w:kern w:val="0"/>
          <w:szCs w:val="20"/>
          <w:lang w:val="en-GB" w:eastAsia="zh-CN"/>
          <w14:ligatures w14:val="none"/>
        </w:rPr>
        <w:t>by</w:t>
      </w:r>
      <w:r w:rsidRPr="0051219B">
        <w:rPr>
          <w:rFonts w:eastAsia="Times New Roman" w:cs="Times New Roman"/>
          <w:kern w:val="0"/>
          <w:szCs w:val="20"/>
          <w:lang w:val="en-GB" w:eastAsia="zh-CN"/>
          <w14:ligatures w14:val="none"/>
        </w:rPr>
        <w:t xml:space="preserve"> the same </w:t>
      </w:r>
      <w:r w:rsidR="00ED6E99" w:rsidRPr="0051219B">
        <w:rPr>
          <w:rFonts w:eastAsia="Times New Roman" w:cs="Times New Roman"/>
          <w:kern w:val="0"/>
          <w:szCs w:val="20"/>
          <w:lang w:val="en-GB" w:eastAsia="zh-CN"/>
          <w14:ligatures w14:val="none"/>
        </w:rPr>
        <w:t>aim of</w:t>
      </w:r>
      <w:r w:rsidRPr="0051219B">
        <w:rPr>
          <w:rFonts w:eastAsia="Times New Roman" w:cs="Times New Roman"/>
          <w:kern w:val="0"/>
          <w:szCs w:val="20"/>
          <w:lang w:val="en-GB" w:eastAsia="zh-CN"/>
          <w14:ligatures w14:val="none"/>
        </w:rPr>
        <w:t xml:space="preserve"> detecti</w:t>
      </w:r>
      <w:r w:rsidR="00ED6E99" w:rsidRPr="0051219B">
        <w:rPr>
          <w:rFonts w:eastAsia="Times New Roman" w:cs="Times New Roman"/>
          <w:kern w:val="0"/>
          <w:szCs w:val="20"/>
          <w:lang w:val="en-GB" w:eastAsia="zh-CN"/>
          <w14:ligatures w14:val="none"/>
        </w:rPr>
        <w:t>ng</w:t>
      </w:r>
      <w:r w:rsidRPr="0051219B">
        <w:rPr>
          <w:rFonts w:eastAsia="Times New Roman" w:cs="Times New Roman"/>
          <w:kern w:val="0"/>
          <w:szCs w:val="20"/>
          <w:lang w:val="en-GB" w:eastAsia="zh-CN"/>
          <w14:ligatures w14:val="none"/>
        </w:rPr>
        <w:t xml:space="preserve"> targeted pathogens</w:t>
      </w:r>
      <w:r w:rsidR="00ED6E99" w:rsidRPr="0051219B">
        <w:rPr>
          <w:rFonts w:eastAsia="Times New Roman" w:cs="Times New Roman"/>
          <w:kern w:val="0"/>
          <w:szCs w:val="20"/>
          <w:lang w:val="en-GB" w:eastAsia="zh-CN"/>
          <w14:ligatures w14:val="none"/>
        </w:rPr>
        <w:t>.</w:t>
      </w:r>
      <w:r w:rsidR="0004055F" w:rsidRPr="0051219B">
        <w:rPr>
          <w:rFonts w:eastAsia="Times New Roman" w:cs="Times New Roman"/>
          <w:kern w:val="0"/>
          <w:szCs w:val="20"/>
          <w:lang w:val="en-GB" w:eastAsia="zh-CN"/>
          <w14:ligatures w14:val="none"/>
        </w:rPr>
        <w:t xml:space="preserve"> </w:t>
      </w:r>
      <w:r w:rsidR="006F304F" w:rsidRPr="0051219B">
        <w:rPr>
          <w:rFonts w:eastAsia="Times New Roman" w:cs="Times New Roman"/>
          <w:kern w:val="0"/>
          <w:szCs w:val="20"/>
          <w:lang w:val="en-GB" w:eastAsia="zh-CN"/>
          <w14:ligatures w14:val="none"/>
        </w:rPr>
        <w:t xml:space="preserve">Culture - dependent approaches include the classical microbiological analysis </w:t>
      </w:r>
      <w:r w:rsidR="00A37D69" w:rsidRPr="0051219B">
        <w:rPr>
          <w:rFonts w:eastAsia="Times New Roman" w:cs="Times New Roman"/>
          <w:kern w:val="0"/>
          <w:szCs w:val="20"/>
          <w:lang w:val="en-GB" w:eastAsia="zh-CN"/>
          <w14:ligatures w14:val="none"/>
        </w:rPr>
        <w:t>and the analysis of whole - genome sequencing (WGS).</w:t>
      </w:r>
      <w:r w:rsidR="00022DFE" w:rsidRPr="0051219B">
        <w:rPr>
          <w:rFonts w:eastAsia="Times New Roman" w:cs="Times New Roman"/>
          <w:kern w:val="0"/>
          <w:szCs w:val="20"/>
          <w:lang w:val="en-GB" w:eastAsia="zh-CN"/>
          <w14:ligatures w14:val="none"/>
        </w:rPr>
        <w:t xml:space="preserve"> </w:t>
      </w:r>
      <w:r w:rsidR="008905B6" w:rsidRPr="0051219B">
        <w:rPr>
          <w:rFonts w:eastAsia="Times New Roman" w:cs="Times New Roman"/>
          <w:kern w:val="0"/>
          <w:szCs w:val="20"/>
          <w:lang w:val="en-GB" w:eastAsia="zh-CN"/>
          <w14:ligatures w14:val="none"/>
        </w:rPr>
        <w:t>Classical microbiological analysis consists by the traditional</w:t>
      </w:r>
      <w:r w:rsidR="0004055F" w:rsidRPr="0051219B">
        <w:rPr>
          <w:rFonts w:eastAsia="Times New Roman" w:cs="Times New Roman"/>
          <w:kern w:val="0"/>
          <w:szCs w:val="20"/>
          <w:lang w:val="en-GB" w:eastAsia="zh-CN"/>
          <w14:ligatures w14:val="none"/>
        </w:rPr>
        <w:t xml:space="preserve"> culture</w:t>
      </w:r>
      <w:r w:rsidR="008905B6" w:rsidRPr="0051219B">
        <w:rPr>
          <w:rFonts w:eastAsia="Times New Roman" w:cs="Times New Roman"/>
          <w:kern w:val="0"/>
          <w:szCs w:val="20"/>
          <w:lang w:val="en-GB" w:eastAsia="zh-CN"/>
          <w14:ligatures w14:val="none"/>
        </w:rPr>
        <w:t xml:space="preserve"> methods in generic and selective medium and under optimal incubation conditions, in order to let the time to the agent to grow and in position to be culturable.</w:t>
      </w:r>
      <w:r w:rsidR="0004055F" w:rsidRPr="0051219B">
        <w:rPr>
          <w:rFonts w:eastAsia="Times New Roman" w:cs="Times New Roman"/>
          <w:kern w:val="0"/>
          <w:szCs w:val="20"/>
          <w:lang w:val="en-GB" w:eastAsia="zh-CN"/>
          <w14:ligatures w14:val="none"/>
        </w:rPr>
        <w:t xml:space="preserve"> </w:t>
      </w:r>
      <w:r w:rsidR="00022DFE" w:rsidRPr="0051219B">
        <w:rPr>
          <w:rFonts w:eastAsia="Times New Roman" w:cs="Times New Roman"/>
          <w:kern w:val="0"/>
          <w:szCs w:val="20"/>
          <w:lang w:val="en-GB" w:eastAsia="zh-CN"/>
          <w14:ligatures w14:val="none"/>
        </w:rPr>
        <w:t xml:space="preserve">WGS is a </w:t>
      </w:r>
      <w:r w:rsidRPr="0051219B">
        <w:rPr>
          <w:rFonts w:eastAsia="Times New Roman" w:cs="Times New Roman"/>
          <w:kern w:val="0"/>
          <w:szCs w:val="20"/>
          <w:lang w:val="en-GB" w:eastAsia="zh-CN"/>
          <w14:ligatures w14:val="none"/>
        </w:rPr>
        <w:t xml:space="preserve">molecular </w:t>
      </w:r>
      <w:r w:rsidR="00022DFE" w:rsidRPr="0051219B">
        <w:rPr>
          <w:rFonts w:eastAsia="Times New Roman" w:cs="Times New Roman"/>
          <w:kern w:val="0"/>
          <w:szCs w:val="20"/>
          <w:lang w:val="en-GB" w:eastAsia="zh-CN"/>
          <w14:ligatures w14:val="none"/>
        </w:rPr>
        <w:t xml:space="preserve">subtyping method </w:t>
      </w:r>
      <w:r w:rsidR="0004055F" w:rsidRPr="0051219B">
        <w:rPr>
          <w:rFonts w:eastAsia="Times New Roman" w:cs="Times New Roman"/>
          <w:kern w:val="0"/>
          <w:szCs w:val="20"/>
          <w:lang w:val="en-GB" w:eastAsia="zh-CN"/>
          <w14:ligatures w14:val="none"/>
        </w:rPr>
        <w:t>eventually</w:t>
      </w:r>
      <w:r w:rsidR="00672EE0" w:rsidRPr="0051219B">
        <w:rPr>
          <w:rFonts w:eastAsia="Times New Roman" w:cs="Times New Roman"/>
          <w:kern w:val="0"/>
          <w:szCs w:val="20"/>
          <w:lang w:val="en-GB" w:eastAsia="zh-CN"/>
          <w14:ligatures w14:val="none"/>
        </w:rPr>
        <w:t xml:space="preserve"> used in routine pathogen surveillance. Permits to </w:t>
      </w:r>
      <w:r w:rsidRPr="0051219B">
        <w:rPr>
          <w:rFonts w:eastAsia="Times New Roman" w:cs="Times New Roman"/>
          <w:kern w:val="0"/>
          <w:szCs w:val="20"/>
          <w:lang w:val="en-GB" w:eastAsia="zh-CN"/>
          <w14:ligatures w14:val="none"/>
        </w:rPr>
        <w:t>evaluate and establish whether isolates derive from</w:t>
      </w:r>
      <w:r w:rsidR="00A853A4" w:rsidRPr="0051219B">
        <w:rPr>
          <w:rFonts w:eastAsia="Times New Roman" w:cs="Times New Roman"/>
          <w:kern w:val="0"/>
          <w:szCs w:val="20"/>
          <w:lang w:val="en-GB" w:eastAsia="zh-CN"/>
          <w14:ligatures w14:val="none"/>
        </w:rPr>
        <w:t xml:space="preserve"> a same persistent clone inside different compartment along a food chain, as well </w:t>
      </w:r>
      <w:r w:rsidR="00672EE0" w:rsidRPr="0051219B">
        <w:rPr>
          <w:rFonts w:eastAsia="Times New Roman" w:cs="Times New Roman"/>
          <w:kern w:val="0"/>
          <w:szCs w:val="20"/>
          <w:lang w:val="en-GB" w:eastAsia="zh-CN"/>
          <w14:ligatures w14:val="none"/>
        </w:rPr>
        <w:t xml:space="preserve">as </w:t>
      </w:r>
      <w:r w:rsidR="00A853A4" w:rsidRPr="0051219B">
        <w:rPr>
          <w:rFonts w:eastAsia="Times New Roman" w:cs="Times New Roman"/>
          <w:kern w:val="0"/>
          <w:szCs w:val="20"/>
          <w:lang w:val="en-GB" w:eastAsia="zh-CN"/>
          <w14:ligatures w14:val="none"/>
        </w:rPr>
        <w:t>validate</w:t>
      </w:r>
      <w:r w:rsidR="00672EE0" w:rsidRPr="0051219B">
        <w:rPr>
          <w:rFonts w:eastAsia="Times New Roman" w:cs="Times New Roman"/>
          <w:kern w:val="0"/>
          <w:szCs w:val="20"/>
          <w:lang w:val="en-GB" w:eastAsia="zh-CN"/>
          <w14:ligatures w14:val="none"/>
        </w:rPr>
        <w:t>s</w:t>
      </w:r>
      <w:r w:rsidR="00A853A4" w:rsidRPr="0051219B">
        <w:rPr>
          <w:rFonts w:eastAsia="Times New Roman" w:cs="Times New Roman"/>
          <w:kern w:val="0"/>
          <w:szCs w:val="20"/>
          <w:lang w:val="en-GB" w:eastAsia="zh-CN"/>
          <w14:ligatures w14:val="none"/>
        </w:rPr>
        <w:t xml:space="preserve"> </w:t>
      </w:r>
      <w:r w:rsidR="00672EE0" w:rsidRPr="0051219B">
        <w:rPr>
          <w:rFonts w:eastAsia="Times New Roman" w:cs="Times New Roman"/>
          <w:kern w:val="0"/>
          <w:szCs w:val="20"/>
          <w:lang w:val="en-GB" w:eastAsia="zh-CN"/>
          <w14:ligatures w14:val="none"/>
        </w:rPr>
        <w:t>the causative agent</w:t>
      </w:r>
      <w:r w:rsidR="00A853A4" w:rsidRPr="0051219B">
        <w:rPr>
          <w:rFonts w:eastAsia="Times New Roman" w:cs="Times New Roman"/>
          <w:kern w:val="0"/>
          <w:szCs w:val="20"/>
          <w:lang w:val="en-GB" w:eastAsia="zh-CN"/>
          <w14:ligatures w14:val="none"/>
        </w:rPr>
        <w:t xml:space="preserve"> related to a multi - country outbreak</w:t>
      </w:r>
      <w:r w:rsidR="005D6EEB" w:rsidRPr="0051219B">
        <w:rPr>
          <w:rFonts w:eastAsia="Times New Roman" w:cs="Times New Roman"/>
          <w:kern w:val="0"/>
          <w:szCs w:val="20"/>
          <w:lang w:val="en-GB" w:eastAsia="zh-CN"/>
          <w14:ligatures w14:val="none"/>
        </w:rPr>
        <w:t xml:space="preserve"> </w:t>
      </w:r>
      <w:r w:rsidR="007A389E" w:rsidRPr="0051219B">
        <w:rPr>
          <w:rFonts w:eastAsia="Times New Roman" w:cs="Times New Roman"/>
          <w:kern w:val="0"/>
          <w:szCs w:val="20"/>
          <w:lang w:val="en-GB" w:eastAsia="zh-CN"/>
          <w14:ligatures w14:val="none"/>
        </w:rPr>
        <w:fldChar w:fldCharType="begin" w:fldLock="1"/>
      </w:r>
      <w:r w:rsidR="007A389E" w:rsidRPr="0051219B">
        <w:rPr>
          <w:rFonts w:eastAsia="Times New Roman" w:cs="Times New Roman"/>
          <w:kern w:val="0"/>
          <w:szCs w:val="20"/>
          <w:lang w:val="en-GB" w:eastAsia="zh-CN"/>
          <w14:ligatures w14:val="none"/>
        </w:rPr>
        <w:instrText>ADDIN CSL_CITATION {"citationItems":[{"id":"ITEM-1","itemData":{"DOI":"10.2903/j.efsa.2019.5898","ISSN":"18314732","abstract":"This Opinion considers the application of whole genome sequencing (WGS) and metagenomics for outbreak investigation, source attribution and risk assessment of food-borne pathogens. WGS offers the highest level of bacterial strain discrimination for food-borne outbreak investigation and source-attribution as well as potential for more precise hazard identification, thereby facilitating more targeted risk assessment and risk management. WGS improves linking of sporadic cases associated with different food products and geographical regions to a point source outbreak and can facilitate epidemiological investigations, allowing also the use of previously sequenced genomes. Source attribution may be favoured by improved identification of transmission pathways, through the integration of spatial-temporal factors and the detection of multidirectional transmission and pathogen–host interactions. Metagenomics has potential, especially in relation to the detection and characterisation of non-culturable, difficult-to-culture or slow-growing microorganisms, for tracking of hazard-related genetic determinants and the dynamic evaluation of the composition and functionality of complex microbial communities. A SWOT analysis is provided on the use of WGS and metagenomics for Salmonella and Shigatoxin-producing Escherichia coli (STEC) serotyping and the identification of antimicrobial resistance determinants in bacteria. Close agreement between phenotypic and WGS-based genotyping data has been observed. WGS provides additional information on the nature and localisation of antimicrobial resistance determinants and on their dissemination potential by horizontal gene transfer, as well as on genes relating to virulence and biological fitness. Interoperable data will play a major role in the future use of WGS and metagenomic data. Capacity building based on harmonised, quality controlled operational systems within European laboratories and worldwide is essential for the investigation of cross-border outbreaks and for the development of international standardised risk assessments of food-borne microorganisms.","author":[{"dropping-particle":"","family":"Koutsoumanis","given":"Kostas","non-dropping-particle":"","parse-names":false,"suffix":""},{"dropping-particle":"","family":"Allende","given":"Ana","non-dropping-particle":"","parse-names":false,"suffix":""},{"dropping-particle":"","family":"Alvarez-Ordóñez","given":"Avelino","non-dropping-particle":"","parse-names":false,"suffix":""},{"dropping-particle":"","family":"Bolton","given":"Declan","non-dropping-particle":"","parse-names":false,"suffix":""},{"dropping-particle":"","family":"Bover-Cid","given":"Sara","non-dropping-particle":"","parse-names":false,"suffix":""},{"dropping-particle":"","family":"Chemaly","given":"Marianne","non-dropping-particle":"","parse-names":false,"suffix":""},{"dropping-particle":"","family":"Davies","given":"Robert","non-dropping-particle":"","parse-names":false,"suffix":""},{"dropping-particle":"","family":"Cesare","given":"Alessandra","non-dropping-particle":"De","parse-names":false,"suffix":""},{"dropping-particle":"","family":"Hilbert","given":"Friederike","non-dropping-particle":"","parse-names":false,"suffix":""},{"dropping-particle":"","family":"Lindqvist","given":"Roland","non-dropping-particle":"","parse-names":false,"suffix":""},{"dropping-particle":"","family":"Nauta","given":"Maarten","non-dropping-particle":"","parse-names":false,"suffix":""},{"dropping-particle":"","family":"Peixe","given":"Luisa","non-dropping-particle":"","parse-names":false,"suffix":""},{"dropping-particle":"","family":"Ru","given":"Giuseppe","non-dropping-particle":"","parse-names":false,"suffix":""},{"dropping-particle":"","family":"Simmons","given":"Marion","non-dropping-particle":"","parse-names":false,"suffix":""},{"dropping-particle":"","family":"Skandamis","given":"Panagiotis","non-dropping-particle":"","parse-names":false,"suffix":""},{"dropping-particle":"","family":"Suffredini","given":"Elisabetta","non-dropping-particle":"","parse-names":false,"suffix":""},{"dropping-particle":"","family":"Jenkins","given":"Claire","non-dropping-particle":"","parse-names":false,"suffix":""},{"dropping-particle":"","family":"Malorny","given":"Burkhard","non-dropping-particle":"","parse-names":false,"suffix":""},{"dropping-particle":"","family":"Ribeiro Duarte","given":"Ana Sofia","non-dropping-particle":"","parse-names":false,"suffix":""},{"dropping-particle":"","family":"Torpdahl","given":"Mia","non-dropping-particle":"","parse-names":false,"suffix":""},{"dropping-particle":"","family":"Silva Felício","given":"Maria Teresa","non-dropping-particle":"da","parse-names":false,"suffix":""},{"dropping-particle":"","family":"Guerra","given":"Beatriz","non-dropping-particle":"","parse-names":false,"suffix":""},{"dropping-particle":"","family":"Rossi","given":"Mirko","non-dropping-particle":"","parse-names":false,"suffix":""},{"dropping-particle":"","family":"Herman","given":"Lieve","non-dropping-particle":"","parse-names":false,"suffix":""}],"container-title":"EFSA Journal","id":"ITEM-1","issue":"12","issued":{"date-parts":[["2019"]]},"title":"Whole genome sequencing and metagenomics for outbreak investigation, source attribution and risk assessment of food-borne microorganisms","type":"article-journal","volume":"17"},"uris":["http://www.mendeley.com/documents/?uuid=f527b98a-eff3-4700-97c3-23181791121d"]},{"id":"ITEM-2","itemData":{"DOI":"10.2903/j.efsa.2020.6092","ISSN":"18314732","abstract":"A multi-country outbreak of Listeria monocytogenes ST6 linked to blanched frozen vegetables (bfV) took place in the EU (2015–2018). Evidence of food-borne outbreaks shows that L. monocytogenes is the most relevant pathogen associated with bfV. The probability of illness per serving of uncooked bfV, for the elderly (65–74 years old) population, is up to 3,600 times greater than cooked bfV and very likely lower than any of the evaluated ready-to-eat food categories. The main factors affecting contamination and growth of L. monocytogenes in bfV during processing are the hygiene of the raw materials and process water; the hygienic conditions of the food processing environment (FPE); and the time/Temperature (t/T) combinations used for storage and processing (e.g. blanching, cooling). Relevant factors after processing are the intrinsic characteristics of the bfV, the t/T combinations used for thawing and storage and subsequent cooking conditions, unless eaten uncooked. Analysis of the possible control options suggests that application of a complete HACCP plan is either not possible or would not further enhance food safety. Instead, specific prerequisite programmes (PRP) and operational PRP activities should be applied such as cleaning and disinfection of the FPE, water control, t/T control and product information and consumer awareness. The occurrence of low levels of L. monocytogenes at the end of the production process (e.g. &lt; 10 CFU/g) would be compatible with the limit of 100 CFU/g at the moment of consumption if any labelling recommendations are strictly followed (i.e. 24 h at 5°C). Under reasonably foreseeable conditions of use (i.e. 48 h at 12°C), L. monocytogenes levels need to be considerably lower (not detected in 25 g). Routine monitoring programmes for L. monocytogenes should be designed following a risk-based approach and regularly revised based on trend analysis, being FPE monitoring a key activity in the frozen vegetable industry.","author":[{"dropping-particle":"","family":"Koutsoumanis","given":"Konstantinos","non-dropping-particle":"","parse-names":false,"suffix":""},{"dropping-particle":"","family":"Alvarez-Ordonez","given":"Avelino","non-dropping-particle":"","parse-names":false,"suffix":""},{"dropping-particle":"","family":"Bolton","given":"Declan","non-dropping-particle":"","parse-names":false,"suffix":""},{"dropping-particle":"","family":"Bover-Cid","given":"Sara","non-dropping-particle":"","parse-names":false,"suffix":""},{"dropping-particle":"","family":"Chemaly","given":"Marianne","non-dropping-particle":"","parse-names":false,"suffix":""},{"dropping-particle":"","family":"Davies","given":"Robert","non-dropping-particle":"","parse-names":false,"suffix":""},{"dropping-particle":"","family":"Cesare","given":"Alessandra","non-dropping-particle":"De","parse-names":false,"suffix":""},{"dropping-particle":"","family":"Herman","given":"Lieve","non-dropping-particle":"","parse-names":false,"suffix":""},{"dropping-particle":"","family":"Hilbert","given":"Friederike","non-dropping-particle":"","parse-names":false,"suffix":""},{"dropping-particle":"","family":"Lindqvist","given":"Roland","non-dropping-particle":"","parse-names":false,"suffix":""},{"dropping-particle":"","family":"Nauta","given":"Maarten","non-dropping-particle":"","parse-names":false,"suffix":""},{"dropping-particle":"","family":"Peixe","given":"Luisa","non-dropping-particle":"","parse-names":false,"suffix":""},{"dropping-particle":"","family":"Ru","given":"Giuseppe","non-dropping-particle":"","parse-names":false,"suffix":""},{"dropping-particle":"","family":"Simmons","given":"Marion","non-dropping-particle":"","parse-names":false,"suffix":""},{"dropping-particle":"","family":"Skandamis","given":"Panagiotis","non-dropping-particle":"","parse-names":false,"suffix":""},{"dropping-particle":"","family":"Suffredini","given":"Elisabetta","non-dropping-particle":"","parse-names":false,"suffix":""},{"dropping-particle":"","family":"Jordan","given":"Kieran","non-dropping-particle":"","parse-names":false,"suffix":""},{"dropping-particle":"","family":"Sampers","given":"Imca","non-dropping-particle":"","parse-names":false,"suffix":""},{"dropping-particle":"","family":"Wagner","given":"Martin","non-dropping-particle":"","parse-names":false,"suffix":""},{"dropping-particle":"","family":"Felicio","given":"Maria Teresa Da Silva","non-dropping-particle":"","parse-names":false,"suffix":""},{"dropping-particle":"","family":"Georgiadis","given":"Marios","non-dropping-particle":"","parse-names":false,"suffix":""},{"dropping-particle":"","family":"Messens","given":"Winy","non-dropping-particle":"","parse-names":false,"suffix":""},{"dropping-particle":"","family":"Mosbach-Schulz","given":"Olaf","non-dropping-particle":"","parse-names":false,"suffix":""},{"dropping-particle":"","family":"Allende","given":"Ana","non-dropping-particle":"","parse-names":false,"suffix":""}],"container-title":"EFSA Journal","id":"ITEM-2","issue":"4","issued":{"date-parts":[["2020"]]},"page":"1-102","title":"The public health risk posed by listeria monocytogenes in frozen fruit and vegetables including herbs, blanched during processing","type":"article-journal","volume":"18"},"uris":["http://www.mendeley.com/documents/?uuid=137c64c0-84ea-4868-8910-195d7a7bb86c"]},{"id":"ITEM-3","itemData":{"DOI":"10.1128/msystems.00164-19","ISSN":"2379-5077","abstract":"The implementation of whole-genome sequencing in food safety has revolutionized foodborne pathogen tracking and outbreak investigations. The vast amounts of genomic data that are being produced through ongoing surveillance efforts continue advancing our understanding of pathogen diversity and genome biology. Produced genomic data are also supporting the use of metagenomics and metatranscriptomics for detection and functional characterization of microbiological hazards in foods and food processing environments. In addition to that, many studies have shown that metabolic and pathogenic potential, antimicrobial resistance, and other phenotypes relevant to food safety can be predicted from whole-genome sequences, omitting the need for multiple laboratory tests. Nevertheless, further work in the area of functional inference is necessary to enable accurate interpretation of functional information inferred from genomic and metagenomic data, as well as real-time detection and tracking of high-risk pathogen subtypes and microbiomes.","author":[{"dropping-particle":"","family":"Kovac","given":"Jasna","non-dropping-particle":"","parse-names":false,"suffix":""}],"container-title":"mSystems","id":"ITEM-3","issue":"3","issued":{"date-parts":[["2019"]]},"page":"1-5","title":"Precision Food Safety: a Paradigm Shift in Detection and Control of Foodborne Pathogens","type":"article-journal","volume":"4"},"uris":["http://www.mendeley.com/documents/?uuid=2ac40646-4235-471e-a4ff-35bda21acd1a"]}],"mendeley":{"formattedCitation":"(Koutsoumanis et al., 2020, 2019; Kovac, 2019)","plainTextFormattedCitation":"(Koutsoumanis et al., 2020, 2019; Kovac, 2019)","previouslyFormattedCitation":"(Koutsoumanis et al., 2020, 2019; Kovac, 2019)"},"properties":{"noteIndex":0},"schema":"https://github.com/citation-style-language/schema/raw/master/csl-citation.json"}</w:instrText>
      </w:r>
      <w:r w:rsidR="007A389E" w:rsidRPr="0051219B">
        <w:rPr>
          <w:rFonts w:eastAsia="Times New Roman" w:cs="Times New Roman"/>
          <w:kern w:val="0"/>
          <w:szCs w:val="20"/>
          <w:lang w:val="en-GB" w:eastAsia="zh-CN"/>
          <w14:ligatures w14:val="none"/>
        </w:rPr>
        <w:fldChar w:fldCharType="separate"/>
      </w:r>
      <w:r w:rsidR="007A389E" w:rsidRPr="0051219B">
        <w:rPr>
          <w:rFonts w:eastAsia="Times New Roman" w:cs="Times New Roman"/>
          <w:noProof/>
          <w:kern w:val="0"/>
          <w:szCs w:val="20"/>
          <w:lang w:val="en-GB" w:eastAsia="zh-CN"/>
          <w14:ligatures w14:val="none"/>
        </w:rPr>
        <w:t>(Koutsoumanis et al., 2020, 2019; Kovac, 2019)</w:t>
      </w:r>
      <w:r w:rsidR="007A389E" w:rsidRPr="0051219B">
        <w:rPr>
          <w:rFonts w:eastAsia="Times New Roman" w:cs="Times New Roman"/>
          <w:kern w:val="0"/>
          <w:szCs w:val="20"/>
          <w:lang w:val="en-GB" w:eastAsia="zh-CN"/>
          <w14:ligatures w14:val="none"/>
        </w:rPr>
        <w:fldChar w:fldCharType="end"/>
      </w:r>
      <w:r w:rsidR="007A389E" w:rsidRPr="0051219B">
        <w:rPr>
          <w:rFonts w:eastAsia="Times New Roman" w:cs="Times New Roman"/>
          <w:kern w:val="0"/>
          <w:szCs w:val="20"/>
          <w:lang w:val="en-GB" w:eastAsia="zh-CN"/>
          <w14:ligatures w14:val="none"/>
        </w:rPr>
        <w:t>.</w:t>
      </w:r>
    </w:p>
    <w:p w:rsidR="007F7181" w:rsidRPr="0051219B" w:rsidRDefault="00A37D69" w:rsidP="00482331">
      <w:pPr>
        <w:pStyle w:val="NoSpacing"/>
        <w:rPr>
          <w:rFonts w:cs="Times New Roman"/>
          <w:lang w:val="en-GB" w:eastAsia="zh-CN"/>
        </w:rPr>
      </w:pPr>
      <w:r w:rsidRPr="0051219B">
        <w:rPr>
          <w:rFonts w:cs="Times New Roman"/>
          <w:lang w:val="en-GB" w:eastAsia="zh-CN"/>
        </w:rPr>
        <w:t xml:space="preserve">Culture - independent approaches mainly refer to real - time PCR, 16S rRNA </w:t>
      </w:r>
      <w:r w:rsidR="00003D5E" w:rsidRPr="0051219B">
        <w:rPr>
          <w:rFonts w:cs="Times New Roman"/>
          <w:lang w:val="en-GB" w:eastAsia="zh-CN"/>
        </w:rPr>
        <w:t xml:space="preserve">- gene </w:t>
      </w:r>
      <w:r w:rsidRPr="0051219B">
        <w:rPr>
          <w:rFonts w:cs="Times New Roman"/>
          <w:lang w:val="en-GB" w:eastAsia="zh-CN"/>
        </w:rPr>
        <w:t>amplicon</w:t>
      </w:r>
      <w:r w:rsidR="00003D5E" w:rsidRPr="0051219B">
        <w:rPr>
          <w:rFonts w:cs="Times New Roman"/>
          <w:lang w:val="en-GB" w:eastAsia="zh-CN"/>
        </w:rPr>
        <w:t>s</w:t>
      </w:r>
      <w:r w:rsidRPr="0051219B">
        <w:rPr>
          <w:rFonts w:cs="Times New Roman"/>
          <w:lang w:val="en-GB" w:eastAsia="zh-CN"/>
        </w:rPr>
        <w:t xml:space="preserve"> sequencing (</w:t>
      </w:r>
      <w:proofErr w:type="spellStart"/>
      <w:r w:rsidR="00003D5E" w:rsidRPr="0051219B">
        <w:rPr>
          <w:rFonts w:cs="Times New Roman"/>
          <w:lang w:val="en-GB" w:eastAsia="zh-CN"/>
        </w:rPr>
        <w:t>metataxono</w:t>
      </w:r>
      <w:r w:rsidR="00482331" w:rsidRPr="0051219B">
        <w:rPr>
          <w:rFonts w:cs="Times New Roman"/>
          <w:lang w:val="en-GB" w:eastAsia="zh-CN"/>
        </w:rPr>
        <w:t>mic</w:t>
      </w:r>
      <w:r w:rsidR="0003475C">
        <w:rPr>
          <w:rFonts w:cs="Times New Roman"/>
          <w:lang w:val="en-GB" w:eastAsia="zh-CN"/>
        </w:rPr>
        <w:t>s</w:t>
      </w:r>
      <w:proofErr w:type="spellEnd"/>
      <w:r w:rsidRPr="0051219B">
        <w:rPr>
          <w:rFonts w:cs="Times New Roman"/>
          <w:lang w:val="en-GB" w:eastAsia="zh-CN"/>
        </w:rPr>
        <w:t>) and shotgun sequencing</w:t>
      </w:r>
      <w:r w:rsidR="00003D5E" w:rsidRPr="0051219B">
        <w:rPr>
          <w:rFonts w:cs="Times New Roman"/>
          <w:lang w:val="en-GB" w:eastAsia="zh-CN"/>
        </w:rPr>
        <w:t xml:space="preserve"> (metagenomics)</w:t>
      </w:r>
      <w:r w:rsidRPr="0051219B">
        <w:rPr>
          <w:rFonts w:cs="Times New Roman"/>
          <w:lang w:val="en-GB" w:eastAsia="zh-CN"/>
        </w:rPr>
        <w:t>.</w:t>
      </w:r>
      <w:r w:rsidR="004436E4" w:rsidRPr="0051219B">
        <w:rPr>
          <w:rFonts w:cs="Times New Roman"/>
          <w:lang w:val="en-GB" w:eastAsia="zh-CN"/>
        </w:rPr>
        <w:t xml:space="preserve"> </w:t>
      </w:r>
      <w:r w:rsidR="00E815C2" w:rsidRPr="0051219B">
        <w:rPr>
          <w:rFonts w:cs="Times New Roman"/>
          <w:lang w:val="en-GB" w:eastAsia="zh-CN"/>
        </w:rPr>
        <w:t xml:space="preserve">Firstly, real - time PCR </w:t>
      </w:r>
      <w:r w:rsidR="004558AB" w:rsidRPr="0051219B">
        <w:rPr>
          <w:rFonts w:cs="Times New Roman"/>
          <w:lang w:val="en-GB" w:eastAsia="zh-CN"/>
        </w:rPr>
        <w:t xml:space="preserve">is </w:t>
      </w:r>
      <w:r w:rsidR="005D6EEB" w:rsidRPr="0051219B">
        <w:rPr>
          <w:rFonts w:cs="Times New Roman"/>
          <w:lang w:val="en-GB" w:eastAsia="zh-CN"/>
        </w:rPr>
        <w:t xml:space="preserve">used </w:t>
      </w:r>
      <w:r w:rsidR="00E815C2" w:rsidRPr="0051219B">
        <w:rPr>
          <w:rFonts w:cs="Times New Roman"/>
          <w:lang w:val="en-GB" w:eastAsia="zh-CN"/>
        </w:rPr>
        <w:t xml:space="preserve">as a targeted method for the detection of </w:t>
      </w:r>
      <w:r w:rsidR="005D6EEB" w:rsidRPr="0051219B">
        <w:rPr>
          <w:rFonts w:cs="Times New Roman"/>
          <w:lang w:val="en-GB" w:eastAsia="zh-CN"/>
        </w:rPr>
        <w:t>pathogens</w:t>
      </w:r>
      <w:r w:rsidR="00E815C2" w:rsidRPr="0051219B">
        <w:rPr>
          <w:rFonts w:cs="Times New Roman"/>
          <w:lang w:val="en-GB" w:eastAsia="zh-CN"/>
        </w:rPr>
        <w:t xml:space="preserve"> i</w:t>
      </w:r>
      <w:r w:rsidR="006A12EC" w:rsidRPr="0051219B">
        <w:rPr>
          <w:rFonts w:cs="Times New Roman"/>
          <w:lang w:val="en-GB" w:eastAsia="zh-CN"/>
        </w:rPr>
        <w:t>n</w:t>
      </w:r>
      <w:r w:rsidR="00E815C2" w:rsidRPr="0051219B">
        <w:rPr>
          <w:rFonts w:cs="Times New Roman"/>
          <w:lang w:val="en-GB" w:eastAsia="zh-CN"/>
        </w:rPr>
        <w:t xml:space="preserve"> </w:t>
      </w:r>
      <w:r w:rsidR="006A12EC" w:rsidRPr="0051219B">
        <w:rPr>
          <w:rFonts w:cs="Times New Roman"/>
          <w:lang w:val="en-GB" w:eastAsia="zh-CN"/>
        </w:rPr>
        <w:t>the whole DNA of a complex sample matrix</w:t>
      </w:r>
      <w:r w:rsidR="004B14AF" w:rsidRPr="0051219B">
        <w:rPr>
          <w:rFonts w:cs="Times New Roman"/>
          <w:lang w:val="en-GB" w:eastAsia="zh-CN"/>
        </w:rPr>
        <w:t xml:space="preserve"> </w:t>
      </w:r>
      <w:r w:rsidR="0004055F" w:rsidRPr="0051219B">
        <w:rPr>
          <w:rFonts w:cs="Times New Roman"/>
          <w:lang w:val="en-GB" w:eastAsia="zh-CN"/>
        </w:rPr>
        <w:fldChar w:fldCharType="begin" w:fldLock="1"/>
      </w:r>
      <w:r w:rsidR="0004055F" w:rsidRPr="0051219B">
        <w:rPr>
          <w:rFonts w:cs="Times New Roman"/>
          <w:lang w:val="en-GB" w:eastAsia="zh-CN"/>
        </w:rPr>
        <w:instrText>ADDIN CSL_CITATION {"citationItems":[{"id":"ITEM-1","itemData":{"DOI":"10.3389/fmicb.2017.00108","ISSN":"1664302X","PMID":"28210243","abstract":"Real time PCR (quantitative PCR, qPCR) is now a well-established method for the detection, quantification, and typing of different microbial agents in the areas of clinical and veterinary diagnostics and food safety. Although the concept of PCR is relatively simple, there are specific issues in qPCR that developers and users of this technology must bear in mind. These include the use of correct terminology and definitions, understanding of the principle of PCR, difficulties with interpretation and presentation of data, the limitations of qPCR in different areas of microbial diagnostics and parameters important for the description of qPCR performance. It is not our intention in this review to describe every single aspect of qPCR design, optimization, and validation; however, it is our hope that this basic guide will help to orient beginners and users of qPCR in the use of this powerful technique.","author":[{"dropping-particle":"","family":"Kralik","given":"Petr","non-dropping-particle":"","parse-names":false,"suffix":""},{"dropping-particle":"","family":"Ricchi","given":"Matteo","non-dropping-particle":"","parse-names":false,"suffix":""}],"container-title":"Frontiers in Microbiology","id":"ITEM-1","issue":"FEB","issued":{"date-parts":[["2017"]]},"page":"1-9","title":"A basic guide to real time PCR in microbial diagnostics: Definitions, parameters, and everything","type":"article-journal","volume":"8"},"uris":["http://www.mendeley.com/documents/?uuid=f686a626-b5f1-4e52-b459-910f066db272"]}],"mendeley":{"formattedCitation":"(Kralik and Ricchi, 2017)","plainTextFormattedCitation":"(Kralik and Ricchi, 2017)","previouslyFormattedCitation":"(Kralik and Ricchi, 2017)"},"properties":{"noteIndex":0},"schema":"https://github.com/citation-style-language/schema/raw/master/csl-citation.json"}</w:instrText>
      </w:r>
      <w:r w:rsidR="0004055F" w:rsidRPr="0051219B">
        <w:rPr>
          <w:rFonts w:cs="Times New Roman"/>
          <w:lang w:val="en-GB" w:eastAsia="zh-CN"/>
        </w:rPr>
        <w:fldChar w:fldCharType="separate"/>
      </w:r>
      <w:r w:rsidR="0004055F" w:rsidRPr="0051219B">
        <w:rPr>
          <w:rFonts w:cs="Times New Roman"/>
          <w:noProof/>
          <w:lang w:val="en-GB" w:eastAsia="zh-CN"/>
        </w:rPr>
        <w:t>(Kralik and Ricchi, 2017)</w:t>
      </w:r>
      <w:r w:rsidR="0004055F" w:rsidRPr="0051219B">
        <w:rPr>
          <w:rFonts w:cs="Times New Roman"/>
          <w:lang w:val="en-GB" w:eastAsia="zh-CN"/>
        </w:rPr>
        <w:fldChar w:fldCharType="end"/>
      </w:r>
      <w:r w:rsidR="005D6EEB" w:rsidRPr="0051219B">
        <w:rPr>
          <w:rFonts w:cs="Times New Roman"/>
          <w:lang w:val="en-GB" w:eastAsia="zh-CN"/>
        </w:rPr>
        <w:t xml:space="preserve">. </w:t>
      </w:r>
      <w:r w:rsidR="006A12EC" w:rsidRPr="0051219B">
        <w:rPr>
          <w:rFonts w:cs="Times New Roman"/>
          <w:lang w:val="en-GB" w:eastAsia="zh-CN"/>
        </w:rPr>
        <w:t>Moreover, b</w:t>
      </w:r>
      <w:r w:rsidR="007F7181" w:rsidRPr="0051219B">
        <w:rPr>
          <w:rFonts w:cs="Times New Roman"/>
          <w:lang w:val="en-GB" w:eastAsia="zh-CN"/>
        </w:rPr>
        <w:t>oth m</w:t>
      </w:r>
      <w:r w:rsidR="00B66C95" w:rsidRPr="0051219B">
        <w:rPr>
          <w:rFonts w:cs="Times New Roman"/>
          <w:lang w:val="en-GB" w:eastAsia="zh-CN"/>
        </w:rPr>
        <w:t>etataxonomic analysis and metagenomics, as untargeted methods</w:t>
      </w:r>
      <w:r w:rsidR="007F7181" w:rsidRPr="0051219B">
        <w:rPr>
          <w:rFonts w:cs="Times New Roman"/>
          <w:lang w:val="en-GB" w:eastAsia="zh-CN"/>
        </w:rPr>
        <w:t>, are able to investigate uncultivable microorganisms</w:t>
      </w:r>
      <w:r w:rsidR="006A12EC" w:rsidRPr="0051219B">
        <w:rPr>
          <w:rFonts w:cs="Times New Roman"/>
          <w:lang w:val="en-GB" w:eastAsia="zh-CN"/>
        </w:rPr>
        <w:t xml:space="preserve"> inside the whole gen</w:t>
      </w:r>
      <w:r w:rsidR="00482331" w:rsidRPr="0051219B">
        <w:rPr>
          <w:rFonts w:cs="Times New Roman"/>
          <w:lang w:val="en-GB" w:eastAsia="zh-CN"/>
        </w:rPr>
        <w:t>etic</w:t>
      </w:r>
      <w:r w:rsidR="006A12EC" w:rsidRPr="0051219B">
        <w:rPr>
          <w:rFonts w:cs="Times New Roman"/>
          <w:lang w:val="en-GB" w:eastAsia="zh-CN"/>
        </w:rPr>
        <w:t xml:space="preserve"> content of communities</w:t>
      </w:r>
      <w:r w:rsidR="007F7181" w:rsidRPr="0051219B">
        <w:rPr>
          <w:rFonts w:cs="Times New Roman"/>
          <w:lang w:val="en-GB" w:eastAsia="zh-CN"/>
        </w:rPr>
        <w:t>.</w:t>
      </w:r>
      <w:r w:rsidR="00B66C95" w:rsidRPr="0051219B">
        <w:rPr>
          <w:rFonts w:cs="Times New Roman"/>
          <w:lang w:val="en-GB" w:eastAsia="zh-CN"/>
        </w:rPr>
        <w:t xml:space="preserve"> </w:t>
      </w:r>
      <w:r w:rsidR="007F7181" w:rsidRPr="0051219B">
        <w:rPr>
          <w:rFonts w:cs="Times New Roman"/>
          <w:lang w:val="en-GB" w:eastAsia="zh-CN"/>
        </w:rPr>
        <w:t>Amplicon sequencing is</w:t>
      </w:r>
      <w:r w:rsidR="00B66C95" w:rsidRPr="0051219B">
        <w:rPr>
          <w:rFonts w:cs="Times New Roman"/>
          <w:lang w:val="en-GB" w:eastAsia="zh-CN"/>
        </w:rPr>
        <w:t xml:space="preserve"> </w:t>
      </w:r>
      <w:r w:rsidR="004B14AF" w:rsidRPr="0051219B">
        <w:rPr>
          <w:rFonts w:cs="Times New Roman"/>
          <w:lang w:val="en-GB" w:eastAsia="zh-CN"/>
        </w:rPr>
        <w:t xml:space="preserve">making possible to profile the </w:t>
      </w:r>
      <w:r w:rsidR="006A12EC" w:rsidRPr="0051219B">
        <w:rPr>
          <w:rFonts w:cs="Times New Roman"/>
          <w:lang w:val="en-GB" w:eastAsia="zh-CN"/>
        </w:rPr>
        <w:t xml:space="preserve">succession of </w:t>
      </w:r>
      <w:r w:rsidR="004B14AF" w:rsidRPr="0051219B">
        <w:rPr>
          <w:rFonts w:cs="Times New Roman"/>
          <w:lang w:val="en-GB" w:eastAsia="zh-CN"/>
        </w:rPr>
        <w:t xml:space="preserve">entire microbial </w:t>
      </w:r>
      <w:r w:rsidR="006A12EC" w:rsidRPr="0051219B">
        <w:rPr>
          <w:rFonts w:cs="Times New Roman"/>
          <w:lang w:val="en-GB" w:eastAsia="zh-CN"/>
        </w:rPr>
        <w:t>populations over time at various taxonomic levels</w:t>
      </w:r>
      <w:r w:rsidR="004B14AF" w:rsidRPr="0051219B">
        <w:rPr>
          <w:rFonts w:cs="Times New Roman"/>
          <w:lang w:val="en-GB" w:eastAsia="zh-CN"/>
        </w:rPr>
        <w:t xml:space="preserve"> and </w:t>
      </w:r>
      <w:r w:rsidR="007F7181" w:rsidRPr="0051219B">
        <w:rPr>
          <w:rFonts w:cs="Times New Roman"/>
          <w:lang w:val="en-GB" w:eastAsia="zh-CN"/>
        </w:rPr>
        <w:t>have an overview on</w:t>
      </w:r>
      <w:r w:rsidR="004B14AF" w:rsidRPr="0051219B">
        <w:rPr>
          <w:rFonts w:cs="Times New Roman"/>
          <w:lang w:val="en-GB" w:eastAsia="zh-CN"/>
        </w:rPr>
        <w:t xml:space="preserve"> </w:t>
      </w:r>
      <w:r w:rsidR="00482331" w:rsidRPr="0051219B">
        <w:rPr>
          <w:rFonts w:cs="Times New Roman"/>
          <w:lang w:val="en-GB" w:eastAsia="zh-CN"/>
        </w:rPr>
        <w:t>the taxonomy, composition and diversity of bacterial communities</w:t>
      </w:r>
      <w:r w:rsidR="000C295B" w:rsidRPr="0051219B">
        <w:rPr>
          <w:rFonts w:cs="Times New Roman"/>
          <w:lang w:val="en-GB" w:eastAsia="zh-CN"/>
        </w:rPr>
        <w:t xml:space="preserve">. Metagenomics </w:t>
      </w:r>
      <w:r w:rsidR="009D7643" w:rsidRPr="0051219B">
        <w:rPr>
          <w:rFonts w:cs="Times New Roman"/>
          <w:lang w:val="en-GB" w:eastAsia="zh-CN"/>
        </w:rPr>
        <w:t>offer insight into the</w:t>
      </w:r>
      <w:r w:rsidR="00482331" w:rsidRPr="0051219B">
        <w:rPr>
          <w:rFonts w:cs="Times New Roman"/>
          <w:lang w:val="en-GB" w:eastAsia="zh-CN"/>
        </w:rPr>
        <w:t xml:space="preserve"> metabolic pathways and the community genetic signatures (antimicrobial resistance genes, virulence genes) of a microbiome and </w:t>
      </w:r>
      <w:r w:rsidR="009D7643" w:rsidRPr="0051219B">
        <w:rPr>
          <w:rFonts w:cs="Times New Roman"/>
          <w:lang w:val="en-GB" w:eastAsia="zh-CN"/>
        </w:rPr>
        <w:t xml:space="preserve">can </w:t>
      </w:r>
      <w:r w:rsidR="00482331" w:rsidRPr="0051219B">
        <w:rPr>
          <w:rFonts w:cs="Times New Roman"/>
          <w:lang w:val="en-GB" w:eastAsia="zh-CN"/>
        </w:rPr>
        <w:t>direct</w:t>
      </w:r>
      <w:r w:rsidR="009D7643" w:rsidRPr="0051219B">
        <w:rPr>
          <w:rFonts w:cs="Times New Roman"/>
          <w:lang w:val="en-GB" w:eastAsia="zh-CN"/>
        </w:rPr>
        <w:t xml:space="preserve"> </w:t>
      </w:r>
      <w:r w:rsidR="00482331" w:rsidRPr="0051219B">
        <w:rPr>
          <w:rFonts w:cs="Times New Roman"/>
          <w:lang w:val="en-GB" w:eastAsia="zh-CN"/>
        </w:rPr>
        <w:t xml:space="preserve">track the presence of unculturable organisms (even at the strain level) </w:t>
      </w:r>
      <w:r w:rsidR="009D7643" w:rsidRPr="0051219B">
        <w:rPr>
          <w:rFonts w:cs="Times New Roman"/>
          <w:lang w:val="en-GB" w:eastAsia="zh-CN"/>
        </w:rPr>
        <w:t>and</w:t>
      </w:r>
      <w:r w:rsidR="00531979" w:rsidRPr="0051219B">
        <w:rPr>
          <w:rFonts w:cs="Times New Roman"/>
          <w:lang w:val="en-GB" w:eastAsia="zh-CN"/>
        </w:rPr>
        <w:t xml:space="preserve"> as well</w:t>
      </w:r>
      <w:r w:rsidR="009D7643" w:rsidRPr="0051219B">
        <w:rPr>
          <w:rFonts w:cs="Times New Roman"/>
          <w:lang w:val="en-GB" w:eastAsia="zh-CN"/>
        </w:rPr>
        <w:t xml:space="preserve"> predict potential functions encoded by the microbial </w:t>
      </w:r>
      <w:r w:rsidR="00531979" w:rsidRPr="0051219B">
        <w:rPr>
          <w:rFonts w:cs="Times New Roman"/>
          <w:lang w:val="en-GB" w:eastAsia="zh-CN"/>
        </w:rPr>
        <w:t xml:space="preserve">communities </w:t>
      </w:r>
      <w:r w:rsidR="00531979" w:rsidRPr="0051219B">
        <w:rPr>
          <w:rFonts w:cs="Times New Roman"/>
          <w:lang w:val="en-GB" w:eastAsia="zh-CN"/>
        </w:rPr>
        <w:fldChar w:fldCharType="begin" w:fldLock="1"/>
      </w:r>
      <w:r w:rsidR="00531979" w:rsidRPr="0051219B">
        <w:rPr>
          <w:rFonts w:cs="Times New Roman"/>
          <w:lang w:val="en-GB" w:eastAsia="zh-CN"/>
        </w:rPr>
        <w:instrText>ADDIN CSL_CITATION {"citationItems":[{"id":"ITEM-1","itemData":{"DOI":"10.1016/j.fm.2018.11.005","ISSN":"10959998","PMID":"30621881","abstract":"Next Generation Sequencing (NGS) combined with powerful bioinformatic approaches are revolutionising food microbiology. Whole genome sequencing (WGS) of single isolates allows the most detailed comparison possible hitherto of individual strains. The two principle approaches for strain discrimination, single nucleotide polymorphism (SNP) analysis and genomic multi-locus sequence typing (MLST) are showing concordant results for phylogenetic clustering and are complementary to each other. Metabarcoding and metagenomics, applied to total DNA isolated from either food materials or the production environment, allows the identification of complete microbial populations. Metagenomics identifies the entire gene content and when coupled to transcriptomics or proteomics, allows the identification of functional capacity and biochemical activity of microbial populations. The focus of this review is on the recent use and future potential of NGS in food microbiology and on current challenges. Guidance is provided for new users, such as public health departments and the food industry, on the implementation of NGS and how to critically interpret results and place them in a broader context. The review aims to promote the broader application of NGS technologies within the food industry as well as highlight knowledge gaps and novel applications of NGS with the aim of driving future research and increasing food safety outputs from its wider use.","author":[{"dropping-particle":"","family":"Jagadeesan","given":"Balamurugan","non-dropping-particle":"","parse-names":false,"suffix":""},{"dropping-particle":"","family":"Gerner-Smidt","given":"Peter","non-dropping-particle":"","parse-names":false,"suffix":""},{"dropping-particle":"","family":"Allard","given":"Marc W.","non-dropping-particle":"","parse-names":false,"suffix":""},{"dropping-particle":"","family":"Leuillet","given":"Sébastien","non-dropping-particle":"","parse-names":false,"suffix":""},{"dropping-particle":"","family":"Winkler","given":"Anett","non-dropping-particle":"","parse-names":false,"suffix":""},{"dropping-particle":"","family":"Xiao","given":"Yinghua","non-dropping-particle":"","parse-names":false,"suffix":""},{"dropping-particle":"","family":"Chaffron","given":"Samuel","non-dropping-particle":"","parse-names":false,"suffix":""},{"dropping-particle":"","family":"Vossen","given":"Jos","non-dropping-particle":"Van Der","parse-names":false,"suffix":""},{"dropping-particle":"","family":"Tang","given":"Silin","non-dropping-particle":"","parse-names":false,"suffix":""},{"dropping-particle":"","family":"Katase","given":"Mitsuru","non-dropping-particle":"","parse-names":false,"suffix":""},{"dropping-particle":"","family":"McClure","given":"Peter","non-dropping-particle":"","parse-names":false,"suffix":""},{"dropping-particle":"","family":"Kimura","given":"Bon","non-dropping-particle":"","parse-names":false,"suffix":""},{"dropping-particle":"","family":"Ching Chai","given":"Lay","non-dropping-particle":"","parse-names":false,"suffix":""},{"dropping-particle":"","family":"Chapman","given":"John","non-dropping-particle":"","parse-names":false,"suffix":""},{"dropping-particle":"","family":"Grant","given":"Kathie","non-dropping-particle":"","parse-names":false,"suffix":""}],"container-title":"Food Microbiology","id":"ITEM-1","issue":"November 2018","issued":{"date-parts":[["2019"]]},"page":"96-115","title":"The use of next generation sequencing for improving food safety: Translation into practice","type":"article-journal","volume":"79"},"uris":["http://www.mendeley.com/documents/?uuid=1e1545b2-ac38-4edc-9dd9-1f9a453c6d1e"]}],"mendeley":{"formattedCitation":"(Jagadeesan et al., 2019)","plainTextFormattedCitation":"(Jagadeesan et al., 2019)","previouslyFormattedCitation":"(Jagadeesan et al., 2019)"},"properties":{"noteIndex":0},"schema":"https://github.com/citation-style-language/schema/raw/master/csl-citation.json"}</w:instrText>
      </w:r>
      <w:r w:rsidR="00531979" w:rsidRPr="0051219B">
        <w:rPr>
          <w:rFonts w:cs="Times New Roman"/>
          <w:lang w:val="en-GB" w:eastAsia="zh-CN"/>
        </w:rPr>
        <w:fldChar w:fldCharType="separate"/>
      </w:r>
      <w:r w:rsidR="00531979" w:rsidRPr="0051219B">
        <w:rPr>
          <w:rFonts w:cs="Times New Roman"/>
          <w:noProof/>
          <w:lang w:val="en-GB" w:eastAsia="zh-CN"/>
        </w:rPr>
        <w:t>(Jagadeesan et al., 2019)</w:t>
      </w:r>
      <w:r w:rsidR="00531979" w:rsidRPr="0051219B">
        <w:rPr>
          <w:rFonts w:cs="Times New Roman"/>
          <w:lang w:val="en-GB" w:eastAsia="zh-CN"/>
        </w:rPr>
        <w:fldChar w:fldCharType="end"/>
      </w:r>
      <w:r w:rsidR="009D7643" w:rsidRPr="0051219B">
        <w:rPr>
          <w:rFonts w:cs="Times New Roman"/>
          <w:lang w:val="en-GB" w:eastAsia="zh-CN"/>
        </w:rPr>
        <w:t>.</w:t>
      </w:r>
    </w:p>
    <w:p w:rsidR="00E63CA7" w:rsidRPr="0051219B" w:rsidRDefault="0020192A" w:rsidP="0020192A">
      <w:pPr>
        <w:pStyle w:val="Heading1"/>
        <w:spacing w:before="240" w:after="120"/>
        <w:ind w:right="0"/>
        <w:jc w:val="both"/>
        <w:rPr>
          <w:b/>
          <w:bCs/>
          <w:color w:val="000000"/>
          <w:sz w:val="24"/>
          <w:lang w:val="en-GB"/>
        </w:rPr>
      </w:pPr>
      <w:r w:rsidRPr="0051219B">
        <w:rPr>
          <w:b/>
          <w:bCs/>
          <w:color w:val="000000"/>
          <w:sz w:val="24"/>
          <w:lang w:val="en-GB"/>
        </w:rPr>
        <w:lastRenderedPageBreak/>
        <w:t xml:space="preserve">3. </w:t>
      </w:r>
      <w:r w:rsidRPr="0051219B">
        <w:rPr>
          <w:b/>
          <w:bCs/>
          <w:i/>
          <w:iCs/>
          <w:color w:val="000000"/>
          <w:sz w:val="24"/>
          <w:lang w:val="en-GB"/>
        </w:rPr>
        <w:t>Listeria monocytogenes</w:t>
      </w:r>
      <w:r w:rsidRPr="0051219B">
        <w:rPr>
          <w:b/>
          <w:bCs/>
          <w:color w:val="000000"/>
          <w:sz w:val="24"/>
          <w:lang w:val="en-GB"/>
        </w:rPr>
        <w:t xml:space="preserve"> </w:t>
      </w:r>
      <w:r w:rsidR="00F270CB" w:rsidRPr="0051219B">
        <w:rPr>
          <w:b/>
          <w:bCs/>
          <w:color w:val="000000"/>
          <w:sz w:val="24"/>
          <w:lang w:val="en-GB"/>
        </w:rPr>
        <w:t>and</w:t>
      </w:r>
      <w:r w:rsidR="000E025B" w:rsidRPr="0051219B">
        <w:rPr>
          <w:b/>
          <w:bCs/>
          <w:color w:val="000000"/>
          <w:sz w:val="24"/>
          <w:lang w:val="en-GB"/>
        </w:rPr>
        <w:t xml:space="preserve"> Acid Stress</w:t>
      </w:r>
    </w:p>
    <w:p w:rsidR="006A12EC" w:rsidRPr="0051219B" w:rsidRDefault="000E025B" w:rsidP="00C517A2">
      <w:pPr>
        <w:rPr>
          <w:rFonts w:cs="Times New Roman"/>
          <w:lang w:val="en-GB" w:eastAsia="zh-CN"/>
        </w:rPr>
      </w:pPr>
      <w:r w:rsidRPr="0051219B">
        <w:rPr>
          <w:rFonts w:cs="Times New Roman"/>
          <w:i/>
          <w:iCs/>
          <w:lang w:val="en-GB" w:eastAsia="zh-CN"/>
        </w:rPr>
        <w:t>Listeria monocytogenes</w:t>
      </w:r>
      <w:r w:rsidRPr="0051219B">
        <w:rPr>
          <w:rFonts w:cs="Times New Roman"/>
          <w:lang w:val="en-GB" w:eastAsia="zh-CN"/>
        </w:rPr>
        <w:t xml:space="preserve"> is a foodborne pathogen, ubiquitously present thanks to its extreme adaptability under a wide range of environments and food - vehicles.</w:t>
      </w:r>
      <w:r w:rsidR="00887F51" w:rsidRPr="0051219B">
        <w:rPr>
          <w:rFonts w:cs="Times New Roman"/>
          <w:lang w:val="en-GB" w:eastAsia="zh-CN"/>
        </w:rPr>
        <w:t xml:space="preserve"> It can easily pass from the saprophytic state to the invasive</w:t>
      </w:r>
      <w:r w:rsidR="00F270CB" w:rsidRPr="0051219B">
        <w:rPr>
          <w:rFonts w:cs="Times New Roman"/>
          <w:lang w:val="en-GB" w:eastAsia="zh-CN"/>
        </w:rPr>
        <w:t xml:space="preserve"> (intracellular)</w:t>
      </w:r>
      <w:r w:rsidR="00887F51" w:rsidRPr="0051219B">
        <w:rPr>
          <w:rFonts w:cs="Times New Roman"/>
          <w:lang w:val="en-GB" w:eastAsia="zh-CN"/>
        </w:rPr>
        <w:t xml:space="preserve"> one</w:t>
      </w:r>
      <w:r w:rsidR="00684DEC" w:rsidRPr="0051219B">
        <w:rPr>
          <w:rFonts w:cs="Times New Roman"/>
          <w:lang w:val="en-GB" w:eastAsia="zh-CN"/>
        </w:rPr>
        <w:t>,</w:t>
      </w:r>
      <w:r w:rsidR="00887F51" w:rsidRPr="0051219B">
        <w:rPr>
          <w:rFonts w:cs="Times New Roman"/>
          <w:lang w:val="en-GB" w:eastAsia="zh-CN"/>
        </w:rPr>
        <w:t xml:space="preserve"> causing severe infections (listeriosis)</w:t>
      </w:r>
      <w:r w:rsidR="00684DEC" w:rsidRPr="0051219B">
        <w:rPr>
          <w:rFonts w:cs="Times New Roman"/>
          <w:lang w:val="en-GB" w:eastAsia="zh-CN"/>
        </w:rPr>
        <w:t>,</w:t>
      </w:r>
      <w:r w:rsidR="00887F51" w:rsidRPr="0051219B">
        <w:rPr>
          <w:rFonts w:cs="Times New Roman"/>
          <w:lang w:val="en-GB" w:eastAsia="zh-CN"/>
        </w:rPr>
        <w:t xml:space="preserve"> </w:t>
      </w:r>
      <w:r w:rsidR="00F76371" w:rsidRPr="0051219B">
        <w:rPr>
          <w:rFonts w:cs="Times New Roman"/>
          <w:lang w:val="en-GB" w:eastAsia="zh-CN"/>
        </w:rPr>
        <w:t xml:space="preserve">mainly </w:t>
      </w:r>
      <w:r w:rsidR="00887F51" w:rsidRPr="0051219B">
        <w:rPr>
          <w:rFonts w:cs="Times New Roman"/>
          <w:lang w:val="en-GB" w:eastAsia="zh-CN"/>
        </w:rPr>
        <w:t>to immunocompromised members of the population</w:t>
      </w:r>
      <w:r w:rsidR="00F270CB" w:rsidRPr="0051219B">
        <w:rPr>
          <w:rFonts w:cs="Times New Roman"/>
          <w:lang w:val="en-GB" w:eastAsia="zh-CN"/>
        </w:rPr>
        <w:t xml:space="preserve"> </w:t>
      </w:r>
      <w:r w:rsidR="00F270CB" w:rsidRPr="0051219B">
        <w:rPr>
          <w:rFonts w:cs="Times New Roman"/>
          <w:lang w:val="en-GB" w:eastAsia="zh-CN"/>
        </w:rPr>
        <w:fldChar w:fldCharType="begin" w:fldLock="1"/>
      </w:r>
      <w:r w:rsidR="00C87F8B" w:rsidRPr="0051219B">
        <w:rPr>
          <w:rFonts w:cs="Times New Roman"/>
          <w:lang w:val="en-GB" w:eastAsia="zh-CN"/>
        </w:rPr>
        <w:instrText>ADDIN CSL_CITATION {"citationItems":[{"id":"ITEM-1","itemData":{"DOI":"10.1038/nrmicro2171","ISSN":"17401526","PMID":"19648949","abstract":"Listeria monocytogenes is a bacterium that lives in the soil as a saprophyte but is capable of making the transition into a pathogen following its ingestion by susceptible humans or animals. Recent studies suggest that L. monocytogenes mediates its saprophyte-to-cytosolic-parasite transition through the careful modulation of the activity of a virulence regulatory protein known as PrfA, using a range of environmental cues that include available carbon sources. In this Progress article we describe the regulation of PrfA and its role in the L. monocytogenes transition from the saprophytic stage to the virulent intracellular stage.","author":[{"dropping-particle":"","family":"Freitag","given":"Nancy E.","non-dropping-particle":"","parse-names":false,"suffix":""},{"dropping-particle":"","family":"Port","given":"Gary C.","non-dropping-particle":"","parse-names":false,"suffix":""},{"dropping-particle":"","family":"Miner","given":"Maurine D.","non-dropping-particle":"","parse-names":false,"suffix":""}],"container-title":"Nature Reviews Microbiology","id":"ITEM-1","issue":"9","issued":{"date-parts":[["2009"]]},"page":"623-628","publisher":"Nature Publishing Group","title":"Listeria monocytogenes - From saprophyte to intracellular pathogen","type":"article-journal","volume":"7"},"uris":["http://www.mendeley.com/documents/?uuid=ecd46ae1-fc8c-46ca-8bb4-b0203a3c1490"]},{"id":"ITEM-2","itemData":{"DOI":"10.1016/j.foodcont.2016.12.016","ISSN":"09567135","abstract":"Improved control measures starting in the 1990s have greatly reduced the prevalence of L. monocytogenes in many food categories, particularly in meats and meat products. However, the rate of listeriosis has remained constant during the last decade and the more severe, systemic (invasive) form of listeriosis is now recognized as occurring more frequently in small outbreaks than previously recognized. This review addresses the recent advances in epidemiology and virulence, in growth and modelling, and insights from the risk assessments. Recognition of recent outbreaks from food vehicles not traditionally associated with L. monocytogenes (celery, cantaloupe, mung bean sprouts, stone fruits, caramel apples and ice cream) was facilitated by PFGE and, increasingly, whole genome sequencing. The Key Events framework, an understanding of the key individual biochemical steps from ingestion to infection, provides a structure for relating new knowledge on strain variability, mutations, and host susceptibility to the probability of illness. Guidance for determination of the growth/no growth potential of a food has been issued by several regulatory authorities and the risk assessments indicate that prevention of growth remains a principle control element. The recognition of biofilm formation and the possible existence of dormant, non-dividing persister cells will require additional attention. The recent outbreaks underscored the individual characteristics of specific foods (melons vs all fruit; microenvironments in the caramel apples) and raised questions about the current understanding of infectivity of lower doses and the susceptibility of specific individuals. Advances have been made in these areas, but further research is clearly necessary to control this pathogen.","author":[{"dropping-particle":"","family":"Buchanan","given":"Robert L.","non-dropping-particle":"","parse-names":false,"suffix":""},{"dropping-particle":"","family":"Gorris","given":"Leon G.M.","non-dropping-particle":"","parse-names":false,"suffix":""},{"dropping-particle":"","family":"Hayman","given":"Melinda M.","non-dropping-particle":"","parse-names":false,"suffix":""},{"dropping-particle":"","family":"Jackson","given":"Timothy C.","non-dropping-particle":"","parse-names":false,"suffix":""},{"dropping-particle":"","family":"Whiting","given":"Richard C.","non-dropping-particle":"","parse-names":false,"suffix":""}],"container-title":"Food Control","id":"ITEM-2","issued":{"date-parts":[["2017"]]},"page":"1-13","publisher":"Elsevier Ltd","title":"A review of Listeria monocytogenes: An update on outbreaks, virulence, dose-response, ecology, and risk assessments","type":"article-journal","volume":"75"},"uris":["http://www.mendeley.com/documents/?uuid=c4da27ce-b078-410a-8de3-ddc3f36d7496"]}],"mendeley":{"formattedCitation":"(Buchanan et al., 2017; Freitag et al., 2009)","plainTextFormattedCitation":"(Buchanan et al., 2017; Freitag et al., 2009)","previouslyFormattedCitation":"(Buchanan et al., 2017; Freitag et al., 2009)"},"properties":{"noteIndex":0},"schema":"https://github.com/citation-style-language/schema/raw/master/csl-citation.json"}</w:instrText>
      </w:r>
      <w:r w:rsidR="00F270CB" w:rsidRPr="0051219B">
        <w:rPr>
          <w:rFonts w:cs="Times New Roman"/>
          <w:lang w:val="en-GB" w:eastAsia="zh-CN"/>
        </w:rPr>
        <w:fldChar w:fldCharType="separate"/>
      </w:r>
      <w:r w:rsidR="00F270CB" w:rsidRPr="0051219B">
        <w:rPr>
          <w:rFonts w:cs="Times New Roman"/>
          <w:noProof/>
          <w:lang w:val="en-GB" w:eastAsia="zh-CN"/>
        </w:rPr>
        <w:t>(Buchanan et al., 2017; Freitag et al., 2009)</w:t>
      </w:r>
      <w:r w:rsidR="00F270CB" w:rsidRPr="0051219B">
        <w:rPr>
          <w:rFonts w:cs="Times New Roman"/>
          <w:lang w:val="en-GB" w:eastAsia="zh-CN"/>
        </w:rPr>
        <w:fldChar w:fldCharType="end"/>
      </w:r>
      <w:r w:rsidR="00887F51" w:rsidRPr="0051219B">
        <w:rPr>
          <w:rFonts w:cs="Times New Roman"/>
          <w:lang w:val="en-GB" w:eastAsia="zh-CN"/>
        </w:rPr>
        <w:t xml:space="preserve">. </w:t>
      </w:r>
      <w:r w:rsidR="00BA3994" w:rsidRPr="0051219B">
        <w:rPr>
          <w:rFonts w:cs="Times New Roman"/>
          <w:i/>
          <w:iCs/>
          <w:lang w:val="en-GB" w:eastAsia="zh-CN"/>
        </w:rPr>
        <w:t>L</w:t>
      </w:r>
      <w:r w:rsidR="0003475C">
        <w:rPr>
          <w:rFonts w:cs="Times New Roman"/>
          <w:i/>
          <w:iCs/>
          <w:lang w:val="en-GB" w:eastAsia="zh-CN"/>
        </w:rPr>
        <w:t xml:space="preserve">. </w:t>
      </w:r>
      <w:r w:rsidR="00BA3994" w:rsidRPr="0051219B">
        <w:rPr>
          <w:rFonts w:cs="Times New Roman"/>
          <w:i/>
          <w:iCs/>
          <w:lang w:val="en-GB" w:eastAsia="zh-CN"/>
        </w:rPr>
        <w:t>m</w:t>
      </w:r>
      <w:r w:rsidR="0003475C">
        <w:rPr>
          <w:rFonts w:cs="Times New Roman"/>
          <w:i/>
          <w:iCs/>
          <w:lang w:val="en-GB" w:eastAsia="zh-CN"/>
        </w:rPr>
        <w:t>onocytogenes</w:t>
      </w:r>
      <w:r w:rsidR="00BA3994" w:rsidRPr="0051219B">
        <w:rPr>
          <w:rFonts w:cs="Times New Roman"/>
          <w:lang w:val="en-GB" w:eastAsia="zh-CN"/>
        </w:rPr>
        <w:t xml:space="preserve"> is known to persist over long periods of time within food production facilities</w:t>
      </w:r>
      <w:r w:rsidR="00C87F8B" w:rsidRPr="0051219B">
        <w:rPr>
          <w:rFonts w:cs="Times New Roman"/>
          <w:lang w:val="en-GB" w:eastAsia="zh-CN"/>
        </w:rPr>
        <w:t xml:space="preserve">, colonising favourable niches. </w:t>
      </w:r>
      <w:r w:rsidR="00C517A2" w:rsidRPr="0051219B">
        <w:rPr>
          <w:rFonts w:cs="Times New Roman"/>
          <w:lang w:val="en-GB" w:eastAsia="zh-CN"/>
        </w:rPr>
        <w:t>Furthermore, the processing environments to a large degree are characterised by severe conditions</w:t>
      </w:r>
      <w:r w:rsidR="00272F5A" w:rsidRPr="0051219B">
        <w:rPr>
          <w:rFonts w:cs="Times New Roman"/>
          <w:lang w:val="en-GB" w:eastAsia="zh-CN"/>
        </w:rPr>
        <w:t>,</w:t>
      </w:r>
      <w:r w:rsidR="00C517A2" w:rsidRPr="0051219B">
        <w:rPr>
          <w:rFonts w:cs="Times New Roman"/>
          <w:lang w:val="en-GB" w:eastAsia="zh-CN"/>
        </w:rPr>
        <w:t xml:space="preserve"> like nutrients scarcity, acidic pH, high osmolarity, heat shock and ecological competitions</w:t>
      </w:r>
      <w:r w:rsidR="000936A5" w:rsidRPr="0051219B">
        <w:rPr>
          <w:rFonts w:cs="Times New Roman"/>
          <w:lang w:val="en-GB" w:eastAsia="zh-CN"/>
        </w:rPr>
        <w:t xml:space="preserve"> that can impose various levels of stress resulting in lethal</w:t>
      </w:r>
      <w:r w:rsidR="00684DEC" w:rsidRPr="0051219B">
        <w:rPr>
          <w:rFonts w:cs="Times New Roman"/>
          <w:lang w:val="en-GB" w:eastAsia="zh-CN"/>
        </w:rPr>
        <w:t xml:space="preserve"> (irrevocable microbial cells damage)</w:t>
      </w:r>
      <w:r w:rsidR="000936A5" w:rsidRPr="0051219B">
        <w:rPr>
          <w:rFonts w:cs="Times New Roman"/>
          <w:lang w:val="en-GB" w:eastAsia="zh-CN"/>
        </w:rPr>
        <w:t xml:space="preserve"> or sublethal</w:t>
      </w:r>
      <w:r w:rsidR="00684DEC" w:rsidRPr="0051219B">
        <w:rPr>
          <w:rFonts w:cs="Times New Roman"/>
          <w:lang w:val="en-GB" w:eastAsia="zh-CN"/>
        </w:rPr>
        <w:t xml:space="preserve"> (survival permission)</w:t>
      </w:r>
      <w:r w:rsidR="000936A5" w:rsidRPr="0051219B">
        <w:rPr>
          <w:rFonts w:cs="Times New Roman"/>
          <w:lang w:val="en-GB" w:eastAsia="zh-CN"/>
        </w:rPr>
        <w:t xml:space="preserve"> stresses</w:t>
      </w:r>
      <w:r w:rsidR="00684DEC" w:rsidRPr="0051219B">
        <w:rPr>
          <w:rFonts w:cs="Times New Roman"/>
          <w:lang w:val="en-GB" w:eastAsia="zh-CN"/>
        </w:rPr>
        <w:t xml:space="preserve"> </w:t>
      </w:r>
      <w:r w:rsidR="00684DEC" w:rsidRPr="0051219B">
        <w:rPr>
          <w:rFonts w:cs="Times New Roman"/>
          <w:lang w:val="en-GB" w:eastAsia="zh-CN"/>
        </w:rPr>
        <w:fldChar w:fldCharType="begin" w:fldLock="1"/>
      </w:r>
      <w:r w:rsidR="00684DEC" w:rsidRPr="0051219B">
        <w:rPr>
          <w:rFonts w:cs="Times New Roman"/>
          <w:lang w:val="en-GB" w:eastAsia="zh-CN"/>
        </w:rPr>
        <w:instrText>ADDIN CSL_CITATION {"citationItems":[{"id":"ITEM-1","itemData":{"DOI":"10.4315/0362-028X.JFP-13-150","ISSN":"0362028X","PMID":"24406014","abstract":"Over the last 10 to 15 years, increasing evidence suggests that persistence of Listeria monocytogenes in food processing plants for years or even decades is an important factor in the transmission of this foodborne pathogen and the root cause of a number of human listeriosis outbreaks. L. monocytogenes persistence in other food-associated environments (e.g., farms and retail establishments) may also contribute to food contamination and transmission of the pathogen to humans. Although L. monocytogenes persistence is typically identified through isolation of a specific molecular subtype from samples collected in a given environment over time, formal (statistical) criteria for identification of persistence are undefined. Environmental factors (e.g., facilities and equipment that are difficult to clean) have been identified as key contributors to persistence; however, the mechanisms are less well understood. Although some researchers have reported that persistent strains possess specific characteristics that may facilitate persistence (e.g., biofilm formation and better adaptation to stress conditions), other researchers have not found significant differences between persistent and nonpersistent strains in the phenotypic characteristics that might facilitate persistence. This review includes a discussion of our current knowledge concerning some key issues associated with the persistence of L. monocytogenes, with special focus on (i) persistence in food processing plants and other food-associated environments, (ii) persistence in the general environment, (iii) phenotypic and genetic characteristics of persistent strains, (iv) niches, and (v) public health and economic implications of persistence. Although the available data clearly indicate that L. monocytogenes persistence at various stages of the food chain contributes to contamination of finished products, continued efforts to quantitatively integrate data on L. monocytogenes persistence (e.g., meta-analysis or quantitative microbial risk assessment) will be needed to advance our understanding of persistence of this pathogen and its economic and public health impacts. Copyright © International Association for Food Protection.","author":[{"dropping-particle":"","family":"Ferreira","given":"V.","non-dropping-particle":"","parse-names":false,"suffix":""},{"dropping-particle":"","family":"Wiedmann","given":"M.","non-dropping-particle":"","parse-names":false,"suffix":""},{"dropping-particle":"","family":"Teixeira","given":"P.","non-dropping-particle":"","parse-names":false,"suffix":""},{"dropping-particle":"","family":"Stasiewicz","given":"M. J.","non-dropping-particle":"","parse-names":false,"suffix":""}],"container-title":"Journal of Food Protection","id":"ITEM-1","issue":"1","issued":{"date-parts":[["2014"]]},"page":"150-170","title":"Listeria monocytogenes persistence in food-associated environments: Epidemiology, strain characteristics, and implications for public health","type":"article-journal","volume":"77"},"uris":["http://www.mendeley.com/documents/?uuid=e50b8673-1a32-4a02-a2a3-65434b81b535"]}],"mendeley":{"formattedCitation":"(Ferreira et al., 2014)","plainTextFormattedCitation":"(Ferreira et al., 2014)","previouslyFormattedCitation":"(Ferreira et al., 2014)"},"properties":{"noteIndex":0},"schema":"https://github.com/citation-style-language/schema/raw/master/csl-citation.json"}</w:instrText>
      </w:r>
      <w:r w:rsidR="00684DEC" w:rsidRPr="0051219B">
        <w:rPr>
          <w:rFonts w:cs="Times New Roman"/>
          <w:lang w:val="en-GB" w:eastAsia="zh-CN"/>
        </w:rPr>
        <w:fldChar w:fldCharType="separate"/>
      </w:r>
      <w:r w:rsidR="00684DEC" w:rsidRPr="0051219B">
        <w:rPr>
          <w:rFonts w:cs="Times New Roman"/>
          <w:noProof/>
          <w:lang w:val="en-GB" w:eastAsia="zh-CN"/>
        </w:rPr>
        <w:t>(Ferreira et al., 2014)</w:t>
      </w:r>
      <w:r w:rsidR="00684DEC" w:rsidRPr="0051219B">
        <w:rPr>
          <w:rFonts w:cs="Times New Roman"/>
          <w:lang w:val="en-GB" w:eastAsia="zh-CN"/>
        </w:rPr>
        <w:fldChar w:fldCharType="end"/>
      </w:r>
      <w:r w:rsidR="000936A5" w:rsidRPr="0051219B">
        <w:rPr>
          <w:rFonts w:cs="Times New Roman"/>
          <w:lang w:val="en-GB" w:eastAsia="zh-CN"/>
        </w:rPr>
        <w:t>.</w:t>
      </w:r>
    </w:p>
    <w:p w:rsidR="00272F5A" w:rsidRPr="0051219B" w:rsidRDefault="00F7695C" w:rsidP="00C517A2">
      <w:pPr>
        <w:rPr>
          <w:rFonts w:cs="Times New Roman"/>
          <w:lang w:val="en-GB" w:eastAsia="zh-CN"/>
        </w:rPr>
      </w:pPr>
      <w:r w:rsidRPr="0051219B">
        <w:rPr>
          <w:rFonts w:cs="Times New Roman"/>
          <w:lang w:val="en-GB" w:eastAsia="zh-CN"/>
        </w:rPr>
        <w:t>Low acidity is mainly characterising production lines that include products from fruit and vegetable derivatives (such as fruit purees and juices) but also a condition during the cleaning and sanit</w:t>
      </w:r>
      <w:r w:rsidR="00E40450" w:rsidRPr="0051219B">
        <w:rPr>
          <w:rFonts w:cs="Times New Roman"/>
          <w:lang w:val="en-GB" w:eastAsia="zh-CN"/>
        </w:rPr>
        <w:t>isation</w:t>
      </w:r>
      <w:r w:rsidRPr="0051219B">
        <w:rPr>
          <w:rFonts w:cs="Times New Roman"/>
          <w:lang w:val="en-GB" w:eastAsia="zh-CN"/>
        </w:rPr>
        <w:t xml:space="preserve"> proce</w:t>
      </w:r>
      <w:r w:rsidR="00E40450" w:rsidRPr="0051219B">
        <w:rPr>
          <w:rFonts w:cs="Times New Roman"/>
          <w:lang w:val="en-GB" w:eastAsia="zh-CN"/>
        </w:rPr>
        <w:t>ss</w:t>
      </w:r>
      <w:r w:rsidRPr="0051219B">
        <w:rPr>
          <w:rFonts w:cs="Times New Roman"/>
          <w:lang w:val="en-GB" w:eastAsia="zh-CN"/>
        </w:rPr>
        <w:t>, where acids are commonly used.</w:t>
      </w:r>
      <w:r w:rsidR="00E40450" w:rsidRPr="0051219B">
        <w:rPr>
          <w:rFonts w:cs="Times New Roman"/>
          <w:lang w:val="en-GB" w:eastAsia="zh-CN"/>
        </w:rPr>
        <w:t xml:space="preserve"> Weak acids have been used as food preservatives and their mode of action is represented at Figure 1. Briefly weak organic acids </w:t>
      </w:r>
      <w:r w:rsidR="006923B0" w:rsidRPr="0051219B">
        <w:rPr>
          <w:rFonts w:cs="Times New Roman"/>
          <w:lang w:val="en-GB" w:eastAsia="zh-CN"/>
        </w:rPr>
        <w:t xml:space="preserve">can present in parallel their dissociated and undissociated state, depending on their acidic group state and the pH of the environment. The undissociated form is able to freely diffuse into the microbial cytoplasm till to reach an equilibrium (equal internal and external concentration). In this way the </w:t>
      </w:r>
      <w:r w:rsidR="00604EDC" w:rsidRPr="0051219B">
        <w:rPr>
          <w:rFonts w:cs="Times New Roman"/>
          <w:lang w:val="en-GB" w:eastAsia="zh-CN"/>
        </w:rPr>
        <w:t xml:space="preserve">intracellular pH is reduced, the osmolarity of the cytoplasm is increased and general metabolic perturbations are observed </w:t>
      </w:r>
      <w:r w:rsidR="00604EDC" w:rsidRPr="0051219B">
        <w:rPr>
          <w:rFonts w:cs="Times New Roman"/>
          <w:lang w:val="en-GB" w:eastAsia="zh-CN"/>
        </w:rPr>
        <w:fldChar w:fldCharType="begin" w:fldLock="1"/>
      </w:r>
      <w:r w:rsidR="00235D6F" w:rsidRPr="0051219B">
        <w:rPr>
          <w:rFonts w:cs="Times New Roman"/>
          <w:lang w:val="en-GB" w:eastAsia="zh-CN"/>
        </w:rPr>
        <w:instrText>ADDIN CSL_CITATION {"citationItems":[{"id":"ITEM-1","itemData":{"DOI":"10.3184/003685003783238626","ISSN":"00368504","PMID":"15508892","abstract":"Weak organic acids have been used for centuries to preserve foods, but only recently has the possible mechanism for bacterial growth inhibition been investigated. Although the lowering of internal pH was favored as the cause of growth inhibition, the emphasis has shifted to the anion and its specificity. There are a number of applications of weak organic acids to foods and in the food industry be they pre- or postharvest, However, there is concern that the ability of foodborne pathogens to adapt to these acids may allow longer survival in these commodities and also to better survive transit through the gastric acid barrier of the stomach. Genomic and proteomic approaches have been applied to the identification of genes and proteins that may allow prokaryotes to cope with organic acid stress. These technologies in combination with genetic approaches may provide better identification of genes essential for survival to organic acids. These acids may have other roles: they can induce phenotypic antibiotic resistance, and the high concentrations of these acids in the colon may signal a relationship to diet, colonic microflora, and human health.","author":[{"dropping-particle":"","family":"Hirshfield","given":"Irvin N.","non-dropping-particle":"","parse-names":false,"suffix":""},{"dropping-particle":"","family":"Terzulli","given":"Stephanie","non-dropping-particle":"","parse-names":false,"suffix":""},{"dropping-particle":"","family":"O'Byrne","given":"Conor","non-dropping-particle":"","parse-names":false,"suffix":""}],"container-title":"Science progress","id":"ITEM-1","issue":"Pt 4","issued":{"date-parts":[["2003"]]},"page":"245-269","title":"Weak organic acids: a panoply of effects on bacteria.","type":"article-journal","volume":"86"},"uris":["http://www.mendeley.com/documents/?uuid=4b935e20-75b8-4897-bbed-15ca6e5d9563"]}],"mendeley":{"formattedCitation":"(Hirshfield et al., 2003)","plainTextFormattedCitation":"(Hirshfield et al., 2003)","previouslyFormattedCitation":"(Hirshfield et al., 2003)"},"properties":{"noteIndex":0},"schema":"https://github.com/citation-style-language/schema/raw/master/csl-citation.json"}</w:instrText>
      </w:r>
      <w:r w:rsidR="00604EDC" w:rsidRPr="0051219B">
        <w:rPr>
          <w:rFonts w:cs="Times New Roman"/>
          <w:lang w:val="en-GB" w:eastAsia="zh-CN"/>
        </w:rPr>
        <w:fldChar w:fldCharType="separate"/>
      </w:r>
      <w:r w:rsidR="00604EDC" w:rsidRPr="0051219B">
        <w:rPr>
          <w:rFonts w:cs="Times New Roman"/>
          <w:noProof/>
          <w:lang w:val="en-GB" w:eastAsia="zh-CN"/>
        </w:rPr>
        <w:t>(Hirshfield et al., 2003)</w:t>
      </w:r>
      <w:r w:rsidR="00604EDC" w:rsidRPr="0051219B">
        <w:rPr>
          <w:rFonts w:cs="Times New Roman"/>
          <w:lang w:val="en-GB" w:eastAsia="zh-CN"/>
        </w:rPr>
        <w:fldChar w:fldCharType="end"/>
      </w:r>
      <w:r w:rsidR="00604EDC" w:rsidRPr="0051219B">
        <w:rPr>
          <w:rFonts w:cs="Times New Roman"/>
          <w:lang w:val="en-GB" w:eastAsia="zh-CN"/>
        </w:rPr>
        <w:t xml:space="preserve">. </w:t>
      </w:r>
    </w:p>
    <w:p w:rsidR="006A12EC" w:rsidRPr="00680207" w:rsidRDefault="006A12EC" w:rsidP="00604EDC">
      <w:pPr>
        <w:widowControl w:val="0"/>
        <w:suppressAutoHyphens/>
        <w:rPr>
          <w:rFonts w:eastAsia="Times New Roman" w:cs="Times New Roman"/>
          <w:kern w:val="0"/>
          <w:sz w:val="11"/>
          <w:szCs w:val="11"/>
          <w:lang w:val="en-GB" w:eastAsia="zh-CN"/>
          <w14:ligatures w14:val="none"/>
        </w:rPr>
      </w:pPr>
    </w:p>
    <w:p w:rsidR="00E40450" w:rsidRPr="004F744B" w:rsidRDefault="004F744B" w:rsidP="00604EDC">
      <w:pPr>
        <w:keepNext/>
        <w:jc w:val="center"/>
        <w:rPr>
          <w:rFonts w:cs="Times New Roman"/>
          <w:lang w:val="en-GB"/>
        </w:rPr>
      </w:pPr>
      <w:r w:rsidRPr="004F744B">
        <w:rPr>
          <w:rFonts w:cs="Times New Roman"/>
          <w:noProof/>
        </w:rPr>
        <w:drawing>
          <wp:inline distT="0" distB="0" distL="0" distR="0" wp14:anchorId="6C8C4BB9" wp14:editId="458AB569">
            <wp:extent cx="1880869" cy="1064175"/>
            <wp:effectExtent l="0" t="0" r="0" b="3175"/>
            <wp:docPr id="1315609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609654"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80869" cy="1064175"/>
                    </a:xfrm>
                    <a:prstGeom prst="rect">
                      <a:avLst/>
                    </a:prstGeom>
                  </pic:spPr>
                </pic:pic>
              </a:graphicData>
            </a:graphic>
          </wp:inline>
        </w:drawing>
      </w:r>
    </w:p>
    <w:p w:rsidR="003F270D" w:rsidRPr="0051219B" w:rsidRDefault="00E40450" w:rsidP="00FB6BB1">
      <w:pPr>
        <w:pStyle w:val="Caption"/>
        <w:spacing w:before="300" w:after="300"/>
        <w:ind w:left="851" w:hanging="851"/>
        <w:jc w:val="center"/>
        <w:rPr>
          <w:rFonts w:cs="Times New Roman"/>
          <w:lang w:val="en-US" w:eastAsia="zh-CN"/>
        </w:rPr>
      </w:pPr>
      <w:r w:rsidRPr="0051219B">
        <w:rPr>
          <w:rFonts w:cs="Times New Roman"/>
          <w:b/>
          <w:bCs/>
          <w:i w:val="0"/>
          <w:iCs w:val="0"/>
        </w:rPr>
        <w:t xml:space="preserve">Figure </w:t>
      </w:r>
      <w:r w:rsidRPr="0051219B">
        <w:rPr>
          <w:rFonts w:cs="Times New Roman"/>
          <w:b/>
          <w:bCs/>
          <w:i w:val="0"/>
          <w:iCs w:val="0"/>
        </w:rPr>
        <w:fldChar w:fldCharType="begin"/>
      </w:r>
      <w:r w:rsidRPr="0051219B">
        <w:rPr>
          <w:rFonts w:cs="Times New Roman"/>
          <w:b/>
          <w:bCs/>
          <w:i w:val="0"/>
          <w:iCs w:val="0"/>
        </w:rPr>
        <w:instrText xml:space="preserve"> SEQ Figure \* ARABIC </w:instrText>
      </w:r>
      <w:r w:rsidRPr="0051219B">
        <w:rPr>
          <w:rFonts w:cs="Times New Roman"/>
          <w:b/>
          <w:bCs/>
          <w:i w:val="0"/>
          <w:iCs w:val="0"/>
        </w:rPr>
        <w:fldChar w:fldCharType="separate"/>
      </w:r>
      <w:r w:rsidR="00A166E8">
        <w:rPr>
          <w:rFonts w:cs="Times New Roman"/>
          <w:b/>
          <w:bCs/>
          <w:i w:val="0"/>
          <w:iCs w:val="0"/>
          <w:noProof/>
        </w:rPr>
        <w:t>1</w:t>
      </w:r>
      <w:r w:rsidRPr="0051219B">
        <w:rPr>
          <w:rFonts w:cs="Times New Roman"/>
          <w:b/>
          <w:bCs/>
          <w:i w:val="0"/>
          <w:iCs w:val="0"/>
        </w:rPr>
        <w:fldChar w:fldCharType="end"/>
      </w:r>
      <w:r w:rsidRPr="0051219B">
        <w:rPr>
          <w:rFonts w:cs="Times New Roman"/>
          <w:lang w:val="en-US"/>
        </w:rPr>
        <w:t xml:space="preserve"> Dissociation Equilibrium of Weak Organic Acids on the Cell.</w:t>
      </w:r>
    </w:p>
    <w:p w:rsidR="0000685B" w:rsidRPr="0051219B" w:rsidRDefault="003D481F" w:rsidP="00BE45C5">
      <w:pPr>
        <w:rPr>
          <w:rFonts w:cs="Times New Roman"/>
          <w:lang w:val="en-GB" w:eastAsia="zh-CN"/>
        </w:rPr>
      </w:pPr>
      <w:r w:rsidRPr="0051219B">
        <w:rPr>
          <w:rFonts w:cs="Times New Roman"/>
          <w:i/>
          <w:iCs/>
          <w:lang w:val="en-GB" w:eastAsia="zh-CN"/>
        </w:rPr>
        <w:t>Listeria monocytogenes</w:t>
      </w:r>
      <w:r w:rsidRPr="0051219B">
        <w:rPr>
          <w:rFonts w:cs="Times New Roman"/>
          <w:lang w:val="en-GB" w:eastAsia="zh-CN"/>
        </w:rPr>
        <w:t xml:space="preserve"> </w:t>
      </w:r>
      <w:r w:rsidR="003C70A6" w:rsidRPr="0051219B">
        <w:rPr>
          <w:rFonts w:cs="Times New Roman"/>
          <w:lang w:val="en-GB" w:eastAsia="zh-CN"/>
        </w:rPr>
        <w:t xml:space="preserve">adaptation to sublethal conditions, increases its resistance </w:t>
      </w:r>
      <w:r w:rsidR="00BE45C5" w:rsidRPr="0051219B">
        <w:rPr>
          <w:rFonts w:cs="Times New Roman"/>
          <w:lang w:val="en-GB" w:eastAsia="zh-CN"/>
        </w:rPr>
        <w:t xml:space="preserve">that results in </w:t>
      </w:r>
      <w:r w:rsidR="0000685B" w:rsidRPr="0051219B">
        <w:rPr>
          <w:rFonts w:cs="Times New Roman"/>
          <w:lang w:val="en-GB" w:eastAsia="zh-CN"/>
        </w:rPr>
        <w:t>significant</w:t>
      </w:r>
      <w:r w:rsidR="00BE45C5" w:rsidRPr="0051219B">
        <w:rPr>
          <w:rFonts w:cs="Times New Roman"/>
          <w:lang w:val="en-GB" w:eastAsia="zh-CN"/>
        </w:rPr>
        <w:t xml:space="preserve"> gene and protein expression profile</w:t>
      </w:r>
      <w:r w:rsidR="0000685B" w:rsidRPr="0051219B">
        <w:rPr>
          <w:rFonts w:cs="Times New Roman"/>
          <w:lang w:val="en-GB" w:eastAsia="zh-CN"/>
        </w:rPr>
        <w:t xml:space="preserve"> changes</w:t>
      </w:r>
      <w:r w:rsidR="00BE45C5" w:rsidRPr="0051219B">
        <w:rPr>
          <w:rFonts w:cs="Times New Roman"/>
          <w:lang w:val="en-GB" w:eastAsia="zh-CN"/>
        </w:rPr>
        <w:t xml:space="preserve"> </w:t>
      </w:r>
      <w:r w:rsidR="0000685B" w:rsidRPr="0051219B">
        <w:rPr>
          <w:rFonts w:cs="Times New Roman"/>
          <w:lang w:val="en-GB" w:eastAsia="zh-CN"/>
        </w:rPr>
        <w:t xml:space="preserve">mainly associated with the mobilisation of cellular mechanisms that </w:t>
      </w:r>
      <w:r w:rsidR="00611806">
        <w:rPr>
          <w:rFonts w:cs="Times New Roman"/>
          <w:lang w:val="en-GB" w:eastAsia="zh-CN"/>
        </w:rPr>
        <w:t>deal with</w:t>
      </w:r>
      <w:r w:rsidR="0000685B" w:rsidRPr="0051219B">
        <w:rPr>
          <w:rFonts w:cs="Times New Roman"/>
          <w:lang w:val="en-GB" w:eastAsia="zh-CN"/>
        </w:rPr>
        <w:t xml:space="preserve"> acids. </w:t>
      </w:r>
      <w:r w:rsidR="0000685B" w:rsidRPr="0051219B">
        <w:rPr>
          <w:rFonts w:cs="Times New Roman"/>
          <w:i/>
          <w:iCs/>
          <w:lang w:val="en-GB" w:eastAsia="zh-CN"/>
        </w:rPr>
        <w:t>L</w:t>
      </w:r>
      <w:r w:rsidR="00611806">
        <w:rPr>
          <w:rFonts w:cs="Times New Roman"/>
          <w:i/>
          <w:iCs/>
          <w:lang w:val="en-GB" w:eastAsia="zh-CN"/>
        </w:rPr>
        <w:t xml:space="preserve">. </w:t>
      </w:r>
      <w:r w:rsidR="0000685B" w:rsidRPr="0051219B">
        <w:rPr>
          <w:rFonts w:cs="Times New Roman"/>
          <w:i/>
          <w:iCs/>
          <w:lang w:val="en-GB" w:eastAsia="zh-CN"/>
        </w:rPr>
        <w:t>m</w:t>
      </w:r>
      <w:r w:rsidR="00611806">
        <w:rPr>
          <w:rFonts w:cs="Times New Roman"/>
          <w:i/>
          <w:iCs/>
          <w:lang w:val="en-GB" w:eastAsia="zh-CN"/>
        </w:rPr>
        <w:t>onocytogenes</w:t>
      </w:r>
      <w:r w:rsidR="0000685B" w:rsidRPr="0051219B">
        <w:rPr>
          <w:rFonts w:cs="Times New Roman"/>
          <w:lang w:val="en-GB" w:eastAsia="zh-CN"/>
        </w:rPr>
        <w:t xml:space="preserve"> responds to the acidic stress conditions through the production of various Acid Stress response Proteins (ASPs), such as proteins involved to the respiration (dehydrogenases</w:t>
      </w:r>
      <w:r w:rsidR="00235D6F" w:rsidRPr="0051219B">
        <w:rPr>
          <w:rFonts w:cs="Times New Roman"/>
          <w:lang w:val="en-GB" w:eastAsia="zh-CN"/>
        </w:rPr>
        <w:t xml:space="preserve"> (</w:t>
      </w:r>
      <w:proofErr w:type="spellStart"/>
      <w:r w:rsidR="00235D6F" w:rsidRPr="0051219B">
        <w:rPr>
          <w:rFonts w:cs="Times New Roman"/>
          <w:lang w:val="en-GB" w:eastAsia="zh-CN"/>
        </w:rPr>
        <w:t>GuaB</w:t>
      </w:r>
      <w:proofErr w:type="spellEnd"/>
      <w:r w:rsidR="00235D6F" w:rsidRPr="0051219B">
        <w:rPr>
          <w:rFonts w:cs="Times New Roman"/>
          <w:lang w:val="en-GB" w:eastAsia="zh-CN"/>
        </w:rPr>
        <w:t xml:space="preserve">, </w:t>
      </w:r>
      <w:proofErr w:type="spellStart"/>
      <w:r w:rsidR="00235D6F" w:rsidRPr="0051219B">
        <w:rPr>
          <w:rFonts w:cs="Times New Roman"/>
          <w:lang w:val="en-GB" w:eastAsia="zh-CN"/>
        </w:rPr>
        <w:t>PduQ</w:t>
      </w:r>
      <w:proofErr w:type="spellEnd"/>
      <w:r w:rsidR="00235D6F" w:rsidRPr="0051219B">
        <w:rPr>
          <w:rFonts w:cs="Times New Roman"/>
          <w:lang w:val="en-GB" w:eastAsia="zh-CN"/>
        </w:rPr>
        <w:t>, lmo0560)</w:t>
      </w:r>
      <w:r w:rsidR="0000685B" w:rsidRPr="0051219B">
        <w:rPr>
          <w:rFonts w:cs="Times New Roman"/>
          <w:lang w:val="en-GB" w:eastAsia="zh-CN"/>
        </w:rPr>
        <w:t xml:space="preserve"> </w:t>
      </w:r>
      <w:r w:rsidR="00235D6F" w:rsidRPr="0051219B">
        <w:rPr>
          <w:rFonts w:cs="Times New Roman"/>
          <w:lang w:val="en-GB" w:eastAsia="zh-CN"/>
        </w:rPr>
        <w:t>–</w:t>
      </w:r>
      <w:r w:rsidR="0000685B" w:rsidRPr="0051219B">
        <w:rPr>
          <w:rFonts w:cs="Times New Roman"/>
          <w:lang w:val="en-GB" w:eastAsia="zh-CN"/>
        </w:rPr>
        <w:t xml:space="preserve"> reductases</w:t>
      </w:r>
      <w:r w:rsidR="006825BF" w:rsidRPr="0051219B">
        <w:rPr>
          <w:rFonts w:cs="Times New Roman"/>
          <w:lang w:val="en-GB" w:eastAsia="zh-CN"/>
        </w:rPr>
        <w:t xml:space="preserve"> </w:t>
      </w:r>
      <w:r w:rsidR="00235D6F" w:rsidRPr="0051219B">
        <w:rPr>
          <w:rFonts w:cs="Times New Roman"/>
          <w:lang w:val="en-GB" w:eastAsia="zh-CN"/>
        </w:rPr>
        <w:t>(</w:t>
      </w:r>
      <w:proofErr w:type="spellStart"/>
      <w:r w:rsidR="00235D6F" w:rsidRPr="0051219B">
        <w:rPr>
          <w:rFonts w:cs="Times New Roman"/>
          <w:lang w:val="en-GB" w:eastAsia="zh-CN"/>
        </w:rPr>
        <w:t>YcgT</w:t>
      </w:r>
      <w:proofErr w:type="spellEnd"/>
      <w:r w:rsidR="00235D6F" w:rsidRPr="0051219B">
        <w:rPr>
          <w:rFonts w:cs="Times New Roman"/>
          <w:lang w:val="en-GB" w:eastAsia="zh-CN"/>
        </w:rPr>
        <w:t>)</w:t>
      </w:r>
      <w:r w:rsidR="0000685B" w:rsidRPr="0051219B">
        <w:rPr>
          <w:rFonts w:cs="Times New Roman"/>
          <w:lang w:val="en-GB" w:eastAsia="zh-CN"/>
        </w:rPr>
        <w:t>), osmolyte transport (</w:t>
      </w:r>
      <w:proofErr w:type="spellStart"/>
      <w:r w:rsidR="0000685B" w:rsidRPr="0051219B">
        <w:rPr>
          <w:rFonts w:cs="Times New Roman"/>
          <w:lang w:val="en-GB" w:eastAsia="zh-CN"/>
        </w:rPr>
        <w:t>GbuA</w:t>
      </w:r>
      <w:proofErr w:type="spellEnd"/>
      <w:r w:rsidR="0000685B" w:rsidRPr="0051219B">
        <w:rPr>
          <w:rFonts w:cs="Times New Roman"/>
          <w:lang w:val="en-GB" w:eastAsia="zh-CN"/>
        </w:rPr>
        <w:t>), protein folding and repair (</w:t>
      </w:r>
      <w:proofErr w:type="spellStart"/>
      <w:r w:rsidR="0000685B" w:rsidRPr="0051219B">
        <w:rPr>
          <w:rFonts w:cs="Times New Roman"/>
          <w:lang w:val="en-GB" w:eastAsia="zh-CN"/>
        </w:rPr>
        <w:t>Chapronin</w:t>
      </w:r>
      <w:proofErr w:type="spellEnd"/>
      <w:r w:rsidR="0000685B" w:rsidRPr="0051219B">
        <w:rPr>
          <w:rFonts w:cs="Times New Roman"/>
          <w:lang w:val="en-GB" w:eastAsia="zh-CN"/>
        </w:rPr>
        <w:t xml:space="preserve">, </w:t>
      </w:r>
      <w:proofErr w:type="spellStart"/>
      <w:r w:rsidR="0000685B" w:rsidRPr="0051219B">
        <w:rPr>
          <w:rFonts w:cs="Times New Roman"/>
          <w:lang w:val="en-GB" w:eastAsia="zh-CN"/>
        </w:rPr>
        <w:t>GroEL</w:t>
      </w:r>
      <w:proofErr w:type="spellEnd"/>
      <w:r w:rsidR="0000685B" w:rsidRPr="0051219B">
        <w:rPr>
          <w:rFonts w:cs="Times New Roman"/>
          <w:lang w:val="en-GB" w:eastAsia="zh-CN"/>
        </w:rPr>
        <w:t xml:space="preserve">, </w:t>
      </w:r>
      <w:proofErr w:type="spellStart"/>
      <w:r w:rsidR="0000685B" w:rsidRPr="0051219B">
        <w:rPr>
          <w:rFonts w:cs="Times New Roman"/>
          <w:lang w:val="en-GB" w:eastAsia="zh-CN"/>
        </w:rPr>
        <w:t>ClpP</w:t>
      </w:r>
      <w:proofErr w:type="spellEnd"/>
      <w:r w:rsidR="0000685B" w:rsidRPr="0051219B">
        <w:rPr>
          <w:rFonts w:cs="Times New Roman"/>
          <w:lang w:val="en-GB" w:eastAsia="zh-CN"/>
        </w:rPr>
        <w:t>), flagella synthesis (</w:t>
      </w:r>
      <w:proofErr w:type="spellStart"/>
      <w:r w:rsidR="0000685B" w:rsidRPr="0051219B">
        <w:rPr>
          <w:rFonts w:cs="Times New Roman"/>
          <w:lang w:val="en-GB" w:eastAsia="zh-CN"/>
        </w:rPr>
        <w:t>FlaA</w:t>
      </w:r>
      <w:proofErr w:type="spellEnd"/>
      <w:r w:rsidR="0000685B" w:rsidRPr="0051219B">
        <w:rPr>
          <w:rFonts w:cs="Times New Roman"/>
          <w:lang w:val="en-GB" w:eastAsia="zh-CN"/>
        </w:rPr>
        <w:t>) and metabolism (</w:t>
      </w:r>
      <w:proofErr w:type="spellStart"/>
      <w:r w:rsidR="0000685B" w:rsidRPr="0051219B">
        <w:rPr>
          <w:rFonts w:cs="Times New Roman"/>
          <w:lang w:val="en-GB" w:eastAsia="zh-CN"/>
        </w:rPr>
        <w:t>Pfk</w:t>
      </w:r>
      <w:proofErr w:type="spellEnd"/>
      <w:r w:rsidR="0000685B" w:rsidRPr="0051219B">
        <w:rPr>
          <w:rFonts w:cs="Times New Roman"/>
          <w:lang w:val="en-GB" w:eastAsia="zh-CN"/>
        </w:rPr>
        <w:t xml:space="preserve">, </w:t>
      </w:r>
      <w:proofErr w:type="spellStart"/>
      <w:r w:rsidR="0000685B" w:rsidRPr="0051219B">
        <w:rPr>
          <w:rFonts w:cs="Times New Roman"/>
          <w:lang w:val="en-GB" w:eastAsia="zh-CN"/>
        </w:rPr>
        <w:t>GalE</w:t>
      </w:r>
      <w:proofErr w:type="spellEnd"/>
      <w:r w:rsidR="0000685B" w:rsidRPr="0051219B">
        <w:rPr>
          <w:rFonts w:cs="Times New Roman"/>
          <w:lang w:val="en-GB" w:eastAsia="zh-CN"/>
        </w:rPr>
        <w:t>)</w:t>
      </w:r>
      <w:r w:rsidR="00235D6F" w:rsidRPr="0051219B">
        <w:rPr>
          <w:rFonts w:cs="Times New Roman"/>
          <w:lang w:val="en-GB" w:eastAsia="zh-CN"/>
        </w:rPr>
        <w:t xml:space="preserve"> </w:t>
      </w:r>
      <w:r w:rsidR="00235D6F" w:rsidRPr="0051219B">
        <w:rPr>
          <w:rFonts w:cs="Times New Roman"/>
          <w:lang w:val="en-GB" w:eastAsia="zh-CN"/>
        </w:rPr>
        <w:fldChar w:fldCharType="begin" w:fldLock="1"/>
      </w:r>
      <w:r w:rsidR="002167A0" w:rsidRPr="0051219B">
        <w:rPr>
          <w:rFonts w:cs="Times New Roman"/>
          <w:lang w:val="en-GB" w:eastAsia="zh-CN"/>
        </w:rPr>
        <w:instrText>ADDIN CSL_CITATION {"citationItems":[{"id":"ITEM-1","itemData":{"DOI":"10.5167/uzh-60457","abstract":"Listeria monocytogenes adapts to diverse stress conditions including cold, osmotic, heat, acid, and alkali stresses encountered during food processing and preservation which is a serious food safety threat. In this review, we have presented the major findings on this bacterium’s stress response proteomes to date along with the different approaches used for its proteomic analysis. The key proteome findings on cold, heat shock, salt, acid, alkaline and HHP stresses illustrate that the cellular stress responses in this organism are a culmination of multiple protein expression changes in response to a particular stress stimuli. Moreover, a number of key proteins may be involved in conferring the cross protective effects against various stress environments. As an example, ferritin-like protein (designated as Fri or Flp) is induced during cold, heat, and HHP stresses. Similarly, general stress protein Ctc is induced in cold and osmotic stresses while mo- lecular chaperones such as GroEL and DnaK are induced in cold and heat stresses. Furthermore, a number of stress proteins also contribute towards L. monocytogenes virulence and pathogenicity. Future research may lead to understanding the stress proteomes of this pathogen induced on various food matrices and processing environments in which it can persist for long periods of time.","author":[{"dropping-particle":"","family":"Soni","given":"Kamlesh A","non-dropping-particle":"","parse-names":false,"suffix":""},{"dropping-particle":"","family":"Nannapaneni","given":"Ramakrishna","non-dropping-particle":"","parse-names":false,"suffix":""},{"dropping-particle":"","family":"Tasara","given":"Taurai","non-dropping-particle":"","parse-names":false,"suffix":""}],"container-title":"Agriculture, Food and Analytical Bacteriology","id":"ITEM-1","issue":"1","issued":{"date-parts":[["2011"]]},"page":"66-85","title":"An overview of stress response proteomes in Listeria monocytogenes","type":"article-journal","volume":"1"},"uris":["http://www.mendeley.com/documents/?uuid=466e6579-f964-4bed-84e4-2679cdad66e4"]}],"mendeley":{"formattedCitation":"(Soni et al., 2011)","plainTextFormattedCitation":"(Soni et al., 2011)","previouslyFormattedCitation":"(Soni et al., 2011)"},"properties":{"noteIndex":0},"schema":"https://github.com/citation-style-language/schema/raw/master/csl-citation.json"}</w:instrText>
      </w:r>
      <w:r w:rsidR="00235D6F" w:rsidRPr="0051219B">
        <w:rPr>
          <w:rFonts w:cs="Times New Roman"/>
          <w:lang w:val="en-GB" w:eastAsia="zh-CN"/>
        </w:rPr>
        <w:fldChar w:fldCharType="separate"/>
      </w:r>
      <w:r w:rsidR="00235D6F" w:rsidRPr="0051219B">
        <w:rPr>
          <w:rFonts w:cs="Times New Roman"/>
          <w:noProof/>
          <w:lang w:val="en-GB" w:eastAsia="zh-CN"/>
        </w:rPr>
        <w:t>(Soni et al., 2011)</w:t>
      </w:r>
      <w:r w:rsidR="00235D6F" w:rsidRPr="0051219B">
        <w:rPr>
          <w:rFonts w:cs="Times New Roman"/>
          <w:lang w:val="en-GB" w:eastAsia="zh-CN"/>
        </w:rPr>
        <w:fldChar w:fldCharType="end"/>
      </w:r>
      <w:r w:rsidR="0000685B" w:rsidRPr="0051219B">
        <w:rPr>
          <w:rFonts w:cs="Times New Roman"/>
          <w:lang w:val="en-GB" w:eastAsia="zh-CN"/>
        </w:rPr>
        <w:t xml:space="preserve">. </w:t>
      </w:r>
      <w:r w:rsidR="006825BF" w:rsidRPr="0051219B">
        <w:rPr>
          <w:rFonts w:cs="Times New Roman"/>
          <w:lang w:val="en-GB" w:eastAsia="zh-CN"/>
        </w:rPr>
        <w:t xml:space="preserve">Furthermore, </w:t>
      </w:r>
      <w:proofErr w:type="spellStart"/>
      <w:r w:rsidR="006825BF" w:rsidRPr="0051219B">
        <w:rPr>
          <w:rFonts w:cs="Times New Roman"/>
          <w:i/>
          <w:iCs/>
          <w:lang w:val="en-GB" w:eastAsia="zh-CN"/>
        </w:rPr>
        <w:t>Lm</w:t>
      </w:r>
      <w:proofErr w:type="spellEnd"/>
      <w:r w:rsidR="006825BF" w:rsidRPr="0051219B">
        <w:rPr>
          <w:rFonts w:cs="Times New Roman"/>
          <w:lang w:val="en-GB" w:eastAsia="zh-CN"/>
        </w:rPr>
        <w:t xml:space="preserve"> possesses various acid adaptive mechanisms including the Adaptive Acid Tolerance Response (ATR), the Glutamate Decarboxylase (GAD) system and the Arginine Deaminase (ADI) system</w:t>
      </w:r>
      <w:r w:rsidR="002167A0" w:rsidRPr="0051219B">
        <w:rPr>
          <w:rFonts w:cs="Times New Roman"/>
          <w:lang w:val="en-GB" w:eastAsia="zh-CN"/>
        </w:rPr>
        <w:t xml:space="preserve"> that help the microorganism regulate the internal cytoplasmic pH and in general overcome the acidic environments </w:t>
      </w:r>
      <w:r w:rsidR="002167A0" w:rsidRPr="0051219B">
        <w:rPr>
          <w:rFonts w:cs="Times New Roman"/>
          <w:lang w:val="en-GB" w:eastAsia="zh-CN"/>
        </w:rPr>
        <w:fldChar w:fldCharType="begin" w:fldLock="1"/>
      </w:r>
      <w:r w:rsidR="00BA0EC7" w:rsidRPr="0051219B">
        <w:rPr>
          <w:rFonts w:cs="Times New Roman"/>
          <w:lang w:val="en-GB" w:eastAsia="zh-CN"/>
        </w:rPr>
        <w:instrText>ADDIN CSL_CITATION {"citationItems":[{"id":"ITEM-1","itemData":{"DOI":"10.3389/fmicb.2016.01865","ISSN":"1664302X","abstract":"The foodborne pathogen Listeria monocytogenes is a highly adaptable organism that can persist in a wide range of environmental and food-related niches. The consumption of contaminated ready-to-eat foods can cause infections, termed listeriosis, in vulnerable humans, particularly those with weakened immune systems. Although these infections are comparatively rare they are associated with high mortality rates and therefore this pathogen has a significant impact on food safety. L. monocytogenes can adapt to and survive a wide range of stress conditions including low pH, low water activity, and low temperature, which makes it problematic for food producers who rely on these stresses for preservation. Stress tolerance in L. monocytogenes can be explained partially by the presence of the general stress response (GSR), a transcriptional response under the control of the alternative sigma factor sigma B (σB) that reconfigures gene transcription to provide homeostatic and protective functions to cope with the stress. Within the host σB also plays a key role in surviving the harsh conditions found in the gastrointestinal tract. As the infection progresses beyond the GI tract L. monocytogenes uses an intracellular infectious cycle to propagate, spread and remain protected from the host's humoral immunity. Many of the virulence genes that facilitate this infectious cycle are under the control of a master transcriptional regulator called PrfA. In this review we consider the environmental reservoirs that enable L. monocytogenes to gain access to the food chain and discuss the stresses that the pathogen must overcome to survive and grow in these environments. The overlap that exists between stress tolerance and virulence is described. We review the principal measures that are used to control the pathogen and point to exciting new approaches that might provide improved means of control in the future.","author":[{"dropping-particle":"","family":"NicAogáin","given":"Kerrie","non-dropping-particle":"","parse-names":false,"suffix":""},{"dropping-particle":"","family":"O'Byrne","given":"Conor P.","non-dropping-particle":"","parse-names":false,"suffix":""}],"container-title":"Frontiers in Microbiology","id":"ITEM-1","issue":"NOV","issued":{"date-parts":[["2016"]]},"note":"General review useful to approach the argument","page":"1-16","title":"The role of stress and stress adaptations in determining the fate of the bacterial pathogen listeria monocytogenes in the food chain","type":"article-journal","volume":"7"},"uris":["http://www.mendeley.com/documents/?uuid=9ec2af72-ca24-479d-ba65-5c982a6004e7"]}],"mendeley":{"formattedCitation":"(NicAogáin and O’Byrne, 2016)","plainTextFormattedCitation":"(NicAogáin and O’Byrne, 2016)","previouslyFormattedCitation":"(NicAogáin and O’Byrne, 2016)"},"properties":{"noteIndex":0},"schema":"https://github.com/citation-style-language/schema/raw/master/csl-citation.json"}</w:instrText>
      </w:r>
      <w:r w:rsidR="002167A0" w:rsidRPr="0051219B">
        <w:rPr>
          <w:rFonts w:cs="Times New Roman"/>
          <w:lang w:val="en-GB" w:eastAsia="zh-CN"/>
        </w:rPr>
        <w:fldChar w:fldCharType="separate"/>
      </w:r>
      <w:r w:rsidR="002167A0" w:rsidRPr="0051219B">
        <w:rPr>
          <w:rFonts w:cs="Times New Roman"/>
          <w:noProof/>
          <w:lang w:val="en-GB" w:eastAsia="zh-CN"/>
        </w:rPr>
        <w:t>(NicAogáin and O’Byrne, 2016)</w:t>
      </w:r>
      <w:r w:rsidR="002167A0" w:rsidRPr="0051219B">
        <w:rPr>
          <w:rFonts w:cs="Times New Roman"/>
          <w:lang w:val="en-GB" w:eastAsia="zh-CN"/>
        </w:rPr>
        <w:fldChar w:fldCharType="end"/>
      </w:r>
      <w:r w:rsidR="002167A0" w:rsidRPr="0051219B">
        <w:rPr>
          <w:rFonts w:cs="Times New Roman"/>
          <w:lang w:val="en-GB" w:eastAsia="zh-CN"/>
        </w:rPr>
        <w:t>.</w:t>
      </w:r>
    </w:p>
    <w:p w:rsidR="00395765" w:rsidRPr="0051219B" w:rsidRDefault="00395765" w:rsidP="00395765">
      <w:pPr>
        <w:pStyle w:val="Heading1"/>
        <w:tabs>
          <w:tab w:val="left" w:pos="567"/>
        </w:tabs>
        <w:spacing w:before="240" w:after="120"/>
        <w:ind w:right="0"/>
        <w:jc w:val="both"/>
        <w:rPr>
          <w:b/>
          <w:bCs/>
          <w:color w:val="000000"/>
          <w:sz w:val="24"/>
          <w:lang w:val="en-GB"/>
        </w:rPr>
      </w:pPr>
      <w:r w:rsidRPr="0051219B">
        <w:rPr>
          <w:b/>
          <w:bCs/>
          <w:color w:val="000000"/>
          <w:sz w:val="24"/>
          <w:lang w:val="en-GB"/>
        </w:rPr>
        <w:t>4. Materials and Methods</w:t>
      </w:r>
    </w:p>
    <w:p w:rsidR="0000685B" w:rsidRPr="0051219B" w:rsidRDefault="00090486" w:rsidP="002167A0">
      <w:pPr>
        <w:widowControl w:val="0"/>
        <w:suppressAutoHyphens/>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From October 2021</w:t>
      </w:r>
      <w:r w:rsidR="00482331" w:rsidRPr="0051219B">
        <w:rPr>
          <w:rFonts w:eastAsia="Times New Roman" w:cs="Times New Roman"/>
          <w:kern w:val="0"/>
          <w:szCs w:val="20"/>
          <w:lang w:val="en-GB" w:eastAsia="zh-CN"/>
          <w14:ligatures w14:val="none"/>
        </w:rPr>
        <w:t xml:space="preserve"> </w:t>
      </w:r>
      <w:r w:rsidRPr="0051219B">
        <w:rPr>
          <w:rFonts w:eastAsia="Times New Roman" w:cs="Times New Roman"/>
          <w:kern w:val="0"/>
          <w:szCs w:val="20"/>
          <w:lang w:val="en-GB" w:eastAsia="zh-CN"/>
          <w14:ligatures w14:val="none"/>
        </w:rPr>
        <w:t>t</w:t>
      </w:r>
      <w:r w:rsidR="00482331" w:rsidRPr="0051219B">
        <w:rPr>
          <w:rFonts w:eastAsia="Times New Roman" w:cs="Times New Roman"/>
          <w:kern w:val="0"/>
          <w:szCs w:val="20"/>
          <w:lang w:val="en-GB" w:eastAsia="zh-CN"/>
          <w14:ligatures w14:val="none"/>
        </w:rPr>
        <w:t>o</w:t>
      </w:r>
      <w:r w:rsidRPr="0051219B">
        <w:rPr>
          <w:rFonts w:eastAsia="Times New Roman" w:cs="Times New Roman"/>
          <w:kern w:val="0"/>
          <w:szCs w:val="20"/>
          <w:lang w:val="en-GB" w:eastAsia="zh-CN"/>
          <w14:ligatures w14:val="none"/>
        </w:rPr>
        <w:t xml:space="preserve"> December 2022 a total number of two hundred and thirty - five samples were collected during various stages of </w:t>
      </w:r>
      <w:r w:rsidR="0093648B" w:rsidRPr="0051219B">
        <w:rPr>
          <w:rFonts w:eastAsia="Times New Roman" w:cs="Times New Roman"/>
          <w:kern w:val="0"/>
          <w:szCs w:val="20"/>
          <w:lang w:val="en-GB" w:eastAsia="zh-CN"/>
          <w14:ligatures w14:val="none"/>
        </w:rPr>
        <w:t xml:space="preserve">an </w:t>
      </w:r>
      <w:r w:rsidRPr="0051219B">
        <w:rPr>
          <w:rFonts w:eastAsia="Times New Roman" w:cs="Times New Roman"/>
          <w:kern w:val="0"/>
          <w:szCs w:val="20"/>
          <w:lang w:val="en-GB" w:eastAsia="zh-CN"/>
          <w14:ligatures w14:val="none"/>
        </w:rPr>
        <w:t xml:space="preserve">infant food process line and more in specific powdered cereal based infant food. Four types of samples were investigated: Raw Material (RM), Intermediate (IP) and Final (FP) Products, as well as Environmental swabs (ENV). Moreover, </w:t>
      </w:r>
      <w:r w:rsidR="00482331" w:rsidRPr="0051219B">
        <w:rPr>
          <w:rFonts w:eastAsia="Times New Roman" w:cs="Times New Roman"/>
          <w:kern w:val="0"/>
          <w:szCs w:val="20"/>
          <w:lang w:val="en-GB" w:eastAsia="zh-CN"/>
          <w14:ligatures w14:val="none"/>
        </w:rPr>
        <w:t xml:space="preserve">longitudinally </w:t>
      </w:r>
      <w:r w:rsidRPr="0051219B">
        <w:rPr>
          <w:rFonts w:eastAsia="Times New Roman" w:cs="Times New Roman"/>
          <w:kern w:val="0"/>
          <w:szCs w:val="20"/>
          <w:lang w:val="en-GB" w:eastAsia="zh-CN"/>
          <w14:ligatures w14:val="none"/>
        </w:rPr>
        <w:t xml:space="preserve">the sampling period has been </w:t>
      </w:r>
      <w:r w:rsidR="00482331" w:rsidRPr="0051219B">
        <w:rPr>
          <w:rFonts w:eastAsia="Times New Roman" w:cs="Times New Roman"/>
          <w:kern w:val="0"/>
          <w:szCs w:val="20"/>
          <w:lang w:val="en-GB" w:eastAsia="zh-CN"/>
          <w14:ligatures w14:val="none"/>
        </w:rPr>
        <w:t>conducted</w:t>
      </w:r>
      <w:r w:rsidRPr="0051219B">
        <w:rPr>
          <w:rFonts w:eastAsia="Times New Roman" w:cs="Times New Roman"/>
          <w:kern w:val="0"/>
          <w:szCs w:val="20"/>
          <w:lang w:val="en-GB" w:eastAsia="zh-CN"/>
          <w14:ligatures w14:val="none"/>
        </w:rPr>
        <w:t xml:space="preserve"> in four campaigns: C01 (October 2021 - January 2022), C02 (January 2022 - June 2022), C03 (</w:t>
      </w:r>
      <w:r w:rsidR="0093648B" w:rsidRPr="0051219B">
        <w:rPr>
          <w:rFonts w:eastAsia="Times New Roman" w:cs="Times New Roman"/>
          <w:kern w:val="0"/>
          <w:szCs w:val="20"/>
          <w:lang w:val="en-GB" w:eastAsia="zh-CN"/>
          <w14:ligatures w14:val="none"/>
        </w:rPr>
        <w:t>June 2022 - October 2022), C04 (October 2022 - December 2022).</w:t>
      </w:r>
    </w:p>
    <w:p w:rsidR="0093648B" w:rsidRPr="0051219B" w:rsidRDefault="00F23035" w:rsidP="002167A0">
      <w:pPr>
        <w:widowControl w:val="0"/>
        <w:suppressAutoHyphens/>
        <w:rPr>
          <w:rFonts w:eastAsia="Times New Roman" w:cs="Times New Roman"/>
          <w:kern w:val="0"/>
          <w:szCs w:val="20"/>
          <w:lang w:val="en-GB" w:eastAsia="zh-CN"/>
          <w14:ligatures w14:val="none"/>
        </w:rPr>
      </w:pPr>
      <w:r w:rsidRPr="0051219B">
        <w:rPr>
          <w:rFonts w:eastAsia="Times New Roman" w:cs="Times New Roman"/>
          <w:kern w:val="0"/>
          <w:szCs w:val="20"/>
          <w:lang w:val="en-GB" w:eastAsia="zh-CN"/>
          <w14:ligatures w14:val="none"/>
        </w:rPr>
        <w:t xml:space="preserve">The presence of five targeted </w:t>
      </w:r>
      <w:r w:rsidR="001127AF" w:rsidRPr="0051219B">
        <w:rPr>
          <w:rFonts w:eastAsia="Times New Roman" w:cs="Times New Roman"/>
          <w:kern w:val="0"/>
          <w:szCs w:val="20"/>
          <w:lang w:val="en-GB" w:eastAsia="zh-CN"/>
          <w14:ligatures w14:val="none"/>
        </w:rPr>
        <w:t xml:space="preserve">foodborne </w:t>
      </w:r>
      <w:r w:rsidRPr="0051219B">
        <w:rPr>
          <w:rFonts w:eastAsia="Times New Roman" w:cs="Times New Roman"/>
          <w:kern w:val="0"/>
          <w:szCs w:val="20"/>
          <w:lang w:val="en-GB" w:eastAsia="zh-CN"/>
          <w14:ligatures w14:val="none"/>
        </w:rPr>
        <w:t>pathogens</w:t>
      </w:r>
      <w:r w:rsidR="001127AF" w:rsidRPr="0051219B">
        <w:rPr>
          <w:rFonts w:eastAsia="Times New Roman" w:cs="Times New Roman"/>
          <w:kern w:val="0"/>
          <w:szCs w:val="20"/>
          <w:lang w:val="en-GB" w:eastAsia="zh-CN"/>
          <w14:ligatures w14:val="none"/>
        </w:rPr>
        <w:t xml:space="preserve"> - </w:t>
      </w:r>
      <w:r w:rsidR="001127AF" w:rsidRPr="0051219B">
        <w:rPr>
          <w:rFonts w:eastAsia="Times New Roman" w:cs="Times New Roman"/>
          <w:i/>
          <w:iCs/>
          <w:kern w:val="0"/>
          <w:szCs w:val="20"/>
          <w:lang w:val="en-GB" w:eastAsia="zh-CN"/>
          <w14:ligatures w14:val="none"/>
        </w:rPr>
        <w:t>Listeria monocytogenes</w:t>
      </w:r>
      <w:r w:rsidR="001127AF" w:rsidRPr="0051219B">
        <w:rPr>
          <w:rFonts w:eastAsia="Times New Roman" w:cs="Times New Roman"/>
          <w:kern w:val="0"/>
          <w:szCs w:val="20"/>
          <w:lang w:val="en-GB" w:eastAsia="zh-CN"/>
          <w14:ligatures w14:val="none"/>
        </w:rPr>
        <w:t xml:space="preserve"> (</w:t>
      </w:r>
      <w:proofErr w:type="spellStart"/>
      <w:r w:rsidR="001127AF" w:rsidRPr="0051219B">
        <w:rPr>
          <w:rFonts w:eastAsia="Times New Roman" w:cs="Times New Roman"/>
          <w:i/>
          <w:iCs/>
          <w:kern w:val="0"/>
          <w:szCs w:val="20"/>
          <w:lang w:val="en-GB" w:eastAsia="zh-CN"/>
          <w14:ligatures w14:val="none"/>
        </w:rPr>
        <w:t>Lm</w:t>
      </w:r>
      <w:proofErr w:type="spellEnd"/>
      <w:r w:rsidR="001127AF" w:rsidRPr="0051219B">
        <w:rPr>
          <w:rFonts w:eastAsia="Times New Roman" w:cs="Times New Roman"/>
          <w:kern w:val="0"/>
          <w:szCs w:val="20"/>
          <w:lang w:val="en-GB" w:eastAsia="zh-CN"/>
          <w14:ligatures w14:val="none"/>
        </w:rPr>
        <w:t xml:space="preserve">), </w:t>
      </w:r>
      <w:r w:rsidR="001127AF" w:rsidRPr="0051219B">
        <w:rPr>
          <w:rFonts w:eastAsia="Times New Roman" w:cs="Times New Roman"/>
          <w:i/>
          <w:iCs/>
          <w:kern w:val="0"/>
          <w:szCs w:val="20"/>
          <w:lang w:val="en-GB" w:eastAsia="zh-CN"/>
          <w14:ligatures w14:val="none"/>
        </w:rPr>
        <w:t>Salmonella</w:t>
      </w:r>
      <w:r w:rsidR="001127AF" w:rsidRPr="0051219B">
        <w:rPr>
          <w:rFonts w:eastAsia="Times New Roman" w:cs="Times New Roman"/>
          <w:kern w:val="0"/>
          <w:szCs w:val="20"/>
          <w:lang w:val="en-GB" w:eastAsia="zh-CN"/>
          <w14:ligatures w14:val="none"/>
        </w:rPr>
        <w:t xml:space="preserve"> spp. (</w:t>
      </w:r>
      <w:r w:rsidR="001127AF" w:rsidRPr="0051219B">
        <w:rPr>
          <w:rFonts w:eastAsia="Times New Roman" w:cs="Times New Roman"/>
          <w:i/>
          <w:iCs/>
          <w:kern w:val="0"/>
          <w:szCs w:val="20"/>
          <w:lang w:val="en-GB" w:eastAsia="zh-CN"/>
          <w14:ligatures w14:val="none"/>
        </w:rPr>
        <w:t>S</w:t>
      </w:r>
      <w:r w:rsidR="001127AF" w:rsidRPr="0051219B">
        <w:rPr>
          <w:rFonts w:eastAsia="Times New Roman" w:cs="Times New Roman"/>
          <w:kern w:val="0"/>
          <w:szCs w:val="20"/>
          <w:lang w:val="en-GB" w:eastAsia="zh-CN"/>
          <w14:ligatures w14:val="none"/>
        </w:rPr>
        <w:t xml:space="preserve">), </w:t>
      </w:r>
      <w:r w:rsidR="001127AF" w:rsidRPr="0051219B">
        <w:rPr>
          <w:rFonts w:eastAsia="Times New Roman" w:cs="Times New Roman"/>
          <w:i/>
          <w:iCs/>
          <w:kern w:val="0"/>
          <w:szCs w:val="20"/>
          <w:lang w:val="en-GB" w:eastAsia="zh-CN"/>
          <w14:ligatures w14:val="none"/>
        </w:rPr>
        <w:t>Staphylococcus aureus</w:t>
      </w:r>
      <w:r w:rsidR="001127AF" w:rsidRPr="0051219B">
        <w:rPr>
          <w:rFonts w:eastAsia="Times New Roman" w:cs="Times New Roman"/>
          <w:kern w:val="0"/>
          <w:szCs w:val="20"/>
          <w:lang w:val="en-GB" w:eastAsia="zh-CN"/>
          <w14:ligatures w14:val="none"/>
        </w:rPr>
        <w:t xml:space="preserve"> (</w:t>
      </w:r>
      <w:r w:rsidR="001127AF" w:rsidRPr="0051219B">
        <w:rPr>
          <w:rFonts w:eastAsia="Times New Roman" w:cs="Times New Roman"/>
          <w:i/>
          <w:iCs/>
          <w:kern w:val="0"/>
          <w:szCs w:val="20"/>
          <w:lang w:val="en-GB" w:eastAsia="zh-CN"/>
          <w14:ligatures w14:val="none"/>
        </w:rPr>
        <w:t>Sa</w:t>
      </w:r>
      <w:r w:rsidR="001127AF" w:rsidRPr="0051219B">
        <w:rPr>
          <w:rFonts w:eastAsia="Times New Roman" w:cs="Times New Roman"/>
          <w:kern w:val="0"/>
          <w:szCs w:val="20"/>
          <w:lang w:val="en-GB" w:eastAsia="zh-CN"/>
          <w14:ligatures w14:val="none"/>
        </w:rPr>
        <w:t xml:space="preserve">), </w:t>
      </w:r>
      <w:r w:rsidR="001127AF" w:rsidRPr="0051219B">
        <w:rPr>
          <w:rFonts w:eastAsia="Times New Roman" w:cs="Times New Roman"/>
          <w:i/>
          <w:iCs/>
          <w:kern w:val="0"/>
          <w:szCs w:val="20"/>
          <w:lang w:val="en-GB" w:eastAsia="zh-CN"/>
          <w14:ligatures w14:val="none"/>
        </w:rPr>
        <w:t>Bacillus cereus</w:t>
      </w:r>
      <w:r w:rsidR="001127AF" w:rsidRPr="0051219B">
        <w:rPr>
          <w:rFonts w:eastAsia="Times New Roman" w:cs="Times New Roman"/>
          <w:kern w:val="0"/>
          <w:szCs w:val="20"/>
          <w:lang w:val="en-GB" w:eastAsia="zh-CN"/>
          <w14:ligatures w14:val="none"/>
        </w:rPr>
        <w:t xml:space="preserve"> (</w:t>
      </w:r>
      <w:proofErr w:type="spellStart"/>
      <w:r w:rsidR="001127AF" w:rsidRPr="0051219B">
        <w:rPr>
          <w:rFonts w:eastAsia="Times New Roman" w:cs="Times New Roman"/>
          <w:i/>
          <w:iCs/>
          <w:kern w:val="0"/>
          <w:szCs w:val="20"/>
          <w:lang w:val="en-GB" w:eastAsia="zh-CN"/>
          <w14:ligatures w14:val="none"/>
        </w:rPr>
        <w:t>Bc</w:t>
      </w:r>
      <w:proofErr w:type="spellEnd"/>
      <w:r w:rsidR="001127AF" w:rsidRPr="0051219B">
        <w:rPr>
          <w:rFonts w:eastAsia="Times New Roman" w:cs="Times New Roman"/>
          <w:kern w:val="0"/>
          <w:szCs w:val="20"/>
          <w:lang w:val="en-GB" w:eastAsia="zh-CN"/>
          <w14:ligatures w14:val="none"/>
        </w:rPr>
        <w:t xml:space="preserve">) and </w:t>
      </w:r>
      <w:r w:rsidR="001127AF" w:rsidRPr="0051219B">
        <w:rPr>
          <w:rFonts w:eastAsia="Times New Roman" w:cs="Times New Roman"/>
          <w:i/>
          <w:iCs/>
          <w:kern w:val="0"/>
          <w:szCs w:val="20"/>
          <w:lang w:val="en-GB" w:eastAsia="zh-CN"/>
          <w14:ligatures w14:val="none"/>
        </w:rPr>
        <w:t>Clostridium perfringens</w:t>
      </w:r>
      <w:r w:rsidR="001127AF" w:rsidRPr="0051219B">
        <w:rPr>
          <w:rFonts w:eastAsia="Times New Roman" w:cs="Times New Roman"/>
          <w:kern w:val="0"/>
          <w:szCs w:val="20"/>
          <w:lang w:val="en-GB" w:eastAsia="zh-CN"/>
          <w14:ligatures w14:val="none"/>
        </w:rPr>
        <w:t xml:space="preserve"> (</w:t>
      </w:r>
      <w:r w:rsidR="001127AF" w:rsidRPr="0051219B">
        <w:rPr>
          <w:rFonts w:eastAsia="Times New Roman" w:cs="Times New Roman"/>
          <w:i/>
          <w:iCs/>
          <w:kern w:val="0"/>
          <w:szCs w:val="20"/>
          <w:lang w:val="en-GB" w:eastAsia="zh-CN"/>
          <w14:ligatures w14:val="none"/>
        </w:rPr>
        <w:t>Cp</w:t>
      </w:r>
      <w:r w:rsidR="001127AF" w:rsidRPr="0051219B">
        <w:rPr>
          <w:rFonts w:eastAsia="Times New Roman" w:cs="Times New Roman"/>
          <w:kern w:val="0"/>
          <w:szCs w:val="20"/>
          <w:lang w:val="en-GB" w:eastAsia="zh-CN"/>
          <w14:ligatures w14:val="none"/>
        </w:rPr>
        <w:t>) -</w:t>
      </w:r>
      <w:r w:rsidRPr="0051219B">
        <w:rPr>
          <w:rFonts w:eastAsia="Times New Roman" w:cs="Times New Roman"/>
          <w:kern w:val="0"/>
          <w:szCs w:val="20"/>
          <w:lang w:val="en-GB" w:eastAsia="zh-CN"/>
          <w14:ligatures w14:val="none"/>
        </w:rPr>
        <w:t xml:space="preserve"> was </w:t>
      </w:r>
      <w:r w:rsidR="001127AF" w:rsidRPr="0051219B">
        <w:rPr>
          <w:rFonts w:eastAsia="Times New Roman" w:cs="Times New Roman"/>
          <w:kern w:val="0"/>
          <w:szCs w:val="20"/>
          <w:lang w:val="en-GB" w:eastAsia="zh-CN"/>
          <w14:ligatures w14:val="none"/>
        </w:rPr>
        <w:t xml:space="preserve">examined through traditional culturing methods prior and subsequent to twenty - four hours of generic enrichment, whereupon pathogens isolation took place in selective media. </w:t>
      </w:r>
      <w:r w:rsidRPr="0051219B">
        <w:rPr>
          <w:rFonts w:eastAsia="Times New Roman" w:cs="Times New Roman"/>
          <w:kern w:val="0"/>
          <w:szCs w:val="20"/>
          <w:lang w:val="en-GB" w:eastAsia="zh-CN"/>
          <w14:ligatures w14:val="none"/>
        </w:rPr>
        <w:t>On each sample</w:t>
      </w:r>
      <w:r w:rsidR="001127AF" w:rsidRPr="0051219B">
        <w:rPr>
          <w:rFonts w:eastAsia="Times New Roman" w:cs="Times New Roman"/>
          <w:kern w:val="0"/>
          <w:szCs w:val="20"/>
          <w:lang w:val="en-GB" w:eastAsia="zh-CN"/>
          <w14:ligatures w14:val="none"/>
        </w:rPr>
        <w:t xml:space="preserve"> molecular techniques, with focus on the whole DNA, were followed. Specifically,</w:t>
      </w:r>
      <w:r w:rsidRPr="0051219B">
        <w:rPr>
          <w:rFonts w:eastAsia="Times New Roman" w:cs="Times New Roman"/>
          <w:kern w:val="0"/>
          <w:szCs w:val="20"/>
          <w:lang w:val="en-GB" w:eastAsia="zh-CN"/>
          <w14:ligatures w14:val="none"/>
        </w:rPr>
        <w:t xml:space="preserve"> 16S rRNA amplicon - based sequencing was performed, mainly investigating the Amplicon Sequence Variants (ASVs) distribution</w:t>
      </w:r>
      <w:r w:rsidR="001127AF" w:rsidRPr="0051219B">
        <w:rPr>
          <w:rFonts w:eastAsia="Times New Roman" w:cs="Times New Roman"/>
          <w:kern w:val="0"/>
          <w:szCs w:val="20"/>
          <w:lang w:val="en-GB" w:eastAsia="zh-CN"/>
          <w14:ligatures w14:val="none"/>
        </w:rPr>
        <w:t xml:space="preserve"> and</w:t>
      </w:r>
      <w:r w:rsidRPr="0051219B">
        <w:rPr>
          <w:rFonts w:eastAsia="Times New Roman" w:cs="Times New Roman"/>
          <w:kern w:val="0"/>
          <w:szCs w:val="20"/>
          <w:lang w:val="en-GB" w:eastAsia="zh-CN"/>
          <w14:ligatures w14:val="none"/>
        </w:rPr>
        <w:t xml:space="preserve"> </w:t>
      </w:r>
      <w:r w:rsidR="001127AF" w:rsidRPr="0051219B">
        <w:rPr>
          <w:rFonts w:eastAsia="Times New Roman" w:cs="Times New Roman"/>
          <w:kern w:val="0"/>
          <w:szCs w:val="20"/>
          <w:lang w:val="en-GB" w:eastAsia="zh-CN"/>
          <w14:ligatures w14:val="none"/>
        </w:rPr>
        <w:t>i</w:t>
      </w:r>
      <w:r w:rsidRPr="0051219B">
        <w:rPr>
          <w:rFonts w:eastAsia="Times New Roman" w:cs="Times New Roman"/>
          <w:kern w:val="0"/>
          <w:szCs w:val="20"/>
          <w:lang w:val="en-GB" w:eastAsia="zh-CN"/>
          <w14:ligatures w14:val="none"/>
        </w:rPr>
        <w:t xml:space="preserve">n parallel real - time PCR </w:t>
      </w:r>
      <w:r w:rsidR="001127AF" w:rsidRPr="0051219B">
        <w:rPr>
          <w:rFonts w:eastAsia="Times New Roman" w:cs="Times New Roman"/>
          <w:kern w:val="0"/>
          <w:szCs w:val="20"/>
          <w:lang w:val="en-GB" w:eastAsia="zh-CN"/>
          <w14:ligatures w14:val="none"/>
        </w:rPr>
        <w:t xml:space="preserve">used to </w:t>
      </w:r>
      <w:r w:rsidRPr="0051219B">
        <w:rPr>
          <w:rFonts w:eastAsia="Times New Roman" w:cs="Times New Roman"/>
          <w:kern w:val="0"/>
          <w:szCs w:val="20"/>
          <w:lang w:val="en-GB" w:eastAsia="zh-CN"/>
          <w14:ligatures w14:val="none"/>
        </w:rPr>
        <w:t>enhance the detection of the targeted pathogens.</w:t>
      </w:r>
    </w:p>
    <w:p w:rsidR="00887F51" w:rsidRPr="0051219B" w:rsidRDefault="007C28EB" w:rsidP="00B453B9">
      <w:pPr>
        <w:rPr>
          <w:rFonts w:cs="Times New Roman"/>
          <w:lang w:val="en-GB" w:eastAsia="zh-CN"/>
        </w:rPr>
      </w:pPr>
      <w:r w:rsidRPr="0051219B">
        <w:rPr>
          <w:rFonts w:cs="Times New Roman"/>
          <w:lang w:val="en-GB" w:eastAsia="zh-CN"/>
        </w:rPr>
        <w:t xml:space="preserve">What concerns the </w:t>
      </w:r>
      <w:r w:rsidRPr="0051219B">
        <w:rPr>
          <w:rFonts w:cs="Times New Roman"/>
          <w:i/>
          <w:iCs/>
          <w:lang w:val="en-GB" w:eastAsia="zh-CN"/>
        </w:rPr>
        <w:t>Listeria monocytogenes</w:t>
      </w:r>
      <w:r w:rsidRPr="0051219B">
        <w:rPr>
          <w:rFonts w:cs="Times New Roman"/>
          <w:lang w:val="en-GB" w:eastAsia="zh-CN"/>
        </w:rPr>
        <w:t xml:space="preserve"> behaviour under acidic conditions, </w:t>
      </w:r>
      <w:r w:rsidR="00B453B9" w:rsidRPr="0051219B">
        <w:rPr>
          <w:rFonts w:cs="Times New Roman"/>
          <w:lang w:val="en-GB" w:eastAsia="zh-CN"/>
        </w:rPr>
        <w:t xml:space="preserve">a single strain (10403S) was chosen as a well monitored case. </w:t>
      </w:r>
      <w:r w:rsidR="00E539EC" w:rsidRPr="0051219B">
        <w:rPr>
          <w:rFonts w:cs="Times New Roman"/>
          <w:lang w:val="en-GB" w:eastAsia="zh-CN"/>
        </w:rPr>
        <w:t xml:space="preserve">A weak organic acid </w:t>
      </w:r>
      <w:r w:rsidR="00B453B9" w:rsidRPr="0051219B">
        <w:rPr>
          <w:rFonts w:cs="Times New Roman"/>
          <w:lang w:val="en-GB" w:eastAsia="zh-CN"/>
        </w:rPr>
        <w:t>was used to reach the requested acidic conditions</w:t>
      </w:r>
      <w:r w:rsidR="00E539EC" w:rsidRPr="0051219B">
        <w:rPr>
          <w:rFonts w:cs="Times New Roman"/>
          <w:lang w:val="en-GB" w:eastAsia="zh-CN"/>
        </w:rPr>
        <w:t xml:space="preserve"> and that was citric acid. A preculture of </w:t>
      </w:r>
      <w:r w:rsidR="00E539EC" w:rsidRPr="0051219B">
        <w:rPr>
          <w:rFonts w:cs="Times New Roman"/>
          <w:i/>
          <w:iCs/>
          <w:lang w:val="en-GB" w:eastAsia="zh-CN"/>
        </w:rPr>
        <w:t>L</w:t>
      </w:r>
      <w:r w:rsidR="00611806">
        <w:rPr>
          <w:rFonts w:cs="Times New Roman"/>
          <w:i/>
          <w:iCs/>
          <w:lang w:val="en-GB" w:eastAsia="zh-CN"/>
        </w:rPr>
        <w:t xml:space="preserve">. </w:t>
      </w:r>
      <w:r w:rsidR="00E539EC" w:rsidRPr="0051219B">
        <w:rPr>
          <w:rFonts w:cs="Times New Roman"/>
          <w:i/>
          <w:iCs/>
          <w:lang w:val="en-GB" w:eastAsia="zh-CN"/>
        </w:rPr>
        <w:t>m</w:t>
      </w:r>
      <w:r w:rsidR="00611806">
        <w:rPr>
          <w:rFonts w:cs="Times New Roman"/>
          <w:i/>
          <w:iCs/>
          <w:lang w:val="en-GB" w:eastAsia="zh-CN"/>
        </w:rPr>
        <w:t>onocytogenes</w:t>
      </w:r>
      <w:r w:rsidR="00E539EC" w:rsidRPr="0051219B">
        <w:rPr>
          <w:rFonts w:cs="Times New Roman"/>
          <w:lang w:val="en-GB" w:eastAsia="zh-CN"/>
        </w:rPr>
        <w:t xml:space="preserve"> was cultivated at Tryptone Soya Broth supplemented with Yeast Extract (TSBYE) till the stationary phase and then was inoculated at three theses</w:t>
      </w:r>
      <w:r w:rsidRPr="0051219B">
        <w:rPr>
          <w:rFonts w:cs="Times New Roman"/>
          <w:lang w:val="en-GB" w:eastAsia="zh-CN"/>
        </w:rPr>
        <w:t xml:space="preserve">: </w:t>
      </w:r>
      <w:r w:rsidR="00E539EC" w:rsidRPr="0051219B">
        <w:rPr>
          <w:rFonts w:cs="Times New Roman"/>
          <w:lang w:val="en-GB" w:eastAsia="zh-CN"/>
        </w:rPr>
        <w:t xml:space="preserve">thesis 1 - </w:t>
      </w:r>
      <w:r w:rsidRPr="0051219B">
        <w:rPr>
          <w:rFonts w:cs="Times New Roman"/>
          <w:lang w:val="en-GB" w:eastAsia="zh-CN"/>
        </w:rPr>
        <w:t xml:space="preserve">control </w:t>
      </w:r>
      <w:r w:rsidR="00B453B9" w:rsidRPr="0051219B">
        <w:rPr>
          <w:rFonts w:cs="Times New Roman"/>
          <w:lang w:val="en-GB" w:eastAsia="zh-CN"/>
        </w:rPr>
        <w:t xml:space="preserve">TSBYE </w:t>
      </w:r>
      <w:r w:rsidRPr="0051219B">
        <w:rPr>
          <w:rFonts w:cs="Times New Roman"/>
          <w:lang w:val="en-GB" w:eastAsia="zh-CN"/>
        </w:rPr>
        <w:t xml:space="preserve">at pH 7.2, thesis </w:t>
      </w:r>
      <w:r w:rsidR="00E539EC" w:rsidRPr="0051219B">
        <w:rPr>
          <w:rFonts w:cs="Times New Roman"/>
          <w:lang w:val="en-GB" w:eastAsia="zh-CN"/>
        </w:rPr>
        <w:t>2</w:t>
      </w:r>
      <w:r w:rsidRPr="0051219B">
        <w:rPr>
          <w:rFonts w:cs="Times New Roman"/>
          <w:lang w:val="en-GB" w:eastAsia="zh-CN"/>
        </w:rPr>
        <w:t xml:space="preserve"> </w:t>
      </w:r>
      <w:r w:rsidR="002F5F9C" w:rsidRPr="0051219B">
        <w:rPr>
          <w:rFonts w:cs="Times New Roman"/>
          <w:lang w:val="en-GB" w:eastAsia="zh-CN"/>
        </w:rPr>
        <w:t xml:space="preserve">- </w:t>
      </w:r>
      <w:r w:rsidR="00B453B9" w:rsidRPr="0051219B">
        <w:rPr>
          <w:rFonts w:cs="Times New Roman"/>
          <w:lang w:val="en-GB" w:eastAsia="zh-CN"/>
        </w:rPr>
        <w:t xml:space="preserve">TSBYE </w:t>
      </w:r>
      <w:r w:rsidRPr="0051219B">
        <w:rPr>
          <w:rFonts w:cs="Times New Roman"/>
          <w:lang w:val="en-GB" w:eastAsia="zh-CN"/>
        </w:rPr>
        <w:t xml:space="preserve">at pH 5.5 and thesis </w:t>
      </w:r>
      <w:r w:rsidR="00E539EC" w:rsidRPr="0051219B">
        <w:rPr>
          <w:rFonts w:cs="Times New Roman"/>
          <w:lang w:val="en-GB" w:eastAsia="zh-CN"/>
        </w:rPr>
        <w:t>3</w:t>
      </w:r>
      <w:r w:rsidRPr="0051219B">
        <w:rPr>
          <w:rFonts w:cs="Times New Roman"/>
          <w:lang w:val="en-GB" w:eastAsia="zh-CN"/>
        </w:rPr>
        <w:t xml:space="preserve"> </w:t>
      </w:r>
      <w:r w:rsidR="002F5F9C" w:rsidRPr="0051219B">
        <w:rPr>
          <w:rFonts w:cs="Times New Roman"/>
          <w:lang w:val="en-GB" w:eastAsia="zh-CN"/>
        </w:rPr>
        <w:t xml:space="preserve">- </w:t>
      </w:r>
      <w:r w:rsidR="00B453B9" w:rsidRPr="0051219B">
        <w:rPr>
          <w:rFonts w:cs="Times New Roman"/>
          <w:lang w:val="en-GB" w:eastAsia="zh-CN"/>
        </w:rPr>
        <w:t xml:space="preserve">TSBYE </w:t>
      </w:r>
      <w:r w:rsidRPr="0051219B">
        <w:rPr>
          <w:rFonts w:cs="Times New Roman"/>
          <w:lang w:val="en-GB" w:eastAsia="zh-CN"/>
        </w:rPr>
        <w:t>at pH 5.2</w:t>
      </w:r>
      <w:r w:rsidR="00E539EC" w:rsidRPr="0051219B">
        <w:rPr>
          <w:rFonts w:cs="Times New Roman"/>
          <w:lang w:val="en-GB" w:eastAsia="zh-CN"/>
        </w:rPr>
        <w:t xml:space="preserve">. The three cultures let to adapt till twenty - four hours of growth under continuous agitation at thirty - seven degrees Celsius. The capacity of each </w:t>
      </w:r>
      <w:r w:rsidR="00482331" w:rsidRPr="0051219B">
        <w:rPr>
          <w:rFonts w:cs="Times New Roman"/>
          <w:lang w:val="en-GB" w:eastAsia="zh-CN"/>
        </w:rPr>
        <w:t>of the thesis</w:t>
      </w:r>
      <w:r w:rsidR="00E539EC" w:rsidRPr="0051219B">
        <w:rPr>
          <w:rFonts w:cs="Times New Roman"/>
          <w:lang w:val="en-GB" w:eastAsia="zh-CN"/>
        </w:rPr>
        <w:t xml:space="preserve"> to adapt </w:t>
      </w:r>
      <w:r w:rsidR="00482331" w:rsidRPr="0051219B">
        <w:rPr>
          <w:rFonts w:cs="Times New Roman"/>
          <w:lang w:val="en-GB" w:eastAsia="zh-CN"/>
        </w:rPr>
        <w:t xml:space="preserve">and increase acid resistance </w:t>
      </w:r>
      <w:r w:rsidR="00E539EC" w:rsidRPr="0051219B">
        <w:rPr>
          <w:rFonts w:cs="Times New Roman"/>
          <w:lang w:val="en-GB" w:eastAsia="zh-CN"/>
        </w:rPr>
        <w:t xml:space="preserve">was measured at </w:t>
      </w:r>
      <w:r w:rsidR="006D66C7">
        <w:rPr>
          <w:rFonts w:cs="Times New Roman"/>
          <w:lang w:val="en-GB" w:eastAsia="zh-CN"/>
        </w:rPr>
        <w:t>four</w:t>
      </w:r>
      <w:r w:rsidR="00E539EC" w:rsidRPr="0051219B">
        <w:rPr>
          <w:rFonts w:cs="Times New Roman"/>
          <w:lang w:val="en-GB" w:eastAsia="zh-CN"/>
        </w:rPr>
        <w:t xml:space="preserve"> time </w:t>
      </w:r>
      <w:r w:rsidR="00482331" w:rsidRPr="0051219B">
        <w:rPr>
          <w:rFonts w:cs="Times New Roman"/>
          <w:lang w:val="en-GB" w:eastAsia="zh-CN"/>
        </w:rPr>
        <w:t>points during</w:t>
      </w:r>
      <w:r w:rsidR="00E539EC" w:rsidRPr="0051219B">
        <w:rPr>
          <w:rFonts w:cs="Times New Roman"/>
          <w:lang w:val="en-GB" w:eastAsia="zh-CN"/>
        </w:rPr>
        <w:t xml:space="preserve"> growth (t0, t6, t12, t24) by performing lethal acidic shock at pH 2 for thirty minutes. The capacity of the cultures to survive this shock was investigated phenotypically (counts) and at RNA expression level</w:t>
      </w:r>
      <w:r w:rsidR="00482331" w:rsidRPr="0051219B">
        <w:rPr>
          <w:rFonts w:cs="Times New Roman"/>
          <w:lang w:val="en-GB" w:eastAsia="zh-CN"/>
        </w:rPr>
        <w:t>, by sequencing the whole transcriptome (RNA</w:t>
      </w:r>
      <w:r w:rsidR="002F5F9C" w:rsidRPr="0051219B">
        <w:rPr>
          <w:rFonts w:cs="Times New Roman"/>
          <w:lang w:val="en-GB" w:eastAsia="zh-CN"/>
        </w:rPr>
        <w:t xml:space="preserve"> </w:t>
      </w:r>
      <w:r w:rsidR="00482331" w:rsidRPr="0051219B">
        <w:rPr>
          <w:rFonts w:cs="Times New Roman"/>
          <w:lang w:val="en-GB" w:eastAsia="zh-CN"/>
        </w:rPr>
        <w:t>-</w:t>
      </w:r>
      <w:r w:rsidR="002F5F9C" w:rsidRPr="0051219B">
        <w:rPr>
          <w:rFonts w:cs="Times New Roman"/>
          <w:lang w:val="en-GB" w:eastAsia="zh-CN"/>
        </w:rPr>
        <w:t xml:space="preserve"> </w:t>
      </w:r>
      <w:proofErr w:type="spellStart"/>
      <w:r w:rsidR="00482331" w:rsidRPr="0051219B">
        <w:rPr>
          <w:rFonts w:cs="Times New Roman"/>
          <w:lang w:val="en-GB" w:eastAsia="zh-CN"/>
        </w:rPr>
        <w:t>seq</w:t>
      </w:r>
      <w:proofErr w:type="spellEnd"/>
      <w:r w:rsidR="00482331" w:rsidRPr="0051219B">
        <w:rPr>
          <w:rFonts w:cs="Times New Roman"/>
          <w:lang w:val="en-GB" w:eastAsia="zh-CN"/>
        </w:rPr>
        <w:t>).</w:t>
      </w:r>
    </w:p>
    <w:p w:rsidR="00E539EC" w:rsidRPr="0051219B" w:rsidRDefault="00E539EC" w:rsidP="00E539EC">
      <w:pPr>
        <w:pStyle w:val="Heading1"/>
        <w:tabs>
          <w:tab w:val="left" w:pos="567"/>
        </w:tabs>
        <w:spacing w:before="240" w:after="120"/>
        <w:ind w:right="0"/>
        <w:jc w:val="both"/>
        <w:rPr>
          <w:b/>
          <w:bCs/>
          <w:color w:val="000000"/>
          <w:sz w:val="24"/>
          <w:lang w:val="en-GB"/>
        </w:rPr>
      </w:pPr>
      <w:r w:rsidRPr="0051219B">
        <w:rPr>
          <w:b/>
          <w:bCs/>
          <w:color w:val="000000"/>
          <w:sz w:val="24"/>
          <w:lang w:val="en-GB"/>
        </w:rPr>
        <w:lastRenderedPageBreak/>
        <w:t>5. Results and Discussion</w:t>
      </w:r>
    </w:p>
    <w:p w:rsidR="00E539EC" w:rsidRPr="0051219B" w:rsidRDefault="00E539EC" w:rsidP="00E539EC">
      <w:pPr>
        <w:pStyle w:val="Heading2"/>
        <w:jc w:val="both"/>
        <w:rPr>
          <w:b/>
          <w:bCs/>
          <w:sz w:val="20"/>
          <w:lang w:val="en-GB"/>
        </w:rPr>
      </w:pPr>
      <w:r w:rsidRPr="0051219B">
        <w:rPr>
          <w:b/>
          <w:bCs/>
          <w:sz w:val="20"/>
          <w:lang w:val="en-GB"/>
        </w:rPr>
        <w:t>5.1 Bacterial Communities Structure and Metataxonomic Composition</w:t>
      </w:r>
    </w:p>
    <w:p w:rsidR="00E539EC" w:rsidRPr="0051219B" w:rsidRDefault="000F619F" w:rsidP="00E539EC">
      <w:pPr>
        <w:widowControl w:val="0"/>
        <w:tabs>
          <w:tab w:val="left" w:pos="567"/>
          <w:tab w:val="left" w:pos="7371"/>
        </w:tabs>
        <w:suppressAutoHyphens/>
        <w:rPr>
          <w:rFonts w:eastAsia="Times New Roman" w:cs="Times New Roman"/>
          <w:color w:val="000000"/>
          <w:kern w:val="0"/>
          <w:szCs w:val="20"/>
          <w:lang w:val="en-US" w:eastAsia="zh-CN"/>
          <w14:ligatures w14:val="none"/>
        </w:rPr>
      </w:pPr>
      <w:r w:rsidRPr="0051219B">
        <w:rPr>
          <w:rFonts w:eastAsia="Times New Roman" w:cs="Times New Roman"/>
          <w:color w:val="000000"/>
          <w:kern w:val="0"/>
          <w:szCs w:val="20"/>
          <w:lang w:val="en-GB" w:eastAsia="zh-CN"/>
          <w14:ligatures w14:val="none"/>
        </w:rPr>
        <w:t xml:space="preserve">Considering as a factor the type of sample </w:t>
      </w:r>
      <w:r w:rsidR="00BE47F6" w:rsidRPr="0051219B">
        <w:rPr>
          <w:rFonts w:eastAsia="Times New Roman" w:cs="Times New Roman"/>
          <w:color w:val="000000"/>
          <w:kern w:val="0"/>
          <w:szCs w:val="20"/>
          <w:lang w:val="en-GB" w:eastAsia="zh-CN"/>
          <w14:ligatures w14:val="none"/>
        </w:rPr>
        <w:t>(RM, IP, FP, ENV) there is no clear segregation in between the microbial communities. If the focus</w:t>
      </w:r>
      <w:r w:rsidR="00611806">
        <w:rPr>
          <w:rFonts w:eastAsia="Times New Roman" w:cs="Times New Roman"/>
          <w:color w:val="000000"/>
          <w:kern w:val="0"/>
          <w:szCs w:val="20"/>
          <w:lang w:val="en-GB" w:eastAsia="zh-CN"/>
          <w14:ligatures w14:val="none"/>
        </w:rPr>
        <w:t xml:space="preserve"> is</w:t>
      </w:r>
      <w:r w:rsidR="00BE47F6" w:rsidRPr="0051219B">
        <w:rPr>
          <w:rFonts w:eastAsia="Times New Roman" w:cs="Times New Roman"/>
          <w:color w:val="000000"/>
          <w:kern w:val="0"/>
          <w:szCs w:val="20"/>
          <w:lang w:val="en-GB" w:eastAsia="zh-CN"/>
          <w14:ligatures w14:val="none"/>
        </w:rPr>
        <w:t xml:space="preserve"> put upon time, then most of the microbiota variability is explained</w:t>
      </w:r>
      <w:r w:rsidR="00C545E1">
        <w:rPr>
          <w:rFonts w:eastAsia="Times New Roman" w:cs="Times New Roman"/>
          <w:color w:val="000000"/>
          <w:kern w:val="0"/>
          <w:szCs w:val="20"/>
          <w:lang w:val="en-GB" w:eastAsia="zh-CN"/>
          <w14:ligatures w14:val="none"/>
        </w:rPr>
        <w:t xml:space="preserve"> (PERMANOVA, P[FDR] &lt; 0.001, R</w:t>
      </w:r>
      <w:r w:rsidR="00C545E1" w:rsidRPr="00C545E1">
        <w:rPr>
          <w:rFonts w:eastAsia="Times New Roman" w:cs="Times New Roman"/>
          <w:color w:val="000000"/>
          <w:kern w:val="0"/>
          <w:szCs w:val="20"/>
          <w:vertAlign w:val="superscript"/>
          <w:lang w:val="en-GB" w:eastAsia="zh-CN"/>
          <w14:ligatures w14:val="none"/>
        </w:rPr>
        <w:t>2</w:t>
      </w:r>
      <w:r w:rsidR="00C545E1">
        <w:rPr>
          <w:rFonts w:eastAsia="Times New Roman" w:cs="Times New Roman"/>
          <w:color w:val="000000"/>
          <w:kern w:val="0"/>
          <w:szCs w:val="20"/>
          <w:lang w:val="en-GB" w:eastAsia="zh-CN"/>
          <w14:ligatures w14:val="none"/>
        </w:rPr>
        <w:t xml:space="preserve"> = 0.4)</w:t>
      </w:r>
      <w:r w:rsidR="00BE47F6" w:rsidRPr="0051219B">
        <w:rPr>
          <w:rFonts w:eastAsia="Times New Roman" w:cs="Times New Roman"/>
          <w:color w:val="000000"/>
          <w:kern w:val="0"/>
          <w:szCs w:val="20"/>
          <w:lang w:val="en-GB" w:eastAsia="zh-CN"/>
          <w14:ligatures w14:val="none"/>
        </w:rPr>
        <w:t xml:space="preserve">, making time the major driver of the biodiversity of the samples (Figure 2). The impact of time is also seen through the </w:t>
      </w:r>
      <w:r w:rsidR="00BE47F6" w:rsidRPr="0051219B">
        <w:rPr>
          <w:rFonts w:eastAsia="Times New Roman" w:cs="Times New Roman"/>
          <w:color w:val="000000"/>
          <w:kern w:val="0"/>
          <w:szCs w:val="20"/>
          <w:lang w:val="el-GR" w:eastAsia="zh-CN"/>
          <w14:ligatures w14:val="none"/>
        </w:rPr>
        <w:t>α</w:t>
      </w:r>
      <w:r w:rsidR="00BE47F6" w:rsidRPr="0051219B">
        <w:rPr>
          <w:rFonts w:eastAsia="Times New Roman" w:cs="Times New Roman"/>
          <w:color w:val="000000"/>
          <w:kern w:val="0"/>
          <w:szCs w:val="20"/>
          <w:lang w:val="en-US" w:eastAsia="zh-CN"/>
          <w14:ligatures w14:val="none"/>
        </w:rPr>
        <w:t xml:space="preserve"> - diversity measures, where a wave - like pattern is observed along the fourteen months of sampling.</w:t>
      </w:r>
    </w:p>
    <w:p w:rsidR="00BE47F6" w:rsidRPr="00680207" w:rsidRDefault="00BE47F6" w:rsidP="00BE47F6">
      <w:pPr>
        <w:widowControl w:val="0"/>
        <w:suppressAutoHyphens/>
        <w:jc w:val="left"/>
        <w:rPr>
          <w:rFonts w:eastAsia="Times New Roman" w:cs="Times New Roman"/>
          <w:color w:val="000000"/>
          <w:kern w:val="0"/>
          <w:sz w:val="6"/>
          <w:szCs w:val="6"/>
          <w:lang w:val="en-GB" w:eastAsia="it-IT"/>
          <w14:ligatures w14:val="none"/>
        </w:rPr>
      </w:pPr>
    </w:p>
    <w:p w:rsidR="00BE47F6" w:rsidRPr="0051219B" w:rsidRDefault="004F744B" w:rsidP="004F744B">
      <w:pPr>
        <w:jc w:val="center"/>
        <w:rPr>
          <w:rFonts w:cs="Times New Roman"/>
          <w:lang w:val="en-GB" w:eastAsia="zh-CN"/>
        </w:rPr>
      </w:pPr>
      <w:r w:rsidRPr="0051219B">
        <w:rPr>
          <w:rFonts w:cs="Times New Roman"/>
          <w:noProof/>
        </w:rPr>
        <mc:AlternateContent>
          <mc:Choice Requires="wps">
            <w:drawing>
              <wp:anchor distT="0" distB="0" distL="114300" distR="114300" simplePos="0" relativeHeight="251665408" behindDoc="0" locked="0" layoutInCell="1" allowOverlap="1" wp14:anchorId="47012945" wp14:editId="12991D40">
                <wp:simplePos x="0" y="0"/>
                <wp:positionH relativeFrom="column">
                  <wp:posOffset>56515</wp:posOffset>
                </wp:positionH>
                <wp:positionV relativeFrom="paragraph">
                  <wp:posOffset>2534822</wp:posOffset>
                </wp:positionV>
                <wp:extent cx="5720080" cy="731276"/>
                <wp:effectExtent l="0" t="0" r="0" b="5715"/>
                <wp:wrapNone/>
                <wp:docPr id="291914759" name="Text Box 1"/>
                <wp:cNvGraphicFramePr/>
                <a:graphic xmlns:a="http://schemas.openxmlformats.org/drawingml/2006/main">
                  <a:graphicData uri="http://schemas.microsoft.com/office/word/2010/wordprocessingShape">
                    <wps:wsp>
                      <wps:cNvSpPr txBox="1"/>
                      <wps:spPr>
                        <a:xfrm>
                          <a:off x="0" y="0"/>
                          <a:ext cx="5720080" cy="731276"/>
                        </a:xfrm>
                        <a:prstGeom prst="rect">
                          <a:avLst/>
                        </a:prstGeom>
                        <a:solidFill>
                          <a:prstClr val="white"/>
                        </a:solidFill>
                        <a:ln>
                          <a:noFill/>
                        </a:ln>
                      </wps:spPr>
                      <wps:txbx>
                        <w:txbxContent>
                          <w:p w:rsidR="008E394E" w:rsidRPr="008E394E" w:rsidRDefault="008E394E" w:rsidP="004F744B">
                            <w:pPr>
                              <w:pStyle w:val="Caption"/>
                              <w:spacing w:before="300" w:after="300"/>
                              <w:ind w:left="851" w:hanging="851"/>
                              <w:rPr>
                                <w:rFonts w:cs="Times New Roman"/>
                                <w:color w:val="auto"/>
                                <w:lang w:val="en-GB"/>
                              </w:rPr>
                            </w:pPr>
                            <w:r w:rsidRPr="008E394E">
                              <w:rPr>
                                <w:rFonts w:cs="Times New Roman"/>
                                <w:b/>
                                <w:bCs/>
                                <w:i w:val="0"/>
                                <w:iCs w:val="0"/>
                              </w:rPr>
                              <w:t xml:space="preserve">Figure </w:t>
                            </w:r>
                            <w:r w:rsidRPr="008E394E">
                              <w:rPr>
                                <w:rFonts w:cs="Times New Roman"/>
                                <w:b/>
                                <w:bCs/>
                                <w:i w:val="0"/>
                                <w:iCs w:val="0"/>
                              </w:rPr>
                              <w:fldChar w:fldCharType="begin"/>
                            </w:r>
                            <w:r w:rsidRPr="008E394E">
                              <w:rPr>
                                <w:rFonts w:cs="Times New Roman"/>
                                <w:b/>
                                <w:bCs/>
                                <w:i w:val="0"/>
                                <w:iCs w:val="0"/>
                              </w:rPr>
                              <w:instrText xml:space="preserve"> SEQ Figure \* ARABIC </w:instrText>
                            </w:r>
                            <w:r w:rsidRPr="008E394E">
                              <w:rPr>
                                <w:rFonts w:cs="Times New Roman"/>
                                <w:b/>
                                <w:bCs/>
                                <w:i w:val="0"/>
                                <w:iCs w:val="0"/>
                              </w:rPr>
                              <w:fldChar w:fldCharType="separate"/>
                            </w:r>
                            <w:r w:rsidR="00A166E8">
                              <w:rPr>
                                <w:rFonts w:cs="Times New Roman"/>
                                <w:b/>
                                <w:bCs/>
                                <w:i w:val="0"/>
                                <w:iCs w:val="0"/>
                                <w:noProof/>
                              </w:rPr>
                              <w:t>2</w:t>
                            </w:r>
                            <w:r w:rsidRPr="008E394E">
                              <w:rPr>
                                <w:rFonts w:cs="Times New Roman"/>
                                <w:b/>
                                <w:bCs/>
                                <w:i w:val="0"/>
                                <w:iCs w:val="0"/>
                              </w:rPr>
                              <w:fldChar w:fldCharType="end"/>
                            </w:r>
                            <w:r w:rsidRPr="008E394E">
                              <w:rPr>
                                <w:rFonts w:cs="Times New Roman"/>
                                <w:lang w:val="en-US"/>
                              </w:rPr>
                              <w:t xml:space="preserve">   </w:t>
                            </w:r>
                            <w:r w:rsidRPr="008E394E">
                              <w:rPr>
                                <w:rFonts w:cs="Times New Roman"/>
                                <w:b/>
                                <w:bCs/>
                                <w:i w:val="0"/>
                                <w:iCs w:val="0"/>
                                <w:lang w:val="en-GB"/>
                              </w:rPr>
                              <w:t xml:space="preserve">Alpha - diversity (B) and Beta - diversity (A) Measures of Bacterial Communities. </w:t>
                            </w:r>
                            <w:r w:rsidRPr="008E394E">
                              <w:rPr>
                                <w:rFonts w:cs="Times New Roman"/>
                                <w:b/>
                                <w:bCs/>
                                <w:i w:val="0"/>
                                <w:iCs w:val="0"/>
                                <w:lang w:val="en-GB"/>
                              </w:rPr>
                              <w:tab/>
                            </w:r>
                            <w:r w:rsidRPr="008E394E">
                              <w:rPr>
                                <w:rFonts w:cs="Times New Roman"/>
                                <w:b/>
                                <w:bCs/>
                                <w:i w:val="0"/>
                                <w:iCs w:val="0"/>
                                <w:lang w:val="en-GB"/>
                              </w:rPr>
                              <w:tab/>
                            </w:r>
                            <w:r w:rsidRPr="008E394E">
                              <w:rPr>
                                <w:rFonts w:cs="Times New Roman"/>
                                <w:b/>
                                <w:bCs/>
                                <w:i w:val="0"/>
                                <w:iCs w:val="0"/>
                                <w:lang w:val="en-GB"/>
                              </w:rPr>
                              <w:tab/>
                            </w:r>
                            <w:r>
                              <w:rPr>
                                <w:rFonts w:cs="Times New Roman"/>
                                <w:b/>
                                <w:bCs/>
                                <w:i w:val="0"/>
                                <w:iCs w:val="0"/>
                                <w:lang w:val="en-GB"/>
                              </w:rPr>
                              <w:t xml:space="preserve">             </w:t>
                            </w:r>
                            <w:r w:rsidRPr="008E394E">
                              <w:rPr>
                                <w:rFonts w:cs="Times New Roman"/>
                                <w:color w:val="auto"/>
                                <w:lang w:val="en-GB"/>
                              </w:rPr>
                              <w:t xml:space="preserve">(A) </w:t>
                            </w:r>
                            <w:proofErr w:type="spellStart"/>
                            <w:r w:rsidRPr="008E394E">
                              <w:rPr>
                                <w:rFonts w:cs="Times New Roman"/>
                                <w:color w:val="auto"/>
                                <w:lang w:val="en-GB"/>
                              </w:rPr>
                              <w:t>PCoA</w:t>
                            </w:r>
                            <w:proofErr w:type="spellEnd"/>
                            <w:r w:rsidRPr="008E394E">
                              <w:rPr>
                                <w:rFonts w:cs="Times New Roman"/>
                                <w:color w:val="auto"/>
                                <w:lang w:val="en-GB"/>
                              </w:rPr>
                              <w:t xml:space="preserve"> plot based on weighted </w:t>
                            </w:r>
                            <w:proofErr w:type="spellStart"/>
                            <w:r w:rsidRPr="008E394E">
                              <w:rPr>
                                <w:rFonts w:cs="Times New Roman"/>
                                <w:color w:val="auto"/>
                                <w:lang w:val="en-GB"/>
                              </w:rPr>
                              <w:t>UniFrac</w:t>
                            </w:r>
                            <w:proofErr w:type="spellEnd"/>
                            <w:r w:rsidRPr="008E394E">
                              <w:rPr>
                                <w:rFonts w:cs="Times New Roman"/>
                                <w:color w:val="auto"/>
                                <w:lang w:val="en-GB"/>
                              </w:rPr>
                              <w:t xml:space="preserve"> β - diversity distance (PERMANOVA, R2 = 0.35, P[FDR] &lt; 0.001). </w:t>
                            </w:r>
                            <w:r>
                              <w:rPr>
                                <w:rFonts w:cs="Times New Roman"/>
                                <w:color w:val="auto"/>
                                <w:lang w:val="en-GB"/>
                              </w:rPr>
                              <w:t xml:space="preserve">                            </w:t>
                            </w:r>
                            <w:r w:rsidRPr="008E394E">
                              <w:rPr>
                                <w:rFonts w:cs="Times New Roman"/>
                                <w:color w:val="auto"/>
                                <w:lang w:val="en-GB"/>
                              </w:rPr>
                              <w:t>(B) Box plots of α - diversity metrics</w:t>
                            </w:r>
                            <w:r w:rsidRPr="008E394E">
                              <w:rPr>
                                <w:rFonts w:cs="Times New Roman"/>
                                <w:color w:val="auto"/>
                                <w:lang w:val="en-US"/>
                              </w:rPr>
                              <w:t xml:space="preserve"> display the fourteen months of sampling in twenty-two blocks and four campaigns (Kruskal - Wallis, P &lt; 0.001).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12945" id="_x0000_t202" coordsize="21600,21600" o:spt="202" path="m,l,21600r21600,l21600,xe">
                <v:stroke joinstyle="miter"/>
                <v:path gradientshapeok="t" o:connecttype="rect"/>
              </v:shapetype>
              <v:shape id="Text Box 1" o:spid="_x0000_s1026" type="#_x0000_t202" style="position:absolute;left:0;text-align:left;margin-left:4.45pt;margin-top:199.6pt;width:450.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" stroked="f">
                <v:textbox inset="0,0,0,0">
                  <w:txbxContent>
                    <w:p w:rsidR="008E394E" w:rsidRPr="008E394E" w:rsidRDefault="008E394E" w:rsidP="004F744B">
                      <w:pPr>
                        <w:pStyle w:val="Caption"/>
                        <w:spacing w:before="300" w:after="300"/>
                        <w:ind w:left="851" w:hanging="851"/>
                        <w:rPr>
                          <w:rFonts w:cs="Times New Roman"/>
                          <w:color w:val="auto"/>
                          <w:lang w:val="en-GB"/>
                        </w:rPr>
                      </w:pPr>
                      <w:r w:rsidRPr="008E394E">
                        <w:rPr>
                          <w:rFonts w:cs="Times New Roman"/>
                          <w:b/>
                          <w:bCs/>
                          <w:i w:val="0"/>
                          <w:iCs w:val="0"/>
                        </w:rPr>
                        <w:t xml:space="preserve">Figure </w:t>
                      </w:r>
                      <w:r w:rsidRPr="008E394E">
                        <w:rPr>
                          <w:rFonts w:cs="Times New Roman"/>
                          <w:b/>
                          <w:bCs/>
                          <w:i w:val="0"/>
                          <w:iCs w:val="0"/>
                        </w:rPr>
                        <w:fldChar w:fldCharType="begin"/>
                      </w:r>
                      <w:r w:rsidRPr="008E394E">
                        <w:rPr>
                          <w:rFonts w:cs="Times New Roman"/>
                          <w:b/>
                          <w:bCs/>
                          <w:i w:val="0"/>
                          <w:iCs w:val="0"/>
                        </w:rPr>
                        <w:instrText xml:space="preserve"> SEQ Figure \* ARABIC </w:instrText>
                      </w:r>
                      <w:r w:rsidRPr="008E394E">
                        <w:rPr>
                          <w:rFonts w:cs="Times New Roman"/>
                          <w:b/>
                          <w:bCs/>
                          <w:i w:val="0"/>
                          <w:iCs w:val="0"/>
                        </w:rPr>
                        <w:fldChar w:fldCharType="separate"/>
                      </w:r>
                      <w:r w:rsidR="00A166E8">
                        <w:rPr>
                          <w:rFonts w:cs="Times New Roman"/>
                          <w:b/>
                          <w:bCs/>
                          <w:i w:val="0"/>
                          <w:iCs w:val="0"/>
                          <w:noProof/>
                        </w:rPr>
                        <w:t>2</w:t>
                      </w:r>
                      <w:r w:rsidRPr="008E394E">
                        <w:rPr>
                          <w:rFonts w:cs="Times New Roman"/>
                          <w:b/>
                          <w:bCs/>
                          <w:i w:val="0"/>
                          <w:iCs w:val="0"/>
                        </w:rPr>
                        <w:fldChar w:fldCharType="end"/>
                      </w:r>
                      <w:r w:rsidRPr="008E394E">
                        <w:rPr>
                          <w:rFonts w:cs="Times New Roman"/>
                          <w:lang w:val="en-US"/>
                        </w:rPr>
                        <w:t xml:space="preserve">   </w:t>
                      </w:r>
                      <w:r w:rsidRPr="008E394E">
                        <w:rPr>
                          <w:rFonts w:cs="Times New Roman"/>
                          <w:b/>
                          <w:bCs/>
                          <w:i w:val="0"/>
                          <w:iCs w:val="0"/>
                          <w:lang w:val="en-GB"/>
                        </w:rPr>
                        <w:t xml:space="preserve">Alpha - diversity (B) and Beta - diversity (A) Measures of Bacterial Communities. </w:t>
                      </w:r>
                      <w:r w:rsidRPr="008E394E">
                        <w:rPr>
                          <w:rFonts w:cs="Times New Roman"/>
                          <w:b/>
                          <w:bCs/>
                          <w:i w:val="0"/>
                          <w:iCs w:val="0"/>
                          <w:lang w:val="en-GB"/>
                        </w:rPr>
                        <w:tab/>
                      </w:r>
                      <w:r w:rsidRPr="008E394E">
                        <w:rPr>
                          <w:rFonts w:cs="Times New Roman"/>
                          <w:b/>
                          <w:bCs/>
                          <w:i w:val="0"/>
                          <w:iCs w:val="0"/>
                          <w:lang w:val="en-GB"/>
                        </w:rPr>
                        <w:tab/>
                      </w:r>
                      <w:r w:rsidRPr="008E394E">
                        <w:rPr>
                          <w:rFonts w:cs="Times New Roman"/>
                          <w:b/>
                          <w:bCs/>
                          <w:i w:val="0"/>
                          <w:iCs w:val="0"/>
                          <w:lang w:val="en-GB"/>
                        </w:rPr>
                        <w:tab/>
                      </w:r>
                      <w:r>
                        <w:rPr>
                          <w:rFonts w:cs="Times New Roman"/>
                          <w:b/>
                          <w:bCs/>
                          <w:i w:val="0"/>
                          <w:iCs w:val="0"/>
                          <w:lang w:val="en-GB"/>
                        </w:rPr>
                        <w:t xml:space="preserve">             </w:t>
                      </w:r>
                      <w:r w:rsidRPr="008E394E">
                        <w:rPr>
                          <w:rFonts w:cs="Times New Roman"/>
                          <w:color w:val="auto"/>
                          <w:lang w:val="en-GB"/>
                        </w:rPr>
                        <w:t xml:space="preserve">(A) </w:t>
                      </w:r>
                      <w:proofErr w:type="spellStart"/>
                      <w:r w:rsidRPr="008E394E">
                        <w:rPr>
                          <w:rFonts w:cs="Times New Roman"/>
                          <w:color w:val="auto"/>
                          <w:lang w:val="en-GB"/>
                        </w:rPr>
                        <w:t>PCoA</w:t>
                      </w:r>
                      <w:proofErr w:type="spellEnd"/>
                      <w:r w:rsidRPr="008E394E">
                        <w:rPr>
                          <w:rFonts w:cs="Times New Roman"/>
                          <w:color w:val="auto"/>
                          <w:lang w:val="en-GB"/>
                        </w:rPr>
                        <w:t xml:space="preserve"> plot based on weighted </w:t>
                      </w:r>
                      <w:proofErr w:type="spellStart"/>
                      <w:r w:rsidRPr="008E394E">
                        <w:rPr>
                          <w:rFonts w:cs="Times New Roman"/>
                          <w:color w:val="auto"/>
                          <w:lang w:val="en-GB"/>
                        </w:rPr>
                        <w:t>UniFrac</w:t>
                      </w:r>
                      <w:proofErr w:type="spellEnd"/>
                      <w:r w:rsidRPr="008E394E">
                        <w:rPr>
                          <w:rFonts w:cs="Times New Roman"/>
                          <w:color w:val="auto"/>
                          <w:lang w:val="en-GB"/>
                        </w:rPr>
                        <w:t xml:space="preserve"> β - diversity distance (PERMANOVA, R2 = 0.35, P[FDR] &lt; 0.001). </w:t>
                      </w:r>
                      <w:r>
                        <w:rPr>
                          <w:rFonts w:cs="Times New Roman"/>
                          <w:color w:val="auto"/>
                          <w:lang w:val="en-GB"/>
                        </w:rPr>
                        <w:t xml:space="preserve">                            </w:t>
                      </w:r>
                      <w:r w:rsidRPr="008E394E">
                        <w:rPr>
                          <w:rFonts w:cs="Times New Roman"/>
                          <w:color w:val="auto"/>
                          <w:lang w:val="en-GB"/>
                        </w:rPr>
                        <w:t>(B) Box plots of α - diversity metrics</w:t>
                      </w:r>
                      <w:r w:rsidRPr="008E394E">
                        <w:rPr>
                          <w:rFonts w:cs="Times New Roman"/>
                          <w:color w:val="auto"/>
                          <w:lang w:val="en-US"/>
                        </w:rPr>
                        <w:t xml:space="preserve"> display the fourteen months of sampling in twenty-two blocks and four campaigns (Kruskal - Wallis, P &lt; 0.001).</w:t>
                      </w:r>
                    </w:p>
                  </w:txbxContent>
                </v:textbox>
              </v:shape>
            </w:pict>
          </mc:Fallback>
        </mc:AlternateContent>
      </w:r>
      <w:r>
        <w:rPr>
          <w:rFonts w:cs="Times New Roman"/>
          <w:noProof/>
          <w:lang w:val="en-GB" w:eastAsia="zh-CN"/>
        </w:rPr>
        <w:drawing>
          <wp:inline distT="0" distB="0" distL="0" distR="0">
            <wp:extent cx="4560277" cy="2563226"/>
            <wp:effectExtent l="0" t="0" r="0" b="2540"/>
            <wp:docPr id="391731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31496" name="Picture 391731496"/>
                    <pic:cNvPicPr/>
                  </pic:nvPicPr>
                  <pic:blipFill>
                    <a:blip r:embed="rId9">
                      <a:extLst>
                        <a:ext uri="{28A0092B-C50C-407E-A947-70E740481C1C}">
                          <a14:useLocalDpi xmlns:a14="http://schemas.microsoft.com/office/drawing/2010/main" val="0"/>
                        </a:ext>
                      </a:extLst>
                    </a:blip>
                    <a:stretch>
                      <a:fillRect/>
                    </a:stretch>
                  </pic:blipFill>
                  <pic:spPr>
                    <a:xfrm>
                      <a:off x="0" y="0"/>
                      <a:ext cx="4560277" cy="2563226"/>
                    </a:xfrm>
                    <a:prstGeom prst="rect">
                      <a:avLst/>
                    </a:prstGeom>
                  </pic:spPr>
                </pic:pic>
              </a:graphicData>
            </a:graphic>
          </wp:inline>
        </w:drawing>
      </w:r>
    </w:p>
    <w:p w:rsidR="00BE47F6" w:rsidRDefault="00BE47F6" w:rsidP="00672EE0">
      <w:pPr>
        <w:jc w:val="left"/>
        <w:rPr>
          <w:rFonts w:cs="Times New Roman"/>
          <w:lang w:val="en-GB" w:eastAsia="zh-CN"/>
        </w:rPr>
      </w:pPr>
    </w:p>
    <w:p w:rsidR="004F744B" w:rsidRDefault="004F744B" w:rsidP="00672EE0">
      <w:pPr>
        <w:jc w:val="left"/>
        <w:rPr>
          <w:rFonts w:cs="Times New Roman"/>
          <w:lang w:val="en-GB" w:eastAsia="zh-CN"/>
        </w:rPr>
      </w:pPr>
    </w:p>
    <w:p w:rsidR="004F744B" w:rsidRPr="0051219B" w:rsidRDefault="004F744B" w:rsidP="00672EE0">
      <w:pPr>
        <w:jc w:val="left"/>
        <w:rPr>
          <w:rFonts w:cs="Times New Roman"/>
          <w:lang w:val="en-GB" w:eastAsia="zh-CN"/>
        </w:rPr>
      </w:pPr>
    </w:p>
    <w:p w:rsidR="00BE47F6" w:rsidRDefault="00BE47F6" w:rsidP="00672EE0">
      <w:pPr>
        <w:jc w:val="left"/>
        <w:rPr>
          <w:rFonts w:cs="Times New Roman"/>
          <w:lang w:val="en-GB" w:eastAsia="zh-CN"/>
        </w:rPr>
      </w:pPr>
    </w:p>
    <w:p w:rsidR="004F744B" w:rsidRDefault="004F744B" w:rsidP="00672EE0">
      <w:pPr>
        <w:jc w:val="left"/>
        <w:rPr>
          <w:rFonts w:cs="Times New Roman"/>
          <w:lang w:val="en-GB" w:eastAsia="zh-CN"/>
        </w:rPr>
      </w:pPr>
    </w:p>
    <w:p w:rsidR="00BE47F6" w:rsidRPr="00C545E1" w:rsidRDefault="00BE47F6" w:rsidP="00672EE0">
      <w:pPr>
        <w:jc w:val="left"/>
        <w:rPr>
          <w:rFonts w:cs="Times New Roman"/>
          <w:lang w:val="en-GB" w:eastAsia="zh-CN"/>
        </w:rPr>
      </w:pPr>
    </w:p>
    <w:p w:rsidR="0051219B" w:rsidRPr="0051219B" w:rsidRDefault="0051219B" w:rsidP="00680207">
      <w:pPr>
        <w:keepNext/>
        <w:jc w:val="center"/>
        <w:rPr>
          <w:rFonts w:cs="Times New Roman"/>
        </w:rPr>
      </w:pPr>
      <w:r w:rsidRPr="0051219B">
        <w:rPr>
          <w:rFonts w:cs="Times New Roman"/>
          <w:noProof/>
        </w:rPr>
        <w:drawing>
          <wp:inline distT="0" distB="0" distL="0" distR="0" wp14:anchorId="387C23C8" wp14:editId="198E69B4">
            <wp:extent cx="5405212" cy="1996748"/>
            <wp:effectExtent l="0" t="0" r="5080" b="0"/>
            <wp:docPr id="915270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70119"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405212" cy="1996748"/>
                    </a:xfrm>
                    <a:prstGeom prst="rect">
                      <a:avLst/>
                    </a:prstGeom>
                  </pic:spPr>
                </pic:pic>
              </a:graphicData>
            </a:graphic>
          </wp:inline>
        </w:drawing>
      </w:r>
    </w:p>
    <w:p w:rsidR="00BE47F6" w:rsidRPr="0051219B" w:rsidRDefault="0051219B" w:rsidP="001575FF">
      <w:pPr>
        <w:pStyle w:val="Caption"/>
        <w:spacing w:before="300" w:after="300"/>
        <w:ind w:left="851" w:hanging="851"/>
        <w:rPr>
          <w:rFonts w:cs="Times New Roman"/>
          <w:lang w:val="en-US" w:eastAsia="zh-CN"/>
        </w:rPr>
      </w:pPr>
      <w:r w:rsidRPr="0051219B">
        <w:rPr>
          <w:rFonts w:cs="Times New Roman"/>
          <w:b/>
          <w:bCs/>
          <w:i w:val="0"/>
          <w:iCs w:val="0"/>
        </w:rPr>
        <w:t xml:space="preserve">Figure </w:t>
      </w:r>
      <w:r w:rsidRPr="0051219B">
        <w:rPr>
          <w:rFonts w:cs="Times New Roman"/>
          <w:b/>
          <w:bCs/>
          <w:i w:val="0"/>
          <w:iCs w:val="0"/>
        </w:rPr>
        <w:fldChar w:fldCharType="begin"/>
      </w:r>
      <w:r w:rsidRPr="0051219B">
        <w:rPr>
          <w:rFonts w:cs="Times New Roman"/>
          <w:b/>
          <w:bCs/>
          <w:i w:val="0"/>
          <w:iCs w:val="0"/>
        </w:rPr>
        <w:instrText xml:space="preserve"> SEQ Figure \* ARABIC </w:instrText>
      </w:r>
      <w:r w:rsidRPr="0051219B">
        <w:rPr>
          <w:rFonts w:cs="Times New Roman"/>
          <w:b/>
          <w:bCs/>
          <w:i w:val="0"/>
          <w:iCs w:val="0"/>
        </w:rPr>
        <w:fldChar w:fldCharType="separate"/>
      </w:r>
      <w:r w:rsidR="00A166E8">
        <w:rPr>
          <w:rFonts w:cs="Times New Roman"/>
          <w:b/>
          <w:bCs/>
          <w:i w:val="0"/>
          <w:iCs w:val="0"/>
          <w:noProof/>
        </w:rPr>
        <w:t>3</w:t>
      </w:r>
      <w:r w:rsidRPr="0051219B">
        <w:rPr>
          <w:rFonts w:cs="Times New Roman"/>
          <w:b/>
          <w:bCs/>
          <w:i w:val="0"/>
          <w:iCs w:val="0"/>
        </w:rPr>
        <w:fldChar w:fldCharType="end"/>
      </w:r>
      <w:r w:rsidRPr="0051219B">
        <w:rPr>
          <w:rFonts w:cs="Times New Roman"/>
          <w:lang w:val="en-US"/>
        </w:rPr>
        <w:t xml:space="preserve"> </w:t>
      </w:r>
      <w:r>
        <w:rPr>
          <w:rFonts w:cs="Times New Roman"/>
          <w:lang w:val="en-US"/>
        </w:rPr>
        <w:t xml:space="preserve">  </w:t>
      </w:r>
      <w:r w:rsidRPr="0051219B">
        <w:rPr>
          <w:rFonts w:cs="Times New Roman"/>
          <w:b/>
          <w:bCs/>
          <w:i w:val="0"/>
          <w:iCs w:val="0"/>
          <w:lang w:val="en-GB"/>
        </w:rPr>
        <w:t>Overview of the Microbiota Composition at Phyla and Family Level.</w:t>
      </w:r>
      <w:r w:rsidRPr="0051219B">
        <w:rPr>
          <w:rFonts w:cs="Times New Roman"/>
          <w:lang w:val="en-GB"/>
        </w:rPr>
        <w:t xml:space="preserve"> </w:t>
      </w:r>
      <w:r w:rsidRPr="0051219B">
        <w:rPr>
          <w:rFonts w:cs="Times New Roman"/>
          <w:lang w:val="en-GB"/>
        </w:rPr>
        <w:tab/>
      </w:r>
      <w:r w:rsidRPr="0051219B">
        <w:rPr>
          <w:rFonts w:cs="Times New Roman"/>
          <w:lang w:val="en-GB"/>
        </w:rPr>
        <w:tab/>
      </w:r>
      <w:r w:rsidRPr="0051219B">
        <w:rPr>
          <w:rFonts w:cs="Times New Roman"/>
          <w:lang w:val="en-GB"/>
        </w:rPr>
        <w:tab/>
      </w:r>
      <w:r w:rsidRPr="0051219B">
        <w:rPr>
          <w:rFonts w:cs="Times New Roman"/>
          <w:lang w:val="en-GB"/>
        </w:rPr>
        <w:tab/>
        <w:t xml:space="preserve">             </w:t>
      </w:r>
      <w:r w:rsidRPr="0051219B">
        <w:rPr>
          <w:rFonts w:cs="Times New Roman"/>
          <w:color w:val="auto"/>
          <w:lang w:val="en-GB"/>
        </w:rPr>
        <w:t>Stacked bar plots representing the microbiota composition - relative abundance - in phylum and family taxa ranks with colour coding keys. The samples are grouped following the temporal sampling order and thus are divided by sampling blocks. The legends contain the taxa sorted from the most to the least abundant and only taxa &gt;</w:t>
      </w:r>
      <w:r>
        <w:rPr>
          <w:rFonts w:cs="Times New Roman"/>
          <w:color w:val="auto"/>
          <w:lang w:val="en-GB"/>
        </w:rPr>
        <w:t>0.8</w:t>
      </w:r>
      <w:r w:rsidRPr="0051219B">
        <w:rPr>
          <w:rFonts w:cs="Times New Roman"/>
          <w:color w:val="auto"/>
          <w:lang w:val="en-GB"/>
        </w:rPr>
        <w:t xml:space="preserve"> % of average abundances are displayed.</w:t>
      </w:r>
    </w:p>
    <w:p w:rsidR="006D66C7" w:rsidRDefault="007D0913" w:rsidP="00B00883">
      <w:pPr>
        <w:widowControl w:val="0"/>
        <w:tabs>
          <w:tab w:val="left" w:pos="567"/>
          <w:tab w:val="left" w:pos="7371"/>
        </w:tabs>
        <w:suppressAutoHyphens/>
        <w:rPr>
          <w:rFonts w:eastAsia="Times New Roman" w:cs="Times New Roman"/>
          <w:color w:val="000000"/>
          <w:kern w:val="0"/>
          <w:szCs w:val="20"/>
          <w:lang w:val="en-GB" w:eastAsia="zh-CN"/>
          <w14:ligatures w14:val="none"/>
        </w:rPr>
      </w:pPr>
      <w:r w:rsidRPr="00B00883">
        <w:rPr>
          <w:rFonts w:eastAsia="Times New Roman" w:cs="Times New Roman"/>
          <w:color w:val="000000"/>
          <w:kern w:val="0"/>
          <w:szCs w:val="20"/>
          <w:lang w:val="en-GB" w:eastAsia="zh-CN"/>
          <w14:ligatures w14:val="none"/>
        </w:rPr>
        <w:t xml:space="preserve">In Figure 3 is </w:t>
      </w:r>
      <w:r w:rsidR="00B00883" w:rsidRPr="00B00883">
        <w:rPr>
          <w:rFonts w:eastAsia="Times New Roman" w:cs="Times New Roman"/>
          <w:color w:val="000000"/>
          <w:kern w:val="0"/>
          <w:szCs w:val="20"/>
          <w:lang w:val="en-GB" w:eastAsia="zh-CN"/>
          <w14:ligatures w14:val="none"/>
        </w:rPr>
        <w:t xml:space="preserve">represented the </w:t>
      </w:r>
      <w:r w:rsidR="00B00883">
        <w:rPr>
          <w:rFonts w:eastAsia="Times New Roman" w:cs="Times New Roman"/>
          <w:color w:val="000000"/>
          <w:kern w:val="0"/>
          <w:szCs w:val="20"/>
          <w:lang w:val="en-GB" w:eastAsia="zh-CN"/>
          <w14:ligatures w14:val="none"/>
        </w:rPr>
        <w:t xml:space="preserve">microbiota distribution </w:t>
      </w:r>
      <w:r w:rsidR="001B7EB5">
        <w:rPr>
          <w:rFonts w:eastAsia="Times New Roman" w:cs="Times New Roman"/>
          <w:color w:val="000000"/>
          <w:kern w:val="0"/>
          <w:szCs w:val="20"/>
          <w:lang w:val="en-GB" w:eastAsia="zh-CN"/>
          <w14:ligatures w14:val="none"/>
        </w:rPr>
        <w:t xml:space="preserve">in relation to the sampling time, divided in sampling campaigns and subsequently by sample type. The phyla Firmicutes, Proteobacteria, </w:t>
      </w:r>
      <w:proofErr w:type="spellStart"/>
      <w:r w:rsidR="001B7EB5">
        <w:rPr>
          <w:rFonts w:eastAsia="Times New Roman" w:cs="Times New Roman"/>
          <w:color w:val="000000"/>
          <w:kern w:val="0"/>
          <w:szCs w:val="20"/>
          <w:lang w:val="en-GB" w:eastAsia="zh-CN"/>
          <w14:ligatures w14:val="none"/>
        </w:rPr>
        <w:t>Actinobacteriota</w:t>
      </w:r>
      <w:proofErr w:type="spellEnd"/>
      <w:r w:rsidR="001B7EB5">
        <w:rPr>
          <w:rFonts w:eastAsia="Times New Roman" w:cs="Times New Roman"/>
          <w:color w:val="000000"/>
          <w:kern w:val="0"/>
          <w:szCs w:val="20"/>
          <w:lang w:val="en-GB" w:eastAsia="zh-CN"/>
          <w14:ligatures w14:val="none"/>
        </w:rPr>
        <w:t xml:space="preserve">, </w:t>
      </w:r>
      <w:proofErr w:type="spellStart"/>
      <w:r w:rsidR="001B7EB5">
        <w:rPr>
          <w:rFonts w:eastAsia="Times New Roman" w:cs="Times New Roman"/>
          <w:color w:val="000000"/>
          <w:kern w:val="0"/>
          <w:szCs w:val="20"/>
          <w:lang w:val="en-GB" w:eastAsia="zh-CN"/>
          <w14:ligatures w14:val="none"/>
        </w:rPr>
        <w:t>Deinococcota</w:t>
      </w:r>
      <w:proofErr w:type="spellEnd"/>
      <w:r w:rsidR="001B7EB5">
        <w:rPr>
          <w:rFonts w:eastAsia="Times New Roman" w:cs="Times New Roman"/>
          <w:color w:val="000000"/>
          <w:kern w:val="0"/>
          <w:szCs w:val="20"/>
          <w:lang w:val="en-GB" w:eastAsia="zh-CN"/>
          <w14:ligatures w14:val="none"/>
        </w:rPr>
        <w:t xml:space="preserve"> and </w:t>
      </w:r>
      <w:proofErr w:type="spellStart"/>
      <w:r w:rsidR="001B7EB5">
        <w:rPr>
          <w:rFonts w:eastAsia="Times New Roman" w:cs="Times New Roman"/>
          <w:color w:val="000000"/>
          <w:kern w:val="0"/>
          <w:szCs w:val="20"/>
          <w:lang w:val="en-GB" w:eastAsia="zh-CN"/>
          <w14:ligatures w14:val="none"/>
        </w:rPr>
        <w:t>Bacteroidota</w:t>
      </w:r>
      <w:proofErr w:type="spellEnd"/>
      <w:r w:rsidR="001B7EB5">
        <w:rPr>
          <w:rFonts w:eastAsia="Times New Roman" w:cs="Times New Roman"/>
          <w:color w:val="000000"/>
          <w:kern w:val="0"/>
          <w:szCs w:val="20"/>
          <w:lang w:val="en-GB" w:eastAsia="zh-CN"/>
          <w14:ligatures w14:val="none"/>
        </w:rPr>
        <w:t xml:space="preserve"> are predominant and ubiquitously distributed in all samples. Furthermore, there is </w:t>
      </w:r>
      <w:r w:rsidR="006D66C7">
        <w:rPr>
          <w:rFonts w:eastAsia="Times New Roman" w:cs="Times New Roman"/>
          <w:color w:val="000000"/>
          <w:kern w:val="0"/>
          <w:szCs w:val="20"/>
          <w:lang w:val="en-GB" w:eastAsia="zh-CN"/>
          <w14:ligatures w14:val="none"/>
        </w:rPr>
        <w:t xml:space="preserve">an evident temporal succession of families during time and more in particular when comparing the microbial composition of the four campaigns. For instance, </w:t>
      </w:r>
      <w:r w:rsidR="006D66C7" w:rsidRPr="006D66C7">
        <w:rPr>
          <w:rFonts w:eastAsia="Times New Roman" w:cs="Times New Roman"/>
          <w:i/>
          <w:iCs/>
          <w:color w:val="000000"/>
          <w:kern w:val="0"/>
          <w:szCs w:val="20"/>
          <w:lang w:val="en-GB" w:eastAsia="zh-CN"/>
          <w14:ligatures w14:val="none"/>
        </w:rPr>
        <w:t>Enterobacteriaceae</w:t>
      </w:r>
      <w:r w:rsidR="006D66C7">
        <w:rPr>
          <w:rFonts w:eastAsia="Times New Roman" w:cs="Times New Roman"/>
          <w:color w:val="000000"/>
          <w:kern w:val="0"/>
          <w:szCs w:val="20"/>
          <w:lang w:val="en-GB" w:eastAsia="zh-CN"/>
          <w14:ligatures w14:val="none"/>
        </w:rPr>
        <w:t xml:space="preserve"> and </w:t>
      </w:r>
      <w:proofErr w:type="spellStart"/>
      <w:r w:rsidR="006D66C7" w:rsidRPr="006D66C7">
        <w:rPr>
          <w:rFonts w:eastAsia="Times New Roman" w:cs="Times New Roman"/>
          <w:i/>
          <w:iCs/>
          <w:color w:val="000000"/>
          <w:kern w:val="0"/>
          <w:szCs w:val="20"/>
          <w:lang w:val="en-GB" w:eastAsia="zh-CN"/>
          <w14:ligatures w14:val="none"/>
        </w:rPr>
        <w:t>Staphylococcaceae</w:t>
      </w:r>
      <w:proofErr w:type="spellEnd"/>
      <w:r w:rsidR="006D66C7">
        <w:rPr>
          <w:rFonts w:eastAsia="Times New Roman" w:cs="Times New Roman"/>
          <w:color w:val="000000"/>
          <w:kern w:val="0"/>
          <w:szCs w:val="20"/>
          <w:lang w:val="en-GB" w:eastAsia="zh-CN"/>
          <w14:ligatures w14:val="none"/>
        </w:rPr>
        <w:t xml:space="preserve"> are predominant in the first campaign, while </w:t>
      </w:r>
      <w:proofErr w:type="spellStart"/>
      <w:r w:rsidR="006D66C7" w:rsidRPr="006D66C7">
        <w:rPr>
          <w:rFonts w:eastAsia="Times New Roman" w:cs="Times New Roman"/>
          <w:i/>
          <w:iCs/>
          <w:color w:val="000000"/>
          <w:kern w:val="0"/>
          <w:szCs w:val="20"/>
          <w:lang w:val="en-GB" w:eastAsia="zh-CN"/>
          <w14:ligatures w14:val="none"/>
        </w:rPr>
        <w:t>Lactobacillaceae</w:t>
      </w:r>
      <w:proofErr w:type="spellEnd"/>
      <w:r w:rsidR="006D66C7">
        <w:rPr>
          <w:rFonts w:eastAsia="Times New Roman" w:cs="Times New Roman"/>
          <w:color w:val="000000"/>
          <w:kern w:val="0"/>
          <w:szCs w:val="20"/>
          <w:lang w:val="en-GB" w:eastAsia="zh-CN"/>
          <w14:ligatures w14:val="none"/>
        </w:rPr>
        <w:t xml:space="preserve">, </w:t>
      </w:r>
      <w:proofErr w:type="spellStart"/>
      <w:r w:rsidR="006D66C7" w:rsidRPr="006D66C7">
        <w:rPr>
          <w:rFonts w:eastAsia="Times New Roman" w:cs="Times New Roman"/>
          <w:i/>
          <w:iCs/>
          <w:color w:val="000000"/>
          <w:kern w:val="0"/>
          <w:szCs w:val="20"/>
          <w:lang w:val="en-GB" w:eastAsia="zh-CN"/>
          <w14:ligatures w14:val="none"/>
        </w:rPr>
        <w:t>Lachnospiraceae</w:t>
      </w:r>
      <w:proofErr w:type="spellEnd"/>
      <w:r w:rsidR="006D66C7">
        <w:rPr>
          <w:rFonts w:eastAsia="Times New Roman" w:cs="Times New Roman"/>
          <w:color w:val="000000"/>
          <w:kern w:val="0"/>
          <w:szCs w:val="20"/>
          <w:lang w:val="en-GB" w:eastAsia="zh-CN"/>
          <w14:ligatures w14:val="none"/>
        </w:rPr>
        <w:t xml:space="preserve"> and </w:t>
      </w:r>
      <w:proofErr w:type="spellStart"/>
      <w:r w:rsidR="006D66C7" w:rsidRPr="006D66C7">
        <w:rPr>
          <w:rFonts w:eastAsia="Times New Roman" w:cs="Times New Roman"/>
          <w:i/>
          <w:iCs/>
          <w:color w:val="000000"/>
          <w:kern w:val="0"/>
          <w:szCs w:val="20"/>
          <w:lang w:val="en-GB" w:eastAsia="zh-CN"/>
          <w14:ligatures w14:val="none"/>
        </w:rPr>
        <w:t>Enterococcaceae</w:t>
      </w:r>
      <w:proofErr w:type="spellEnd"/>
      <w:r w:rsidR="006D66C7">
        <w:rPr>
          <w:rFonts w:eastAsia="Times New Roman" w:cs="Times New Roman"/>
          <w:color w:val="000000"/>
          <w:kern w:val="0"/>
          <w:szCs w:val="20"/>
          <w:lang w:val="en-GB" w:eastAsia="zh-CN"/>
          <w14:ligatures w14:val="none"/>
        </w:rPr>
        <w:t xml:space="preserve"> abundances tend to increase along time.</w:t>
      </w:r>
    </w:p>
    <w:p w:rsidR="004F744B" w:rsidRPr="00680207" w:rsidRDefault="004F744B" w:rsidP="00B00883">
      <w:pPr>
        <w:widowControl w:val="0"/>
        <w:tabs>
          <w:tab w:val="left" w:pos="567"/>
          <w:tab w:val="left" w:pos="7371"/>
        </w:tabs>
        <w:suppressAutoHyphens/>
        <w:rPr>
          <w:rFonts w:eastAsia="Times New Roman" w:cs="Times New Roman"/>
          <w:color w:val="000000"/>
          <w:kern w:val="0"/>
          <w:szCs w:val="20"/>
          <w:lang w:val="en-GB" w:eastAsia="zh-CN"/>
          <w14:ligatures w14:val="none"/>
        </w:rPr>
      </w:pPr>
    </w:p>
    <w:p w:rsidR="006D66C7" w:rsidRPr="006D66C7" w:rsidRDefault="006D66C7" w:rsidP="006D66C7">
      <w:pPr>
        <w:pStyle w:val="Heading2"/>
        <w:rPr>
          <w:b/>
          <w:bCs/>
          <w:sz w:val="20"/>
          <w:lang w:val="en-GB"/>
        </w:rPr>
      </w:pPr>
      <w:r w:rsidRPr="006D66C7">
        <w:rPr>
          <w:b/>
          <w:bCs/>
          <w:sz w:val="20"/>
          <w:lang w:val="en-GB"/>
        </w:rPr>
        <w:lastRenderedPageBreak/>
        <w:t>5.2 Shared Taxa</w:t>
      </w:r>
    </w:p>
    <w:p w:rsidR="00BE47F6" w:rsidRDefault="00B24DCC" w:rsidP="00B24DCC">
      <w:pPr>
        <w:rPr>
          <w:rFonts w:cs="Times New Roman"/>
          <w:lang w:val="en-GB" w:eastAsia="zh-CN"/>
        </w:rPr>
      </w:pPr>
      <w:r>
        <w:rPr>
          <w:rFonts w:cs="Times New Roman"/>
          <w:lang w:val="en-GB" w:eastAsia="zh-CN"/>
        </w:rPr>
        <w:t xml:space="preserve">The taxa distribution both at family and genus / species level were investigated through Venn diagrams (Figure 4) </w:t>
      </w:r>
      <w:r w:rsidR="00C67E86">
        <w:rPr>
          <w:rFonts w:cs="Times New Roman"/>
          <w:lang w:val="en-GB" w:eastAsia="zh-CN"/>
        </w:rPr>
        <w:t>in order to identify the core taxa shared between the sample types (RM, IP, FP, ENV)</w:t>
      </w:r>
      <w:r w:rsidR="00EA02BC">
        <w:rPr>
          <w:rFonts w:cs="Times New Roman"/>
          <w:lang w:val="en-GB" w:eastAsia="zh-CN"/>
        </w:rPr>
        <w:t xml:space="preserve">. Within the fifty - six core families </w:t>
      </w:r>
      <w:r w:rsidR="00611806">
        <w:rPr>
          <w:rFonts w:cs="Times New Roman"/>
          <w:lang w:val="en-GB" w:eastAsia="zh-CN"/>
        </w:rPr>
        <w:t>it was possible</w:t>
      </w:r>
      <w:r w:rsidR="00EA02BC">
        <w:rPr>
          <w:rFonts w:cs="Times New Roman"/>
          <w:lang w:val="en-GB" w:eastAsia="zh-CN"/>
        </w:rPr>
        <w:t xml:space="preserve"> to detect </w:t>
      </w:r>
      <w:proofErr w:type="spellStart"/>
      <w:r w:rsidR="00EA02BC" w:rsidRPr="00EA02BC">
        <w:rPr>
          <w:rFonts w:cs="Times New Roman"/>
          <w:i/>
          <w:iCs/>
          <w:lang w:val="en-GB" w:eastAsia="zh-CN"/>
        </w:rPr>
        <w:t>Bacillaceae</w:t>
      </w:r>
      <w:proofErr w:type="spellEnd"/>
      <w:r w:rsidR="00EA02BC">
        <w:rPr>
          <w:rFonts w:cs="Times New Roman"/>
          <w:lang w:val="en-GB" w:eastAsia="zh-CN"/>
        </w:rPr>
        <w:t xml:space="preserve">, </w:t>
      </w:r>
      <w:proofErr w:type="spellStart"/>
      <w:r w:rsidR="00EA02BC" w:rsidRPr="00EA02BC">
        <w:rPr>
          <w:rFonts w:cs="Times New Roman"/>
          <w:i/>
          <w:iCs/>
          <w:lang w:val="en-GB" w:eastAsia="zh-CN"/>
        </w:rPr>
        <w:t>Clostridiaceae</w:t>
      </w:r>
      <w:proofErr w:type="spellEnd"/>
      <w:r w:rsidR="00EA02BC">
        <w:rPr>
          <w:rFonts w:cs="Times New Roman"/>
          <w:lang w:val="en-GB" w:eastAsia="zh-CN"/>
        </w:rPr>
        <w:t xml:space="preserve">, </w:t>
      </w:r>
      <w:r w:rsidR="00EA02BC" w:rsidRPr="00EA02BC">
        <w:rPr>
          <w:rFonts w:cs="Times New Roman"/>
          <w:i/>
          <w:iCs/>
          <w:lang w:val="en-GB" w:eastAsia="zh-CN"/>
        </w:rPr>
        <w:t>Enterobacteriaceae</w:t>
      </w:r>
      <w:r w:rsidR="00EA02BC">
        <w:rPr>
          <w:rFonts w:cs="Times New Roman"/>
          <w:lang w:val="en-GB" w:eastAsia="zh-CN"/>
        </w:rPr>
        <w:t xml:space="preserve"> and </w:t>
      </w:r>
      <w:proofErr w:type="spellStart"/>
      <w:r w:rsidR="00EA02BC" w:rsidRPr="00EA02BC">
        <w:rPr>
          <w:rFonts w:cs="Times New Roman"/>
          <w:i/>
          <w:iCs/>
          <w:lang w:val="en-GB" w:eastAsia="zh-CN"/>
        </w:rPr>
        <w:t>Staphylococcaceae</w:t>
      </w:r>
      <w:proofErr w:type="spellEnd"/>
      <w:r w:rsidR="00EA02BC">
        <w:rPr>
          <w:rFonts w:cs="Times New Roman"/>
          <w:lang w:val="en-GB" w:eastAsia="zh-CN"/>
        </w:rPr>
        <w:t xml:space="preserve">, while </w:t>
      </w:r>
      <w:proofErr w:type="spellStart"/>
      <w:r w:rsidR="00EA02BC" w:rsidRPr="00EA02BC">
        <w:rPr>
          <w:rFonts w:cs="Times New Roman"/>
          <w:i/>
          <w:iCs/>
          <w:lang w:val="en-GB" w:eastAsia="zh-CN"/>
        </w:rPr>
        <w:t>Listeriaceae</w:t>
      </w:r>
      <w:proofErr w:type="spellEnd"/>
      <w:r w:rsidR="00EA02BC">
        <w:rPr>
          <w:rFonts w:cs="Times New Roman"/>
          <w:lang w:val="en-GB" w:eastAsia="zh-CN"/>
        </w:rPr>
        <w:t xml:space="preserve"> was shared between RM, IP and ENV but was not detected in the FP. At the highest taxonomic level, the distribution for the targeted pathogen species or belonging genus</w:t>
      </w:r>
      <w:r w:rsidR="00611806">
        <w:rPr>
          <w:rFonts w:cs="Times New Roman"/>
          <w:lang w:val="en-GB" w:eastAsia="zh-CN"/>
        </w:rPr>
        <w:t xml:space="preserve"> was confirmed</w:t>
      </w:r>
      <w:r w:rsidR="00EA02BC">
        <w:rPr>
          <w:rFonts w:cs="Times New Roman"/>
          <w:lang w:val="en-GB" w:eastAsia="zh-CN"/>
        </w:rPr>
        <w:t xml:space="preserve">, except </w:t>
      </w:r>
      <w:r w:rsidR="00611806">
        <w:rPr>
          <w:rFonts w:cs="Times New Roman"/>
          <w:lang w:val="en-GB" w:eastAsia="zh-CN"/>
        </w:rPr>
        <w:t>for</w:t>
      </w:r>
      <w:r w:rsidR="00EA02BC">
        <w:rPr>
          <w:rFonts w:cs="Times New Roman"/>
          <w:lang w:val="en-GB" w:eastAsia="zh-CN"/>
        </w:rPr>
        <w:t xml:space="preserve"> </w:t>
      </w:r>
      <w:r w:rsidR="00EA02BC" w:rsidRPr="00EA02BC">
        <w:rPr>
          <w:rFonts w:cs="Times New Roman"/>
          <w:i/>
          <w:iCs/>
          <w:lang w:val="en-GB" w:eastAsia="zh-CN"/>
        </w:rPr>
        <w:t>Salmonella</w:t>
      </w:r>
      <w:r w:rsidR="00EA02BC">
        <w:rPr>
          <w:rFonts w:cs="Times New Roman"/>
          <w:lang w:val="en-GB" w:eastAsia="zh-CN"/>
        </w:rPr>
        <w:t xml:space="preserve"> spp. that was not detected among the </w:t>
      </w:r>
      <w:r w:rsidR="00EA02BC" w:rsidRPr="00EA02BC">
        <w:rPr>
          <w:rFonts w:cs="Times New Roman"/>
          <w:i/>
          <w:iCs/>
          <w:lang w:val="en-GB" w:eastAsia="zh-CN"/>
        </w:rPr>
        <w:t>Enterobacteriaceae</w:t>
      </w:r>
      <w:r w:rsidR="00EA02BC">
        <w:rPr>
          <w:rFonts w:cs="Times New Roman"/>
          <w:lang w:val="en-GB" w:eastAsia="zh-CN"/>
        </w:rPr>
        <w:t xml:space="preserve"> family.</w:t>
      </w:r>
    </w:p>
    <w:p w:rsidR="00EA02BC" w:rsidRPr="00680207" w:rsidRDefault="00EA02BC" w:rsidP="00B24DCC">
      <w:pPr>
        <w:rPr>
          <w:rFonts w:cs="Times New Roman"/>
          <w:sz w:val="6"/>
          <w:szCs w:val="11"/>
          <w:lang w:val="en-GB" w:eastAsia="zh-CN"/>
        </w:rPr>
      </w:pPr>
    </w:p>
    <w:p w:rsidR="00EA02BC" w:rsidRDefault="00EA02BC" w:rsidP="00680207">
      <w:pPr>
        <w:keepNext/>
        <w:jc w:val="center"/>
      </w:pPr>
      <w:r>
        <w:rPr>
          <w:noProof/>
        </w:rPr>
        <w:drawing>
          <wp:inline distT="0" distB="0" distL="0" distR="0" wp14:anchorId="39EC7E9E" wp14:editId="5661DC2B">
            <wp:extent cx="3100754" cy="1598827"/>
            <wp:effectExtent l="0" t="0" r="0" b="1905"/>
            <wp:docPr id="793080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080749"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116942" cy="1607174"/>
                    </a:xfrm>
                    <a:prstGeom prst="rect">
                      <a:avLst/>
                    </a:prstGeom>
                  </pic:spPr>
                </pic:pic>
              </a:graphicData>
            </a:graphic>
          </wp:inline>
        </w:drawing>
      </w:r>
    </w:p>
    <w:p w:rsidR="00BE47F6" w:rsidRPr="00EA02BC" w:rsidRDefault="00EA02BC" w:rsidP="00FB6BB1">
      <w:pPr>
        <w:pStyle w:val="Caption"/>
        <w:spacing w:before="300" w:after="300"/>
        <w:ind w:left="851" w:hanging="851"/>
        <w:rPr>
          <w:rFonts w:cs="Times New Roman"/>
          <w:lang w:val="en-US" w:eastAsia="zh-CN"/>
        </w:rPr>
      </w:pPr>
      <w:r w:rsidRPr="00EA02BC">
        <w:rPr>
          <w:rFonts w:cs="Times New Roman"/>
          <w:b/>
          <w:bCs/>
          <w:i w:val="0"/>
          <w:iCs w:val="0"/>
        </w:rPr>
        <w:t xml:space="preserve">Figure </w:t>
      </w:r>
      <w:r w:rsidRPr="00EA02BC">
        <w:rPr>
          <w:rFonts w:cs="Times New Roman"/>
          <w:b/>
          <w:bCs/>
          <w:i w:val="0"/>
          <w:iCs w:val="0"/>
        </w:rPr>
        <w:fldChar w:fldCharType="begin"/>
      </w:r>
      <w:r w:rsidRPr="00EA02BC">
        <w:rPr>
          <w:rFonts w:cs="Times New Roman"/>
          <w:b/>
          <w:bCs/>
          <w:i w:val="0"/>
          <w:iCs w:val="0"/>
        </w:rPr>
        <w:instrText xml:space="preserve"> SEQ Figure \* ARABIC </w:instrText>
      </w:r>
      <w:r w:rsidRPr="00EA02BC">
        <w:rPr>
          <w:rFonts w:cs="Times New Roman"/>
          <w:b/>
          <w:bCs/>
          <w:i w:val="0"/>
          <w:iCs w:val="0"/>
        </w:rPr>
        <w:fldChar w:fldCharType="separate"/>
      </w:r>
      <w:r w:rsidR="00A166E8">
        <w:rPr>
          <w:rFonts w:cs="Times New Roman"/>
          <w:b/>
          <w:bCs/>
          <w:i w:val="0"/>
          <w:iCs w:val="0"/>
          <w:noProof/>
        </w:rPr>
        <w:t>4</w:t>
      </w:r>
      <w:r w:rsidRPr="00EA02BC">
        <w:rPr>
          <w:rFonts w:cs="Times New Roman"/>
          <w:b/>
          <w:bCs/>
          <w:i w:val="0"/>
          <w:iCs w:val="0"/>
        </w:rPr>
        <w:fldChar w:fldCharType="end"/>
      </w:r>
      <w:r w:rsidRPr="00EA02BC">
        <w:rPr>
          <w:rFonts w:cs="Times New Roman"/>
          <w:lang w:val="en-US"/>
        </w:rPr>
        <w:t xml:space="preserve">   </w:t>
      </w:r>
      <w:r w:rsidRPr="00EA02BC">
        <w:rPr>
          <w:rFonts w:cs="Times New Roman"/>
          <w:b/>
          <w:bCs/>
          <w:i w:val="0"/>
          <w:iCs w:val="0"/>
          <w:lang w:val="en-GB"/>
        </w:rPr>
        <w:t>Venn Diagram - Shared Taxa.</w:t>
      </w:r>
      <w:r w:rsidRPr="00EA02BC">
        <w:rPr>
          <w:rFonts w:cs="Times New Roman"/>
          <w:b/>
          <w:bCs/>
          <w:i w:val="0"/>
          <w:iCs w:val="0"/>
          <w:lang w:val="en-GB"/>
        </w:rPr>
        <w:tab/>
      </w:r>
      <w:r w:rsidRPr="00EA02BC">
        <w:rPr>
          <w:rFonts w:cs="Times New Roman"/>
          <w:b/>
          <w:bCs/>
          <w:i w:val="0"/>
          <w:iCs w:val="0"/>
          <w:lang w:val="en-GB"/>
        </w:rPr>
        <w:tab/>
      </w:r>
      <w:r w:rsidRPr="00EA02BC">
        <w:rPr>
          <w:rFonts w:cs="Times New Roman"/>
          <w:lang w:val="en-GB"/>
        </w:rPr>
        <w:tab/>
      </w:r>
      <w:r w:rsidRPr="00EA02BC">
        <w:rPr>
          <w:rFonts w:cs="Times New Roman"/>
          <w:lang w:val="en-GB"/>
        </w:rPr>
        <w:tab/>
      </w:r>
      <w:r w:rsidRPr="00EA02BC">
        <w:rPr>
          <w:rFonts w:cs="Times New Roman"/>
          <w:lang w:val="en-GB"/>
        </w:rPr>
        <w:tab/>
      </w:r>
      <w:r w:rsidRPr="00EA02BC">
        <w:rPr>
          <w:rFonts w:cs="Times New Roman"/>
          <w:lang w:val="en-GB"/>
        </w:rPr>
        <w:tab/>
      </w:r>
      <w:r w:rsidRPr="00EA02BC">
        <w:rPr>
          <w:rFonts w:cs="Times New Roman"/>
          <w:lang w:val="en-GB"/>
        </w:rPr>
        <w:tab/>
      </w:r>
      <w:r w:rsidRPr="00EA02BC">
        <w:rPr>
          <w:rFonts w:cs="Times New Roman"/>
          <w:lang w:val="en-GB"/>
        </w:rPr>
        <w:tab/>
        <w:t xml:space="preserve">                </w:t>
      </w:r>
      <w:r w:rsidRPr="00EA02BC">
        <w:rPr>
          <w:rFonts w:cs="Times New Roman"/>
          <w:color w:val="auto"/>
          <w:lang w:val="en-GB"/>
        </w:rPr>
        <w:t>Display of the number of shared taxa at the family and genu / species levels among the four sample types. Only taxa present in more than four samples are considered and the presence of families and genus / species of interest are highlighted.</w:t>
      </w:r>
    </w:p>
    <w:p w:rsidR="009527BB" w:rsidRPr="006535CF" w:rsidRDefault="00894CA6" w:rsidP="006535CF">
      <w:pPr>
        <w:pStyle w:val="Heading2"/>
        <w:rPr>
          <w:b/>
          <w:bCs/>
          <w:sz w:val="20"/>
          <w:lang w:val="en-GB"/>
        </w:rPr>
      </w:pPr>
      <w:r>
        <w:rPr>
          <w:b/>
          <w:bCs/>
          <w:sz w:val="20"/>
          <w:lang w:val="en-GB"/>
        </w:rPr>
        <w:t xml:space="preserve">5.3 </w:t>
      </w:r>
      <w:r w:rsidR="00680207">
        <w:rPr>
          <w:b/>
          <w:bCs/>
          <w:sz w:val="20"/>
          <w:lang w:val="en-GB"/>
        </w:rPr>
        <w:t>Targeted Pathogens Detection</w:t>
      </w:r>
    </w:p>
    <w:p w:rsidR="00041F6F" w:rsidRDefault="00B73C42" w:rsidP="00B73C42">
      <w:pPr>
        <w:rPr>
          <w:rFonts w:cs="Times New Roman"/>
          <w:lang w:val="en-GB" w:eastAsia="zh-CN"/>
        </w:rPr>
      </w:pPr>
      <w:r>
        <w:rPr>
          <w:rFonts w:cs="Times New Roman"/>
          <w:lang w:val="en-GB" w:eastAsia="zh-CN"/>
        </w:rPr>
        <w:t xml:space="preserve">The two spore forming bacteria were the most present followed by </w:t>
      </w:r>
      <w:r w:rsidRPr="00B73C42">
        <w:rPr>
          <w:rFonts w:cs="Times New Roman"/>
          <w:i/>
          <w:iCs/>
          <w:lang w:val="en-GB" w:eastAsia="zh-CN"/>
        </w:rPr>
        <w:t>Staphylococcus aureus</w:t>
      </w:r>
      <w:r>
        <w:rPr>
          <w:rFonts w:cs="Times New Roman"/>
          <w:lang w:val="en-GB" w:eastAsia="zh-CN"/>
        </w:rPr>
        <w:t xml:space="preserve">, </w:t>
      </w:r>
      <w:r w:rsidR="004D604C" w:rsidRPr="004D604C">
        <w:rPr>
          <w:rFonts w:cs="Times New Roman"/>
          <w:i/>
          <w:iCs/>
          <w:lang w:val="en-GB" w:eastAsia="zh-CN"/>
        </w:rPr>
        <w:t>Listeria monocytogenes</w:t>
      </w:r>
      <w:r w:rsidR="004D604C">
        <w:rPr>
          <w:rFonts w:cs="Times New Roman"/>
          <w:lang w:val="en-GB" w:eastAsia="zh-CN"/>
        </w:rPr>
        <w:t xml:space="preserve"> and </w:t>
      </w:r>
      <w:r w:rsidR="004D604C" w:rsidRPr="004D604C">
        <w:rPr>
          <w:rFonts w:cs="Times New Roman"/>
          <w:i/>
          <w:iCs/>
          <w:lang w:val="en-GB" w:eastAsia="zh-CN"/>
        </w:rPr>
        <w:t>Salmonella</w:t>
      </w:r>
      <w:r w:rsidR="004D604C">
        <w:rPr>
          <w:rFonts w:cs="Times New Roman"/>
          <w:lang w:val="en-GB" w:eastAsia="zh-CN"/>
        </w:rPr>
        <w:t xml:space="preserve"> spp. </w:t>
      </w:r>
      <w:r w:rsidR="00EC78AC">
        <w:rPr>
          <w:rFonts w:cs="Times New Roman"/>
          <w:lang w:val="en-GB" w:eastAsia="zh-CN"/>
        </w:rPr>
        <w:t xml:space="preserve">There are samples that contain more than one targeted pathogen. </w:t>
      </w:r>
      <w:r w:rsidR="004D604C">
        <w:rPr>
          <w:rFonts w:cs="Times New Roman"/>
          <w:lang w:val="en-GB" w:eastAsia="zh-CN"/>
        </w:rPr>
        <w:t xml:space="preserve">From their presence in the different sample types, it could be assumed that </w:t>
      </w:r>
      <w:r w:rsidR="004D604C" w:rsidRPr="004D604C">
        <w:rPr>
          <w:rFonts w:cs="Times New Roman"/>
          <w:i/>
          <w:iCs/>
          <w:lang w:val="en-GB" w:eastAsia="zh-CN"/>
        </w:rPr>
        <w:t>Bacillus cereus</w:t>
      </w:r>
      <w:r w:rsidR="004D604C">
        <w:rPr>
          <w:rFonts w:cs="Times New Roman"/>
          <w:lang w:val="en-GB" w:eastAsia="zh-CN"/>
        </w:rPr>
        <w:t xml:space="preserve"> and </w:t>
      </w:r>
      <w:r w:rsidR="004D604C" w:rsidRPr="004D604C">
        <w:rPr>
          <w:rFonts w:cs="Times New Roman"/>
          <w:i/>
          <w:iCs/>
          <w:lang w:val="en-GB" w:eastAsia="zh-CN"/>
        </w:rPr>
        <w:t>Clostridium perfringens</w:t>
      </w:r>
      <w:r w:rsidR="004D604C">
        <w:rPr>
          <w:rFonts w:cs="Times New Roman"/>
          <w:lang w:val="en-GB" w:eastAsia="zh-CN"/>
        </w:rPr>
        <w:t xml:space="preserve"> are introduced to the production through the RM and the other three pathogens through the ENV. From the networks (Figures 5 &amp; 6) can be observed the straight correlation in presence between samples of the same production period but as well </w:t>
      </w:r>
      <w:r w:rsidR="00FA3F2B">
        <w:rPr>
          <w:rFonts w:cs="Times New Roman"/>
          <w:lang w:val="en-GB" w:eastAsia="zh-CN"/>
        </w:rPr>
        <w:t>a certain degree of overlapping</w:t>
      </w:r>
      <w:r w:rsidR="004D604C">
        <w:rPr>
          <w:rFonts w:cs="Times New Roman"/>
          <w:lang w:val="en-GB" w:eastAsia="zh-CN"/>
        </w:rPr>
        <w:t xml:space="preserve"> between the two targeted methods (qPCR in matrices and </w:t>
      </w:r>
      <w:r w:rsidR="00FA3F2B">
        <w:rPr>
          <w:rFonts w:cs="Times New Roman"/>
          <w:lang w:val="en-GB" w:eastAsia="zh-CN"/>
        </w:rPr>
        <w:t>isolation</w:t>
      </w:r>
      <w:r w:rsidR="004D604C">
        <w:rPr>
          <w:rFonts w:cs="Times New Roman"/>
          <w:lang w:val="en-GB" w:eastAsia="zh-CN"/>
        </w:rPr>
        <w:t>)</w:t>
      </w:r>
      <w:r w:rsidR="00733500">
        <w:rPr>
          <w:rFonts w:cs="Times New Roman"/>
          <w:lang w:val="en-GB" w:eastAsia="zh-CN"/>
        </w:rPr>
        <w:t>.</w:t>
      </w:r>
    </w:p>
    <w:p w:rsidR="006535CF" w:rsidRPr="006535CF" w:rsidRDefault="008B1021" w:rsidP="00B73C42">
      <w:pPr>
        <w:rPr>
          <w:rFonts w:cs="Times New Roman"/>
          <w:sz w:val="6"/>
          <w:szCs w:val="11"/>
          <w:lang w:val="en-GB" w:eastAsia="zh-CN"/>
        </w:rPr>
      </w:pPr>
      <w:r w:rsidRPr="00914F23">
        <w:rPr>
          <w:rFonts w:cs="Times New Roman"/>
          <w:noProof/>
          <w:lang w:eastAsia="zh-CN"/>
        </w:rPr>
        <w:drawing>
          <wp:anchor distT="0" distB="0" distL="114300" distR="114300" simplePos="0" relativeHeight="251666432" behindDoc="0" locked="0" layoutInCell="1" allowOverlap="1" wp14:anchorId="44468678">
            <wp:simplePos x="0" y="0"/>
            <wp:positionH relativeFrom="column">
              <wp:posOffset>3319592</wp:posOffset>
            </wp:positionH>
            <wp:positionV relativeFrom="paragraph">
              <wp:posOffset>23007</wp:posOffset>
            </wp:positionV>
            <wp:extent cx="2667519" cy="3226428"/>
            <wp:effectExtent l="0" t="0" r="0" b="0"/>
            <wp:wrapNone/>
            <wp:docPr id="971179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79068"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667519" cy="3226428"/>
                    </a:xfrm>
                    <a:prstGeom prst="rect">
                      <a:avLst/>
                    </a:prstGeom>
                  </pic:spPr>
                </pic:pic>
              </a:graphicData>
            </a:graphic>
            <wp14:sizeRelH relativeFrom="page">
              <wp14:pctWidth>0</wp14:pctWidth>
            </wp14:sizeRelH>
            <wp14:sizeRelV relativeFrom="page">
              <wp14:pctHeight>0</wp14:pctHeight>
            </wp14:sizeRelV>
          </wp:anchor>
        </w:drawing>
      </w:r>
    </w:p>
    <w:p w:rsidR="006535CF" w:rsidRDefault="001575FF" w:rsidP="00B73C42">
      <w:pPr>
        <w:rPr>
          <w:rFonts w:cs="Times New Roman"/>
          <w:lang w:val="en-GB" w:eastAsia="zh-CN"/>
        </w:rPr>
      </w:pPr>
      <w:r w:rsidRPr="00914F23">
        <w:rPr>
          <w:rFonts w:cs="Times New Roman"/>
          <w:noProof/>
          <w:lang w:eastAsia="zh-CN"/>
        </w:rPr>
        <w:drawing>
          <wp:anchor distT="0" distB="0" distL="114300" distR="114300" simplePos="0" relativeHeight="251671551" behindDoc="0" locked="0" layoutInCell="1" allowOverlap="1" wp14:anchorId="032CD22F">
            <wp:simplePos x="0" y="0"/>
            <wp:positionH relativeFrom="column">
              <wp:posOffset>97777</wp:posOffset>
            </wp:positionH>
            <wp:positionV relativeFrom="paragraph">
              <wp:posOffset>55392</wp:posOffset>
            </wp:positionV>
            <wp:extent cx="2608559" cy="1994781"/>
            <wp:effectExtent l="0" t="0" r="0" b="0"/>
            <wp:wrapNone/>
            <wp:docPr id="1001818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8144"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608559" cy="1994781"/>
                    </a:xfrm>
                    <a:prstGeom prst="rect">
                      <a:avLst/>
                    </a:prstGeom>
                  </pic:spPr>
                </pic:pic>
              </a:graphicData>
            </a:graphic>
            <wp14:sizeRelH relativeFrom="page">
              <wp14:pctWidth>0</wp14:pctWidth>
            </wp14:sizeRelH>
            <wp14:sizeRelV relativeFrom="page">
              <wp14:pctHeight>0</wp14:pctHeight>
            </wp14:sizeRelV>
          </wp:anchor>
        </w:drawing>
      </w: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8B1021" w:rsidP="00B73C42">
      <w:pPr>
        <w:rPr>
          <w:rFonts w:cs="Times New Roman"/>
          <w:lang w:val="en-GB" w:eastAsia="zh-CN"/>
        </w:rPr>
      </w:pPr>
      <w:r>
        <w:rPr>
          <w:noProof/>
        </w:rPr>
        <mc:AlternateContent>
          <mc:Choice Requires="wps">
            <w:drawing>
              <wp:anchor distT="0" distB="0" distL="114300" distR="114300" simplePos="0" relativeHeight="251669504" behindDoc="0" locked="0" layoutInCell="1" allowOverlap="1" wp14:anchorId="2152A340" wp14:editId="7A4D99B3">
                <wp:simplePos x="0" y="0"/>
                <wp:positionH relativeFrom="column">
                  <wp:posOffset>50556</wp:posOffset>
                </wp:positionH>
                <wp:positionV relativeFrom="paragraph">
                  <wp:posOffset>139065</wp:posOffset>
                </wp:positionV>
                <wp:extent cx="3329305" cy="866775"/>
                <wp:effectExtent l="0" t="0" r="0" b="0"/>
                <wp:wrapNone/>
                <wp:docPr id="653497362" name="Text Box 1"/>
                <wp:cNvGraphicFramePr/>
                <a:graphic xmlns:a="http://schemas.openxmlformats.org/drawingml/2006/main">
                  <a:graphicData uri="http://schemas.microsoft.com/office/word/2010/wordprocessingShape">
                    <wps:wsp>
                      <wps:cNvSpPr txBox="1"/>
                      <wps:spPr>
                        <a:xfrm>
                          <a:off x="0" y="0"/>
                          <a:ext cx="3329305" cy="866775"/>
                        </a:xfrm>
                        <a:prstGeom prst="rect">
                          <a:avLst/>
                        </a:prstGeom>
                        <a:solidFill>
                          <a:prstClr val="white"/>
                        </a:solidFill>
                        <a:ln>
                          <a:noFill/>
                        </a:ln>
                      </wps:spPr>
                      <wps:txbx>
                        <w:txbxContent>
                          <w:p w:rsidR="009527BB" w:rsidRPr="008B1021" w:rsidRDefault="009527BB" w:rsidP="00FB6BB1">
                            <w:pPr>
                              <w:pStyle w:val="Caption"/>
                              <w:spacing w:before="300" w:after="300"/>
                              <w:ind w:left="851" w:hanging="851"/>
                              <w:rPr>
                                <w:rFonts w:eastAsia="Times New Roman" w:cs="Times New Roman"/>
                                <w:b/>
                                <w:bCs/>
                                <w:i w:val="0"/>
                                <w:iCs w:val="0"/>
                                <w:color w:val="auto"/>
                                <w:kern w:val="0"/>
                                <w:sz w:val="15"/>
                                <w:szCs w:val="6"/>
                                <w:lang w:val="en-GB" w:eastAsia="zh-CN"/>
                                <w14:ligatures w14:val="none"/>
                              </w:rPr>
                            </w:pPr>
                            <w:r w:rsidRPr="003D7F47">
                              <w:rPr>
                                <w:b/>
                                <w:bCs/>
                                <w:i w:val="0"/>
                                <w:iCs w:val="0"/>
                                <w:lang w:val="en-GB"/>
                              </w:rPr>
                              <w:t xml:space="preserve">Figure </w:t>
                            </w:r>
                            <w:r w:rsidR="00B73C42">
                              <w:rPr>
                                <w:b/>
                                <w:bCs/>
                                <w:i w:val="0"/>
                                <w:iCs w:val="0"/>
                                <w:lang w:val="en-GB"/>
                              </w:rPr>
                              <w:t>5</w:t>
                            </w:r>
                            <w:r w:rsidR="00680207" w:rsidRPr="003D7F47">
                              <w:rPr>
                                <w:b/>
                                <w:bCs/>
                                <w:i w:val="0"/>
                                <w:iCs w:val="0"/>
                                <w:lang w:val="en-GB"/>
                              </w:rPr>
                              <w:t xml:space="preserve"> </w:t>
                            </w:r>
                            <w:r w:rsidR="008B1021">
                              <w:rPr>
                                <w:b/>
                                <w:bCs/>
                                <w:i w:val="0"/>
                                <w:iCs w:val="0"/>
                                <w:lang w:val="en-GB"/>
                              </w:rPr>
                              <w:t xml:space="preserve">  </w:t>
                            </w:r>
                            <w:r w:rsidR="00680207" w:rsidRPr="003D7F47">
                              <w:rPr>
                                <w:b/>
                                <w:bCs/>
                                <w:i w:val="0"/>
                                <w:iCs w:val="0"/>
                                <w:lang w:val="en-GB"/>
                              </w:rPr>
                              <w:t>Network Displaying</w:t>
                            </w:r>
                            <w:r w:rsidR="00472C8C" w:rsidRPr="003D7F47">
                              <w:rPr>
                                <w:b/>
                                <w:bCs/>
                                <w:i w:val="0"/>
                                <w:iCs w:val="0"/>
                                <w:lang w:val="en-GB"/>
                              </w:rPr>
                              <w:t xml:space="preserve"> </w:t>
                            </w:r>
                            <w:r w:rsidR="00FA3F2B">
                              <w:rPr>
                                <w:b/>
                                <w:bCs/>
                                <w:i w:val="0"/>
                                <w:iCs w:val="0"/>
                                <w:lang w:val="en-GB"/>
                              </w:rPr>
                              <w:t>Links among</w:t>
                            </w:r>
                            <w:r w:rsidR="003D7F47" w:rsidRPr="003D7F47">
                              <w:rPr>
                                <w:b/>
                                <w:bCs/>
                                <w:i w:val="0"/>
                                <w:iCs w:val="0"/>
                                <w:lang w:val="en-GB"/>
                              </w:rPr>
                              <w:t xml:space="preserve"> Sample</w:t>
                            </w:r>
                            <w:r w:rsidR="00FA3F2B">
                              <w:rPr>
                                <w:b/>
                                <w:bCs/>
                                <w:i w:val="0"/>
                                <w:iCs w:val="0"/>
                                <w:lang w:val="en-GB"/>
                              </w:rPr>
                              <w:t>s</w:t>
                            </w:r>
                            <w:r w:rsidR="003D7F47">
                              <w:rPr>
                                <w:b/>
                                <w:bCs/>
                                <w:i w:val="0"/>
                                <w:iCs w:val="0"/>
                                <w:lang w:val="en-GB"/>
                              </w:rPr>
                              <w:t>.</w:t>
                            </w:r>
                            <w:r w:rsidR="008B1021">
                              <w:rPr>
                                <w:b/>
                                <w:bCs/>
                                <w:i w:val="0"/>
                                <w:iCs w:val="0"/>
                                <w:lang w:val="en-GB"/>
                              </w:rPr>
                              <w:tab/>
                            </w:r>
                            <w:r w:rsidR="008B1021">
                              <w:rPr>
                                <w:b/>
                                <w:bCs/>
                                <w:i w:val="0"/>
                                <w:iCs w:val="0"/>
                                <w:lang w:val="en-GB"/>
                              </w:rPr>
                              <w:tab/>
                            </w:r>
                            <w:r w:rsidR="001575FF">
                              <w:rPr>
                                <w:b/>
                                <w:bCs/>
                                <w:i w:val="0"/>
                                <w:iCs w:val="0"/>
                                <w:lang w:val="en-GB"/>
                              </w:rPr>
                              <w:t xml:space="preserve">     </w:t>
                            </w:r>
                            <w:r w:rsidR="003D7F47" w:rsidRPr="003D7F47">
                              <w:rPr>
                                <w:color w:val="auto"/>
                                <w:lang w:val="en-GB"/>
                              </w:rPr>
                              <w:t>Nodes with different colours are representing the type of sample</w:t>
                            </w:r>
                            <w:r w:rsidR="003D7F47">
                              <w:rPr>
                                <w:color w:val="auto"/>
                                <w:lang w:val="en-GB"/>
                              </w:rPr>
                              <w:t xml:space="preserve"> and edges are showing the connections and directions in between the samples</w:t>
                            </w:r>
                            <w:r w:rsidR="00FA3F2B">
                              <w:rPr>
                                <w:color w:val="auto"/>
                                <w:lang w:val="en-GB"/>
                              </w:rPr>
                              <w:t xml:space="preserve"> in relation to the process flowchart.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A340" id="_x0000_s1027" type="#_x0000_t202" style="position:absolute;left:0;text-align:left;margin-left:4pt;margin-top:10.95pt;width:262.1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" stroked="f">
                <v:textbox inset="0,0,0,0">
                  <w:txbxContent>
                    <w:p w:rsidR="009527BB" w:rsidRPr="008B1021" w:rsidRDefault="009527BB" w:rsidP="00FB6BB1">
                      <w:pPr>
                        <w:pStyle w:val="Caption"/>
                        <w:spacing w:before="300" w:after="300"/>
                        <w:ind w:left="851" w:hanging="851"/>
                        <w:rPr>
                          <w:rFonts w:eastAsia="Times New Roman" w:cs="Times New Roman"/>
                          <w:b/>
                          <w:bCs/>
                          <w:i w:val="0"/>
                          <w:iCs w:val="0"/>
                          <w:color w:val="auto"/>
                          <w:kern w:val="0"/>
                          <w:sz w:val="15"/>
                          <w:szCs w:val="6"/>
                          <w:lang w:val="en-GB" w:eastAsia="zh-CN"/>
                          <w14:ligatures w14:val="none"/>
                        </w:rPr>
                      </w:pPr>
                      <w:r w:rsidRPr="003D7F47">
                        <w:rPr>
                          <w:b/>
                          <w:bCs/>
                          <w:i w:val="0"/>
                          <w:iCs w:val="0"/>
                          <w:lang w:val="en-GB"/>
                        </w:rPr>
                        <w:t xml:space="preserve">Figure </w:t>
                      </w:r>
                      <w:r w:rsidR="00B73C42">
                        <w:rPr>
                          <w:b/>
                          <w:bCs/>
                          <w:i w:val="0"/>
                          <w:iCs w:val="0"/>
                          <w:lang w:val="en-GB"/>
                        </w:rPr>
                        <w:t>5</w:t>
                      </w:r>
                      <w:r w:rsidR="00680207" w:rsidRPr="003D7F47">
                        <w:rPr>
                          <w:b/>
                          <w:bCs/>
                          <w:i w:val="0"/>
                          <w:iCs w:val="0"/>
                          <w:lang w:val="en-GB"/>
                        </w:rPr>
                        <w:t xml:space="preserve"> </w:t>
                      </w:r>
                      <w:r w:rsidR="008B1021">
                        <w:rPr>
                          <w:b/>
                          <w:bCs/>
                          <w:i w:val="0"/>
                          <w:iCs w:val="0"/>
                          <w:lang w:val="en-GB"/>
                        </w:rPr>
                        <w:t xml:space="preserve">  </w:t>
                      </w:r>
                      <w:r w:rsidR="00680207" w:rsidRPr="003D7F47">
                        <w:rPr>
                          <w:b/>
                          <w:bCs/>
                          <w:i w:val="0"/>
                          <w:iCs w:val="0"/>
                          <w:lang w:val="en-GB"/>
                        </w:rPr>
                        <w:t>Network Displaying</w:t>
                      </w:r>
                      <w:r w:rsidR="00472C8C" w:rsidRPr="003D7F47">
                        <w:rPr>
                          <w:b/>
                          <w:bCs/>
                          <w:i w:val="0"/>
                          <w:iCs w:val="0"/>
                          <w:lang w:val="en-GB"/>
                        </w:rPr>
                        <w:t xml:space="preserve"> </w:t>
                      </w:r>
                      <w:r w:rsidR="00FA3F2B">
                        <w:rPr>
                          <w:b/>
                          <w:bCs/>
                          <w:i w:val="0"/>
                          <w:iCs w:val="0"/>
                          <w:lang w:val="en-GB"/>
                        </w:rPr>
                        <w:t>Links among</w:t>
                      </w:r>
                      <w:r w:rsidR="003D7F47" w:rsidRPr="003D7F47">
                        <w:rPr>
                          <w:b/>
                          <w:bCs/>
                          <w:i w:val="0"/>
                          <w:iCs w:val="0"/>
                          <w:lang w:val="en-GB"/>
                        </w:rPr>
                        <w:t xml:space="preserve"> Sample</w:t>
                      </w:r>
                      <w:r w:rsidR="00FA3F2B">
                        <w:rPr>
                          <w:b/>
                          <w:bCs/>
                          <w:i w:val="0"/>
                          <w:iCs w:val="0"/>
                          <w:lang w:val="en-GB"/>
                        </w:rPr>
                        <w:t>s</w:t>
                      </w:r>
                      <w:r w:rsidR="003D7F47">
                        <w:rPr>
                          <w:b/>
                          <w:bCs/>
                          <w:i w:val="0"/>
                          <w:iCs w:val="0"/>
                          <w:lang w:val="en-GB"/>
                        </w:rPr>
                        <w:t>.</w:t>
                      </w:r>
                      <w:r w:rsidR="008B1021">
                        <w:rPr>
                          <w:b/>
                          <w:bCs/>
                          <w:i w:val="0"/>
                          <w:iCs w:val="0"/>
                          <w:lang w:val="en-GB"/>
                        </w:rPr>
                        <w:tab/>
                      </w:r>
                      <w:r w:rsidR="008B1021">
                        <w:rPr>
                          <w:b/>
                          <w:bCs/>
                          <w:i w:val="0"/>
                          <w:iCs w:val="0"/>
                          <w:lang w:val="en-GB"/>
                        </w:rPr>
                        <w:tab/>
                      </w:r>
                      <w:r w:rsidR="001575FF">
                        <w:rPr>
                          <w:b/>
                          <w:bCs/>
                          <w:i w:val="0"/>
                          <w:iCs w:val="0"/>
                          <w:lang w:val="en-GB"/>
                        </w:rPr>
                        <w:t xml:space="preserve">     </w:t>
                      </w:r>
                      <w:r w:rsidR="003D7F47" w:rsidRPr="003D7F47">
                        <w:rPr>
                          <w:color w:val="auto"/>
                          <w:lang w:val="en-GB"/>
                        </w:rPr>
                        <w:t>Nodes with different colours are representing the type of sample</w:t>
                      </w:r>
                      <w:r w:rsidR="003D7F47">
                        <w:rPr>
                          <w:color w:val="auto"/>
                          <w:lang w:val="en-GB"/>
                        </w:rPr>
                        <w:t xml:space="preserve"> and edges are showing the connections and directions in between the samples</w:t>
                      </w:r>
                      <w:r w:rsidR="00FA3F2B">
                        <w:rPr>
                          <w:color w:val="auto"/>
                          <w:lang w:val="en-GB"/>
                        </w:rPr>
                        <w:t xml:space="preserve"> in relation to the process flowchart.</w:t>
                      </w:r>
                    </w:p>
                  </w:txbxContent>
                </v:textbox>
              </v:shape>
            </w:pict>
          </mc:Fallback>
        </mc:AlternateContent>
      </w: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4F744B" w:rsidP="00B73C42">
      <w:pPr>
        <w:rPr>
          <w:rFonts w:cs="Times New Roman"/>
          <w:lang w:val="en-GB" w:eastAsia="zh-CN"/>
        </w:rPr>
      </w:pPr>
      <w:r>
        <w:rPr>
          <w:noProof/>
        </w:rPr>
        <mc:AlternateContent>
          <mc:Choice Requires="wps">
            <w:drawing>
              <wp:anchor distT="0" distB="0" distL="114300" distR="114300" simplePos="0" relativeHeight="251673600" behindDoc="0" locked="0" layoutInCell="1" allowOverlap="1" wp14:anchorId="758C3E4A" wp14:editId="203E9A3D">
                <wp:simplePos x="0" y="0"/>
                <wp:positionH relativeFrom="column">
                  <wp:posOffset>50165</wp:posOffset>
                </wp:positionH>
                <wp:positionV relativeFrom="paragraph">
                  <wp:posOffset>5715</wp:posOffset>
                </wp:positionV>
                <wp:extent cx="3329305" cy="808355"/>
                <wp:effectExtent l="0" t="0" r="0" b="4445"/>
                <wp:wrapNone/>
                <wp:docPr id="1973053950" name="Text Box 1"/>
                <wp:cNvGraphicFramePr/>
                <a:graphic xmlns:a="http://schemas.openxmlformats.org/drawingml/2006/main">
                  <a:graphicData uri="http://schemas.microsoft.com/office/word/2010/wordprocessingShape">
                    <wps:wsp>
                      <wps:cNvSpPr txBox="1"/>
                      <wps:spPr>
                        <a:xfrm>
                          <a:off x="0" y="0"/>
                          <a:ext cx="3329305" cy="808355"/>
                        </a:xfrm>
                        <a:prstGeom prst="rect">
                          <a:avLst/>
                        </a:prstGeom>
                        <a:solidFill>
                          <a:prstClr val="white"/>
                        </a:solidFill>
                        <a:ln>
                          <a:noFill/>
                        </a:ln>
                      </wps:spPr>
                      <wps:txbx>
                        <w:txbxContent>
                          <w:p w:rsidR="009527BB" w:rsidRPr="008B1021" w:rsidRDefault="009527BB" w:rsidP="00FB6BB1">
                            <w:pPr>
                              <w:pStyle w:val="Caption"/>
                              <w:spacing w:before="300" w:after="300"/>
                              <w:ind w:left="851" w:hanging="851"/>
                              <w:rPr>
                                <w:rFonts w:eastAsia="Times New Roman" w:cs="Times New Roman"/>
                                <w:noProof/>
                                <w:color w:val="auto"/>
                                <w:kern w:val="0"/>
                                <w:sz w:val="8"/>
                                <w:szCs w:val="2"/>
                                <w:lang w:val="en-GB" w:eastAsia="zh-CN"/>
                                <w14:ligatures w14:val="none"/>
                              </w:rPr>
                            </w:pPr>
                            <w:r w:rsidRPr="004F2350">
                              <w:rPr>
                                <w:b/>
                                <w:bCs/>
                                <w:i w:val="0"/>
                                <w:iCs w:val="0"/>
                                <w:lang w:val="en-GB"/>
                              </w:rPr>
                              <w:t xml:space="preserve">Figure </w:t>
                            </w:r>
                            <w:r w:rsidR="000C3566">
                              <w:rPr>
                                <w:b/>
                                <w:bCs/>
                                <w:i w:val="0"/>
                                <w:iCs w:val="0"/>
                                <w:lang w:val="en-GB"/>
                              </w:rPr>
                              <w:t>6</w:t>
                            </w:r>
                            <w:r w:rsidR="003D7F47" w:rsidRPr="004F2350">
                              <w:rPr>
                                <w:b/>
                                <w:bCs/>
                                <w:i w:val="0"/>
                                <w:iCs w:val="0"/>
                                <w:lang w:val="en-GB"/>
                              </w:rPr>
                              <w:t xml:space="preserve">   Detection of</w:t>
                            </w:r>
                            <w:r w:rsidR="003D7F47" w:rsidRPr="004F2350">
                              <w:rPr>
                                <w:b/>
                                <w:bCs/>
                                <w:lang w:val="en-GB"/>
                              </w:rPr>
                              <w:t xml:space="preserve"> Bacillus cereus</w:t>
                            </w:r>
                            <w:r w:rsidR="003D7F47" w:rsidRPr="004F2350">
                              <w:rPr>
                                <w:b/>
                                <w:bCs/>
                                <w:i w:val="0"/>
                                <w:iCs w:val="0"/>
                                <w:lang w:val="en-GB"/>
                              </w:rPr>
                              <w:t xml:space="preserve"> Correlating Results of </w:t>
                            </w:r>
                            <w:r w:rsidR="00FA3F2B">
                              <w:rPr>
                                <w:b/>
                                <w:bCs/>
                                <w:i w:val="0"/>
                                <w:iCs w:val="0"/>
                                <w:lang w:val="en-GB"/>
                              </w:rPr>
                              <w:t xml:space="preserve">Isolation (Cultures) and </w:t>
                            </w:r>
                            <w:r w:rsidR="003D7F47" w:rsidRPr="004F2350">
                              <w:rPr>
                                <w:b/>
                                <w:bCs/>
                                <w:i w:val="0"/>
                                <w:iCs w:val="0"/>
                                <w:lang w:val="en-GB"/>
                              </w:rPr>
                              <w:t xml:space="preserve">real - time PCR (Alive) in matrices. </w:t>
                            </w:r>
                            <w:r w:rsidR="004F2350">
                              <w:rPr>
                                <w:b/>
                                <w:bCs/>
                                <w:i w:val="0"/>
                                <w:iCs w:val="0"/>
                                <w:lang w:val="en-GB"/>
                              </w:rPr>
                              <w:t xml:space="preserve">    </w:t>
                            </w:r>
                            <w:r w:rsidR="00B73C42">
                              <w:rPr>
                                <w:b/>
                                <w:bCs/>
                                <w:i w:val="0"/>
                                <w:iCs w:val="0"/>
                                <w:lang w:val="en-GB"/>
                              </w:rPr>
                              <w:t xml:space="preserve">                </w:t>
                            </w:r>
                            <w:r w:rsidR="004F2350" w:rsidRPr="004F2350">
                              <w:rPr>
                                <w:color w:val="auto"/>
                                <w:lang w:val="en-GB"/>
                              </w:rPr>
                              <w:t>The upper colour scale</w:t>
                            </w:r>
                            <w:r w:rsidR="004F2350">
                              <w:rPr>
                                <w:color w:val="auto"/>
                                <w:lang w:val="en-GB"/>
                              </w:rPr>
                              <w:t xml:space="preserve"> represents number of isolates and the lower colour scale detection or not in matrices.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3E4A" id="_x0000_s1028" type="#_x0000_t202" style="position:absolute;left:0;text-align:left;margin-left:3.95pt;margin-top:.45pt;width:262.15pt;height:6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" stroked="f">
                <v:textbox inset="0,0,0,0">
                  <w:txbxContent>
                    <w:p w:rsidR="009527BB" w:rsidRPr="008B1021" w:rsidRDefault="009527BB" w:rsidP="00FB6BB1">
                      <w:pPr>
                        <w:pStyle w:val="Caption"/>
                        <w:spacing w:before="300" w:after="300"/>
                        <w:ind w:left="851" w:hanging="851"/>
                        <w:rPr>
                          <w:rFonts w:eastAsia="Times New Roman" w:cs="Times New Roman"/>
                          <w:noProof/>
                          <w:color w:val="auto"/>
                          <w:kern w:val="0"/>
                          <w:sz w:val="8"/>
                          <w:szCs w:val="2"/>
                          <w:lang w:val="en-GB" w:eastAsia="zh-CN"/>
                          <w14:ligatures w14:val="none"/>
                        </w:rPr>
                      </w:pPr>
                      <w:r w:rsidRPr="004F2350">
                        <w:rPr>
                          <w:b/>
                          <w:bCs/>
                          <w:i w:val="0"/>
                          <w:iCs w:val="0"/>
                          <w:lang w:val="en-GB"/>
                        </w:rPr>
                        <w:t xml:space="preserve">Figure </w:t>
                      </w:r>
                      <w:r w:rsidR="000C3566">
                        <w:rPr>
                          <w:b/>
                          <w:bCs/>
                          <w:i w:val="0"/>
                          <w:iCs w:val="0"/>
                          <w:lang w:val="en-GB"/>
                        </w:rPr>
                        <w:t>6</w:t>
                      </w:r>
                      <w:r w:rsidR="003D7F47" w:rsidRPr="004F2350">
                        <w:rPr>
                          <w:b/>
                          <w:bCs/>
                          <w:i w:val="0"/>
                          <w:iCs w:val="0"/>
                          <w:lang w:val="en-GB"/>
                        </w:rPr>
                        <w:t xml:space="preserve">   Detection of</w:t>
                      </w:r>
                      <w:r w:rsidR="003D7F47" w:rsidRPr="004F2350">
                        <w:rPr>
                          <w:b/>
                          <w:bCs/>
                          <w:lang w:val="en-GB"/>
                        </w:rPr>
                        <w:t xml:space="preserve"> Bacillus cereus</w:t>
                      </w:r>
                      <w:r w:rsidR="003D7F47" w:rsidRPr="004F2350">
                        <w:rPr>
                          <w:b/>
                          <w:bCs/>
                          <w:i w:val="0"/>
                          <w:iCs w:val="0"/>
                          <w:lang w:val="en-GB"/>
                        </w:rPr>
                        <w:t xml:space="preserve"> Correlating Results of </w:t>
                      </w:r>
                      <w:r w:rsidR="00FA3F2B">
                        <w:rPr>
                          <w:b/>
                          <w:bCs/>
                          <w:i w:val="0"/>
                          <w:iCs w:val="0"/>
                          <w:lang w:val="en-GB"/>
                        </w:rPr>
                        <w:t xml:space="preserve">Isolation (Cultures) and </w:t>
                      </w:r>
                      <w:r w:rsidR="003D7F47" w:rsidRPr="004F2350">
                        <w:rPr>
                          <w:b/>
                          <w:bCs/>
                          <w:i w:val="0"/>
                          <w:iCs w:val="0"/>
                          <w:lang w:val="en-GB"/>
                        </w:rPr>
                        <w:t xml:space="preserve">real - time PCR (Alive) in matrices. </w:t>
                      </w:r>
                      <w:r w:rsidR="004F2350">
                        <w:rPr>
                          <w:b/>
                          <w:bCs/>
                          <w:i w:val="0"/>
                          <w:iCs w:val="0"/>
                          <w:lang w:val="en-GB"/>
                        </w:rPr>
                        <w:t xml:space="preserve">    </w:t>
                      </w:r>
                      <w:r w:rsidR="00B73C42">
                        <w:rPr>
                          <w:b/>
                          <w:bCs/>
                          <w:i w:val="0"/>
                          <w:iCs w:val="0"/>
                          <w:lang w:val="en-GB"/>
                        </w:rPr>
                        <w:t xml:space="preserve">                </w:t>
                      </w:r>
                      <w:r w:rsidR="004F2350" w:rsidRPr="004F2350">
                        <w:rPr>
                          <w:color w:val="auto"/>
                          <w:lang w:val="en-GB"/>
                        </w:rPr>
                        <w:t>The upper colour scale</w:t>
                      </w:r>
                      <w:r w:rsidR="004F2350">
                        <w:rPr>
                          <w:color w:val="auto"/>
                          <w:lang w:val="en-GB"/>
                        </w:rPr>
                        <w:t xml:space="preserve"> represents number of isolates and the lower colour scale detection or not in matrices.</w:t>
                      </w:r>
                    </w:p>
                  </w:txbxContent>
                </v:textbox>
              </v:shape>
            </w:pict>
          </mc:Fallback>
        </mc:AlternateContent>
      </w: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6535CF" w:rsidRDefault="006535CF" w:rsidP="00B73C42">
      <w:pPr>
        <w:rPr>
          <w:rFonts w:cs="Times New Roman"/>
          <w:lang w:val="en-GB" w:eastAsia="zh-CN"/>
        </w:rPr>
      </w:pPr>
    </w:p>
    <w:p w:rsidR="004F744B" w:rsidRDefault="004F744B" w:rsidP="00B73C42">
      <w:pPr>
        <w:rPr>
          <w:rFonts w:cs="Times New Roman"/>
          <w:lang w:val="en-GB" w:eastAsia="zh-CN"/>
        </w:rPr>
      </w:pPr>
    </w:p>
    <w:p w:rsidR="002A63C5" w:rsidRPr="002A63C5" w:rsidRDefault="002A63C5" w:rsidP="002A63C5">
      <w:pPr>
        <w:widowControl w:val="0"/>
        <w:suppressAutoHyphens/>
        <w:rPr>
          <w:rFonts w:eastAsia="Times New Roman" w:cs="Times New Roman"/>
          <w:kern w:val="0"/>
          <w:sz w:val="6"/>
          <w:szCs w:val="6"/>
          <w:lang w:val="en-GB" w:eastAsia="zh-CN"/>
          <w14:ligatures w14:val="none"/>
        </w:rPr>
      </w:pPr>
    </w:p>
    <w:p w:rsidR="004F2350" w:rsidRPr="002A63C5" w:rsidRDefault="002A63C5" w:rsidP="002A63C5">
      <w:pPr>
        <w:pStyle w:val="Heading2"/>
        <w:rPr>
          <w:b/>
          <w:bCs/>
          <w:sz w:val="20"/>
          <w:lang w:val="en-GB"/>
        </w:rPr>
      </w:pPr>
      <w:r>
        <w:rPr>
          <w:b/>
          <w:bCs/>
          <w:sz w:val="20"/>
          <w:lang w:val="en-GB"/>
        </w:rPr>
        <w:t xml:space="preserve">5.4 </w:t>
      </w:r>
      <w:r w:rsidRPr="006E0EB5">
        <w:rPr>
          <w:b/>
          <w:bCs/>
          <w:i/>
          <w:iCs/>
          <w:sz w:val="20"/>
          <w:lang w:val="en-GB"/>
        </w:rPr>
        <w:t xml:space="preserve">Listeria monocytogenes </w:t>
      </w:r>
      <w:r>
        <w:rPr>
          <w:b/>
          <w:bCs/>
          <w:sz w:val="20"/>
          <w:lang w:val="en-GB"/>
        </w:rPr>
        <w:t>Behaviour</w:t>
      </w:r>
      <w:r w:rsidR="006E0EB5">
        <w:rPr>
          <w:b/>
          <w:bCs/>
          <w:sz w:val="20"/>
          <w:lang w:val="en-GB"/>
        </w:rPr>
        <w:t xml:space="preserve"> under Acidic Conditions</w:t>
      </w:r>
    </w:p>
    <w:p w:rsidR="004F2350" w:rsidRDefault="00654DBE" w:rsidP="00FA3F2B">
      <w:pPr>
        <w:rPr>
          <w:lang w:val="en-GB" w:eastAsia="zh-CN"/>
        </w:rPr>
      </w:pPr>
      <w:r w:rsidRPr="00654DBE">
        <w:rPr>
          <w:i/>
          <w:iCs/>
          <w:lang w:val="en-GB" w:eastAsia="zh-CN"/>
        </w:rPr>
        <w:t>Listeria monocytogenes</w:t>
      </w:r>
      <w:r>
        <w:rPr>
          <w:lang w:val="en-GB" w:eastAsia="zh-CN"/>
        </w:rPr>
        <w:t xml:space="preserve"> strain 10403S </w:t>
      </w:r>
      <w:r w:rsidR="000C3566">
        <w:rPr>
          <w:lang w:val="en-GB" w:eastAsia="zh-CN"/>
        </w:rPr>
        <w:t>gained</w:t>
      </w:r>
      <w:r>
        <w:rPr>
          <w:lang w:val="en-GB" w:eastAsia="zh-CN"/>
        </w:rPr>
        <w:t xml:space="preserve"> robustness after </w:t>
      </w:r>
      <w:r w:rsidR="00685CC4">
        <w:rPr>
          <w:lang w:val="en-GB" w:eastAsia="zh-CN"/>
        </w:rPr>
        <w:t>a</w:t>
      </w:r>
      <w:r w:rsidR="000C3566">
        <w:rPr>
          <w:lang w:val="en-GB" w:eastAsia="zh-CN"/>
        </w:rPr>
        <w:t xml:space="preserve"> long - term acid adaptation (LTAA) and more specifically the thes</w:t>
      </w:r>
      <w:r w:rsidR="00FA3F2B">
        <w:rPr>
          <w:lang w:val="en-GB" w:eastAsia="zh-CN"/>
        </w:rPr>
        <w:t>e</w:t>
      </w:r>
      <w:r w:rsidR="000C3566">
        <w:rPr>
          <w:lang w:val="en-GB" w:eastAsia="zh-CN"/>
        </w:rPr>
        <w:t>s 2</w:t>
      </w:r>
      <w:r w:rsidR="00685CC4">
        <w:rPr>
          <w:lang w:val="en-GB" w:eastAsia="zh-CN"/>
        </w:rPr>
        <w:t xml:space="preserve"> (pH 5.5)</w:t>
      </w:r>
      <w:r w:rsidR="000C3566">
        <w:rPr>
          <w:lang w:val="en-GB" w:eastAsia="zh-CN"/>
        </w:rPr>
        <w:t xml:space="preserve"> and 3 </w:t>
      </w:r>
      <w:r w:rsidR="00685CC4">
        <w:rPr>
          <w:lang w:val="en-GB" w:eastAsia="zh-CN"/>
        </w:rPr>
        <w:t xml:space="preserve">(pH 5.2) </w:t>
      </w:r>
      <w:r w:rsidR="000C3566">
        <w:rPr>
          <w:lang w:val="en-GB" w:eastAsia="zh-CN"/>
        </w:rPr>
        <w:t>showed</w:t>
      </w:r>
      <w:r w:rsidR="00FA3F2B">
        <w:rPr>
          <w:lang w:val="en-GB" w:eastAsia="zh-CN"/>
        </w:rPr>
        <w:t xml:space="preserve"> significantly (T - test: P[FDR] &lt; 0.001)</w:t>
      </w:r>
      <w:r w:rsidR="000C3566">
        <w:rPr>
          <w:lang w:val="en-GB" w:eastAsia="zh-CN"/>
        </w:rPr>
        <w:t xml:space="preserve"> higher resistance</w:t>
      </w:r>
      <w:r w:rsidR="00685CC4">
        <w:rPr>
          <w:lang w:val="en-GB" w:eastAsia="zh-CN"/>
        </w:rPr>
        <w:t xml:space="preserve"> in comparison to the control (pH 7.2)</w:t>
      </w:r>
      <w:r w:rsidR="000C3566">
        <w:rPr>
          <w:lang w:val="en-GB" w:eastAsia="zh-CN"/>
        </w:rPr>
        <w:t xml:space="preserve"> when reaching the stationary phase, at </w:t>
      </w:r>
      <w:r w:rsidR="00685CC4">
        <w:rPr>
          <w:lang w:val="en-GB" w:eastAsia="zh-CN"/>
        </w:rPr>
        <w:t>twenty-four</w:t>
      </w:r>
      <w:r w:rsidR="000C3566">
        <w:rPr>
          <w:lang w:val="en-GB" w:eastAsia="zh-CN"/>
        </w:rPr>
        <w:t xml:space="preserve"> hours of growth. In the Figure 7 </w:t>
      </w:r>
      <w:r w:rsidR="00685CC4">
        <w:rPr>
          <w:lang w:val="en-GB" w:eastAsia="zh-CN"/>
        </w:rPr>
        <w:t>are represented the four points of interest</w:t>
      </w:r>
      <w:r w:rsidR="00F65EBF">
        <w:rPr>
          <w:lang w:val="en-GB" w:eastAsia="zh-CN"/>
        </w:rPr>
        <w:t>,</w:t>
      </w:r>
      <w:r w:rsidR="00685CC4">
        <w:rPr>
          <w:lang w:val="en-GB" w:eastAsia="zh-CN"/>
        </w:rPr>
        <w:t xml:space="preserve"> where the phenotypes and the response to the lethal shock were monitored. </w:t>
      </w:r>
      <w:r w:rsidR="00F65EBF">
        <w:rPr>
          <w:lang w:val="en-GB" w:eastAsia="zh-CN"/>
        </w:rPr>
        <w:t>Moreover, o</w:t>
      </w:r>
      <w:r w:rsidR="00685CC4">
        <w:rPr>
          <w:lang w:val="en-GB" w:eastAsia="zh-CN"/>
        </w:rPr>
        <w:t>bserving the bar plots is clear the variation in robustness between the different phases of growth, as for example at hour</w:t>
      </w:r>
      <w:r w:rsidR="00F65EBF">
        <w:rPr>
          <w:lang w:val="en-GB" w:eastAsia="zh-CN"/>
        </w:rPr>
        <w:t xml:space="preserve"> six </w:t>
      </w:r>
      <w:r w:rsidR="00A166E8">
        <w:rPr>
          <w:lang w:val="en-GB" w:eastAsia="zh-CN"/>
        </w:rPr>
        <w:t>where</w:t>
      </w:r>
      <w:r w:rsidR="00F65EBF">
        <w:rPr>
          <w:lang w:val="en-GB" w:eastAsia="zh-CN"/>
        </w:rPr>
        <w:t xml:space="preserve"> the cells of all the thes</w:t>
      </w:r>
      <w:r w:rsidR="006535CF">
        <w:rPr>
          <w:lang w:val="en-GB" w:eastAsia="zh-CN"/>
        </w:rPr>
        <w:t>e</w:t>
      </w:r>
      <w:r w:rsidR="00F65EBF">
        <w:rPr>
          <w:lang w:val="en-GB" w:eastAsia="zh-CN"/>
        </w:rPr>
        <w:t xml:space="preserve">s are at the exponential phase there is no resistance. </w:t>
      </w:r>
      <w:r w:rsidR="00F65EBF">
        <w:rPr>
          <w:lang w:val="en-GB" w:eastAsia="zh-CN"/>
        </w:rPr>
        <w:lastRenderedPageBreak/>
        <w:t xml:space="preserve">From the twelfth hour of growth, it appears a slight resistance at the thesis 2 as is reaching the </w:t>
      </w:r>
      <w:r w:rsidR="0054034C">
        <w:rPr>
          <w:lang w:val="en-GB" w:eastAsia="zh-CN"/>
        </w:rPr>
        <w:t>early stationary</w:t>
      </w:r>
      <w:r w:rsidR="00F65EBF">
        <w:rPr>
          <w:lang w:val="en-GB" w:eastAsia="zh-CN"/>
        </w:rPr>
        <w:t xml:space="preserve"> phase</w:t>
      </w:r>
      <w:r w:rsidR="0054034C">
        <w:rPr>
          <w:lang w:val="en-GB" w:eastAsia="zh-CN"/>
        </w:rPr>
        <w:t>,</w:t>
      </w:r>
      <w:r w:rsidR="00F65EBF">
        <w:rPr>
          <w:lang w:val="en-GB" w:eastAsia="zh-CN"/>
        </w:rPr>
        <w:t xml:space="preserve"> </w:t>
      </w:r>
      <w:r w:rsidR="0054034C">
        <w:rPr>
          <w:lang w:val="en-GB" w:eastAsia="zh-CN"/>
        </w:rPr>
        <w:t xml:space="preserve">while the thesis 3 is still at the exponential phase and in fact resistance </w:t>
      </w:r>
      <w:r w:rsidR="00A166E8">
        <w:rPr>
          <w:lang w:val="en-GB" w:eastAsia="zh-CN"/>
        </w:rPr>
        <w:t xml:space="preserve">was </w:t>
      </w:r>
      <w:r w:rsidR="0054034C">
        <w:rPr>
          <w:lang w:val="en-GB" w:eastAsia="zh-CN"/>
        </w:rPr>
        <w:t>not presented.</w:t>
      </w:r>
      <w:r w:rsidR="00A166E8">
        <w:rPr>
          <w:lang w:val="en-GB" w:eastAsia="zh-CN"/>
        </w:rPr>
        <w:t xml:space="preserve"> The data from RNA - </w:t>
      </w:r>
      <w:proofErr w:type="spellStart"/>
      <w:r w:rsidR="00A166E8">
        <w:rPr>
          <w:lang w:val="en-GB" w:eastAsia="zh-CN"/>
        </w:rPr>
        <w:t>seq</w:t>
      </w:r>
      <w:proofErr w:type="spellEnd"/>
      <w:r w:rsidR="00A166E8">
        <w:rPr>
          <w:lang w:val="en-GB" w:eastAsia="zh-CN"/>
        </w:rPr>
        <w:t xml:space="preserve"> (Figure 8) showed a difference in the GC content</w:t>
      </w:r>
      <w:r w:rsidR="00FA3F2B">
        <w:rPr>
          <w:lang w:val="en-GB" w:eastAsia="zh-CN"/>
        </w:rPr>
        <w:t xml:space="preserve"> profile</w:t>
      </w:r>
      <w:r w:rsidR="00A166E8">
        <w:rPr>
          <w:lang w:val="en-GB" w:eastAsia="zh-CN"/>
        </w:rPr>
        <w:t>, where the treated (thesis 2 &amp; 3) cases had higher GC content in comparison with the control</w:t>
      </w:r>
      <w:r w:rsidR="00FA3F2B">
        <w:rPr>
          <w:lang w:val="en-GB" w:eastAsia="zh-CN"/>
        </w:rPr>
        <w:t xml:space="preserve"> at twelfth and twenty fourth hour</w:t>
      </w:r>
      <w:r w:rsidR="00A166E8">
        <w:rPr>
          <w:lang w:val="en-GB" w:eastAsia="zh-CN"/>
        </w:rPr>
        <w:t>.</w:t>
      </w:r>
    </w:p>
    <w:p w:rsidR="00FB6BB1" w:rsidRPr="00FB6BB1" w:rsidRDefault="00FB6BB1" w:rsidP="00FA3F2B">
      <w:pPr>
        <w:rPr>
          <w:sz w:val="4"/>
          <w:szCs w:val="10"/>
          <w:lang w:val="en-GB" w:eastAsia="zh-CN"/>
        </w:rPr>
      </w:pPr>
    </w:p>
    <w:p w:rsidR="00FA3F2B" w:rsidRPr="00FA3F2B" w:rsidRDefault="00FA3F2B" w:rsidP="00FA3F2B">
      <w:pPr>
        <w:rPr>
          <w:sz w:val="8"/>
          <w:szCs w:val="13"/>
          <w:lang w:val="en-GB" w:eastAsia="zh-CN"/>
        </w:rPr>
      </w:pPr>
    </w:p>
    <w:p w:rsidR="000C3566" w:rsidRDefault="00654DBE" w:rsidP="000C3566">
      <w:pPr>
        <w:keepNext/>
        <w:jc w:val="center"/>
      </w:pPr>
      <w:r w:rsidRPr="00654DBE">
        <w:rPr>
          <w:rFonts w:cs="Times New Roman"/>
          <w:noProof/>
          <w:lang w:eastAsia="zh-CN"/>
        </w:rPr>
        <w:drawing>
          <wp:inline distT="0" distB="0" distL="0" distR="0" wp14:anchorId="6BB31970" wp14:editId="652A2079">
            <wp:extent cx="2708031" cy="1354016"/>
            <wp:effectExtent l="0" t="0" r="0" b="5080"/>
            <wp:docPr id="225479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79119"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2718501" cy="1359251"/>
                    </a:xfrm>
                    <a:prstGeom prst="rect">
                      <a:avLst/>
                    </a:prstGeom>
                  </pic:spPr>
                </pic:pic>
              </a:graphicData>
            </a:graphic>
          </wp:inline>
        </w:drawing>
      </w:r>
    </w:p>
    <w:p w:rsidR="004F2350" w:rsidRPr="001575FF" w:rsidRDefault="000C3566" w:rsidP="00FB6BB1">
      <w:pPr>
        <w:spacing w:before="300" w:after="300"/>
        <w:ind w:left="851" w:hanging="851"/>
        <w:rPr>
          <w:i/>
          <w:iCs/>
          <w:sz w:val="18"/>
          <w:szCs w:val="18"/>
          <w:lang w:val="en-GB"/>
        </w:rPr>
      </w:pPr>
      <w:r w:rsidRPr="00DB04EF">
        <w:rPr>
          <w:b/>
          <w:bCs/>
          <w:color w:val="44546A" w:themeColor="text2"/>
          <w:sz w:val="18"/>
          <w:szCs w:val="22"/>
        </w:rPr>
        <w:t xml:space="preserve">Figure </w:t>
      </w:r>
      <w:r w:rsidRPr="00DB04EF">
        <w:rPr>
          <w:b/>
          <w:bCs/>
          <w:color w:val="44546A" w:themeColor="text2"/>
          <w:sz w:val="18"/>
          <w:szCs w:val="22"/>
          <w:lang w:val="en-US"/>
        </w:rPr>
        <w:t>7</w:t>
      </w:r>
      <w:r w:rsidRPr="00DB04EF">
        <w:rPr>
          <w:b/>
          <w:bCs/>
          <w:i/>
          <w:iCs/>
          <w:color w:val="44546A" w:themeColor="text2"/>
          <w:sz w:val="18"/>
          <w:szCs w:val="22"/>
          <w:lang w:val="en-US"/>
        </w:rPr>
        <w:t xml:space="preserve"> </w:t>
      </w:r>
      <w:r w:rsidR="0054034C" w:rsidRPr="00DB04EF">
        <w:rPr>
          <w:b/>
          <w:bCs/>
          <w:i/>
          <w:iCs/>
          <w:color w:val="44546A" w:themeColor="text2"/>
          <w:sz w:val="18"/>
          <w:szCs w:val="22"/>
          <w:lang w:val="en-US"/>
        </w:rPr>
        <w:t xml:space="preserve">  </w:t>
      </w:r>
      <w:r w:rsidR="0054034C" w:rsidRPr="00DB04EF">
        <w:rPr>
          <w:b/>
          <w:bCs/>
          <w:color w:val="44546A" w:themeColor="text2"/>
          <w:sz w:val="18"/>
          <w:szCs w:val="22"/>
          <w:lang w:val="en-US"/>
        </w:rPr>
        <w:t>LTAA Model of</w:t>
      </w:r>
      <w:r w:rsidR="0054034C" w:rsidRPr="00DB04EF">
        <w:rPr>
          <w:b/>
          <w:bCs/>
          <w:i/>
          <w:iCs/>
          <w:color w:val="44546A" w:themeColor="text2"/>
          <w:sz w:val="18"/>
          <w:szCs w:val="22"/>
          <w:lang w:val="en-US"/>
        </w:rPr>
        <w:t xml:space="preserve"> L</w:t>
      </w:r>
      <w:r w:rsidR="006535CF">
        <w:rPr>
          <w:b/>
          <w:bCs/>
          <w:i/>
          <w:iCs/>
          <w:color w:val="44546A" w:themeColor="text2"/>
          <w:sz w:val="18"/>
          <w:szCs w:val="22"/>
          <w:lang w:val="en-US"/>
        </w:rPr>
        <w:t xml:space="preserve">. </w:t>
      </w:r>
      <w:r w:rsidR="0054034C" w:rsidRPr="00DB04EF">
        <w:rPr>
          <w:b/>
          <w:bCs/>
          <w:i/>
          <w:iCs/>
          <w:color w:val="44546A" w:themeColor="text2"/>
          <w:sz w:val="18"/>
          <w:szCs w:val="22"/>
          <w:lang w:val="en-US"/>
        </w:rPr>
        <w:t>m</w:t>
      </w:r>
      <w:r w:rsidR="006535CF">
        <w:rPr>
          <w:b/>
          <w:bCs/>
          <w:i/>
          <w:iCs/>
          <w:color w:val="44546A" w:themeColor="text2"/>
          <w:sz w:val="18"/>
          <w:szCs w:val="22"/>
          <w:lang w:val="en-US"/>
        </w:rPr>
        <w:t>onocytogenes</w:t>
      </w:r>
      <w:r w:rsidR="0054034C" w:rsidRPr="00DB04EF">
        <w:rPr>
          <w:b/>
          <w:bCs/>
          <w:i/>
          <w:iCs/>
          <w:color w:val="44546A" w:themeColor="text2"/>
          <w:sz w:val="18"/>
          <w:szCs w:val="22"/>
          <w:lang w:val="en-US"/>
        </w:rPr>
        <w:t xml:space="preserve"> </w:t>
      </w:r>
      <w:r w:rsidR="0054034C" w:rsidRPr="00DB04EF">
        <w:rPr>
          <w:b/>
          <w:bCs/>
          <w:color w:val="44546A" w:themeColor="text2"/>
          <w:sz w:val="18"/>
          <w:szCs w:val="22"/>
          <w:lang w:val="en-US"/>
        </w:rPr>
        <w:t xml:space="preserve">10403S </w:t>
      </w:r>
      <w:proofErr w:type="spellStart"/>
      <w:r w:rsidR="0054034C" w:rsidRPr="00DB04EF">
        <w:rPr>
          <w:b/>
          <w:bCs/>
          <w:color w:val="44546A" w:themeColor="text2"/>
          <w:sz w:val="18"/>
          <w:szCs w:val="22"/>
          <w:lang w:val="en-US"/>
        </w:rPr>
        <w:t>Behaviour</w:t>
      </w:r>
      <w:proofErr w:type="spellEnd"/>
      <w:r w:rsidR="0054034C" w:rsidRPr="00DB04EF">
        <w:rPr>
          <w:b/>
          <w:bCs/>
          <w:color w:val="44546A" w:themeColor="text2"/>
          <w:sz w:val="18"/>
          <w:szCs w:val="22"/>
          <w:lang w:val="en-US"/>
        </w:rPr>
        <w:t xml:space="preserve"> at the three Thes</w:t>
      </w:r>
      <w:r w:rsidR="006535CF">
        <w:rPr>
          <w:b/>
          <w:bCs/>
          <w:color w:val="44546A" w:themeColor="text2"/>
          <w:sz w:val="18"/>
          <w:szCs w:val="22"/>
          <w:lang w:val="en-US"/>
        </w:rPr>
        <w:t>e</w:t>
      </w:r>
      <w:r w:rsidR="0054034C" w:rsidRPr="00DB04EF">
        <w:rPr>
          <w:b/>
          <w:bCs/>
          <w:color w:val="44546A" w:themeColor="text2"/>
          <w:sz w:val="18"/>
          <w:szCs w:val="22"/>
          <w:lang w:val="en-US"/>
        </w:rPr>
        <w:t>s</w:t>
      </w:r>
      <w:r w:rsidR="0054034C" w:rsidRPr="00DB04EF">
        <w:rPr>
          <w:b/>
          <w:bCs/>
          <w:i/>
          <w:iCs/>
          <w:color w:val="44546A" w:themeColor="text2"/>
          <w:sz w:val="18"/>
          <w:szCs w:val="22"/>
          <w:lang w:val="en-US"/>
        </w:rPr>
        <w:t xml:space="preserve">. </w:t>
      </w:r>
      <w:r w:rsidR="0054034C" w:rsidRPr="00DB04EF">
        <w:rPr>
          <w:b/>
          <w:bCs/>
          <w:i/>
          <w:iCs/>
          <w:lang w:val="en-US"/>
        </w:rPr>
        <w:tab/>
      </w:r>
      <w:r w:rsidR="0054034C" w:rsidRPr="00DB04EF">
        <w:rPr>
          <w:b/>
          <w:bCs/>
          <w:i/>
          <w:iCs/>
          <w:lang w:val="en-US"/>
        </w:rPr>
        <w:tab/>
      </w:r>
      <w:r w:rsidR="0054034C" w:rsidRPr="00DB04EF">
        <w:rPr>
          <w:b/>
          <w:bCs/>
          <w:i/>
          <w:iCs/>
          <w:lang w:val="en-US"/>
        </w:rPr>
        <w:tab/>
      </w:r>
      <w:r w:rsidR="0054034C" w:rsidRPr="00DB04EF">
        <w:rPr>
          <w:b/>
          <w:bCs/>
          <w:i/>
          <w:iCs/>
          <w:lang w:val="en-US"/>
        </w:rPr>
        <w:tab/>
        <w:t xml:space="preserve">     </w:t>
      </w:r>
      <w:r w:rsidR="0054034C" w:rsidRPr="001575FF">
        <w:rPr>
          <w:i/>
          <w:iCs/>
          <w:sz w:val="18"/>
          <w:szCs w:val="18"/>
          <w:lang w:val="en-GB"/>
        </w:rPr>
        <w:t xml:space="preserve">The four points of interest (t0, t6, t12, t24) that </w:t>
      </w:r>
      <w:r w:rsidR="006535CF" w:rsidRPr="001575FF">
        <w:rPr>
          <w:i/>
          <w:iCs/>
          <w:sz w:val="18"/>
          <w:szCs w:val="18"/>
          <w:lang w:val="en-GB"/>
        </w:rPr>
        <w:t>were</w:t>
      </w:r>
      <w:r w:rsidR="0054034C" w:rsidRPr="001575FF">
        <w:rPr>
          <w:i/>
          <w:iCs/>
          <w:sz w:val="18"/>
          <w:szCs w:val="18"/>
          <w:lang w:val="en-GB"/>
        </w:rPr>
        <w:t xml:space="preserve"> further examined through RNA - seq are represented. The line plot is showing the dynamics of growth (</w:t>
      </w:r>
      <w:proofErr w:type="spellStart"/>
      <w:r w:rsidR="0054034C" w:rsidRPr="001575FF">
        <w:rPr>
          <w:i/>
          <w:iCs/>
          <w:sz w:val="18"/>
          <w:szCs w:val="18"/>
          <w:lang w:val="en-GB"/>
        </w:rPr>
        <w:t>logCFU</w:t>
      </w:r>
      <w:proofErr w:type="spellEnd"/>
      <w:r w:rsidR="0054034C" w:rsidRPr="001575FF">
        <w:rPr>
          <w:i/>
          <w:iCs/>
          <w:sz w:val="18"/>
          <w:szCs w:val="18"/>
          <w:lang w:val="en-GB"/>
        </w:rPr>
        <w:t>/mL) and the bar plot the response to the lethal acid shock (Delta</w:t>
      </w:r>
      <w:r w:rsidR="00E74198" w:rsidRPr="001575FF">
        <w:rPr>
          <w:i/>
          <w:iCs/>
          <w:sz w:val="18"/>
          <w:szCs w:val="18"/>
          <w:lang w:val="en-GB"/>
        </w:rPr>
        <w:t xml:space="preserve"> </w:t>
      </w:r>
      <w:r w:rsidR="0054034C" w:rsidRPr="001575FF">
        <w:rPr>
          <w:i/>
          <w:iCs/>
          <w:sz w:val="18"/>
          <w:szCs w:val="18"/>
          <w:lang w:val="en-GB"/>
        </w:rPr>
        <w:t>Log).</w:t>
      </w:r>
    </w:p>
    <w:p w:rsidR="00A166E8" w:rsidRDefault="00E74198" w:rsidP="00A166E8">
      <w:pPr>
        <w:keepNext/>
        <w:jc w:val="center"/>
      </w:pPr>
      <w:r w:rsidRPr="00E74198">
        <w:rPr>
          <w:rFonts w:cs="Times New Roman"/>
          <w:noProof/>
          <w:lang w:eastAsia="zh-CN"/>
        </w:rPr>
        <w:drawing>
          <wp:inline distT="0" distB="0" distL="0" distR="0" wp14:anchorId="7024EAD8" wp14:editId="3DCF4D46">
            <wp:extent cx="2141815" cy="1646949"/>
            <wp:effectExtent l="0" t="0" r="5080" b="4445"/>
            <wp:docPr id="338001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01830" name="Picture 1"/>
                    <pic:cNvPicPr/>
                  </pic:nvPicPr>
                  <pic:blipFill>
                    <a:blip r:embed="rId15">
                      <a:extLst>
                        <a:ext uri="{28A0092B-C50C-407E-A947-70E740481C1C}">
                          <a14:useLocalDpi xmlns:a14="http://schemas.microsoft.com/office/drawing/2010/main" val="0"/>
                        </a:ext>
                      </a:extLst>
                    </a:blip>
                    <a:srcRect t="76" b="76"/>
                    <a:stretch>
                      <a:fillRect/>
                    </a:stretch>
                  </pic:blipFill>
                  <pic:spPr bwMode="auto">
                    <a:xfrm>
                      <a:off x="0" y="0"/>
                      <a:ext cx="2160244" cy="1661120"/>
                    </a:xfrm>
                    <a:prstGeom prst="rect">
                      <a:avLst/>
                    </a:prstGeom>
                    <a:ln>
                      <a:noFill/>
                    </a:ln>
                    <a:extLst>
                      <a:ext uri="{53640926-AAD7-44D8-BBD7-CCE9431645EC}">
                        <a14:shadowObscured xmlns:a14="http://schemas.microsoft.com/office/drawing/2010/main"/>
                      </a:ext>
                    </a:extLst>
                  </pic:spPr>
                </pic:pic>
              </a:graphicData>
            </a:graphic>
          </wp:inline>
        </w:drawing>
      </w:r>
    </w:p>
    <w:p w:rsidR="004F2350" w:rsidRPr="00FA3F2B" w:rsidRDefault="00A166E8" w:rsidP="00FB6BB1">
      <w:pPr>
        <w:pStyle w:val="Caption"/>
        <w:spacing w:before="300" w:after="300"/>
        <w:ind w:left="851" w:hanging="851"/>
        <w:rPr>
          <w:rFonts w:cs="Times New Roman"/>
          <w:color w:val="auto"/>
          <w:lang w:val="en-US" w:eastAsia="zh-CN"/>
        </w:rPr>
      </w:pPr>
      <w:r w:rsidRPr="00A166E8">
        <w:rPr>
          <w:b/>
          <w:bCs/>
          <w:i w:val="0"/>
          <w:iCs w:val="0"/>
        </w:rPr>
        <w:t xml:space="preserve">Figure </w:t>
      </w:r>
      <w:r w:rsidRPr="00A166E8">
        <w:rPr>
          <w:b/>
          <w:bCs/>
          <w:i w:val="0"/>
          <w:iCs w:val="0"/>
          <w:lang w:val="en-US"/>
        </w:rPr>
        <w:t xml:space="preserve">8 </w:t>
      </w:r>
      <w:r w:rsidR="0038339C">
        <w:rPr>
          <w:b/>
          <w:bCs/>
          <w:i w:val="0"/>
          <w:iCs w:val="0"/>
          <w:lang w:val="en-US"/>
        </w:rPr>
        <w:t xml:space="preserve">  </w:t>
      </w:r>
      <w:r w:rsidRPr="00A166E8">
        <w:rPr>
          <w:b/>
          <w:bCs/>
          <w:i w:val="0"/>
          <w:iCs w:val="0"/>
          <w:lang w:val="en-US"/>
        </w:rPr>
        <w:t>GC Content</w:t>
      </w:r>
      <w:r w:rsidR="00FA3F2B">
        <w:rPr>
          <w:b/>
          <w:bCs/>
          <w:i w:val="0"/>
          <w:iCs w:val="0"/>
          <w:lang w:val="en-US"/>
        </w:rPr>
        <w:t xml:space="preserve"> profiles</w:t>
      </w:r>
      <w:r w:rsidRPr="00A166E8">
        <w:rPr>
          <w:b/>
          <w:bCs/>
          <w:i w:val="0"/>
          <w:iCs w:val="0"/>
          <w:lang w:val="en-US"/>
        </w:rPr>
        <w:t xml:space="preserve"> of RNA - seq </w:t>
      </w:r>
      <w:r w:rsidR="00FA3F2B">
        <w:rPr>
          <w:b/>
          <w:bCs/>
          <w:i w:val="0"/>
          <w:iCs w:val="0"/>
          <w:lang w:val="en-US"/>
        </w:rPr>
        <w:t xml:space="preserve">Raw </w:t>
      </w:r>
      <w:r w:rsidRPr="00A166E8">
        <w:rPr>
          <w:b/>
          <w:bCs/>
          <w:i w:val="0"/>
          <w:iCs w:val="0"/>
          <w:lang w:val="en-US"/>
        </w:rPr>
        <w:t>Data</w:t>
      </w:r>
      <w:r w:rsidR="00FA3F2B">
        <w:rPr>
          <w:b/>
          <w:bCs/>
          <w:i w:val="0"/>
          <w:iCs w:val="0"/>
          <w:lang w:val="en-US"/>
        </w:rPr>
        <w:t xml:space="preserve"> (Illumina paired - end reads)</w:t>
      </w:r>
      <w:r w:rsidRPr="00A166E8">
        <w:rPr>
          <w:b/>
          <w:bCs/>
          <w:i w:val="0"/>
          <w:iCs w:val="0"/>
          <w:lang w:val="en-US"/>
        </w:rPr>
        <w:t>.</w:t>
      </w:r>
      <w:r w:rsidR="00FA3F2B">
        <w:rPr>
          <w:b/>
          <w:bCs/>
          <w:i w:val="0"/>
          <w:iCs w:val="0"/>
          <w:lang w:val="en-US"/>
        </w:rPr>
        <w:t xml:space="preserve"> </w:t>
      </w:r>
      <w:r w:rsidR="0038339C">
        <w:rPr>
          <w:b/>
          <w:bCs/>
          <w:i w:val="0"/>
          <w:iCs w:val="0"/>
          <w:lang w:val="en-US"/>
        </w:rPr>
        <w:tab/>
      </w:r>
      <w:r w:rsidR="0038339C">
        <w:rPr>
          <w:b/>
          <w:bCs/>
          <w:i w:val="0"/>
          <w:iCs w:val="0"/>
          <w:lang w:val="en-US"/>
        </w:rPr>
        <w:tab/>
      </w:r>
      <w:r w:rsidR="0038339C">
        <w:rPr>
          <w:b/>
          <w:bCs/>
          <w:i w:val="0"/>
          <w:iCs w:val="0"/>
          <w:lang w:val="en-US"/>
        </w:rPr>
        <w:tab/>
        <w:t xml:space="preserve">     </w:t>
      </w:r>
      <w:r w:rsidR="00FA3F2B">
        <w:rPr>
          <w:color w:val="auto"/>
          <w:lang w:val="en-US"/>
        </w:rPr>
        <w:t>For the</w:t>
      </w:r>
      <w:r w:rsidR="0038339C">
        <w:rPr>
          <w:color w:val="auto"/>
          <w:lang w:val="en-US"/>
        </w:rPr>
        <w:t xml:space="preserve"> </w:t>
      </w:r>
      <w:proofErr w:type="spellStart"/>
      <w:r w:rsidR="0038339C">
        <w:rPr>
          <w:color w:val="auto"/>
          <w:lang w:val="en-US"/>
        </w:rPr>
        <w:t>colour</w:t>
      </w:r>
      <w:proofErr w:type="spellEnd"/>
      <w:r w:rsidR="00FA3F2B">
        <w:rPr>
          <w:color w:val="auto"/>
          <w:lang w:val="en-US"/>
        </w:rPr>
        <w:t xml:space="preserve"> lines </w:t>
      </w:r>
      <w:r w:rsidR="0038339C">
        <w:rPr>
          <w:color w:val="auto"/>
          <w:lang w:val="en-US"/>
        </w:rPr>
        <w:t>in the graph of GC content distribution (R1 &amp;2) refer to the heatmap.</w:t>
      </w:r>
    </w:p>
    <w:p w:rsidR="00041F6F" w:rsidRPr="00A166E8" w:rsidRDefault="00A506C6" w:rsidP="00A166E8">
      <w:pPr>
        <w:pStyle w:val="Heading1"/>
        <w:tabs>
          <w:tab w:val="left" w:pos="567"/>
        </w:tabs>
        <w:spacing w:before="240" w:after="120"/>
        <w:ind w:right="0"/>
        <w:jc w:val="both"/>
        <w:rPr>
          <w:b/>
          <w:bCs/>
          <w:color w:val="000000"/>
          <w:sz w:val="24"/>
          <w:lang w:val="en-GB"/>
        </w:rPr>
      </w:pPr>
      <w:r w:rsidRPr="00A166E8">
        <w:rPr>
          <w:b/>
          <w:bCs/>
          <w:color w:val="000000"/>
          <w:sz w:val="24"/>
          <w:lang w:val="en-GB"/>
        </w:rPr>
        <w:t>6</w:t>
      </w:r>
      <w:r w:rsidR="00041F6F" w:rsidRPr="00A166E8">
        <w:rPr>
          <w:b/>
          <w:bCs/>
          <w:color w:val="000000"/>
          <w:sz w:val="24"/>
          <w:lang w:val="en-GB"/>
        </w:rPr>
        <w:t>. Conclusions and Future Perspectives</w:t>
      </w:r>
    </w:p>
    <w:p w:rsidR="001E4B4D" w:rsidRPr="001E4B4D" w:rsidRDefault="00DB04EF" w:rsidP="00DB04EF">
      <w:pPr>
        <w:rPr>
          <w:lang w:val="en-GB" w:eastAsia="zh-CN"/>
        </w:rPr>
      </w:pPr>
      <w:r>
        <w:rPr>
          <w:lang w:val="en-GB" w:eastAsia="zh-CN"/>
        </w:rPr>
        <w:t xml:space="preserve">The infant food process line showed a high biodiversity through the time, given the nature of the microbiome present in such a habitat. The monitoring of </w:t>
      </w:r>
      <w:r w:rsidR="001E4B4D">
        <w:rPr>
          <w:lang w:val="en-GB" w:eastAsia="zh-CN"/>
        </w:rPr>
        <w:t>both the environment and the foodstuff during the</w:t>
      </w:r>
      <w:r>
        <w:rPr>
          <w:lang w:val="en-GB" w:eastAsia="zh-CN"/>
        </w:rPr>
        <w:t xml:space="preserve"> fourteen months </w:t>
      </w:r>
      <w:r w:rsidR="001E4B4D">
        <w:rPr>
          <w:lang w:val="en-GB" w:eastAsia="zh-CN"/>
        </w:rPr>
        <w:t xml:space="preserve">of </w:t>
      </w:r>
      <w:r>
        <w:rPr>
          <w:lang w:val="en-GB" w:eastAsia="zh-CN"/>
        </w:rPr>
        <w:t xml:space="preserve">sampling </w:t>
      </w:r>
      <w:r w:rsidR="001E4B4D">
        <w:rPr>
          <w:lang w:val="en-GB" w:eastAsia="zh-CN"/>
        </w:rPr>
        <w:t>made possible the more in - depth investigation of the routes of transmission of the targeted pathogens, shedding light on prevalence and correlation dynamics. Correlations between the different approache</w:t>
      </w:r>
      <w:r w:rsidR="006535CF">
        <w:rPr>
          <w:lang w:val="en-GB" w:eastAsia="zh-CN"/>
        </w:rPr>
        <w:t>s</w:t>
      </w:r>
      <w:r w:rsidR="001E4B4D">
        <w:rPr>
          <w:lang w:val="en-GB" w:eastAsia="zh-CN"/>
        </w:rPr>
        <w:t xml:space="preserve"> showed the way </w:t>
      </w:r>
      <w:r w:rsidR="00C62B98">
        <w:rPr>
          <w:lang w:val="en-GB" w:eastAsia="zh-CN"/>
        </w:rPr>
        <w:t>in which</w:t>
      </w:r>
      <w:r w:rsidR="001E4B4D">
        <w:rPr>
          <w:lang w:val="en-GB" w:eastAsia="zh-CN"/>
        </w:rPr>
        <w:t xml:space="preserve"> these methods can be utilised in order to give accurate responses on </w:t>
      </w:r>
      <w:r w:rsidR="00C62B98">
        <w:rPr>
          <w:lang w:val="en-GB" w:eastAsia="zh-CN"/>
        </w:rPr>
        <w:t xml:space="preserve">given </w:t>
      </w:r>
      <w:r w:rsidR="001E4B4D">
        <w:rPr>
          <w:lang w:val="en-GB" w:eastAsia="zh-CN"/>
        </w:rPr>
        <w:t>issues at the food industry</w:t>
      </w:r>
      <w:r w:rsidR="00C62B98">
        <w:rPr>
          <w:lang w:val="en-GB" w:eastAsia="zh-CN"/>
        </w:rPr>
        <w:t xml:space="preserve"> and</w:t>
      </w:r>
      <w:r w:rsidR="001E4B4D">
        <w:rPr>
          <w:lang w:val="en-GB" w:eastAsia="zh-CN"/>
        </w:rPr>
        <w:t xml:space="preserve"> enhanc</w:t>
      </w:r>
      <w:r w:rsidR="00C62B98">
        <w:rPr>
          <w:lang w:val="en-GB" w:eastAsia="zh-CN"/>
        </w:rPr>
        <w:t>e</w:t>
      </w:r>
      <w:r w:rsidR="001E4B4D">
        <w:rPr>
          <w:lang w:val="en-GB" w:eastAsia="zh-CN"/>
        </w:rPr>
        <w:t xml:space="preserve"> the food safety aspects. Furthermore, the research on behavioural dynamics of a pathogen</w:t>
      </w:r>
      <w:r w:rsidR="00C62B98">
        <w:rPr>
          <w:lang w:val="en-GB" w:eastAsia="zh-CN"/>
        </w:rPr>
        <w:t>,</w:t>
      </w:r>
      <w:r w:rsidR="001E4B4D">
        <w:rPr>
          <w:lang w:val="en-GB" w:eastAsia="zh-CN"/>
        </w:rPr>
        <w:t xml:space="preserve"> made possible to understand factors and conditions that permit resistance</w:t>
      </w:r>
      <w:r w:rsidR="00C62B98">
        <w:rPr>
          <w:lang w:val="en-GB" w:eastAsia="zh-CN"/>
        </w:rPr>
        <w:t xml:space="preserve">. To that scope further research activities containing analytical techniques (volatile compounds - biomarkers) could give a more complete prospective of the metabolic pathways and a faster detection method. </w:t>
      </w:r>
      <w:r w:rsidR="004037A8">
        <w:rPr>
          <w:lang w:val="en-GB" w:eastAsia="zh-CN"/>
        </w:rPr>
        <w:t>Of course,</w:t>
      </w:r>
      <w:r w:rsidR="00C62B98">
        <w:rPr>
          <w:lang w:val="en-GB" w:eastAsia="zh-CN"/>
        </w:rPr>
        <w:t xml:space="preserve"> further investigations of stress conditions, given the complexity of the cell system, could lead to an updated hurdles perspective.</w:t>
      </w:r>
    </w:p>
    <w:p w:rsidR="00A853A4" w:rsidRPr="0051219B" w:rsidRDefault="00A853A4" w:rsidP="00A853A4">
      <w:pPr>
        <w:pStyle w:val="Heading1"/>
        <w:tabs>
          <w:tab w:val="left" w:pos="567"/>
        </w:tabs>
        <w:spacing w:before="240" w:after="120"/>
        <w:ind w:right="0"/>
        <w:jc w:val="both"/>
        <w:rPr>
          <w:b/>
          <w:bCs/>
          <w:color w:val="000000"/>
          <w:sz w:val="24"/>
          <w:lang w:val="en-GB"/>
        </w:rPr>
      </w:pPr>
      <w:r w:rsidRPr="0051219B">
        <w:rPr>
          <w:b/>
          <w:bCs/>
          <w:color w:val="000000"/>
          <w:sz w:val="24"/>
          <w:lang w:val="en-GB"/>
        </w:rPr>
        <w:t>8. References</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r w:rsidRPr="00472207">
        <w:rPr>
          <w:rFonts w:eastAsia="Times New Roman" w:cs="Times New Roman"/>
          <w:color w:val="000000"/>
          <w:kern w:val="0"/>
          <w:sz w:val="11"/>
          <w:szCs w:val="11"/>
          <w:lang w:val="en-GB" w:eastAsia="zh-CN"/>
          <w14:ligatures w14:val="none"/>
        </w:rPr>
        <w:t xml:space="preserve">Buchanan, R.L., </w:t>
      </w:r>
      <w:proofErr w:type="spellStart"/>
      <w:r w:rsidRPr="00472207">
        <w:rPr>
          <w:rFonts w:eastAsia="Times New Roman" w:cs="Times New Roman"/>
          <w:color w:val="000000"/>
          <w:kern w:val="0"/>
          <w:sz w:val="11"/>
          <w:szCs w:val="11"/>
          <w:lang w:val="en-GB" w:eastAsia="zh-CN"/>
          <w14:ligatures w14:val="none"/>
        </w:rPr>
        <w:t>Gorris</w:t>
      </w:r>
      <w:proofErr w:type="spellEnd"/>
      <w:r w:rsidRPr="00472207">
        <w:rPr>
          <w:rFonts w:eastAsia="Times New Roman" w:cs="Times New Roman"/>
          <w:color w:val="000000"/>
          <w:kern w:val="0"/>
          <w:sz w:val="11"/>
          <w:szCs w:val="11"/>
          <w:lang w:val="en-GB" w:eastAsia="zh-CN"/>
          <w14:ligatures w14:val="none"/>
        </w:rPr>
        <w:t>, L.G.M., Hayman, M.M., Jackson, T.C., Whiting, R.C., 2017. A review of Listeria monocytogenes: An update on outbreaks, virulence, dose-response, ecology, and risk assessments. Food Control 75, 1–13. https://doi.org/10.1016/j.foodcont.2016.12.016</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r w:rsidRPr="00472207">
        <w:rPr>
          <w:rFonts w:eastAsia="Times New Roman" w:cs="Times New Roman"/>
          <w:color w:val="000000"/>
          <w:kern w:val="0"/>
          <w:sz w:val="11"/>
          <w:szCs w:val="11"/>
          <w:lang w:val="en-GB" w:eastAsia="zh-CN"/>
          <w14:ligatures w14:val="none"/>
        </w:rPr>
        <w:t xml:space="preserve">Ferreira, V., </w:t>
      </w:r>
      <w:proofErr w:type="spellStart"/>
      <w:r w:rsidRPr="00472207">
        <w:rPr>
          <w:rFonts w:eastAsia="Times New Roman" w:cs="Times New Roman"/>
          <w:color w:val="000000"/>
          <w:kern w:val="0"/>
          <w:sz w:val="11"/>
          <w:szCs w:val="11"/>
          <w:lang w:val="en-GB" w:eastAsia="zh-CN"/>
          <w14:ligatures w14:val="none"/>
        </w:rPr>
        <w:t>Wiedmann</w:t>
      </w:r>
      <w:proofErr w:type="spellEnd"/>
      <w:r w:rsidRPr="00472207">
        <w:rPr>
          <w:rFonts w:eastAsia="Times New Roman" w:cs="Times New Roman"/>
          <w:color w:val="000000"/>
          <w:kern w:val="0"/>
          <w:sz w:val="11"/>
          <w:szCs w:val="11"/>
          <w:lang w:val="en-GB" w:eastAsia="zh-CN"/>
          <w14:ligatures w14:val="none"/>
        </w:rPr>
        <w:t xml:space="preserve">, M., Teixeira, P., </w:t>
      </w:r>
      <w:proofErr w:type="spellStart"/>
      <w:r w:rsidRPr="00472207">
        <w:rPr>
          <w:rFonts w:eastAsia="Times New Roman" w:cs="Times New Roman"/>
          <w:color w:val="000000"/>
          <w:kern w:val="0"/>
          <w:sz w:val="11"/>
          <w:szCs w:val="11"/>
          <w:lang w:val="en-GB" w:eastAsia="zh-CN"/>
          <w14:ligatures w14:val="none"/>
        </w:rPr>
        <w:t>Stasiewicz</w:t>
      </w:r>
      <w:proofErr w:type="spellEnd"/>
      <w:r w:rsidRPr="00472207">
        <w:rPr>
          <w:rFonts w:eastAsia="Times New Roman" w:cs="Times New Roman"/>
          <w:color w:val="000000"/>
          <w:kern w:val="0"/>
          <w:sz w:val="11"/>
          <w:szCs w:val="11"/>
          <w:lang w:val="en-GB" w:eastAsia="zh-CN"/>
          <w14:ligatures w14:val="none"/>
        </w:rPr>
        <w:t>, M.J., 2014. Listeria monocytogenes persistence in food-associated environments: Epidemiology, strain characteristics, and implications for public health. J. Food Prot. 77, 150–170. https://doi.org/10.4315/0362-028X.JFP-13-150</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r w:rsidRPr="00472207">
        <w:rPr>
          <w:rFonts w:eastAsia="Times New Roman" w:cs="Times New Roman"/>
          <w:color w:val="000000"/>
          <w:kern w:val="0"/>
          <w:sz w:val="11"/>
          <w:szCs w:val="11"/>
          <w:lang w:val="en-GB" w:eastAsia="zh-CN"/>
          <w14:ligatures w14:val="none"/>
        </w:rPr>
        <w:t xml:space="preserve">Freitag, N.E., Port, G.C., Miner, M.D., 2009. Listeria monocytogenes - From saprophyte to intracellular pathogen. Nat. Rev. </w:t>
      </w:r>
      <w:proofErr w:type="spellStart"/>
      <w:r w:rsidRPr="00472207">
        <w:rPr>
          <w:rFonts w:eastAsia="Times New Roman" w:cs="Times New Roman"/>
          <w:color w:val="000000"/>
          <w:kern w:val="0"/>
          <w:sz w:val="11"/>
          <w:szCs w:val="11"/>
          <w:lang w:val="en-GB" w:eastAsia="zh-CN"/>
          <w14:ligatures w14:val="none"/>
        </w:rPr>
        <w:t>Microbiol</w:t>
      </w:r>
      <w:proofErr w:type="spellEnd"/>
      <w:r w:rsidRPr="00472207">
        <w:rPr>
          <w:rFonts w:eastAsia="Times New Roman" w:cs="Times New Roman"/>
          <w:color w:val="000000"/>
          <w:kern w:val="0"/>
          <w:sz w:val="11"/>
          <w:szCs w:val="11"/>
          <w:lang w:val="en-GB" w:eastAsia="zh-CN"/>
          <w14:ligatures w14:val="none"/>
        </w:rPr>
        <w:t>. 7, 623–628. https://doi.org/10.1038/nrmicro2171</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proofErr w:type="spellStart"/>
      <w:r w:rsidRPr="00472207">
        <w:rPr>
          <w:rFonts w:eastAsia="Times New Roman" w:cs="Times New Roman"/>
          <w:color w:val="000000"/>
          <w:kern w:val="0"/>
          <w:sz w:val="11"/>
          <w:szCs w:val="11"/>
          <w:lang w:val="en-GB" w:eastAsia="zh-CN"/>
          <w14:ligatures w14:val="none"/>
        </w:rPr>
        <w:t>Hirshfield</w:t>
      </w:r>
      <w:proofErr w:type="spellEnd"/>
      <w:r w:rsidRPr="00472207">
        <w:rPr>
          <w:rFonts w:eastAsia="Times New Roman" w:cs="Times New Roman"/>
          <w:color w:val="000000"/>
          <w:kern w:val="0"/>
          <w:sz w:val="11"/>
          <w:szCs w:val="11"/>
          <w:lang w:val="en-GB" w:eastAsia="zh-CN"/>
          <w14:ligatures w14:val="none"/>
        </w:rPr>
        <w:t xml:space="preserve">, I.N., </w:t>
      </w:r>
      <w:proofErr w:type="spellStart"/>
      <w:r w:rsidRPr="00472207">
        <w:rPr>
          <w:rFonts w:eastAsia="Times New Roman" w:cs="Times New Roman"/>
          <w:color w:val="000000"/>
          <w:kern w:val="0"/>
          <w:sz w:val="11"/>
          <w:szCs w:val="11"/>
          <w:lang w:val="en-GB" w:eastAsia="zh-CN"/>
          <w14:ligatures w14:val="none"/>
        </w:rPr>
        <w:t>Terzulli</w:t>
      </w:r>
      <w:proofErr w:type="spellEnd"/>
      <w:r w:rsidRPr="00472207">
        <w:rPr>
          <w:rFonts w:eastAsia="Times New Roman" w:cs="Times New Roman"/>
          <w:color w:val="000000"/>
          <w:kern w:val="0"/>
          <w:sz w:val="11"/>
          <w:szCs w:val="11"/>
          <w:lang w:val="en-GB" w:eastAsia="zh-CN"/>
          <w14:ligatures w14:val="none"/>
        </w:rPr>
        <w:t>, S., O’Byrne, C., 2003. Weak organic acids: a panoply of effects on bacteria. Sci. Prog. 86, 245–269. https://doi.org/10.3184/003685003783238626</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proofErr w:type="spellStart"/>
      <w:r w:rsidRPr="00472207">
        <w:rPr>
          <w:rFonts w:eastAsia="Times New Roman" w:cs="Times New Roman"/>
          <w:color w:val="000000"/>
          <w:kern w:val="0"/>
          <w:sz w:val="11"/>
          <w:szCs w:val="11"/>
          <w:lang w:val="en-GB" w:eastAsia="zh-CN"/>
          <w14:ligatures w14:val="none"/>
        </w:rPr>
        <w:t>Jagadeesan</w:t>
      </w:r>
      <w:proofErr w:type="spellEnd"/>
      <w:r w:rsidRPr="00472207">
        <w:rPr>
          <w:rFonts w:eastAsia="Times New Roman" w:cs="Times New Roman"/>
          <w:color w:val="000000"/>
          <w:kern w:val="0"/>
          <w:sz w:val="11"/>
          <w:szCs w:val="11"/>
          <w:lang w:val="en-GB" w:eastAsia="zh-CN"/>
          <w14:ligatures w14:val="none"/>
        </w:rPr>
        <w:t xml:space="preserve">, B., </w:t>
      </w:r>
      <w:proofErr w:type="spellStart"/>
      <w:r w:rsidRPr="00472207">
        <w:rPr>
          <w:rFonts w:eastAsia="Times New Roman" w:cs="Times New Roman"/>
          <w:color w:val="000000"/>
          <w:kern w:val="0"/>
          <w:sz w:val="11"/>
          <w:szCs w:val="11"/>
          <w:lang w:val="en-GB" w:eastAsia="zh-CN"/>
          <w14:ligatures w14:val="none"/>
        </w:rPr>
        <w:t>Gerner</w:t>
      </w:r>
      <w:proofErr w:type="spellEnd"/>
      <w:r w:rsidRPr="00472207">
        <w:rPr>
          <w:rFonts w:eastAsia="Times New Roman" w:cs="Times New Roman"/>
          <w:color w:val="000000"/>
          <w:kern w:val="0"/>
          <w:sz w:val="11"/>
          <w:szCs w:val="11"/>
          <w:lang w:val="en-GB" w:eastAsia="zh-CN"/>
          <w14:ligatures w14:val="none"/>
        </w:rPr>
        <w:t xml:space="preserve">-Smidt, P., Allard, M.W., </w:t>
      </w:r>
      <w:proofErr w:type="spellStart"/>
      <w:r w:rsidRPr="00472207">
        <w:rPr>
          <w:rFonts w:eastAsia="Times New Roman" w:cs="Times New Roman"/>
          <w:color w:val="000000"/>
          <w:kern w:val="0"/>
          <w:sz w:val="11"/>
          <w:szCs w:val="11"/>
          <w:lang w:val="en-GB" w:eastAsia="zh-CN"/>
          <w14:ligatures w14:val="none"/>
        </w:rPr>
        <w:t>Leuillet</w:t>
      </w:r>
      <w:proofErr w:type="spellEnd"/>
      <w:r w:rsidRPr="00472207">
        <w:rPr>
          <w:rFonts w:eastAsia="Times New Roman" w:cs="Times New Roman"/>
          <w:color w:val="000000"/>
          <w:kern w:val="0"/>
          <w:sz w:val="11"/>
          <w:szCs w:val="11"/>
          <w:lang w:val="en-GB" w:eastAsia="zh-CN"/>
          <w14:ligatures w14:val="none"/>
        </w:rPr>
        <w:t xml:space="preserve">, S., Winkler, A., Xiao, Y., Chaffron, S., Van Der </w:t>
      </w:r>
      <w:proofErr w:type="spellStart"/>
      <w:r w:rsidRPr="00472207">
        <w:rPr>
          <w:rFonts w:eastAsia="Times New Roman" w:cs="Times New Roman"/>
          <w:color w:val="000000"/>
          <w:kern w:val="0"/>
          <w:sz w:val="11"/>
          <w:szCs w:val="11"/>
          <w:lang w:val="en-GB" w:eastAsia="zh-CN"/>
          <w14:ligatures w14:val="none"/>
        </w:rPr>
        <w:t>Vossen</w:t>
      </w:r>
      <w:proofErr w:type="spellEnd"/>
      <w:r w:rsidRPr="00472207">
        <w:rPr>
          <w:rFonts w:eastAsia="Times New Roman" w:cs="Times New Roman"/>
          <w:color w:val="000000"/>
          <w:kern w:val="0"/>
          <w:sz w:val="11"/>
          <w:szCs w:val="11"/>
          <w:lang w:val="en-GB" w:eastAsia="zh-CN"/>
          <w14:ligatures w14:val="none"/>
        </w:rPr>
        <w:t xml:space="preserve">, J., Tang, S., </w:t>
      </w:r>
      <w:proofErr w:type="spellStart"/>
      <w:r w:rsidRPr="00472207">
        <w:rPr>
          <w:rFonts w:eastAsia="Times New Roman" w:cs="Times New Roman"/>
          <w:color w:val="000000"/>
          <w:kern w:val="0"/>
          <w:sz w:val="11"/>
          <w:szCs w:val="11"/>
          <w:lang w:val="en-GB" w:eastAsia="zh-CN"/>
          <w14:ligatures w14:val="none"/>
        </w:rPr>
        <w:t>Katase</w:t>
      </w:r>
      <w:proofErr w:type="spellEnd"/>
      <w:r w:rsidRPr="00472207">
        <w:rPr>
          <w:rFonts w:eastAsia="Times New Roman" w:cs="Times New Roman"/>
          <w:color w:val="000000"/>
          <w:kern w:val="0"/>
          <w:sz w:val="11"/>
          <w:szCs w:val="11"/>
          <w:lang w:val="en-GB" w:eastAsia="zh-CN"/>
          <w14:ligatures w14:val="none"/>
        </w:rPr>
        <w:t xml:space="preserve">, M., McClure, P., Kimura, B., Ching Chai, L., Chapman, J., Grant, K., 2019. The use of next generation sequencing for improving food safety: Translation into practice. Food </w:t>
      </w:r>
      <w:proofErr w:type="spellStart"/>
      <w:r w:rsidRPr="00472207">
        <w:rPr>
          <w:rFonts w:eastAsia="Times New Roman" w:cs="Times New Roman"/>
          <w:color w:val="000000"/>
          <w:kern w:val="0"/>
          <w:sz w:val="11"/>
          <w:szCs w:val="11"/>
          <w:lang w:val="en-GB" w:eastAsia="zh-CN"/>
          <w14:ligatures w14:val="none"/>
        </w:rPr>
        <w:t>Microbiol</w:t>
      </w:r>
      <w:proofErr w:type="spellEnd"/>
      <w:r w:rsidRPr="00472207">
        <w:rPr>
          <w:rFonts w:eastAsia="Times New Roman" w:cs="Times New Roman"/>
          <w:color w:val="000000"/>
          <w:kern w:val="0"/>
          <w:sz w:val="11"/>
          <w:szCs w:val="11"/>
          <w:lang w:val="en-GB" w:eastAsia="zh-CN"/>
          <w14:ligatures w14:val="none"/>
        </w:rPr>
        <w:t>. 79, 96–115. https://doi.org/10.1016/j.fm.2018.11.005</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proofErr w:type="spellStart"/>
      <w:r w:rsidRPr="00472207">
        <w:rPr>
          <w:rFonts w:eastAsia="Times New Roman" w:cs="Times New Roman"/>
          <w:color w:val="000000"/>
          <w:kern w:val="0"/>
          <w:sz w:val="11"/>
          <w:szCs w:val="11"/>
          <w:lang w:val="en-GB" w:eastAsia="zh-CN"/>
          <w14:ligatures w14:val="none"/>
        </w:rPr>
        <w:t>Koutsoumanis</w:t>
      </w:r>
      <w:proofErr w:type="spellEnd"/>
      <w:r w:rsidRPr="00472207">
        <w:rPr>
          <w:rFonts w:eastAsia="Times New Roman" w:cs="Times New Roman"/>
          <w:color w:val="000000"/>
          <w:kern w:val="0"/>
          <w:sz w:val="11"/>
          <w:szCs w:val="11"/>
          <w:lang w:val="en-GB" w:eastAsia="zh-CN"/>
          <w14:ligatures w14:val="none"/>
        </w:rPr>
        <w:t>, K., Allende, A., Alvarez-</w:t>
      </w:r>
      <w:proofErr w:type="spellStart"/>
      <w:r w:rsidRPr="00472207">
        <w:rPr>
          <w:rFonts w:eastAsia="Times New Roman" w:cs="Times New Roman"/>
          <w:color w:val="000000"/>
          <w:kern w:val="0"/>
          <w:sz w:val="11"/>
          <w:szCs w:val="11"/>
          <w:lang w:val="en-GB" w:eastAsia="zh-CN"/>
          <w14:ligatures w14:val="none"/>
        </w:rPr>
        <w:t>Ordóñez</w:t>
      </w:r>
      <w:proofErr w:type="spellEnd"/>
      <w:r w:rsidRPr="00472207">
        <w:rPr>
          <w:rFonts w:eastAsia="Times New Roman" w:cs="Times New Roman"/>
          <w:color w:val="000000"/>
          <w:kern w:val="0"/>
          <w:sz w:val="11"/>
          <w:szCs w:val="11"/>
          <w:lang w:val="en-GB" w:eastAsia="zh-CN"/>
          <w14:ligatures w14:val="none"/>
        </w:rPr>
        <w:t xml:space="preserve">, A., Bolton, D., </w:t>
      </w:r>
      <w:proofErr w:type="spellStart"/>
      <w:r w:rsidRPr="00472207">
        <w:rPr>
          <w:rFonts w:eastAsia="Times New Roman" w:cs="Times New Roman"/>
          <w:color w:val="000000"/>
          <w:kern w:val="0"/>
          <w:sz w:val="11"/>
          <w:szCs w:val="11"/>
          <w:lang w:val="en-GB" w:eastAsia="zh-CN"/>
          <w14:ligatures w14:val="none"/>
        </w:rPr>
        <w:t>Bover</w:t>
      </w:r>
      <w:proofErr w:type="spellEnd"/>
      <w:r w:rsidRPr="00472207">
        <w:rPr>
          <w:rFonts w:eastAsia="Times New Roman" w:cs="Times New Roman"/>
          <w:color w:val="000000"/>
          <w:kern w:val="0"/>
          <w:sz w:val="11"/>
          <w:szCs w:val="11"/>
          <w:lang w:val="en-GB" w:eastAsia="zh-CN"/>
          <w14:ligatures w14:val="none"/>
        </w:rPr>
        <w:t xml:space="preserve">-Cid, S., </w:t>
      </w:r>
      <w:proofErr w:type="spellStart"/>
      <w:r w:rsidRPr="00472207">
        <w:rPr>
          <w:rFonts w:eastAsia="Times New Roman" w:cs="Times New Roman"/>
          <w:color w:val="000000"/>
          <w:kern w:val="0"/>
          <w:sz w:val="11"/>
          <w:szCs w:val="11"/>
          <w:lang w:val="en-GB" w:eastAsia="zh-CN"/>
          <w14:ligatures w14:val="none"/>
        </w:rPr>
        <w:t>Chemaly</w:t>
      </w:r>
      <w:proofErr w:type="spellEnd"/>
      <w:r w:rsidRPr="00472207">
        <w:rPr>
          <w:rFonts w:eastAsia="Times New Roman" w:cs="Times New Roman"/>
          <w:color w:val="000000"/>
          <w:kern w:val="0"/>
          <w:sz w:val="11"/>
          <w:szCs w:val="11"/>
          <w:lang w:val="en-GB" w:eastAsia="zh-CN"/>
          <w14:ligatures w14:val="none"/>
        </w:rPr>
        <w:t xml:space="preserve">, M., Davies, R., De Cesare, A., Hilbert, F., Lindqvist, R., </w:t>
      </w:r>
      <w:proofErr w:type="spellStart"/>
      <w:r w:rsidRPr="00472207">
        <w:rPr>
          <w:rFonts w:eastAsia="Times New Roman" w:cs="Times New Roman"/>
          <w:color w:val="000000"/>
          <w:kern w:val="0"/>
          <w:sz w:val="11"/>
          <w:szCs w:val="11"/>
          <w:lang w:val="en-GB" w:eastAsia="zh-CN"/>
          <w14:ligatures w14:val="none"/>
        </w:rPr>
        <w:t>Nauta</w:t>
      </w:r>
      <w:proofErr w:type="spellEnd"/>
      <w:r w:rsidRPr="00472207">
        <w:rPr>
          <w:rFonts w:eastAsia="Times New Roman" w:cs="Times New Roman"/>
          <w:color w:val="000000"/>
          <w:kern w:val="0"/>
          <w:sz w:val="11"/>
          <w:szCs w:val="11"/>
          <w:lang w:val="en-GB" w:eastAsia="zh-CN"/>
          <w14:ligatures w14:val="none"/>
        </w:rPr>
        <w:t xml:space="preserve">, M., </w:t>
      </w:r>
      <w:proofErr w:type="spellStart"/>
      <w:r w:rsidRPr="00472207">
        <w:rPr>
          <w:rFonts w:eastAsia="Times New Roman" w:cs="Times New Roman"/>
          <w:color w:val="000000"/>
          <w:kern w:val="0"/>
          <w:sz w:val="11"/>
          <w:szCs w:val="11"/>
          <w:lang w:val="en-GB" w:eastAsia="zh-CN"/>
          <w14:ligatures w14:val="none"/>
        </w:rPr>
        <w:t>Peixe</w:t>
      </w:r>
      <w:proofErr w:type="spellEnd"/>
      <w:r w:rsidRPr="00472207">
        <w:rPr>
          <w:rFonts w:eastAsia="Times New Roman" w:cs="Times New Roman"/>
          <w:color w:val="000000"/>
          <w:kern w:val="0"/>
          <w:sz w:val="11"/>
          <w:szCs w:val="11"/>
          <w:lang w:val="en-GB" w:eastAsia="zh-CN"/>
          <w14:ligatures w14:val="none"/>
        </w:rPr>
        <w:t xml:space="preserve">, L., Ru, G., Simmons, M., </w:t>
      </w:r>
      <w:proofErr w:type="spellStart"/>
      <w:r w:rsidRPr="00472207">
        <w:rPr>
          <w:rFonts w:eastAsia="Times New Roman" w:cs="Times New Roman"/>
          <w:color w:val="000000"/>
          <w:kern w:val="0"/>
          <w:sz w:val="11"/>
          <w:szCs w:val="11"/>
          <w:lang w:val="en-GB" w:eastAsia="zh-CN"/>
          <w14:ligatures w14:val="none"/>
        </w:rPr>
        <w:t>Skandamis</w:t>
      </w:r>
      <w:proofErr w:type="spellEnd"/>
      <w:r w:rsidRPr="00472207">
        <w:rPr>
          <w:rFonts w:eastAsia="Times New Roman" w:cs="Times New Roman"/>
          <w:color w:val="000000"/>
          <w:kern w:val="0"/>
          <w:sz w:val="11"/>
          <w:szCs w:val="11"/>
          <w:lang w:val="en-GB" w:eastAsia="zh-CN"/>
          <w14:ligatures w14:val="none"/>
        </w:rPr>
        <w:t xml:space="preserve">, P., </w:t>
      </w:r>
      <w:proofErr w:type="spellStart"/>
      <w:r w:rsidRPr="00472207">
        <w:rPr>
          <w:rFonts w:eastAsia="Times New Roman" w:cs="Times New Roman"/>
          <w:color w:val="000000"/>
          <w:kern w:val="0"/>
          <w:sz w:val="11"/>
          <w:szCs w:val="11"/>
          <w:lang w:val="en-GB" w:eastAsia="zh-CN"/>
          <w14:ligatures w14:val="none"/>
        </w:rPr>
        <w:t>Suffredini</w:t>
      </w:r>
      <w:proofErr w:type="spellEnd"/>
      <w:r w:rsidRPr="00472207">
        <w:rPr>
          <w:rFonts w:eastAsia="Times New Roman" w:cs="Times New Roman"/>
          <w:color w:val="000000"/>
          <w:kern w:val="0"/>
          <w:sz w:val="11"/>
          <w:szCs w:val="11"/>
          <w:lang w:val="en-GB" w:eastAsia="zh-CN"/>
          <w14:ligatures w14:val="none"/>
        </w:rPr>
        <w:t xml:space="preserve">, E., Jenkins, C., </w:t>
      </w:r>
      <w:proofErr w:type="spellStart"/>
      <w:r w:rsidRPr="00472207">
        <w:rPr>
          <w:rFonts w:eastAsia="Times New Roman" w:cs="Times New Roman"/>
          <w:color w:val="000000"/>
          <w:kern w:val="0"/>
          <w:sz w:val="11"/>
          <w:szCs w:val="11"/>
          <w:lang w:val="en-GB" w:eastAsia="zh-CN"/>
          <w14:ligatures w14:val="none"/>
        </w:rPr>
        <w:t>Malorny</w:t>
      </w:r>
      <w:proofErr w:type="spellEnd"/>
      <w:r w:rsidRPr="00472207">
        <w:rPr>
          <w:rFonts w:eastAsia="Times New Roman" w:cs="Times New Roman"/>
          <w:color w:val="000000"/>
          <w:kern w:val="0"/>
          <w:sz w:val="11"/>
          <w:szCs w:val="11"/>
          <w:lang w:val="en-GB" w:eastAsia="zh-CN"/>
          <w14:ligatures w14:val="none"/>
        </w:rPr>
        <w:t xml:space="preserve">, B., Ribeiro Duarte, A.S., </w:t>
      </w:r>
      <w:proofErr w:type="spellStart"/>
      <w:r w:rsidRPr="00472207">
        <w:rPr>
          <w:rFonts w:eastAsia="Times New Roman" w:cs="Times New Roman"/>
          <w:color w:val="000000"/>
          <w:kern w:val="0"/>
          <w:sz w:val="11"/>
          <w:szCs w:val="11"/>
          <w:lang w:val="en-GB" w:eastAsia="zh-CN"/>
          <w14:ligatures w14:val="none"/>
        </w:rPr>
        <w:t>Torpdahl</w:t>
      </w:r>
      <w:proofErr w:type="spellEnd"/>
      <w:r w:rsidRPr="00472207">
        <w:rPr>
          <w:rFonts w:eastAsia="Times New Roman" w:cs="Times New Roman"/>
          <w:color w:val="000000"/>
          <w:kern w:val="0"/>
          <w:sz w:val="11"/>
          <w:szCs w:val="11"/>
          <w:lang w:val="en-GB" w:eastAsia="zh-CN"/>
          <w14:ligatures w14:val="none"/>
        </w:rPr>
        <w:t xml:space="preserve">, M., da Silva </w:t>
      </w:r>
      <w:proofErr w:type="spellStart"/>
      <w:r w:rsidRPr="00472207">
        <w:rPr>
          <w:rFonts w:eastAsia="Times New Roman" w:cs="Times New Roman"/>
          <w:color w:val="000000"/>
          <w:kern w:val="0"/>
          <w:sz w:val="11"/>
          <w:szCs w:val="11"/>
          <w:lang w:val="en-GB" w:eastAsia="zh-CN"/>
          <w14:ligatures w14:val="none"/>
        </w:rPr>
        <w:t>Felício</w:t>
      </w:r>
      <w:proofErr w:type="spellEnd"/>
      <w:r w:rsidRPr="00472207">
        <w:rPr>
          <w:rFonts w:eastAsia="Times New Roman" w:cs="Times New Roman"/>
          <w:color w:val="000000"/>
          <w:kern w:val="0"/>
          <w:sz w:val="11"/>
          <w:szCs w:val="11"/>
          <w:lang w:val="en-GB" w:eastAsia="zh-CN"/>
          <w14:ligatures w14:val="none"/>
        </w:rPr>
        <w:t>, M.T., Guerra, B., Rossi, M., Herman, L., 2019. Whole genome sequencing and metagenomics for outbreak investigation, source attribution and risk assessment of food-borne microorganisms. EFSA J. 17. https://doi.org/10.2903/j.efsa.2019.5898</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proofErr w:type="spellStart"/>
      <w:r w:rsidRPr="00472207">
        <w:rPr>
          <w:rFonts w:eastAsia="Times New Roman" w:cs="Times New Roman"/>
          <w:color w:val="000000"/>
          <w:kern w:val="0"/>
          <w:sz w:val="11"/>
          <w:szCs w:val="11"/>
          <w:lang w:val="en-GB" w:eastAsia="zh-CN"/>
          <w14:ligatures w14:val="none"/>
        </w:rPr>
        <w:t>Koutsoumanis</w:t>
      </w:r>
      <w:proofErr w:type="spellEnd"/>
      <w:r w:rsidRPr="00472207">
        <w:rPr>
          <w:rFonts w:eastAsia="Times New Roman" w:cs="Times New Roman"/>
          <w:color w:val="000000"/>
          <w:kern w:val="0"/>
          <w:sz w:val="11"/>
          <w:szCs w:val="11"/>
          <w:lang w:val="en-GB" w:eastAsia="zh-CN"/>
          <w14:ligatures w14:val="none"/>
        </w:rPr>
        <w:t xml:space="preserve">, K., Alvarez-Ordonez, A., Bolton, D., </w:t>
      </w:r>
      <w:proofErr w:type="spellStart"/>
      <w:r w:rsidRPr="00472207">
        <w:rPr>
          <w:rFonts w:eastAsia="Times New Roman" w:cs="Times New Roman"/>
          <w:color w:val="000000"/>
          <w:kern w:val="0"/>
          <w:sz w:val="11"/>
          <w:szCs w:val="11"/>
          <w:lang w:val="en-GB" w:eastAsia="zh-CN"/>
          <w14:ligatures w14:val="none"/>
        </w:rPr>
        <w:t>Bover</w:t>
      </w:r>
      <w:proofErr w:type="spellEnd"/>
      <w:r w:rsidRPr="00472207">
        <w:rPr>
          <w:rFonts w:eastAsia="Times New Roman" w:cs="Times New Roman"/>
          <w:color w:val="000000"/>
          <w:kern w:val="0"/>
          <w:sz w:val="11"/>
          <w:szCs w:val="11"/>
          <w:lang w:val="en-GB" w:eastAsia="zh-CN"/>
          <w14:ligatures w14:val="none"/>
        </w:rPr>
        <w:t xml:space="preserve">-Cid, S., </w:t>
      </w:r>
      <w:proofErr w:type="spellStart"/>
      <w:r w:rsidRPr="00472207">
        <w:rPr>
          <w:rFonts w:eastAsia="Times New Roman" w:cs="Times New Roman"/>
          <w:color w:val="000000"/>
          <w:kern w:val="0"/>
          <w:sz w:val="11"/>
          <w:szCs w:val="11"/>
          <w:lang w:val="en-GB" w:eastAsia="zh-CN"/>
          <w14:ligatures w14:val="none"/>
        </w:rPr>
        <w:t>Chemaly</w:t>
      </w:r>
      <w:proofErr w:type="spellEnd"/>
      <w:r w:rsidRPr="00472207">
        <w:rPr>
          <w:rFonts w:eastAsia="Times New Roman" w:cs="Times New Roman"/>
          <w:color w:val="000000"/>
          <w:kern w:val="0"/>
          <w:sz w:val="11"/>
          <w:szCs w:val="11"/>
          <w:lang w:val="en-GB" w:eastAsia="zh-CN"/>
          <w14:ligatures w14:val="none"/>
        </w:rPr>
        <w:t xml:space="preserve">, M., Davies, R., De Cesare, A., Herman, L., Hilbert, F., Lindqvist, R., </w:t>
      </w:r>
      <w:proofErr w:type="spellStart"/>
      <w:r w:rsidRPr="00472207">
        <w:rPr>
          <w:rFonts w:eastAsia="Times New Roman" w:cs="Times New Roman"/>
          <w:color w:val="000000"/>
          <w:kern w:val="0"/>
          <w:sz w:val="11"/>
          <w:szCs w:val="11"/>
          <w:lang w:val="en-GB" w:eastAsia="zh-CN"/>
          <w14:ligatures w14:val="none"/>
        </w:rPr>
        <w:t>Nauta</w:t>
      </w:r>
      <w:proofErr w:type="spellEnd"/>
      <w:r w:rsidRPr="00472207">
        <w:rPr>
          <w:rFonts w:eastAsia="Times New Roman" w:cs="Times New Roman"/>
          <w:color w:val="000000"/>
          <w:kern w:val="0"/>
          <w:sz w:val="11"/>
          <w:szCs w:val="11"/>
          <w:lang w:val="en-GB" w:eastAsia="zh-CN"/>
          <w14:ligatures w14:val="none"/>
        </w:rPr>
        <w:t xml:space="preserve">, M., </w:t>
      </w:r>
      <w:proofErr w:type="spellStart"/>
      <w:r w:rsidRPr="00472207">
        <w:rPr>
          <w:rFonts w:eastAsia="Times New Roman" w:cs="Times New Roman"/>
          <w:color w:val="000000"/>
          <w:kern w:val="0"/>
          <w:sz w:val="11"/>
          <w:szCs w:val="11"/>
          <w:lang w:val="en-GB" w:eastAsia="zh-CN"/>
          <w14:ligatures w14:val="none"/>
        </w:rPr>
        <w:t>Peixe</w:t>
      </w:r>
      <w:proofErr w:type="spellEnd"/>
      <w:r w:rsidRPr="00472207">
        <w:rPr>
          <w:rFonts w:eastAsia="Times New Roman" w:cs="Times New Roman"/>
          <w:color w:val="000000"/>
          <w:kern w:val="0"/>
          <w:sz w:val="11"/>
          <w:szCs w:val="11"/>
          <w:lang w:val="en-GB" w:eastAsia="zh-CN"/>
          <w14:ligatures w14:val="none"/>
        </w:rPr>
        <w:t xml:space="preserve">, L., Ru, G., Simmons, M., </w:t>
      </w:r>
      <w:proofErr w:type="spellStart"/>
      <w:r w:rsidRPr="00472207">
        <w:rPr>
          <w:rFonts w:eastAsia="Times New Roman" w:cs="Times New Roman"/>
          <w:color w:val="000000"/>
          <w:kern w:val="0"/>
          <w:sz w:val="11"/>
          <w:szCs w:val="11"/>
          <w:lang w:val="en-GB" w:eastAsia="zh-CN"/>
          <w14:ligatures w14:val="none"/>
        </w:rPr>
        <w:t>Skandamis</w:t>
      </w:r>
      <w:proofErr w:type="spellEnd"/>
      <w:r w:rsidRPr="00472207">
        <w:rPr>
          <w:rFonts w:eastAsia="Times New Roman" w:cs="Times New Roman"/>
          <w:color w:val="000000"/>
          <w:kern w:val="0"/>
          <w:sz w:val="11"/>
          <w:szCs w:val="11"/>
          <w:lang w:val="en-GB" w:eastAsia="zh-CN"/>
          <w14:ligatures w14:val="none"/>
        </w:rPr>
        <w:t xml:space="preserve">, P., </w:t>
      </w:r>
      <w:proofErr w:type="spellStart"/>
      <w:r w:rsidRPr="00472207">
        <w:rPr>
          <w:rFonts w:eastAsia="Times New Roman" w:cs="Times New Roman"/>
          <w:color w:val="000000"/>
          <w:kern w:val="0"/>
          <w:sz w:val="11"/>
          <w:szCs w:val="11"/>
          <w:lang w:val="en-GB" w:eastAsia="zh-CN"/>
          <w14:ligatures w14:val="none"/>
        </w:rPr>
        <w:t>Suffredini</w:t>
      </w:r>
      <w:proofErr w:type="spellEnd"/>
      <w:r w:rsidRPr="00472207">
        <w:rPr>
          <w:rFonts w:eastAsia="Times New Roman" w:cs="Times New Roman"/>
          <w:color w:val="000000"/>
          <w:kern w:val="0"/>
          <w:sz w:val="11"/>
          <w:szCs w:val="11"/>
          <w:lang w:val="en-GB" w:eastAsia="zh-CN"/>
          <w14:ligatures w14:val="none"/>
        </w:rPr>
        <w:t xml:space="preserve">, E., Jordan, K., </w:t>
      </w:r>
      <w:proofErr w:type="spellStart"/>
      <w:r w:rsidRPr="00472207">
        <w:rPr>
          <w:rFonts w:eastAsia="Times New Roman" w:cs="Times New Roman"/>
          <w:color w:val="000000"/>
          <w:kern w:val="0"/>
          <w:sz w:val="11"/>
          <w:szCs w:val="11"/>
          <w:lang w:val="en-GB" w:eastAsia="zh-CN"/>
          <w14:ligatures w14:val="none"/>
        </w:rPr>
        <w:t>Sampers</w:t>
      </w:r>
      <w:proofErr w:type="spellEnd"/>
      <w:r w:rsidRPr="00472207">
        <w:rPr>
          <w:rFonts w:eastAsia="Times New Roman" w:cs="Times New Roman"/>
          <w:color w:val="000000"/>
          <w:kern w:val="0"/>
          <w:sz w:val="11"/>
          <w:szCs w:val="11"/>
          <w:lang w:val="en-GB" w:eastAsia="zh-CN"/>
          <w14:ligatures w14:val="none"/>
        </w:rPr>
        <w:t xml:space="preserve">, I., Wagner, M., Felicio, M.T.D.S., Georgiadis, M., </w:t>
      </w:r>
      <w:proofErr w:type="spellStart"/>
      <w:r w:rsidRPr="00472207">
        <w:rPr>
          <w:rFonts w:eastAsia="Times New Roman" w:cs="Times New Roman"/>
          <w:color w:val="000000"/>
          <w:kern w:val="0"/>
          <w:sz w:val="11"/>
          <w:szCs w:val="11"/>
          <w:lang w:val="en-GB" w:eastAsia="zh-CN"/>
          <w14:ligatures w14:val="none"/>
        </w:rPr>
        <w:t>Messens</w:t>
      </w:r>
      <w:proofErr w:type="spellEnd"/>
      <w:r w:rsidRPr="00472207">
        <w:rPr>
          <w:rFonts w:eastAsia="Times New Roman" w:cs="Times New Roman"/>
          <w:color w:val="000000"/>
          <w:kern w:val="0"/>
          <w:sz w:val="11"/>
          <w:szCs w:val="11"/>
          <w:lang w:val="en-GB" w:eastAsia="zh-CN"/>
          <w14:ligatures w14:val="none"/>
        </w:rPr>
        <w:t xml:space="preserve">, W., </w:t>
      </w:r>
      <w:proofErr w:type="spellStart"/>
      <w:r w:rsidRPr="00472207">
        <w:rPr>
          <w:rFonts w:eastAsia="Times New Roman" w:cs="Times New Roman"/>
          <w:color w:val="000000"/>
          <w:kern w:val="0"/>
          <w:sz w:val="11"/>
          <w:szCs w:val="11"/>
          <w:lang w:val="en-GB" w:eastAsia="zh-CN"/>
          <w14:ligatures w14:val="none"/>
        </w:rPr>
        <w:t>Mosbach</w:t>
      </w:r>
      <w:proofErr w:type="spellEnd"/>
      <w:r w:rsidRPr="00472207">
        <w:rPr>
          <w:rFonts w:eastAsia="Times New Roman" w:cs="Times New Roman"/>
          <w:color w:val="000000"/>
          <w:kern w:val="0"/>
          <w:sz w:val="11"/>
          <w:szCs w:val="11"/>
          <w:lang w:val="en-GB" w:eastAsia="zh-CN"/>
          <w14:ligatures w14:val="none"/>
        </w:rPr>
        <w:t>-Schulz, O., Allende, A., 2020. The public health risk posed by listeria monocytogenes in frozen fruit and vegetables including herbs, blanched during processing. EFSA J. 18, 1–102. https://doi.org/10.2903/j.efsa.2020.6092</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r w:rsidRPr="00472207">
        <w:rPr>
          <w:rFonts w:eastAsia="Times New Roman" w:cs="Times New Roman"/>
          <w:color w:val="000000"/>
          <w:kern w:val="0"/>
          <w:sz w:val="11"/>
          <w:szCs w:val="11"/>
          <w:lang w:val="en-GB" w:eastAsia="zh-CN"/>
          <w14:ligatures w14:val="none"/>
        </w:rPr>
        <w:t xml:space="preserve">Kovac, J., 2019. Precision Food Safety: </w:t>
      </w:r>
      <w:proofErr w:type="gramStart"/>
      <w:r w:rsidRPr="00472207">
        <w:rPr>
          <w:rFonts w:eastAsia="Times New Roman" w:cs="Times New Roman"/>
          <w:color w:val="000000"/>
          <w:kern w:val="0"/>
          <w:sz w:val="11"/>
          <w:szCs w:val="11"/>
          <w:lang w:val="en-GB" w:eastAsia="zh-CN"/>
          <w14:ligatures w14:val="none"/>
        </w:rPr>
        <w:t>a</w:t>
      </w:r>
      <w:proofErr w:type="gramEnd"/>
      <w:r w:rsidRPr="00472207">
        <w:rPr>
          <w:rFonts w:eastAsia="Times New Roman" w:cs="Times New Roman"/>
          <w:color w:val="000000"/>
          <w:kern w:val="0"/>
          <w:sz w:val="11"/>
          <w:szCs w:val="11"/>
          <w:lang w:val="en-GB" w:eastAsia="zh-CN"/>
          <w14:ligatures w14:val="none"/>
        </w:rPr>
        <w:t xml:space="preserve"> Paradigm Shift in Detection and Control of Foodborne Pathogens. </w:t>
      </w:r>
      <w:proofErr w:type="spellStart"/>
      <w:r w:rsidRPr="00472207">
        <w:rPr>
          <w:rFonts w:eastAsia="Times New Roman" w:cs="Times New Roman"/>
          <w:color w:val="000000"/>
          <w:kern w:val="0"/>
          <w:sz w:val="11"/>
          <w:szCs w:val="11"/>
          <w:lang w:val="en-GB" w:eastAsia="zh-CN"/>
          <w14:ligatures w14:val="none"/>
        </w:rPr>
        <w:t>mSystems</w:t>
      </w:r>
      <w:proofErr w:type="spellEnd"/>
      <w:r w:rsidRPr="00472207">
        <w:rPr>
          <w:rFonts w:eastAsia="Times New Roman" w:cs="Times New Roman"/>
          <w:color w:val="000000"/>
          <w:kern w:val="0"/>
          <w:sz w:val="11"/>
          <w:szCs w:val="11"/>
          <w:lang w:val="en-GB" w:eastAsia="zh-CN"/>
          <w14:ligatures w14:val="none"/>
        </w:rPr>
        <w:t xml:space="preserve"> 4, 1–5. https://doi.org/10.1128/msystems.00164-19</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proofErr w:type="spellStart"/>
      <w:r w:rsidRPr="00472207">
        <w:rPr>
          <w:rFonts w:eastAsia="Times New Roman" w:cs="Times New Roman"/>
          <w:color w:val="000000"/>
          <w:kern w:val="0"/>
          <w:sz w:val="11"/>
          <w:szCs w:val="11"/>
          <w:lang w:val="en-GB" w:eastAsia="zh-CN"/>
          <w14:ligatures w14:val="none"/>
        </w:rPr>
        <w:t>Kralik</w:t>
      </w:r>
      <w:proofErr w:type="spellEnd"/>
      <w:r w:rsidRPr="00472207">
        <w:rPr>
          <w:rFonts w:eastAsia="Times New Roman" w:cs="Times New Roman"/>
          <w:color w:val="000000"/>
          <w:kern w:val="0"/>
          <w:sz w:val="11"/>
          <w:szCs w:val="11"/>
          <w:lang w:val="en-GB" w:eastAsia="zh-CN"/>
          <w14:ligatures w14:val="none"/>
        </w:rPr>
        <w:t xml:space="preserve">, P., </w:t>
      </w:r>
      <w:proofErr w:type="spellStart"/>
      <w:r w:rsidRPr="00472207">
        <w:rPr>
          <w:rFonts w:eastAsia="Times New Roman" w:cs="Times New Roman"/>
          <w:color w:val="000000"/>
          <w:kern w:val="0"/>
          <w:sz w:val="11"/>
          <w:szCs w:val="11"/>
          <w:lang w:val="en-GB" w:eastAsia="zh-CN"/>
          <w14:ligatures w14:val="none"/>
        </w:rPr>
        <w:t>Ricchi</w:t>
      </w:r>
      <w:proofErr w:type="spellEnd"/>
      <w:r w:rsidRPr="00472207">
        <w:rPr>
          <w:rFonts w:eastAsia="Times New Roman" w:cs="Times New Roman"/>
          <w:color w:val="000000"/>
          <w:kern w:val="0"/>
          <w:sz w:val="11"/>
          <w:szCs w:val="11"/>
          <w:lang w:val="en-GB" w:eastAsia="zh-CN"/>
          <w14:ligatures w14:val="none"/>
        </w:rPr>
        <w:t xml:space="preserve">, M., 2017. A basic guide to real time PCR in microbial diagnostics: Definitions, parameters, and everything. Front. </w:t>
      </w:r>
      <w:proofErr w:type="spellStart"/>
      <w:r w:rsidRPr="00472207">
        <w:rPr>
          <w:rFonts w:eastAsia="Times New Roman" w:cs="Times New Roman"/>
          <w:color w:val="000000"/>
          <w:kern w:val="0"/>
          <w:sz w:val="11"/>
          <w:szCs w:val="11"/>
          <w:lang w:val="en-GB" w:eastAsia="zh-CN"/>
          <w14:ligatures w14:val="none"/>
        </w:rPr>
        <w:t>Microbiol</w:t>
      </w:r>
      <w:proofErr w:type="spellEnd"/>
      <w:r w:rsidRPr="00472207">
        <w:rPr>
          <w:rFonts w:eastAsia="Times New Roman" w:cs="Times New Roman"/>
          <w:color w:val="000000"/>
          <w:kern w:val="0"/>
          <w:sz w:val="11"/>
          <w:szCs w:val="11"/>
          <w:lang w:val="en-GB" w:eastAsia="zh-CN"/>
          <w14:ligatures w14:val="none"/>
        </w:rPr>
        <w:t>. 8, 1–9. https://doi.org/10.3389/fmicb.2017.00108</w:t>
      </w:r>
    </w:p>
    <w:p w:rsidR="00BA0EC7" w:rsidRPr="00472207" w:rsidRDefault="00BA0EC7" w:rsidP="00BA0EC7">
      <w:pPr>
        <w:widowControl w:val="0"/>
        <w:suppressAutoHyphens/>
        <w:ind w:left="426" w:hanging="426"/>
        <w:rPr>
          <w:rFonts w:eastAsia="Times New Roman" w:cs="Times New Roman"/>
          <w:color w:val="000000"/>
          <w:kern w:val="0"/>
          <w:sz w:val="11"/>
          <w:szCs w:val="11"/>
          <w:lang w:val="it-IT" w:eastAsia="zh-CN"/>
          <w14:ligatures w14:val="none"/>
        </w:rPr>
      </w:pPr>
      <w:proofErr w:type="spellStart"/>
      <w:r w:rsidRPr="00472207">
        <w:rPr>
          <w:rFonts w:eastAsia="Times New Roman" w:cs="Times New Roman"/>
          <w:color w:val="000000"/>
          <w:kern w:val="0"/>
          <w:sz w:val="11"/>
          <w:szCs w:val="11"/>
          <w:lang w:val="en-GB" w:eastAsia="zh-CN"/>
          <w14:ligatures w14:val="none"/>
        </w:rPr>
        <w:t>NicAogáin</w:t>
      </w:r>
      <w:proofErr w:type="spellEnd"/>
      <w:r w:rsidRPr="00472207">
        <w:rPr>
          <w:rFonts w:eastAsia="Times New Roman" w:cs="Times New Roman"/>
          <w:color w:val="000000"/>
          <w:kern w:val="0"/>
          <w:sz w:val="11"/>
          <w:szCs w:val="11"/>
          <w:lang w:val="en-GB" w:eastAsia="zh-CN"/>
          <w14:ligatures w14:val="none"/>
        </w:rPr>
        <w:t xml:space="preserve">, K., O’Byrne, C.P., 2016. The role of stress and stress adaptations in determining the fate of the bacterial pathogen listeria monocytogenes in the food chain. </w:t>
      </w:r>
      <w:r w:rsidRPr="00472207">
        <w:rPr>
          <w:rFonts w:eastAsia="Times New Roman" w:cs="Times New Roman"/>
          <w:color w:val="000000"/>
          <w:kern w:val="0"/>
          <w:sz w:val="11"/>
          <w:szCs w:val="11"/>
          <w:lang w:val="it-IT" w:eastAsia="zh-CN"/>
          <w14:ligatures w14:val="none"/>
        </w:rPr>
        <w:t xml:space="preserve">Front. </w:t>
      </w:r>
      <w:proofErr w:type="spellStart"/>
      <w:r w:rsidRPr="00472207">
        <w:rPr>
          <w:rFonts w:eastAsia="Times New Roman" w:cs="Times New Roman"/>
          <w:color w:val="000000"/>
          <w:kern w:val="0"/>
          <w:sz w:val="11"/>
          <w:szCs w:val="11"/>
          <w:lang w:val="it-IT" w:eastAsia="zh-CN"/>
          <w14:ligatures w14:val="none"/>
        </w:rPr>
        <w:t>Microbiol</w:t>
      </w:r>
      <w:proofErr w:type="spellEnd"/>
      <w:r w:rsidRPr="00472207">
        <w:rPr>
          <w:rFonts w:eastAsia="Times New Roman" w:cs="Times New Roman"/>
          <w:color w:val="000000"/>
          <w:kern w:val="0"/>
          <w:sz w:val="11"/>
          <w:szCs w:val="11"/>
          <w:lang w:val="it-IT" w:eastAsia="zh-CN"/>
          <w14:ligatures w14:val="none"/>
        </w:rPr>
        <w:t>. 7, 1–16. https://doi.org/10.3389/fmicb.2016.01865</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r w:rsidRPr="00472207">
        <w:rPr>
          <w:rFonts w:eastAsia="Times New Roman" w:cs="Times New Roman"/>
          <w:color w:val="000000"/>
          <w:kern w:val="0"/>
          <w:sz w:val="11"/>
          <w:szCs w:val="11"/>
          <w:lang w:val="it-IT" w:eastAsia="zh-CN"/>
          <w14:ligatures w14:val="none"/>
        </w:rPr>
        <w:t xml:space="preserve">Soni, K.A., </w:t>
      </w:r>
      <w:proofErr w:type="spellStart"/>
      <w:r w:rsidRPr="00472207">
        <w:rPr>
          <w:rFonts w:eastAsia="Times New Roman" w:cs="Times New Roman"/>
          <w:color w:val="000000"/>
          <w:kern w:val="0"/>
          <w:sz w:val="11"/>
          <w:szCs w:val="11"/>
          <w:lang w:val="it-IT" w:eastAsia="zh-CN"/>
          <w14:ligatures w14:val="none"/>
        </w:rPr>
        <w:t>Nannapaneni</w:t>
      </w:r>
      <w:proofErr w:type="spellEnd"/>
      <w:r w:rsidRPr="00472207">
        <w:rPr>
          <w:rFonts w:eastAsia="Times New Roman" w:cs="Times New Roman"/>
          <w:color w:val="000000"/>
          <w:kern w:val="0"/>
          <w:sz w:val="11"/>
          <w:szCs w:val="11"/>
          <w:lang w:val="it-IT" w:eastAsia="zh-CN"/>
          <w14:ligatures w14:val="none"/>
        </w:rPr>
        <w:t xml:space="preserve">, R., </w:t>
      </w:r>
      <w:proofErr w:type="spellStart"/>
      <w:r w:rsidRPr="00472207">
        <w:rPr>
          <w:rFonts w:eastAsia="Times New Roman" w:cs="Times New Roman"/>
          <w:color w:val="000000"/>
          <w:kern w:val="0"/>
          <w:sz w:val="11"/>
          <w:szCs w:val="11"/>
          <w:lang w:val="it-IT" w:eastAsia="zh-CN"/>
          <w14:ligatures w14:val="none"/>
        </w:rPr>
        <w:t>Tasara</w:t>
      </w:r>
      <w:proofErr w:type="spellEnd"/>
      <w:r w:rsidRPr="00472207">
        <w:rPr>
          <w:rFonts w:eastAsia="Times New Roman" w:cs="Times New Roman"/>
          <w:color w:val="000000"/>
          <w:kern w:val="0"/>
          <w:sz w:val="11"/>
          <w:szCs w:val="11"/>
          <w:lang w:val="it-IT" w:eastAsia="zh-CN"/>
          <w14:ligatures w14:val="none"/>
        </w:rPr>
        <w:t xml:space="preserve">, T., 2011. </w:t>
      </w:r>
      <w:r w:rsidRPr="00472207">
        <w:rPr>
          <w:rFonts w:eastAsia="Times New Roman" w:cs="Times New Roman"/>
          <w:color w:val="000000"/>
          <w:kern w:val="0"/>
          <w:sz w:val="11"/>
          <w:szCs w:val="11"/>
          <w:lang w:val="en-GB" w:eastAsia="zh-CN"/>
          <w14:ligatures w14:val="none"/>
        </w:rPr>
        <w:t xml:space="preserve">An overview of stress response proteomes in Listeria monocytogenes. Agric. Food Anal. </w:t>
      </w:r>
      <w:proofErr w:type="spellStart"/>
      <w:r w:rsidRPr="00472207">
        <w:rPr>
          <w:rFonts w:eastAsia="Times New Roman" w:cs="Times New Roman"/>
          <w:color w:val="000000"/>
          <w:kern w:val="0"/>
          <w:sz w:val="11"/>
          <w:szCs w:val="11"/>
          <w:lang w:val="en-GB" w:eastAsia="zh-CN"/>
          <w14:ligatures w14:val="none"/>
        </w:rPr>
        <w:t>Bacteriol</w:t>
      </w:r>
      <w:proofErr w:type="spellEnd"/>
      <w:r w:rsidRPr="00472207">
        <w:rPr>
          <w:rFonts w:eastAsia="Times New Roman" w:cs="Times New Roman"/>
          <w:color w:val="000000"/>
          <w:kern w:val="0"/>
          <w:sz w:val="11"/>
          <w:szCs w:val="11"/>
          <w:lang w:val="en-GB" w:eastAsia="zh-CN"/>
          <w14:ligatures w14:val="none"/>
        </w:rPr>
        <w:t>. 1, 66–85. https://doi.org/10.5167/uzh-60457</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r w:rsidRPr="00472207">
        <w:rPr>
          <w:rFonts w:eastAsia="Times New Roman" w:cs="Times New Roman"/>
          <w:color w:val="000000"/>
          <w:kern w:val="0"/>
          <w:sz w:val="11"/>
          <w:szCs w:val="11"/>
          <w:lang w:val="en-GB" w:eastAsia="zh-CN"/>
          <w14:ligatures w14:val="none"/>
        </w:rPr>
        <w:t>World Health Organization, 2017. The Burden of Foodborne Diseases in the WHO European Region. World Health Organization, Copenhagen.</w:t>
      </w:r>
    </w:p>
    <w:p w:rsidR="00BA0EC7" w:rsidRPr="00472207" w:rsidRDefault="00BA0EC7" w:rsidP="00BA0EC7">
      <w:pPr>
        <w:widowControl w:val="0"/>
        <w:suppressAutoHyphens/>
        <w:ind w:left="426" w:hanging="426"/>
        <w:rPr>
          <w:rFonts w:eastAsia="Times New Roman" w:cs="Times New Roman"/>
          <w:color w:val="000000"/>
          <w:kern w:val="0"/>
          <w:sz w:val="11"/>
          <w:szCs w:val="11"/>
          <w:lang w:val="en-GB" w:eastAsia="zh-CN"/>
          <w14:ligatures w14:val="none"/>
        </w:rPr>
      </w:pPr>
      <w:r w:rsidRPr="00472207">
        <w:rPr>
          <w:rFonts w:eastAsia="Times New Roman" w:cs="Times New Roman"/>
          <w:color w:val="000000"/>
          <w:kern w:val="0"/>
          <w:sz w:val="11"/>
          <w:szCs w:val="11"/>
          <w:lang w:val="en-GB" w:eastAsia="zh-CN"/>
          <w14:ligatures w14:val="none"/>
        </w:rPr>
        <w:t>World Health Organization, 2015. WHO Estimates of the Global Burden of Foodborne Diseases, World Health Organization. World Health Organization, Geneva.</w:t>
      </w:r>
    </w:p>
    <w:p w:rsidR="00F270CB" w:rsidRPr="00472207" w:rsidRDefault="00BA0EC7" w:rsidP="0054034C">
      <w:pPr>
        <w:widowControl w:val="0"/>
        <w:suppressAutoHyphens/>
        <w:ind w:left="426" w:hanging="426"/>
        <w:rPr>
          <w:rFonts w:eastAsia="Times New Roman" w:cs="Times New Roman"/>
          <w:color w:val="000000"/>
          <w:kern w:val="0"/>
          <w:sz w:val="11"/>
          <w:szCs w:val="11"/>
          <w:lang w:val="en-GB" w:eastAsia="zh-CN"/>
          <w14:ligatures w14:val="none"/>
        </w:rPr>
      </w:pPr>
      <w:proofErr w:type="spellStart"/>
      <w:r w:rsidRPr="00472207">
        <w:rPr>
          <w:rFonts w:eastAsia="Times New Roman" w:cs="Times New Roman"/>
          <w:color w:val="000000"/>
          <w:kern w:val="0"/>
          <w:sz w:val="11"/>
          <w:szCs w:val="11"/>
          <w:lang w:val="en-GB" w:eastAsia="zh-CN"/>
          <w14:ligatures w14:val="none"/>
        </w:rPr>
        <w:t>Zwirzitz</w:t>
      </w:r>
      <w:proofErr w:type="spellEnd"/>
      <w:r w:rsidRPr="00472207">
        <w:rPr>
          <w:rFonts w:eastAsia="Times New Roman" w:cs="Times New Roman"/>
          <w:color w:val="000000"/>
          <w:kern w:val="0"/>
          <w:sz w:val="11"/>
          <w:szCs w:val="11"/>
          <w:lang w:val="en-GB" w:eastAsia="zh-CN"/>
          <w14:ligatures w14:val="none"/>
        </w:rPr>
        <w:t xml:space="preserve">, B., </w:t>
      </w:r>
      <w:proofErr w:type="spellStart"/>
      <w:r w:rsidRPr="00472207">
        <w:rPr>
          <w:rFonts w:eastAsia="Times New Roman" w:cs="Times New Roman"/>
          <w:color w:val="000000"/>
          <w:kern w:val="0"/>
          <w:sz w:val="11"/>
          <w:szCs w:val="11"/>
          <w:lang w:val="en-GB" w:eastAsia="zh-CN"/>
          <w14:ligatures w14:val="none"/>
        </w:rPr>
        <w:t>Wetzels</w:t>
      </w:r>
      <w:proofErr w:type="spellEnd"/>
      <w:r w:rsidRPr="00472207">
        <w:rPr>
          <w:rFonts w:eastAsia="Times New Roman" w:cs="Times New Roman"/>
          <w:color w:val="000000"/>
          <w:kern w:val="0"/>
          <w:sz w:val="11"/>
          <w:szCs w:val="11"/>
          <w:lang w:val="en-GB" w:eastAsia="zh-CN"/>
          <w14:ligatures w14:val="none"/>
        </w:rPr>
        <w:t xml:space="preserve">, S.U., Dixon, E.D., </w:t>
      </w:r>
      <w:proofErr w:type="spellStart"/>
      <w:r w:rsidRPr="00472207">
        <w:rPr>
          <w:rFonts w:eastAsia="Times New Roman" w:cs="Times New Roman"/>
          <w:color w:val="000000"/>
          <w:kern w:val="0"/>
          <w:sz w:val="11"/>
          <w:szCs w:val="11"/>
          <w:lang w:val="en-GB" w:eastAsia="zh-CN"/>
          <w14:ligatures w14:val="none"/>
        </w:rPr>
        <w:t>Stessl</w:t>
      </w:r>
      <w:proofErr w:type="spellEnd"/>
      <w:r w:rsidRPr="00472207">
        <w:rPr>
          <w:rFonts w:eastAsia="Times New Roman" w:cs="Times New Roman"/>
          <w:color w:val="000000"/>
          <w:kern w:val="0"/>
          <w:sz w:val="11"/>
          <w:szCs w:val="11"/>
          <w:lang w:val="en-GB" w:eastAsia="zh-CN"/>
          <w14:ligatures w14:val="none"/>
        </w:rPr>
        <w:t xml:space="preserve">, B., </w:t>
      </w:r>
      <w:proofErr w:type="spellStart"/>
      <w:r w:rsidRPr="00472207">
        <w:rPr>
          <w:rFonts w:eastAsia="Times New Roman" w:cs="Times New Roman"/>
          <w:color w:val="000000"/>
          <w:kern w:val="0"/>
          <w:sz w:val="11"/>
          <w:szCs w:val="11"/>
          <w:lang w:val="en-GB" w:eastAsia="zh-CN"/>
          <w14:ligatures w14:val="none"/>
        </w:rPr>
        <w:t>Zaiser</w:t>
      </w:r>
      <w:proofErr w:type="spellEnd"/>
      <w:r w:rsidRPr="00472207">
        <w:rPr>
          <w:rFonts w:eastAsia="Times New Roman" w:cs="Times New Roman"/>
          <w:color w:val="000000"/>
          <w:kern w:val="0"/>
          <w:sz w:val="11"/>
          <w:szCs w:val="11"/>
          <w:lang w:val="en-GB" w:eastAsia="zh-CN"/>
          <w14:ligatures w14:val="none"/>
        </w:rPr>
        <w:t xml:space="preserve">, A., </w:t>
      </w:r>
      <w:proofErr w:type="spellStart"/>
      <w:r w:rsidRPr="00472207">
        <w:rPr>
          <w:rFonts w:eastAsia="Times New Roman" w:cs="Times New Roman"/>
          <w:color w:val="000000"/>
          <w:kern w:val="0"/>
          <w:sz w:val="11"/>
          <w:szCs w:val="11"/>
          <w:lang w:val="en-GB" w:eastAsia="zh-CN"/>
          <w14:ligatures w14:val="none"/>
        </w:rPr>
        <w:t>Rabanser</w:t>
      </w:r>
      <w:proofErr w:type="spellEnd"/>
      <w:r w:rsidRPr="00472207">
        <w:rPr>
          <w:rFonts w:eastAsia="Times New Roman" w:cs="Times New Roman"/>
          <w:color w:val="000000"/>
          <w:kern w:val="0"/>
          <w:sz w:val="11"/>
          <w:szCs w:val="11"/>
          <w:lang w:val="en-GB" w:eastAsia="zh-CN"/>
          <w14:ligatures w14:val="none"/>
        </w:rPr>
        <w:t xml:space="preserve">, I., </w:t>
      </w:r>
      <w:proofErr w:type="spellStart"/>
      <w:r w:rsidRPr="00472207">
        <w:rPr>
          <w:rFonts w:eastAsia="Times New Roman" w:cs="Times New Roman"/>
          <w:color w:val="000000"/>
          <w:kern w:val="0"/>
          <w:sz w:val="11"/>
          <w:szCs w:val="11"/>
          <w:lang w:val="en-GB" w:eastAsia="zh-CN"/>
          <w14:ligatures w14:val="none"/>
        </w:rPr>
        <w:t>Thalguter</w:t>
      </w:r>
      <w:proofErr w:type="spellEnd"/>
      <w:r w:rsidRPr="00472207">
        <w:rPr>
          <w:rFonts w:eastAsia="Times New Roman" w:cs="Times New Roman"/>
          <w:color w:val="000000"/>
          <w:kern w:val="0"/>
          <w:sz w:val="11"/>
          <w:szCs w:val="11"/>
          <w:lang w:val="en-GB" w:eastAsia="zh-CN"/>
          <w14:ligatures w14:val="none"/>
        </w:rPr>
        <w:t xml:space="preserve">, S., </w:t>
      </w:r>
      <w:proofErr w:type="spellStart"/>
      <w:r w:rsidRPr="00472207">
        <w:rPr>
          <w:rFonts w:eastAsia="Times New Roman" w:cs="Times New Roman"/>
          <w:color w:val="000000"/>
          <w:kern w:val="0"/>
          <w:sz w:val="11"/>
          <w:szCs w:val="11"/>
          <w:lang w:val="en-GB" w:eastAsia="zh-CN"/>
          <w14:ligatures w14:val="none"/>
        </w:rPr>
        <w:t>Pinior</w:t>
      </w:r>
      <w:proofErr w:type="spellEnd"/>
      <w:r w:rsidRPr="00472207">
        <w:rPr>
          <w:rFonts w:eastAsia="Times New Roman" w:cs="Times New Roman"/>
          <w:color w:val="000000"/>
          <w:kern w:val="0"/>
          <w:sz w:val="11"/>
          <w:szCs w:val="11"/>
          <w:lang w:val="en-GB" w:eastAsia="zh-CN"/>
          <w14:ligatures w14:val="none"/>
        </w:rPr>
        <w:t xml:space="preserve">, B., </w:t>
      </w:r>
      <w:proofErr w:type="spellStart"/>
      <w:r w:rsidRPr="00472207">
        <w:rPr>
          <w:rFonts w:eastAsia="Times New Roman" w:cs="Times New Roman"/>
          <w:color w:val="000000"/>
          <w:kern w:val="0"/>
          <w:sz w:val="11"/>
          <w:szCs w:val="11"/>
          <w:lang w:val="en-GB" w:eastAsia="zh-CN"/>
          <w14:ligatures w14:val="none"/>
        </w:rPr>
        <w:t>Roch</w:t>
      </w:r>
      <w:proofErr w:type="spellEnd"/>
      <w:r w:rsidRPr="00472207">
        <w:rPr>
          <w:rFonts w:eastAsia="Times New Roman" w:cs="Times New Roman"/>
          <w:color w:val="000000"/>
          <w:kern w:val="0"/>
          <w:sz w:val="11"/>
          <w:szCs w:val="11"/>
          <w:lang w:val="en-GB" w:eastAsia="zh-CN"/>
          <w14:ligatures w14:val="none"/>
        </w:rPr>
        <w:t xml:space="preserve">, F.F., Strachan, C., </w:t>
      </w:r>
      <w:proofErr w:type="spellStart"/>
      <w:r w:rsidRPr="00472207">
        <w:rPr>
          <w:rFonts w:eastAsia="Times New Roman" w:cs="Times New Roman"/>
          <w:color w:val="000000"/>
          <w:kern w:val="0"/>
          <w:sz w:val="11"/>
          <w:szCs w:val="11"/>
          <w:lang w:val="en-GB" w:eastAsia="zh-CN"/>
          <w14:ligatures w14:val="none"/>
        </w:rPr>
        <w:t>Zanghellini</w:t>
      </w:r>
      <w:proofErr w:type="spellEnd"/>
      <w:r w:rsidRPr="00472207">
        <w:rPr>
          <w:rFonts w:eastAsia="Times New Roman" w:cs="Times New Roman"/>
          <w:color w:val="000000"/>
          <w:kern w:val="0"/>
          <w:sz w:val="11"/>
          <w:szCs w:val="11"/>
          <w:lang w:val="en-GB" w:eastAsia="zh-CN"/>
          <w14:ligatures w14:val="none"/>
        </w:rPr>
        <w:t xml:space="preserve">, J., </w:t>
      </w:r>
      <w:proofErr w:type="spellStart"/>
      <w:r w:rsidRPr="00472207">
        <w:rPr>
          <w:rFonts w:eastAsia="Times New Roman" w:cs="Times New Roman"/>
          <w:color w:val="000000"/>
          <w:kern w:val="0"/>
          <w:sz w:val="11"/>
          <w:szCs w:val="11"/>
          <w:lang w:val="en-GB" w:eastAsia="zh-CN"/>
          <w14:ligatures w14:val="none"/>
        </w:rPr>
        <w:t>Dzieciol</w:t>
      </w:r>
      <w:proofErr w:type="spellEnd"/>
      <w:r w:rsidRPr="00472207">
        <w:rPr>
          <w:rFonts w:eastAsia="Times New Roman" w:cs="Times New Roman"/>
          <w:color w:val="000000"/>
          <w:kern w:val="0"/>
          <w:sz w:val="11"/>
          <w:szCs w:val="11"/>
          <w:lang w:val="en-GB" w:eastAsia="zh-CN"/>
          <w14:ligatures w14:val="none"/>
        </w:rPr>
        <w:t xml:space="preserve">, M., Wagner, M., </w:t>
      </w:r>
      <w:proofErr w:type="spellStart"/>
      <w:r w:rsidRPr="00472207">
        <w:rPr>
          <w:rFonts w:eastAsia="Times New Roman" w:cs="Times New Roman"/>
          <w:color w:val="000000"/>
          <w:kern w:val="0"/>
          <w:sz w:val="11"/>
          <w:szCs w:val="11"/>
          <w:lang w:val="en-GB" w:eastAsia="zh-CN"/>
          <w14:ligatures w14:val="none"/>
        </w:rPr>
        <w:t>Selberherr</w:t>
      </w:r>
      <w:proofErr w:type="spellEnd"/>
      <w:r w:rsidRPr="00472207">
        <w:rPr>
          <w:rFonts w:eastAsia="Times New Roman" w:cs="Times New Roman"/>
          <w:color w:val="000000"/>
          <w:kern w:val="0"/>
          <w:sz w:val="11"/>
          <w:szCs w:val="11"/>
          <w:lang w:val="en-GB" w:eastAsia="zh-CN"/>
          <w14:ligatures w14:val="none"/>
        </w:rPr>
        <w:t xml:space="preserve">, E., 2020. The sources and transmission routes of microbial populations throughout a meat processing facility. </w:t>
      </w:r>
      <w:proofErr w:type="spellStart"/>
      <w:r w:rsidRPr="00472207">
        <w:rPr>
          <w:rFonts w:eastAsia="Times New Roman" w:cs="Times New Roman"/>
          <w:color w:val="000000"/>
          <w:kern w:val="0"/>
          <w:sz w:val="11"/>
          <w:szCs w:val="11"/>
          <w:lang w:val="en-GB" w:eastAsia="zh-CN"/>
          <w14:ligatures w14:val="none"/>
        </w:rPr>
        <w:t>npj</w:t>
      </w:r>
      <w:proofErr w:type="spellEnd"/>
      <w:r w:rsidRPr="00472207">
        <w:rPr>
          <w:rFonts w:eastAsia="Times New Roman" w:cs="Times New Roman"/>
          <w:color w:val="000000"/>
          <w:kern w:val="0"/>
          <w:sz w:val="11"/>
          <w:szCs w:val="11"/>
          <w:lang w:val="en-GB" w:eastAsia="zh-CN"/>
          <w14:ligatures w14:val="none"/>
        </w:rPr>
        <w:t xml:space="preserve"> Biofilms Microbiomes 6, 1–12. https://doi.org/10.1038/s41522-020-0136-z</w:t>
      </w:r>
    </w:p>
    <w:sectPr w:rsidR="00F270CB" w:rsidRPr="00472207" w:rsidSect="00A5680A">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035" w:rsidRDefault="008A5035" w:rsidP="009B6B92">
      <w:r>
        <w:separator/>
      </w:r>
    </w:p>
  </w:endnote>
  <w:endnote w:type="continuationSeparator" w:id="0">
    <w:p w:rsidR="008A5035" w:rsidRDefault="008A5035" w:rsidP="009B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035" w:rsidRDefault="008A5035" w:rsidP="009B6B92">
      <w:r>
        <w:separator/>
      </w:r>
    </w:p>
  </w:footnote>
  <w:footnote w:type="continuationSeparator" w:id="0">
    <w:p w:rsidR="008A5035" w:rsidRDefault="008A5035" w:rsidP="009B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03"/>
    <w:rsid w:val="00003D5E"/>
    <w:rsid w:val="0000685B"/>
    <w:rsid w:val="00006D2F"/>
    <w:rsid w:val="00022DFE"/>
    <w:rsid w:val="0003475C"/>
    <w:rsid w:val="0004055F"/>
    <w:rsid w:val="00041541"/>
    <w:rsid w:val="00041F6F"/>
    <w:rsid w:val="0005174A"/>
    <w:rsid w:val="00056987"/>
    <w:rsid w:val="00077F99"/>
    <w:rsid w:val="00090486"/>
    <w:rsid w:val="000936A5"/>
    <w:rsid w:val="00097AF7"/>
    <w:rsid w:val="000C295B"/>
    <w:rsid w:val="000C3566"/>
    <w:rsid w:val="000C3D79"/>
    <w:rsid w:val="000E025B"/>
    <w:rsid w:val="000E38BD"/>
    <w:rsid w:val="000F619F"/>
    <w:rsid w:val="001127AF"/>
    <w:rsid w:val="001575FF"/>
    <w:rsid w:val="00177546"/>
    <w:rsid w:val="00196752"/>
    <w:rsid w:val="00197B60"/>
    <w:rsid w:val="001B7EB5"/>
    <w:rsid w:val="001E4B4D"/>
    <w:rsid w:val="00200FE5"/>
    <w:rsid w:val="0020192A"/>
    <w:rsid w:val="002167A0"/>
    <w:rsid w:val="00235D6F"/>
    <w:rsid w:val="00270FDB"/>
    <w:rsid w:val="00272F5A"/>
    <w:rsid w:val="00283E56"/>
    <w:rsid w:val="002A63C5"/>
    <w:rsid w:val="002B71BB"/>
    <w:rsid w:val="002F5F9C"/>
    <w:rsid w:val="00313A7A"/>
    <w:rsid w:val="00374AE3"/>
    <w:rsid w:val="0038339C"/>
    <w:rsid w:val="00395765"/>
    <w:rsid w:val="003C70A6"/>
    <w:rsid w:val="003D481F"/>
    <w:rsid w:val="003D7F47"/>
    <w:rsid w:val="003F270D"/>
    <w:rsid w:val="004037A8"/>
    <w:rsid w:val="004436E4"/>
    <w:rsid w:val="004558AB"/>
    <w:rsid w:val="00472207"/>
    <w:rsid w:val="00472C8C"/>
    <w:rsid w:val="00475331"/>
    <w:rsid w:val="00482331"/>
    <w:rsid w:val="004B14AF"/>
    <w:rsid w:val="004D604C"/>
    <w:rsid w:val="004F2350"/>
    <w:rsid w:val="004F744B"/>
    <w:rsid w:val="0051219B"/>
    <w:rsid w:val="00531979"/>
    <w:rsid w:val="0054034C"/>
    <w:rsid w:val="005532CA"/>
    <w:rsid w:val="005A744E"/>
    <w:rsid w:val="005D6EEB"/>
    <w:rsid w:val="00604EDC"/>
    <w:rsid w:val="00606E65"/>
    <w:rsid w:val="00611806"/>
    <w:rsid w:val="006468B4"/>
    <w:rsid w:val="006535CF"/>
    <w:rsid w:val="00654DBE"/>
    <w:rsid w:val="00672EE0"/>
    <w:rsid w:val="00680207"/>
    <w:rsid w:val="006825BF"/>
    <w:rsid w:val="00684DEC"/>
    <w:rsid w:val="00685CC4"/>
    <w:rsid w:val="006923B0"/>
    <w:rsid w:val="006A12EC"/>
    <w:rsid w:val="006B714B"/>
    <w:rsid w:val="006D66C7"/>
    <w:rsid w:val="006E0EB5"/>
    <w:rsid w:val="006F304F"/>
    <w:rsid w:val="0071499F"/>
    <w:rsid w:val="00733500"/>
    <w:rsid w:val="00737184"/>
    <w:rsid w:val="007A389E"/>
    <w:rsid w:val="007C284B"/>
    <w:rsid w:val="007C28EB"/>
    <w:rsid w:val="007C7B0A"/>
    <w:rsid w:val="007D0913"/>
    <w:rsid w:val="007F7181"/>
    <w:rsid w:val="00817F3E"/>
    <w:rsid w:val="00887F51"/>
    <w:rsid w:val="008905B6"/>
    <w:rsid w:val="00894CA6"/>
    <w:rsid w:val="008A0BF6"/>
    <w:rsid w:val="008A5035"/>
    <w:rsid w:val="008B1021"/>
    <w:rsid w:val="008E394E"/>
    <w:rsid w:val="00901F27"/>
    <w:rsid w:val="00914F23"/>
    <w:rsid w:val="0093648B"/>
    <w:rsid w:val="009462AA"/>
    <w:rsid w:val="009527BB"/>
    <w:rsid w:val="009A5BCD"/>
    <w:rsid w:val="009B6B92"/>
    <w:rsid w:val="009D3A29"/>
    <w:rsid w:val="009D7643"/>
    <w:rsid w:val="00A166E8"/>
    <w:rsid w:val="00A37D69"/>
    <w:rsid w:val="00A506C6"/>
    <w:rsid w:val="00A546F0"/>
    <w:rsid w:val="00A5680A"/>
    <w:rsid w:val="00A853A4"/>
    <w:rsid w:val="00AA32F9"/>
    <w:rsid w:val="00AC2FAE"/>
    <w:rsid w:val="00AE7128"/>
    <w:rsid w:val="00AF0BB5"/>
    <w:rsid w:val="00AF1B3A"/>
    <w:rsid w:val="00AF6FBA"/>
    <w:rsid w:val="00B00883"/>
    <w:rsid w:val="00B05D29"/>
    <w:rsid w:val="00B24DCC"/>
    <w:rsid w:val="00B453B9"/>
    <w:rsid w:val="00B56403"/>
    <w:rsid w:val="00B66C95"/>
    <w:rsid w:val="00B73C42"/>
    <w:rsid w:val="00B87B1C"/>
    <w:rsid w:val="00B970C2"/>
    <w:rsid w:val="00BA0EC7"/>
    <w:rsid w:val="00BA3994"/>
    <w:rsid w:val="00BE45C5"/>
    <w:rsid w:val="00BE47F6"/>
    <w:rsid w:val="00C517A2"/>
    <w:rsid w:val="00C545E1"/>
    <w:rsid w:val="00C62B98"/>
    <w:rsid w:val="00C67E86"/>
    <w:rsid w:val="00C87F8B"/>
    <w:rsid w:val="00CF50AB"/>
    <w:rsid w:val="00DA5C2A"/>
    <w:rsid w:val="00DB04EF"/>
    <w:rsid w:val="00E0076C"/>
    <w:rsid w:val="00E40450"/>
    <w:rsid w:val="00E539EC"/>
    <w:rsid w:val="00E63CA7"/>
    <w:rsid w:val="00E67EC1"/>
    <w:rsid w:val="00E74198"/>
    <w:rsid w:val="00E815C2"/>
    <w:rsid w:val="00E8412A"/>
    <w:rsid w:val="00EA02BC"/>
    <w:rsid w:val="00EA3369"/>
    <w:rsid w:val="00EB0282"/>
    <w:rsid w:val="00EC2997"/>
    <w:rsid w:val="00EC4504"/>
    <w:rsid w:val="00EC78AC"/>
    <w:rsid w:val="00ED6E99"/>
    <w:rsid w:val="00EF7FB0"/>
    <w:rsid w:val="00F15240"/>
    <w:rsid w:val="00F23035"/>
    <w:rsid w:val="00F270CB"/>
    <w:rsid w:val="00F65EBF"/>
    <w:rsid w:val="00F7222C"/>
    <w:rsid w:val="00F76371"/>
    <w:rsid w:val="00F7695C"/>
    <w:rsid w:val="00F94B45"/>
    <w:rsid w:val="00FA3F2B"/>
    <w:rsid w:val="00FB6BB1"/>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356760-6EFF-BB40-B1BE-2E597835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03"/>
    <w:pPr>
      <w:jc w:val="both"/>
    </w:pPr>
    <w:rPr>
      <w:rFonts w:ascii="Times New Roman" w:hAnsi="Times New Roman"/>
      <w:sz w:val="20"/>
    </w:rPr>
  </w:style>
  <w:style w:type="paragraph" w:styleId="Heading1">
    <w:name w:val="heading 1"/>
    <w:basedOn w:val="Normal"/>
    <w:next w:val="Normal"/>
    <w:link w:val="Heading1Char"/>
    <w:uiPriority w:val="9"/>
    <w:qFormat/>
    <w:rsid w:val="007C284B"/>
    <w:pPr>
      <w:keepNext/>
      <w:widowControl w:val="0"/>
      <w:shd w:val="clear" w:color="auto" w:fill="FFFFFF"/>
      <w:suppressAutoHyphens/>
      <w:spacing w:before="820"/>
      <w:ind w:right="320"/>
      <w:jc w:val="center"/>
      <w:outlineLvl w:val="0"/>
    </w:pPr>
    <w:rPr>
      <w:rFonts w:eastAsia="Times New Roman" w:cs="Times New Roman"/>
      <w:color w:val="850C13"/>
      <w:spacing w:val="-2"/>
      <w:kern w:val="0"/>
      <w:sz w:val="52"/>
      <w:szCs w:val="52"/>
      <w:lang w:val="en-US" w:eastAsia="zh-CN"/>
      <w14:ligatures w14:val="none"/>
    </w:rPr>
  </w:style>
  <w:style w:type="paragraph" w:styleId="Heading2">
    <w:name w:val="heading 2"/>
    <w:basedOn w:val="Normal"/>
    <w:next w:val="Normal"/>
    <w:link w:val="Heading2Char"/>
    <w:uiPriority w:val="9"/>
    <w:unhideWhenUsed/>
    <w:qFormat/>
    <w:rsid w:val="00E539EC"/>
    <w:pPr>
      <w:keepNext/>
      <w:widowControl w:val="0"/>
      <w:suppressAutoHyphens/>
      <w:jc w:val="left"/>
      <w:outlineLvl w:val="1"/>
    </w:pPr>
    <w:rPr>
      <w:rFonts w:eastAsia="Times New Roman" w:cs="Times New Roman"/>
      <w:kern w:val="0"/>
      <w:sz w:val="32"/>
      <w:szCs w:val="20"/>
      <w:lang w:val="it-IT"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B92"/>
    <w:pPr>
      <w:tabs>
        <w:tab w:val="center" w:pos="4513"/>
        <w:tab w:val="right" w:pos="9026"/>
      </w:tabs>
    </w:pPr>
  </w:style>
  <w:style w:type="character" w:customStyle="1" w:styleId="HeaderChar">
    <w:name w:val="Header Char"/>
    <w:basedOn w:val="DefaultParagraphFont"/>
    <w:link w:val="Header"/>
    <w:rsid w:val="009B6B92"/>
    <w:rPr>
      <w:rFonts w:ascii="Times New Roman" w:hAnsi="Times New Roman"/>
      <w:sz w:val="20"/>
    </w:rPr>
  </w:style>
  <w:style w:type="paragraph" w:styleId="Footer">
    <w:name w:val="footer"/>
    <w:basedOn w:val="Normal"/>
    <w:link w:val="FooterChar"/>
    <w:uiPriority w:val="99"/>
    <w:unhideWhenUsed/>
    <w:rsid w:val="009B6B92"/>
    <w:pPr>
      <w:tabs>
        <w:tab w:val="center" w:pos="4513"/>
        <w:tab w:val="right" w:pos="9026"/>
      </w:tabs>
    </w:pPr>
  </w:style>
  <w:style w:type="character" w:customStyle="1" w:styleId="FooterChar">
    <w:name w:val="Footer Char"/>
    <w:basedOn w:val="DefaultParagraphFont"/>
    <w:link w:val="Footer"/>
    <w:uiPriority w:val="99"/>
    <w:rsid w:val="009B6B92"/>
    <w:rPr>
      <w:rFonts w:ascii="Times New Roman" w:hAnsi="Times New Roman"/>
      <w:sz w:val="20"/>
    </w:rPr>
  </w:style>
  <w:style w:type="character" w:styleId="Hyperlink">
    <w:name w:val="Hyperlink"/>
    <w:basedOn w:val="DefaultParagraphFont"/>
    <w:uiPriority w:val="99"/>
    <w:unhideWhenUsed/>
    <w:rsid w:val="000C3D79"/>
    <w:rPr>
      <w:color w:val="0563C1" w:themeColor="hyperlink"/>
      <w:u w:val="single"/>
    </w:rPr>
  </w:style>
  <w:style w:type="character" w:styleId="UnresolvedMention">
    <w:name w:val="Unresolved Mention"/>
    <w:basedOn w:val="DefaultParagraphFont"/>
    <w:uiPriority w:val="99"/>
    <w:semiHidden/>
    <w:unhideWhenUsed/>
    <w:rsid w:val="000C3D79"/>
    <w:rPr>
      <w:color w:val="605E5C"/>
      <w:shd w:val="clear" w:color="auto" w:fill="E1DFDD"/>
    </w:rPr>
  </w:style>
  <w:style w:type="paragraph" w:styleId="Title">
    <w:name w:val="Title"/>
    <w:basedOn w:val="Normal"/>
    <w:next w:val="Normal"/>
    <w:link w:val="TitleChar"/>
    <w:uiPriority w:val="10"/>
    <w:qFormat/>
    <w:rsid w:val="006B714B"/>
    <w:pPr>
      <w:suppressAutoHyphens/>
      <w:spacing w:before="720" w:after="120" w:line="264" w:lineRule="auto"/>
      <w:jc w:val="center"/>
    </w:pPr>
    <w:rPr>
      <w:rFonts w:eastAsia="Times New Roman" w:cs="Times New Roman"/>
      <w:b/>
      <w:sz w:val="28"/>
      <w:szCs w:val="20"/>
      <w:lang w:val="nl-NL" w:eastAsia="zh-CN"/>
      <w14:ligatures w14:val="none"/>
    </w:rPr>
  </w:style>
  <w:style w:type="character" w:customStyle="1" w:styleId="TitleChar">
    <w:name w:val="Title Char"/>
    <w:basedOn w:val="DefaultParagraphFont"/>
    <w:link w:val="Title"/>
    <w:uiPriority w:val="10"/>
    <w:rsid w:val="006B714B"/>
    <w:rPr>
      <w:rFonts w:ascii="Times New Roman" w:eastAsia="Times New Roman" w:hAnsi="Times New Roman" w:cs="Times New Roman"/>
      <w:b/>
      <w:sz w:val="28"/>
      <w:szCs w:val="20"/>
      <w:lang w:val="nl-NL" w:eastAsia="zh-CN"/>
      <w14:ligatures w14:val="none"/>
    </w:rPr>
  </w:style>
  <w:style w:type="character" w:customStyle="1" w:styleId="Heading1Char">
    <w:name w:val="Heading 1 Char"/>
    <w:basedOn w:val="DefaultParagraphFont"/>
    <w:link w:val="Heading1"/>
    <w:uiPriority w:val="9"/>
    <w:rsid w:val="007C284B"/>
    <w:rPr>
      <w:rFonts w:ascii="Times New Roman" w:eastAsia="Times New Roman" w:hAnsi="Times New Roman" w:cs="Times New Roman"/>
      <w:color w:val="850C13"/>
      <w:spacing w:val="-2"/>
      <w:kern w:val="0"/>
      <w:sz w:val="52"/>
      <w:szCs w:val="52"/>
      <w:shd w:val="clear" w:color="auto" w:fill="FFFFFF"/>
      <w:lang w:val="en-US" w:eastAsia="zh-CN"/>
      <w14:ligatures w14:val="none"/>
    </w:rPr>
  </w:style>
  <w:style w:type="paragraph" w:styleId="PlainText">
    <w:name w:val="Plain Text"/>
    <w:basedOn w:val="Normal"/>
    <w:link w:val="PlainTextChar"/>
    <w:uiPriority w:val="99"/>
    <w:unhideWhenUsed/>
    <w:rsid w:val="00A853A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853A4"/>
    <w:rPr>
      <w:rFonts w:ascii="Consolas" w:hAnsi="Consolas" w:cs="Consolas"/>
      <w:sz w:val="21"/>
      <w:szCs w:val="21"/>
    </w:rPr>
  </w:style>
  <w:style w:type="paragraph" w:styleId="Caption">
    <w:name w:val="caption"/>
    <w:basedOn w:val="Normal"/>
    <w:next w:val="Normal"/>
    <w:uiPriority w:val="35"/>
    <w:unhideWhenUsed/>
    <w:qFormat/>
    <w:rsid w:val="00E40450"/>
    <w:pPr>
      <w:spacing w:after="200"/>
    </w:pPr>
    <w:rPr>
      <w:i/>
      <w:iCs/>
      <w:color w:val="44546A" w:themeColor="text2"/>
      <w:sz w:val="18"/>
      <w:szCs w:val="18"/>
    </w:rPr>
  </w:style>
  <w:style w:type="paragraph" w:styleId="NormalWeb">
    <w:name w:val="Normal (Web)"/>
    <w:basedOn w:val="Normal"/>
    <w:uiPriority w:val="99"/>
    <w:semiHidden/>
    <w:unhideWhenUsed/>
    <w:rsid w:val="00090486"/>
    <w:pPr>
      <w:spacing w:before="100" w:beforeAutospacing="1" w:after="100" w:afterAutospacing="1"/>
      <w:jc w:val="left"/>
    </w:pPr>
    <w:rPr>
      <w:rFonts w:eastAsia="Times New Roman" w:cs="Times New Roman"/>
      <w:kern w:val="0"/>
      <w:sz w:val="24"/>
      <w:lang w:eastAsia="en-GB"/>
      <w14:ligatures w14:val="none"/>
    </w:rPr>
  </w:style>
  <w:style w:type="character" w:customStyle="1" w:styleId="Heading2Char">
    <w:name w:val="Heading 2 Char"/>
    <w:basedOn w:val="DefaultParagraphFont"/>
    <w:link w:val="Heading2"/>
    <w:uiPriority w:val="9"/>
    <w:rsid w:val="00E539EC"/>
    <w:rPr>
      <w:rFonts w:ascii="Times New Roman" w:eastAsia="Times New Roman" w:hAnsi="Times New Roman" w:cs="Times New Roman"/>
      <w:kern w:val="0"/>
      <w:sz w:val="32"/>
      <w:szCs w:val="20"/>
      <w:lang w:val="it-IT" w:eastAsia="zh-CN"/>
      <w14:ligatures w14:val="none"/>
    </w:rPr>
  </w:style>
  <w:style w:type="paragraph" w:styleId="NoSpacing">
    <w:name w:val="No Spacing"/>
    <w:uiPriority w:val="1"/>
    <w:qFormat/>
    <w:rsid w:val="00482331"/>
    <w:pPr>
      <w:jc w:val="both"/>
    </w:pPr>
    <w:rPr>
      <w:rFonts w:ascii="Times New Roman" w:hAnsi="Times New Roman"/>
      <w:sz w:val="20"/>
    </w:rPr>
  </w:style>
  <w:style w:type="paragraph" w:styleId="ListParagraph">
    <w:name w:val="List Paragraph"/>
    <w:basedOn w:val="Normal"/>
    <w:uiPriority w:val="34"/>
    <w:qFormat/>
    <w:rsid w:val="00BE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5451">
      <w:bodyDiv w:val="1"/>
      <w:marLeft w:val="0"/>
      <w:marRight w:val="0"/>
      <w:marTop w:val="0"/>
      <w:marBottom w:val="0"/>
      <w:divBdr>
        <w:top w:val="none" w:sz="0" w:space="0" w:color="auto"/>
        <w:left w:val="none" w:sz="0" w:space="0" w:color="auto"/>
        <w:bottom w:val="none" w:sz="0" w:space="0" w:color="auto"/>
        <w:right w:val="none" w:sz="0" w:space="0" w:color="auto"/>
      </w:divBdr>
      <w:divsChild>
        <w:div w:id="1622111294">
          <w:marLeft w:val="0"/>
          <w:marRight w:val="0"/>
          <w:marTop w:val="0"/>
          <w:marBottom w:val="0"/>
          <w:divBdr>
            <w:top w:val="none" w:sz="0" w:space="0" w:color="auto"/>
            <w:left w:val="none" w:sz="0" w:space="0" w:color="auto"/>
            <w:bottom w:val="none" w:sz="0" w:space="0" w:color="auto"/>
            <w:right w:val="none" w:sz="0" w:space="0" w:color="auto"/>
          </w:divBdr>
          <w:divsChild>
            <w:div w:id="1810514454">
              <w:marLeft w:val="0"/>
              <w:marRight w:val="0"/>
              <w:marTop w:val="0"/>
              <w:marBottom w:val="0"/>
              <w:divBdr>
                <w:top w:val="none" w:sz="0" w:space="0" w:color="auto"/>
                <w:left w:val="none" w:sz="0" w:space="0" w:color="auto"/>
                <w:bottom w:val="none" w:sz="0" w:space="0" w:color="auto"/>
                <w:right w:val="none" w:sz="0" w:space="0" w:color="auto"/>
              </w:divBdr>
              <w:divsChild>
                <w:div w:id="4863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9355">
      <w:bodyDiv w:val="1"/>
      <w:marLeft w:val="0"/>
      <w:marRight w:val="0"/>
      <w:marTop w:val="0"/>
      <w:marBottom w:val="0"/>
      <w:divBdr>
        <w:top w:val="none" w:sz="0" w:space="0" w:color="auto"/>
        <w:left w:val="none" w:sz="0" w:space="0" w:color="auto"/>
        <w:bottom w:val="none" w:sz="0" w:space="0" w:color="auto"/>
        <w:right w:val="none" w:sz="0" w:space="0" w:color="auto"/>
      </w:divBdr>
      <w:divsChild>
        <w:div w:id="1924803582">
          <w:marLeft w:val="0"/>
          <w:marRight w:val="0"/>
          <w:marTop w:val="0"/>
          <w:marBottom w:val="0"/>
          <w:divBdr>
            <w:top w:val="none" w:sz="0" w:space="0" w:color="auto"/>
            <w:left w:val="none" w:sz="0" w:space="0" w:color="auto"/>
            <w:bottom w:val="none" w:sz="0" w:space="0" w:color="auto"/>
            <w:right w:val="none" w:sz="0" w:space="0" w:color="auto"/>
          </w:divBdr>
          <w:divsChild>
            <w:div w:id="10569042">
              <w:marLeft w:val="0"/>
              <w:marRight w:val="0"/>
              <w:marTop w:val="0"/>
              <w:marBottom w:val="0"/>
              <w:divBdr>
                <w:top w:val="none" w:sz="0" w:space="0" w:color="auto"/>
                <w:left w:val="none" w:sz="0" w:space="0" w:color="auto"/>
                <w:bottom w:val="none" w:sz="0" w:space="0" w:color="auto"/>
                <w:right w:val="none" w:sz="0" w:space="0" w:color="auto"/>
              </w:divBdr>
              <w:divsChild>
                <w:div w:id="16613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7664">
      <w:bodyDiv w:val="1"/>
      <w:marLeft w:val="0"/>
      <w:marRight w:val="0"/>
      <w:marTop w:val="0"/>
      <w:marBottom w:val="0"/>
      <w:divBdr>
        <w:top w:val="none" w:sz="0" w:space="0" w:color="auto"/>
        <w:left w:val="none" w:sz="0" w:space="0" w:color="auto"/>
        <w:bottom w:val="none" w:sz="0" w:space="0" w:color="auto"/>
        <w:right w:val="none" w:sz="0" w:space="0" w:color="auto"/>
      </w:divBdr>
      <w:divsChild>
        <w:div w:id="1206256571">
          <w:marLeft w:val="0"/>
          <w:marRight w:val="0"/>
          <w:marTop w:val="0"/>
          <w:marBottom w:val="0"/>
          <w:divBdr>
            <w:top w:val="none" w:sz="0" w:space="0" w:color="auto"/>
            <w:left w:val="none" w:sz="0" w:space="0" w:color="auto"/>
            <w:bottom w:val="none" w:sz="0" w:space="0" w:color="auto"/>
            <w:right w:val="none" w:sz="0" w:space="0" w:color="auto"/>
          </w:divBdr>
        </w:div>
        <w:div w:id="609048346">
          <w:marLeft w:val="0"/>
          <w:marRight w:val="0"/>
          <w:marTop w:val="0"/>
          <w:marBottom w:val="0"/>
          <w:divBdr>
            <w:top w:val="none" w:sz="0" w:space="0" w:color="auto"/>
            <w:left w:val="none" w:sz="0" w:space="0" w:color="auto"/>
            <w:bottom w:val="none" w:sz="0" w:space="0" w:color="auto"/>
            <w:right w:val="none" w:sz="0" w:space="0" w:color="auto"/>
          </w:divBdr>
        </w:div>
        <w:div w:id="57390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dimitra.tsoureki@unito.it"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B53F-A2E5-DD4A-9F07-357FFE05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9223</Words>
  <Characters>52573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Tsoureki</dc:creator>
  <cp:keywords/>
  <dc:description/>
  <cp:lastModifiedBy>Dimitra Tsoureki</cp:lastModifiedBy>
  <cp:revision>5</cp:revision>
  <cp:lastPrinted>2023-06-07T07:57:00Z</cp:lastPrinted>
  <dcterms:created xsi:type="dcterms:W3CDTF">2023-06-26T08:08:00Z</dcterms:created>
  <dcterms:modified xsi:type="dcterms:W3CDTF">2023-06-26T08:25:00Z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http://www.zotero.org/styles/international-journal-of-food-microbiology</vt:lpwstr>
  </property>
  <property fmtid="{D5CDD505-2E9C-101B-9397-08002B2CF9AE}" pid="15" name="Mendeley Recent Style Name 6_1">
    <vt:lpwstr>International Journal of Food Microbiology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43ec3a8e-d4a9-3ad9-9fba-d9fa055a457e</vt:lpwstr>
  </property>
  <property fmtid="{D5CDD505-2E9C-101B-9397-08002B2CF9AE}" pid="24" name="Mendeley Citation Style_1">
    <vt:lpwstr>http://www.zotero.org/styles/international-journal-of-food-microbiology</vt:lpwstr>
  </property>
</Properties>
</file>