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E88C7" w14:textId="77777777" w:rsidR="007B3AE9" w:rsidRPr="007B3AE9" w:rsidRDefault="007B3AE9" w:rsidP="007B3AE9">
      <w:pPr>
        <w:jc w:val="center"/>
        <w:rPr>
          <w:b/>
          <w:kern w:val="2"/>
          <w:sz w:val="28"/>
          <w:lang w:val="en-GB"/>
        </w:rPr>
      </w:pPr>
      <w:r w:rsidRPr="007B3AE9">
        <w:rPr>
          <w:b/>
          <w:kern w:val="2"/>
          <w:sz w:val="28"/>
          <w:lang w:val="en-GB"/>
        </w:rPr>
        <w:t>Investigation on oenological tannins and their role in enhancing the longevity of white wines</w:t>
      </w:r>
    </w:p>
    <w:p w14:paraId="14189E40" w14:textId="77777777" w:rsidR="00A36043" w:rsidRPr="001D3B42" w:rsidRDefault="00A36043" w:rsidP="007B3AE9">
      <w:pPr>
        <w:widowControl/>
        <w:suppressAutoHyphens w:val="0"/>
        <w:jc w:val="center"/>
        <w:rPr>
          <w:color w:val="000000"/>
          <w:sz w:val="10"/>
          <w:szCs w:val="10"/>
          <w:lang w:val="en-GB" w:eastAsia="it-IT"/>
        </w:rPr>
      </w:pPr>
    </w:p>
    <w:p w14:paraId="73BD546B" w14:textId="1B6FE427" w:rsidR="007B3AE9" w:rsidRPr="007B3AE9" w:rsidRDefault="007B3AE9" w:rsidP="007B3AE9">
      <w:pPr>
        <w:widowControl/>
        <w:suppressAutoHyphens w:val="0"/>
        <w:jc w:val="center"/>
        <w:rPr>
          <w:color w:val="000000"/>
          <w:lang w:eastAsia="it-IT"/>
        </w:rPr>
      </w:pPr>
      <w:r w:rsidRPr="007B3AE9">
        <w:rPr>
          <w:color w:val="000000"/>
          <w:lang w:eastAsia="it-IT"/>
        </w:rPr>
        <w:t>Ilaria Picco (</w:t>
      </w:r>
      <w:r w:rsidRPr="00FD10B4">
        <w:rPr>
          <w:lang w:eastAsia="it-IT"/>
        </w:rPr>
        <w:t>picco.ilaria@spes.uniud.it</w:t>
      </w:r>
      <w:r w:rsidRPr="007B3AE9">
        <w:rPr>
          <w:color w:val="000000"/>
          <w:lang w:eastAsia="it-IT"/>
        </w:rPr>
        <w:t>)</w:t>
      </w:r>
    </w:p>
    <w:p w14:paraId="415C7FA9" w14:textId="15AA7D48" w:rsidR="007B3AE9" w:rsidRPr="007B3AE9" w:rsidRDefault="007B3AE9" w:rsidP="007B3AE9">
      <w:pPr>
        <w:jc w:val="center"/>
        <w:rPr>
          <w:lang w:val="en-GB"/>
        </w:rPr>
      </w:pPr>
      <w:r w:rsidRPr="007B3AE9">
        <w:rPr>
          <w:lang w:val="en-GB"/>
        </w:rPr>
        <w:t xml:space="preserve">Dept. </w:t>
      </w:r>
      <w:r w:rsidR="003B0384">
        <w:rPr>
          <w:lang w:val="en-GB"/>
        </w:rPr>
        <w:t xml:space="preserve">of Agricultural, Food, Environmental, </w:t>
      </w:r>
      <w:r w:rsidR="00A36043">
        <w:rPr>
          <w:lang w:val="en-GB"/>
        </w:rPr>
        <w:t>and Animal Sciences</w:t>
      </w:r>
      <w:r w:rsidRPr="007B3AE9">
        <w:rPr>
          <w:lang w:val="en-GB"/>
        </w:rPr>
        <w:t>, University of Udine,</w:t>
      </w:r>
      <w:r w:rsidR="00384F37">
        <w:rPr>
          <w:lang w:val="en-GB"/>
        </w:rPr>
        <w:t xml:space="preserve"> 33100,</w:t>
      </w:r>
      <w:r w:rsidRPr="007B3AE9">
        <w:rPr>
          <w:lang w:val="en-GB"/>
        </w:rPr>
        <w:t xml:space="preserve"> Italy</w:t>
      </w:r>
    </w:p>
    <w:p w14:paraId="4F4155F1" w14:textId="3300BEA4" w:rsidR="00512D9B" w:rsidRPr="007B3AE9" w:rsidRDefault="007B3AE9" w:rsidP="007B3AE9">
      <w:pPr>
        <w:tabs>
          <w:tab w:val="left" w:pos="0"/>
        </w:tabs>
        <w:jc w:val="center"/>
      </w:pPr>
      <w:r w:rsidRPr="00067FA9">
        <w:t xml:space="preserve">Tutor: Prof. </w:t>
      </w:r>
      <w:r w:rsidRPr="007B3AE9">
        <w:t xml:space="preserve">Piergiorgio Comuzzo, </w:t>
      </w:r>
      <w:r w:rsidR="00636155">
        <w:t xml:space="preserve">Prof. </w:t>
      </w:r>
      <w:r w:rsidRPr="007B3AE9">
        <w:t>Franco Battistutta</w:t>
      </w:r>
    </w:p>
    <w:p w14:paraId="6C4D1EC7" w14:textId="77777777" w:rsidR="007B3AE9" w:rsidRPr="00F97814" w:rsidRDefault="007B3AE9">
      <w:pPr>
        <w:tabs>
          <w:tab w:val="left" w:pos="0"/>
        </w:tabs>
        <w:jc w:val="both"/>
      </w:pPr>
    </w:p>
    <w:p w14:paraId="66EB82E8" w14:textId="1A7A1E76" w:rsidR="007B3AE9" w:rsidRDefault="007B3AE9" w:rsidP="007B3AE9">
      <w:pPr>
        <w:jc w:val="both"/>
        <w:rPr>
          <w:lang w:val="en-GB"/>
        </w:rPr>
      </w:pPr>
      <w:r w:rsidRPr="007E607C">
        <w:rPr>
          <w:lang w:val="en-GB"/>
        </w:rPr>
        <w:t xml:space="preserve">The aim of this PhD research project is finding one or more strategies to help winemakers to produce long-lived white wines. The experimental plan takes into consideration two main stages of the productive process, the pre-fermentative </w:t>
      </w:r>
      <w:r w:rsidR="00477833" w:rsidRPr="007E607C">
        <w:rPr>
          <w:lang w:val="en-GB"/>
        </w:rPr>
        <w:t>operations,</w:t>
      </w:r>
      <w:r w:rsidRPr="007E607C">
        <w:rPr>
          <w:lang w:val="en-GB"/>
        </w:rPr>
        <w:t xml:space="preserve"> and the fining period. </w:t>
      </w:r>
      <w:r w:rsidR="000D69B0" w:rsidRPr="007E607C">
        <w:rPr>
          <w:lang w:val="en-GB"/>
        </w:rPr>
        <w:t>Among all</w:t>
      </w:r>
      <w:r w:rsidR="000D69B0">
        <w:rPr>
          <w:lang w:val="en-GB"/>
        </w:rPr>
        <w:t xml:space="preserve"> the techniques and additives that can be used in winery,</w:t>
      </w:r>
      <w:r w:rsidR="000D69B0" w:rsidRPr="007E607C">
        <w:rPr>
          <w:lang w:val="en-GB"/>
        </w:rPr>
        <w:t xml:space="preserve"> this </w:t>
      </w:r>
      <w:r w:rsidR="000D69B0">
        <w:rPr>
          <w:lang w:val="en-GB"/>
        </w:rPr>
        <w:t xml:space="preserve">paper </w:t>
      </w:r>
      <w:r w:rsidR="000D69B0" w:rsidRPr="007E607C">
        <w:rPr>
          <w:lang w:val="en-GB"/>
        </w:rPr>
        <w:t>show</w:t>
      </w:r>
      <w:r w:rsidR="000D69B0">
        <w:rPr>
          <w:lang w:val="en-GB"/>
        </w:rPr>
        <w:t>s</w:t>
      </w:r>
      <w:r w:rsidR="000D69B0" w:rsidRPr="007E607C">
        <w:rPr>
          <w:lang w:val="en-GB"/>
        </w:rPr>
        <w:t xml:space="preserve"> the results obtained </w:t>
      </w:r>
      <w:r w:rsidR="000D69B0">
        <w:rPr>
          <w:lang w:val="en-GB"/>
        </w:rPr>
        <w:t xml:space="preserve">using oenological </w:t>
      </w:r>
      <w:r w:rsidR="000D69B0" w:rsidRPr="007E607C">
        <w:rPr>
          <w:lang w:val="en-GB"/>
        </w:rPr>
        <w:t xml:space="preserve">tannins. We considered tannins as adjuvants that can be applied as fining agents before and after white wine stabilization. Tannins </w:t>
      </w:r>
      <w:r w:rsidR="000D69B0">
        <w:rPr>
          <w:lang w:val="en-GB"/>
        </w:rPr>
        <w:t>play</w:t>
      </w:r>
      <w:r w:rsidR="000D69B0" w:rsidRPr="007E607C">
        <w:rPr>
          <w:lang w:val="en-GB"/>
        </w:rPr>
        <w:t xml:space="preserve"> an important </w:t>
      </w:r>
      <w:r w:rsidR="000D69B0">
        <w:rPr>
          <w:lang w:val="en-GB"/>
        </w:rPr>
        <w:t xml:space="preserve">role in </w:t>
      </w:r>
      <w:r w:rsidR="000D69B0" w:rsidRPr="007E607C">
        <w:rPr>
          <w:lang w:val="en-GB"/>
        </w:rPr>
        <w:t>wine quality</w:t>
      </w:r>
      <w:r w:rsidR="000D69B0">
        <w:rPr>
          <w:lang w:val="en-GB"/>
        </w:rPr>
        <w:t>,</w:t>
      </w:r>
      <w:r w:rsidR="000D69B0" w:rsidRPr="007E607C">
        <w:rPr>
          <w:lang w:val="en-GB"/>
        </w:rPr>
        <w:t xml:space="preserve"> </w:t>
      </w:r>
      <w:r w:rsidR="000D69B0">
        <w:rPr>
          <w:lang w:val="en-GB"/>
        </w:rPr>
        <w:t xml:space="preserve">they </w:t>
      </w:r>
      <w:r w:rsidR="000D69B0" w:rsidRPr="007E607C">
        <w:rPr>
          <w:lang w:val="en-GB"/>
        </w:rPr>
        <w:t xml:space="preserve">are frequently added during winemaking, but their impact on </w:t>
      </w:r>
      <w:r w:rsidR="000D69B0">
        <w:rPr>
          <w:lang w:val="en-GB"/>
        </w:rPr>
        <w:t xml:space="preserve">white </w:t>
      </w:r>
      <w:r w:rsidR="000D69B0" w:rsidRPr="007E607C">
        <w:rPr>
          <w:lang w:val="en-GB"/>
        </w:rPr>
        <w:t xml:space="preserve">wine is poorly documented. </w:t>
      </w:r>
    </w:p>
    <w:p w14:paraId="2E742237" w14:textId="77777777" w:rsidR="007B3AE9" w:rsidRPr="00AA13E6" w:rsidRDefault="007B3AE9" w:rsidP="007B3AE9">
      <w:pPr>
        <w:jc w:val="center"/>
        <w:rPr>
          <w:sz w:val="10"/>
          <w:szCs w:val="10"/>
          <w:lang w:val="en-GB"/>
        </w:rPr>
      </w:pPr>
    </w:p>
    <w:p w14:paraId="23862522" w14:textId="2469C751" w:rsidR="007B3AE9" w:rsidRDefault="007B3AE9" w:rsidP="00344926">
      <w:pPr>
        <w:jc w:val="center"/>
        <w:rPr>
          <w:b/>
          <w:bCs/>
          <w:sz w:val="24"/>
          <w:szCs w:val="24"/>
        </w:rPr>
      </w:pPr>
      <w:r w:rsidRPr="007B3AE9">
        <w:rPr>
          <w:b/>
          <w:bCs/>
          <w:sz w:val="24"/>
          <w:szCs w:val="24"/>
        </w:rPr>
        <w:t>Studio sui tannini enologici e sul loro ruolo nel promuovere la longevità dei vini bianchi</w:t>
      </w:r>
    </w:p>
    <w:p w14:paraId="03BEED65" w14:textId="77777777" w:rsidR="001F3437" w:rsidRPr="000D69B0" w:rsidRDefault="001F3437" w:rsidP="00344926">
      <w:pPr>
        <w:jc w:val="center"/>
        <w:rPr>
          <w:b/>
          <w:bCs/>
          <w:sz w:val="12"/>
          <w:szCs w:val="12"/>
        </w:rPr>
      </w:pPr>
    </w:p>
    <w:p w14:paraId="1F5AAC51" w14:textId="60D71541" w:rsidR="007B3AE9" w:rsidRPr="00F777F9" w:rsidRDefault="007B3AE9" w:rsidP="007B3AE9">
      <w:pPr>
        <w:jc w:val="both"/>
      </w:pPr>
      <w:r w:rsidRPr="00F777F9">
        <w:t>Lo scopo di questo p</w:t>
      </w:r>
      <w:r>
        <w:t xml:space="preserve">rogetto di dottorato è individuare strategie enologiche che possano aiutare l’enologo nella produzione di vini bianchi longevi. Il piano sperimentale prende in considerazione due momenti fondamentali del processo produttivo, le operazioni </w:t>
      </w:r>
      <w:proofErr w:type="spellStart"/>
      <w:r w:rsidR="00573CD2">
        <w:t>pre</w:t>
      </w:r>
      <w:proofErr w:type="spellEnd"/>
      <w:r w:rsidR="00573CD2">
        <w:t>-fermentative</w:t>
      </w:r>
      <w:r>
        <w:t xml:space="preserve"> e il periodo di affinamento.</w:t>
      </w:r>
      <w:r w:rsidR="00411CCA">
        <w:t xml:space="preserve"> </w:t>
      </w:r>
      <w:r>
        <w:t>Tra tutt</w:t>
      </w:r>
      <w:r w:rsidR="00411CCA">
        <w:t>e</w:t>
      </w:r>
      <w:r w:rsidR="00182CCB">
        <w:t xml:space="preserve"> le possibili tecniche </w:t>
      </w:r>
      <w:r w:rsidR="00411CCA">
        <w:t>e utilizzi di coadiuvanti</w:t>
      </w:r>
      <w:r>
        <w:t xml:space="preserve">, si vuole mostrare i risultati ottenuti dall’analisi dei tannini ad uso enologico. I tannini sono considerati coadiuvanti che possono essere utilizzati sia prima che dopo la stabilizzazione del vino. </w:t>
      </w:r>
      <w:r w:rsidR="00E36F34">
        <w:t>I</w:t>
      </w:r>
      <w:r>
        <w:t xml:space="preserve"> tannini al giorno d’oggi rivestono una parte importante nella qualità del vino finale e per questo sono sempre più spesso utilizzati nella vinificazione, ma il loro impatto sui vini bianchi </w:t>
      </w:r>
      <w:r w:rsidR="00E36F34">
        <w:t>è</w:t>
      </w:r>
      <w:r>
        <w:t xml:space="preserve"> poco studiato. </w:t>
      </w:r>
    </w:p>
    <w:p w14:paraId="73C1D670" w14:textId="77777777" w:rsidR="00512D9B" w:rsidRPr="008733A2" w:rsidRDefault="00512D9B">
      <w:pPr>
        <w:tabs>
          <w:tab w:val="left" w:pos="0"/>
        </w:tabs>
        <w:jc w:val="both"/>
        <w:rPr>
          <w:sz w:val="6"/>
          <w:szCs w:val="6"/>
        </w:rPr>
      </w:pPr>
    </w:p>
    <w:p w14:paraId="6E4C6A6A" w14:textId="7C62D8B8" w:rsidR="00512D9B" w:rsidRPr="00746B7D" w:rsidRDefault="00FB589C">
      <w:pPr>
        <w:ind w:left="567" w:hanging="567"/>
        <w:jc w:val="both"/>
        <w:rPr>
          <w:lang w:val="en-US"/>
        </w:rPr>
      </w:pPr>
      <w:r>
        <w:rPr>
          <w:b/>
          <w:bCs/>
          <w:lang w:val="en-GB"/>
        </w:rPr>
        <w:t>Key words</w:t>
      </w:r>
      <w:r>
        <w:rPr>
          <w:lang w:val="en-GB"/>
        </w:rPr>
        <w:t xml:space="preserve">: </w:t>
      </w:r>
      <w:r w:rsidR="00FC2E3F">
        <w:rPr>
          <w:lang w:val="en-GB"/>
        </w:rPr>
        <w:t>redox</w:t>
      </w:r>
      <w:r w:rsidR="00E63C55">
        <w:rPr>
          <w:lang w:val="en-GB"/>
        </w:rPr>
        <w:t xml:space="preserve"> evolution</w:t>
      </w:r>
      <w:r w:rsidR="00452F95">
        <w:rPr>
          <w:lang w:val="en-GB"/>
        </w:rPr>
        <w:t xml:space="preserve">, cyclic voltammetry, </w:t>
      </w:r>
      <w:r w:rsidR="00F93EDA">
        <w:rPr>
          <w:lang w:val="en-GB"/>
        </w:rPr>
        <w:t xml:space="preserve">proteins, </w:t>
      </w:r>
      <w:r w:rsidR="008D6866">
        <w:rPr>
          <w:lang w:val="en-GB"/>
        </w:rPr>
        <w:t>polyphenols</w:t>
      </w:r>
    </w:p>
    <w:p w14:paraId="049B5BB9" w14:textId="77777777" w:rsidR="00512D9B" w:rsidRDefault="00FB589C" w:rsidP="008733A2">
      <w:pPr>
        <w:pStyle w:val="Titolo1"/>
        <w:spacing w:before="240"/>
        <w:ind w:right="0"/>
        <w:jc w:val="both"/>
        <w:rPr>
          <w:b/>
          <w:bCs/>
          <w:color w:val="000000"/>
          <w:sz w:val="24"/>
          <w:lang w:val="en-GB"/>
        </w:rPr>
      </w:pPr>
      <w:r>
        <w:rPr>
          <w:b/>
          <w:bCs/>
          <w:color w:val="000000"/>
          <w:sz w:val="24"/>
          <w:lang w:val="en-GB"/>
        </w:rPr>
        <w:t>1. Introduction</w:t>
      </w:r>
    </w:p>
    <w:p w14:paraId="0AA5F857" w14:textId="6DE00CDD" w:rsidR="007B3AE9" w:rsidRPr="007B3AE9" w:rsidRDefault="00DA7460" w:rsidP="002F34B9">
      <w:pPr>
        <w:autoSpaceDE w:val="0"/>
        <w:autoSpaceDN w:val="0"/>
        <w:adjustRightInd w:val="0"/>
        <w:jc w:val="both"/>
        <w:rPr>
          <w:lang w:val="en-GB"/>
        </w:rPr>
      </w:pPr>
      <w:r w:rsidRPr="007E607C">
        <w:rPr>
          <w:lang w:val="en-GB"/>
        </w:rPr>
        <w:t xml:space="preserve">In Europe the use of oenological tannins in winemaking is </w:t>
      </w:r>
      <w:r>
        <w:rPr>
          <w:lang w:val="en-GB"/>
        </w:rPr>
        <w:t>allowed</w:t>
      </w:r>
      <w:r w:rsidRPr="007E607C">
        <w:rPr>
          <w:lang w:val="en-GB"/>
        </w:rPr>
        <w:t xml:space="preserve"> (Council Regulation (EC) No 1493/1999) and an increasing number of commercial preparations from different origin are available. In this view, the analytical characterisation of oenological tannins is important because they have different chemical and biological activities according to their chemical composition. Oenological tannins are commercial natural products extracted from different botanical sources. This class of natural additives can be broadly classified as either hydrolysable or condensed tannins. The first class includes glucosides, either from gallic acid (</w:t>
      </w:r>
      <w:proofErr w:type="spellStart"/>
      <w:r w:rsidRPr="007E607C">
        <w:rPr>
          <w:lang w:val="en-GB"/>
        </w:rPr>
        <w:t>gallotannins</w:t>
      </w:r>
      <w:proofErr w:type="spellEnd"/>
      <w:r w:rsidRPr="007E607C">
        <w:rPr>
          <w:lang w:val="en-GB"/>
        </w:rPr>
        <w:t xml:space="preserve">) or from ellagic acid (ellagitannins), whereas condensed tannins, also called </w:t>
      </w:r>
      <w:proofErr w:type="spellStart"/>
      <w:r w:rsidRPr="007E607C">
        <w:rPr>
          <w:lang w:val="en-GB"/>
        </w:rPr>
        <w:t>proanthocyanidins</w:t>
      </w:r>
      <w:proofErr w:type="spellEnd"/>
      <w:r w:rsidRPr="007E607C">
        <w:rPr>
          <w:lang w:val="en-GB"/>
        </w:rPr>
        <w:t>, are polymers of flavan-3-ol monomer</w:t>
      </w:r>
      <w:r>
        <w:rPr>
          <w:lang w:val="en-GB"/>
        </w:rPr>
        <w:t>s</w:t>
      </w:r>
      <w:r w:rsidRPr="007E607C">
        <w:rPr>
          <w:lang w:val="en-GB"/>
        </w:rPr>
        <w:t>, such as (+)-catechin, (−)-epicatechin and their gallates</w:t>
      </w:r>
      <w:r>
        <w:rPr>
          <w:lang w:val="en-GB"/>
        </w:rPr>
        <w:t xml:space="preserve"> </w:t>
      </w:r>
      <w:r w:rsidR="00573CD2">
        <w:rPr>
          <w:lang w:val="en-GB"/>
        </w:rPr>
        <w:fldChar w:fldCharType="begin" w:fldLock="1"/>
      </w:r>
      <w:r w:rsidR="000446FE">
        <w:rPr>
          <w:lang w:val="en-GB"/>
        </w:rPr>
        <w:instrText>ADDIN CSL_CITATION {"citationItems":[{"id":"ITEM-1","itemData":{"DOI":"10.1016/j.foodchem.2010.01.002","ISSN":"03088146","abstract":"In this study, six enological tannins (T1-T6) from different source were analysed by selected analytical techniques, including UV-Vis, FTIR, NMR, SEC, LC-MS/MS and electronic nose. Moreover, the samples were tested for their antioxidant activity. Spectra and chromatograms are considered as a fingerprint with a pattern that is distinctive for a given type of sample. In particular, tannins showed the maximum UV-Vis absorbance (λmax) at 273-280 nm, the inflection point (λmin) at 247-264 nm, and the ratio λmax/λmin was 1.03, 1.35, 1.67, 1.36, 2.15, 2.02 for tannin T1-T6, respectively. The FTIR analysis of tannins showed the presence of most important absorption bands at 1522, 1453, 1380, 1350, 1328, 1286, 1210, 1148 and 1044 cm-1. Besides, SEC and NMR analysis allowed to sort the tannins according to their average DP as follows: T1 &gt; T2 = T4 &gt; T3 &gt; T6 = T5. Based on this multiple techniques approach three condensed tannins (sample T3, T5 and T6) were clearly identified, together with two mixtures of hydrolysable tannins (sample T1 and T2), whereas one sample (T4) showed a peculiar pattern different from the commercial tannin commonly used in enology. © 2010 Elsevier Ltd. All rights reserved.","author":[{"dropping-particle":"","family":"Laghi","given":"Luca","non-dropping-particle":"","parse-names":false,"suffix":""},{"dropping-particle":"","family":"Parpinello","given":"Giuseppina P.","non-dropping-particle":"","parse-names":false,"suffix":""},{"dropping-particle":"Del","family":"Rio","given":"Daniele","non-dropping-particle":"","parse-names":false,"suffix":""},{"dropping-particle":"","family":"Calani","given":"Luca","non-dropping-particle":"","parse-names":false,"suffix":""},{"dropping-particle":"","family":"Mattioli","given":"Alessia U.","non-dropping-particle":"","parse-names":false,"suffix":""},{"dropping-particle":"","family":"Versari","given":"Andrea","non-dropping-particle":"","parse-names":false,"suffix":""}],"container-title":"Food Chemistry","id":"ITEM-1","issue":"3","issued":{"date-parts":[["2010"]]},"page":"783-788","publisher":"Elsevier Ltd","title":"Fingerprint of enological tannins by multiple techniques approach","type":"article-journal","volume":"121"},"uris":["http://www.mendeley.com/documents/?uuid=cfedeb83-5043-4962-ba1b-163293177367"]}],"mendeley":{"formattedCitation":"(Laghi et al., 2010)","plainTextFormattedCitation":"(Laghi et al., 2010)","previouslyFormattedCitation":"(Laghi et al., 2010)"},"properties":{"noteIndex":0},"schema":"https://github.com/citation-style-language/schema/raw/master/csl-citation.json"}</w:instrText>
      </w:r>
      <w:r w:rsidR="00573CD2">
        <w:rPr>
          <w:lang w:val="en-GB"/>
        </w:rPr>
        <w:fldChar w:fldCharType="separate"/>
      </w:r>
      <w:r w:rsidR="00573CD2" w:rsidRPr="00573CD2">
        <w:rPr>
          <w:noProof/>
          <w:lang w:val="en-GB"/>
        </w:rPr>
        <w:t>(Laghi et al., 2010)</w:t>
      </w:r>
      <w:r w:rsidR="00573CD2">
        <w:rPr>
          <w:lang w:val="en-GB"/>
        </w:rPr>
        <w:fldChar w:fldCharType="end"/>
      </w:r>
      <w:r w:rsidR="007B3AE9" w:rsidRPr="007E607C">
        <w:rPr>
          <w:lang w:val="en-GB"/>
        </w:rPr>
        <w:t xml:space="preserve">. </w:t>
      </w:r>
      <w:r w:rsidR="00740C82" w:rsidRPr="007E607C">
        <w:rPr>
          <w:lang w:val="en-GB"/>
        </w:rPr>
        <w:t xml:space="preserve">The addition of </w:t>
      </w:r>
      <w:r w:rsidR="00740C82">
        <w:rPr>
          <w:lang w:val="en-GB"/>
        </w:rPr>
        <w:t>tannin powder</w:t>
      </w:r>
      <w:r w:rsidR="00740C82" w:rsidRPr="007E607C">
        <w:rPr>
          <w:lang w:val="en-GB"/>
        </w:rPr>
        <w:t xml:space="preserve"> to wines during winemaking is a longstanding technological practice in wine industry for different purposes. Considering that oenological tannins are obtained from a wide array of botanical sources with a large diversity of chemical </w:t>
      </w:r>
      <w:r w:rsidR="00740C82">
        <w:rPr>
          <w:lang w:val="en-GB"/>
        </w:rPr>
        <w:t>composition</w:t>
      </w:r>
      <w:r w:rsidR="00740C82" w:rsidRPr="007E607C">
        <w:rPr>
          <w:lang w:val="en-GB"/>
        </w:rPr>
        <w:t>, the effects on wine properties are diverse. In fact, some work</w:t>
      </w:r>
      <w:r w:rsidR="00740C82">
        <w:rPr>
          <w:lang w:val="en-GB"/>
        </w:rPr>
        <w:t>s</w:t>
      </w:r>
      <w:r w:rsidR="00740C82" w:rsidRPr="007E607C">
        <w:rPr>
          <w:lang w:val="en-GB"/>
        </w:rPr>
        <w:t xml:space="preserve"> ha</w:t>
      </w:r>
      <w:r w:rsidR="00740C82">
        <w:rPr>
          <w:lang w:val="en-GB"/>
        </w:rPr>
        <w:t>ve</w:t>
      </w:r>
      <w:r w:rsidR="00740C82" w:rsidRPr="007E607C">
        <w:rPr>
          <w:lang w:val="en-GB"/>
        </w:rPr>
        <w:t xml:space="preserve"> shown that oenological tannins should be used with great care</w:t>
      </w:r>
      <w:r w:rsidR="00740C82">
        <w:rPr>
          <w:lang w:val="en-GB"/>
        </w:rPr>
        <w:t>; in fact,</w:t>
      </w:r>
      <w:r w:rsidR="00740C82" w:rsidRPr="007E607C">
        <w:rPr>
          <w:lang w:val="en-GB"/>
        </w:rPr>
        <w:t xml:space="preserve"> depending on the characteristics of the tannin extract and its composition and concentration of phenolic substances, the</w:t>
      </w:r>
      <w:r w:rsidR="00740C82">
        <w:rPr>
          <w:lang w:val="en-GB"/>
        </w:rPr>
        <w:t>ir</w:t>
      </w:r>
      <w:r w:rsidR="00740C82" w:rsidRPr="007E607C">
        <w:rPr>
          <w:lang w:val="en-GB"/>
        </w:rPr>
        <w:t xml:space="preserve"> addition </w:t>
      </w:r>
      <w:r w:rsidR="00740C82">
        <w:rPr>
          <w:lang w:val="en-GB"/>
        </w:rPr>
        <w:t xml:space="preserve">sometimes </w:t>
      </w:r>
      <w:r w:rsidR="00740C82" w:rsidRPr="007E607C">
        <w:rPr>
          <w:lang w:val="en-GB"/>
        </w:rPr>
        <w:t xml:space="preserve">have a negative effect on </w:t>
      </w:r>
      <w:r w:rsidR="00740C82">
        <w:rPr>
          <w:lang w:val="en-GB"/>
        </w:rPr>
        <w:t>wine characteristics</w:t>
      </w:r>
      <w:r w:rsidR="007B3AE9" w:rsidRPr="007E607C">
        <w:rPr>
          <w:lang w:val="en-GB"/>
        </w:rPr>
        <w:t xml:space="preserve"> </w:t>
      </w:r>
      <w:r w:rsidR="00EF6097">
        <w:rPr>
          <w:lang w:val="en-GB"/>
        </w:rPr>
        <w:fldChar w:fldCharType="begin" w:fldLock="1"/>
      </w:r>
      <w:r w:rsidR="00EF6097">
        <w:rPr>
          <w:lang w:val="en-GB"/>
        </w:rPr>
        <w:instrText>ADDIN CSL_CITATION {"citationItems":[{"id":"ITEM-1","itemData":{"DOI":"10.1111/j.1745-4557.2012.00448.x","ISSN":"01469428","abstract":"This research note explored the sensory and analytical effects of adding grape seed extract (GSE; 0.0, 0.5, 1.0, 2.5 and 5.0g/L) to a commercial red wine. Total phenol, color intensity and hue analyses were conducted. Sensory profiling, using 12 trained judges, evaluated the intensity of astringency, fruity and woody/earthy aromas, and red color of the wines. Special care was taken to avoid perceptual biases among the sensory attributes, by conducting the astringent, aromatic and color determinations independently of one another. Analyses of variance were used to evaluate the sensory effects, while regression analyses were used to relate the mean sensory attributes to the GSE concentrations. Positive linear regressions were observed between GSE and astringency (R 2=0.841), woody/earthy aroma (R 2=0.933) and color (R 2=0.925), while a negative linear regression was observed for fruity aroma (R 2=0.911). The presence of GSE significantly enhanced the woody/earthy aroma and suppressed the fruity aroma. © 2012 Wiley Periodicals, Inc.","author":[{"dropping-particle":"","family":"Cliff","given":"Margaret A.","non-dropping-particle":"","parse-names":false,"suffix":""},{"dropping-particle":"","family":"Stanich","given":"Kareen","non-dropping-particle":"","parse-names":false,"suffix":""},{"dropping-particle":"","family":"Edwards","given":"Jennifer E.","non-dropping-particle":"","parse-names":false,"suffix":""},{"dropping-particle":"","family":"Saucier","given":"Cedric T.","non-dropping-particle":"","parse-names":false,"suffix":""}],"container-title":"Journal of Food Quality","id":"ITEM-1","issue":"4","issued":{"date-parts":[["2012"]]},"page":"263-271","title":"Adding Grape Seed Extract to Wine Affects Astringency and Other Sensory Attributes","type":"article-journal","volume":"35"},"uris":["http://www.mendeley.com/documents/?uuid=61596b5d-6d94-40cf-9610-cc4789a2e0d1"]}],"mendeley":{"formattedCitation":"(Cliff et al., 2012)","manualFormatting":"(Cliff et al., 2012;","plainTextFormattedCitation":"(Cliff et al., 2012)","previouslyFormattedCitation":"(Cliff et al., 2012)"},"properties":{"noteIndex":0},"schema":"https://github.com/citation-style-language/schema/raw/master/csl-citation.json"}</w:instrText>
      </w:r>
      <w:r w:rsidR="00EF6097">
        <w:rPr>
          <w:lang w:val="en-GB"/>
        </w:rPr>
        <w:fldChar w:fldCharType="separate"/>
      </w:r>
      <w:r w:rsidR="00EF6097" w:rsidRPr="00EF6097">
        <w:rPr>
          <w:noProof/>
          <w:lang w:val="en-GB"/>
        </w:rPr>
        <w:t>(Cliff et al., 2012</w:t>
      </w:r>
      <w:r w:rsidR="00EF6097">
        <w:rPr>
          <w:noProof/>
          <w:lang w:val="en-GB"/>
        </w:rPr>
        <w:t>;</w:t>
      </w:r>
      <w:r w:rsidR="00EF6097">
        <w:rPr>
          <w:lang w:val="en-GB"/>
        </w:rPr>
        <w:fldChar w:fldCharType="end"/>
      </w:r>
      <w:r w:rsidR="00EF6097">
        <w:rPr>
          <w:lang w:val="en-GB"/>
        </w:rPr>
        <w:t xml:space="preserve"> </w:t>
      </w:r>
      <w:r w:rsidR="00EF6097">
        <w:rPr>
          <w:lang w:val="en-GB"/>
        </w:rPr>
        <w:fldChar w:fldCharType="begin" w:fldLock="1"/>
      </w:r>
      <w:r w:rsidR="00EF6097">
        <w:rPr>
          <w:lang w:val="en-GB"/>
        </w:rPr>
        <w:instrText>ADDIN CSL_CITATION {"citationItems":[{"id":"ITEM-1","itemData":{"DOI":"10.1016/j.foodchem.2011.09.101","ISSN":"03088146","abstract":"Tannins are an important part of wine quality and are frequently added during winemaking. Tannin additives and their impact on wine are poorly documented. This work sought to characterize a range of enological tannins and their contribution to wine quality. Enological tannins were analysed for protein precipitable tannins and iron reactive phenolics. One tannin product was added to a Merlot wine during barrel ageing, at a range of concentrations from 60 to 300 mg/l. Condensed and hydrolysable tannins were added to Cabernet Sauvignon wine post-pressing at a recommended and excessive rate. Wines were analysed for anthocyanin, small and large polymeric pigment, precipitable tannin, iron reactive phenolics and sensory character. Enological tannins contained 12-48% tannin and recommended additions had little impact on wine tannin. High tannin additions were readily measured in the wines and were discriminated in sensory analysis with lower intensities of most parameters except brown colour, bitterness and earthy character. Recommended addition rates are too low to impact the measured tannin concentration of Merlot and Cabernet Sauvignon wines from Washington (USA). High enological tannin additions had a measureable impact on final wine had a negative impact on sensory character. Tannins are added to wines for a range of reasons and represent one of many input costs in an industry increasingly seeking efficiencies in response to global economic circumstances, over-supply and an ongoing price point squeeze. This research suggests many tannin additions may be unjustified and have limited or negative impacts on quality. © 2011 Elsevier Ltd. All rights reserved.","author":[{"dropping-particle":"","family":"Harbertson","given":"James F.","non-dropping-particle":"","parse-names":false,"suffix":""},{"dropping-particle":"","family":"Parpinello","given":"Giuseppina P.","non-dropping-particle":"","parse-names":false,"suffix":""},{"dropping-particle":"","family":"Heymann","given":"Hildegarde","non-dropping-particle":"","parse-names":false,"suffix":""},{"dropping-particle":"","family":"Downey","given":"Mark O.","non-dropping-particle":"","parse-names":false,"suffix":""}],"container-title":"Food Chemistry","id":"ITEM-1","issue":"3","issued":{"date-parts":[["2012"]]},"page":"999-1008","publisher":"Elsevier Ltd","title":"Impact of exogenous tannin additions on wine chemistry and wine sensory character","type":"article-journal","volume":"131"},"uris":["http://www.mendeley.com/documents/?uuid=e2f30af1-df1d-47d6-bcf5-1bb8b43ce1db"]}],"mendeley":{"formattedCitation":"(Harbertson et al., 2012)","manualFormatting":"Harbertson et al., 2012)","plainTextFormattedCitation":"(Harbertson et al., 2012)","previouslyFormattedCitation":"(Harbertson et al., 2012)"},"properties":{"noteIndex":0},"schema":"https://github.com/citation-style-language/schema/raw/master/csl-citation.json"}</w:instrText>
      </w:r>
      <w:r w:rsidR="00EF6097">
        <w:rPr>
          <w:lang w:val="en-GB"/>
        </w:rPr>
        <w:fldChar w:fldCharType="separate"/>
      </w:r>
      <w:r w:rsidR="00EF6097" w:rsidRPr="00EF6097">
        <w:rPr>
          <w:noProof/>
          <w:lang w:val="en-GB"/>
        </w:rPr>
        <w:t>Harbertson et al., 2012)</w:t>
      </w:r>
      <w:r w:rsidR="00EF6097">
        <w:rPr>
          <w:lang w:val="en-GB"/>
        </w:rPr>
        <w:fldChar w:fldCharType="end"/>
      </w:r>
      <w:r w:rsidR="007B3AE9" w:rsidRPr="007E607C">
        <w:rPr>
          <w:lang w:val="en-GB"/>
        </w:rPr>
        <w:t xml:space="preserve">. </w:t>
      </w:r>
      <w:r w:rsidR="00606A29" w:rsidRPr="007E607C">
        <w:rPr>
          <w:lang w:val="en-GB"/>
        </w:rPr>
        <w:t xml:space="preserve">While the industry relies on tannin for many applications, in white wines the use of oenological tannins aims </w:t>
      </w:r>
      <w:r w:rsidR="00606A29">
        <w:rPr>
          <w:lang w:val="en-GB"/>
        </w:rPr>
        <w:t xml:space="preserve">at </w:t>
      </w:r>
      <w:r w:rsidR="00606A29" w:rsidRPr="007E607C">
        <w:rPr>
          <w:lang w:val="en-GB"/>
        </w:rPr>
        <w:t>improv</w:t>
      </w:r>
      <w:r w:rsidR="00606A29">
        <w:rPr>
          <w:lang w:val="en-GB"/>
        </w:rPr>
        <w:t>ing</w:t>
      </w:r>
      <w:r w:rsidR="00606A29" w:rsidRPr="007E607C">
        <w:rPr>
          <w:lang w:val="en-GB"/>
        </w:rPr>
        <w:t xml:space="preserve"> mouthfeel </w:t>
      </w:r>
      <w:r w:rsidR="00606A29">
        <w:rPr>
          <w:lang w:val="en-GB"/>
        </w:rPr>
        <w:t xml:space="preserve">and </w:t>
      </w:r>
      <w:r w:rsidR="00606A29" w:rsidRPr="007E607C">
        <w:rPr>
          <w:lang w:val="en-GB"/>
        </w:rPr>
        <w:t>body</w:t>
      </w:r>
      <w:r w:rsidR="00606A29">
        <w:rPr>
          <w:lang w:val="en-GB"/>
        </w:rPr>
        <w:t>, as well as at protecting wine against oxidation;</w:t>
      </w:r>
      <w:r w:rsidR="00606A29" w:rsidRPr="007E607C">
        <w:rPr>
          <w:lang w:val="en-GB"/>
        </w:rPr>
        <w:t xml:space="preserve"> in fact there are</w:t>
      </w:r>
      <w:r w:rsidR="00606A29">
        <w:rPr>
          <w:lang w:val="en-GB"/>
        </w:rPr>
        <w:t xml:space="preserve"> studies for understanding the</w:t>
      </w:r>
      <w:r w:rsidR="00606A29" w:rsidRPr="007E607C">
        <w:rPr>
          <w:lang w:val="en-GB"/>
        </w:rPr>
        <w:t xml:space="preserve"> role </w:t>
      </w:r>
      <w:r w:rsidR="00606A29">
        <w:rPr>
          <w:lang w:val="en-GB"/>
        </w:rPr>
        <w:t xml:space="preserve">of tannins </w:t>
      </w:r>
      <w:r w:rsidR="00606A29" w:rsidRPr="007E607C">
        <w:rPr>
          <w:lang w:val="en-GB"/>
        </w:rPr>
        <w:t xml:space="preserve">in </w:t>
      </w:r>
      <w:r w:rsidR="00606A29">
        <w:rPr>
          <w:lang w:val="en-GB"/>
        </w:rPr>
        <w:t xml:space="preserve">the </w:t>
      </w:r>
      <w:r w:rsidR="00606A29" w:rsidRPr="007E607C">
        <w:rPr>
          <w:lang w:val="en-GB"/>
        </w:rPr>
        <w:t>redox processes occurring in wine</w:t>
      </w:r>
      <w:r w:rsidR="00606A29">
        <w:rPr>
          <w:lang w:val="en-GB"/>
        </w:rPr>
        <w:t xml:space="preserve"> </w:t>
      </w:r>
      <w:r w:rsidR="00EF6097">
        <w:rPr>
          <w:lang w:val="en-GB"/>
        </w:rPr>
        <w:fldChar w:fldCharType="begin" w:fldLock="1"/>
      </w:r>
      <w:r w:rsidR="00EF6097">
        <w:rPr>
          <w:lang w:val="en-GB"/>
        </w:rPr>
        <w:instrText>ADDIN CSL_CITATION {"citationItems":[{"id":"ITEM-1","itemData":{"DOI":"10.1111/ajgw.12058","ISSN":"17550238","abstract":"Background and Aims: The addition of oenological tannins during winemaking is a longstanding technological practice. To assist such a practice, knowledge of their antioxidant properties is an asset for understanding their role in redox processes occurring in wine. Hence, the aim of this work was to assess the antioxidant profile of oenological tannins from several botanical sources, which are usually applied at different winemaking steps. Methods and Results: Several antioxidant assays, including the ability to reduce copper(II) assay (CUPRAC), the scavenging capacity against 2,2′-azinobis-(3-ethylbenzothiazoline-6-sulfonate) (ABTS) and 2,2-diphenyl-1-picrylhydrazyl radicals (DPPH), and the peroxyl radical scavenging capacity (oxygen radical absorbance capacity assay, ORAC) were applied. The concentration of phenolic substances and the ability to chelate iron(II) (ICA) were also determined. A significant correlation was obtained between the concentration of phenolic substances and the copper(II) reducing antioxidant capacity (R=0.89), and the 2,2′-azinobis-(3-ethylbenzothiazoline-6-sulfonate) (R=0.86) and 2,2-diphenyl-1-picrylhydrazyl (R=0.86) assays. No such correlation was observed (R=0.15) with the oxygen radical absorbance capacity assay. Conclusions: The highest radical scavenging capacity was attained for oenological tannins composed of gallotannins, while those containing ellagic acid were able to chelate iron(II) strongly, preventing the oxidative damage mediated by Fenton-based reactions. Condensed tannins demonstrated a significant ability to scavenge peroxyl radicals, which represents a powerful antioxidant mechanism to prevent lipid peroxidation. Significance of the Study: The chemical antioxidant profile of oenological tannins displayed in radar charts provides valuable information for winemakers and manufacturers of oenological tannins. © 2014 Australian Society of Viticulture and Oenology Inc.","author":[{"dropping-particle":"","family":"Magalhães","given":"L. M.","non-dropping-particle":"","parse-names":false,"suffix":""},{"dropping-particle":"","family":"Ramos","given":"I. I.","non-dropping-particle":"","parse-names":false,"suffix":""},{"dropping-particle":"","family":"Reis","given":"S.","non-dropping-particle":"","parse-names":false,"suffix":""},{"dropping-particle":"","family":"Segundo","given":"M. A.","non-dropping-particle":"","parse-names":false,"suffix":""}],"container-title":"Australian Journal of Grape and Wine Research","id":"ITEM-1","issue":"1","issued":{"date-parts":[["2014"]]},"page":"72-79","title":"Antioxidant profile of commercial oenological tannins determined by multiple chemical assays","type":"article-journal","volume":"20"},"uris":["http://www.mendeley.com/documents/?uuid=140d5c60-747e-479a-971b-ac353d4865a6"]}],"mendeley":{"formattedCitation":"(Magalhães et al., 2014)","plainTextFormattedCitation":"(Magalhães et al., 2014)","previouslyFormattedCitation":"(Magalhães et al., 2014)"},"properties":{"noteIndex":0},"schema":"https://github.com/citation-style-language/schema/raw/master/csl-citation.json"}</w:instrText>
      </w:r>
      <w:r w:rsidR="00EF6097">
        <w:rPr>
          <w:lang w:val="en-GB"/>
        </w:rPr>
        <w:fldChar w:fldCharType="separate"/>
      </w:r>
      <w:r w:rsidR="00EF6097" w:rsidRPr="00EF6097">
        <w:rPr>
          <w:noProof/>
          <w:lang w:val="en-GB"/>
        </w:rPr>
        <w:t>(Magalhães et al., 2014)</w:t>
      </w:r>
      <w:r w:rsidR="00EF6097">
        <w:rPr>
          <w:lang w:val="en-GB"/>
        </w:rPr>
        <w:fldChar w:fldCharType="end"/>
      </w:r>
      <w:r w:rsidR="007B3AE9">
        <w:rPr>
          <w:lang w:val="en-GB"/>
        </w:rPr>
        <w:t xml:space="preserve">. When we talk about white wine, we </w:t>
      </w:r>
      <w:r w:rsidR="00BB6957">
        <w:rPr>
          <w:lang w:val="en-GB"/>
        </w:rPr>
        <w:t>must</w:t>
      </w:r>
      <w:r w:rsidR="007B3AE9">
        <w:rPr>
          <w:lang w:val="en-GB"/>
        </w:rPr>
        <w:t xml:space="preserve"> take into consideration the total content of polyphenols (TPC) in fact in white wines the </w:t>
      </w:r>
      <w:r w:rsidR="00302A7E">
        <w:rPr>
          <w:lang w:val="en-GB"/>
        </w:rPr>
        <w:t xml:space="preserve">average </w:t>
      </w:r>
      <w:r w:rsidR="007B3AE9">
        <w:rPr>
          <w:lang w:val="en-GB"/>
        </w:rPr>
        <w:t>TPC</w:t>
      </w:r>
      <w:r w:rsidR="009D45C7">
        <w:rPr>
          <w:lang w:val="en-GB"/>
        </w:rPr>
        <w:t xml:space="preserve"> range</w:t>
      </w:r>
      <w:r w:rsidR="00A3307E">
        <w:rPr>
          <w:lang w:val="en-GB"/>
        </w:rPr>
        <w:t xml:space="preserve"> between 100 and 300 mg/L</w:t>
      </w:r>
      <w:r w:rsidR="00A47791" w:rsidRPr="00A3307E">
        <w:rPr>
          <w:color w:val="FF0000"/>
          <w:lang w:val="en-GB"/>
        </w:rPr>
        <w:t xml:space="preserve"> </w:t>
      </w:r>
      <w:r w:rsidR="000446FE">
        <w:rPr>
          <w:lang w:val="en-GB"/>
        </w:rPr>
        <w:fldChar w:fldCharType="begin" w:fldLock="1"/>
      </w:r>
      <w:r w:rsidR="000446FE">
        <w:rPr>
          <w:lang w:val="en-GB"/>
        </w:rPr>
        <w:instrText>ADDIN CSL_CITATION {"citationItems":[{"id":"ITEM-1","itemData":{"DOI":"10.1021/jf960705d","ISSN":"00218561","abstract":"The total antioxidant activity (TAA) of 13 typical Italian wines was determined (average 12.3 and 1.6 mM Trolox equivalents for red and white wines, respectively), and the resulting values were correlated with total phenols (1365-3326 and 96-146 mg/L for red and white wines, respectively), flavanols (203-805 and 11-49 mg/L, for red and white wines, respectively), and flavonols. Only the red wines contained appreciable amounts of flavonols (average 15.3 mg/L), with quercetin and rutin being the most abundant, followed by myricetin, kaempferol, and isorhamnetin accounting for only 0.7-3% of TAA. The TAA of investigated wines are well correlated with phenol (r = 0.9902) and flavanol (r = 0.9270) content. These results confirm that red wine polyphenols are in vitro significant antioxidants and may explain the beneficial effects of a moderate daily intake of red wines, probably through a sparing action of highly bioavailable vitamins C, E, and β-carotene.","author":[{"dropping-particle":"","family":"Simonetti","given":"Paolo","non-dropping-particle":"","parse-names":false,"suffix":""},{"dropping-particle":"","family":"Pietta","given":"Piergiorgio","non-dropping-particle":"","parse-names":false,"suffix":""},{"dropping-particle":"","family":"Testolin","given":"Giulio","non-dropping-particle":"","parse-names":false,"suffix":""}],"container-title":"Journal of Agricultural and Food Chemistry","id":"ITEM-1","issue":"4","issued":{"date-parts":[["1997"]]},"page":"1152-1155","title":"Polyphenol Content and Total Antioxidant Potential of Selected Italian Wines","type":"article-journal","volume":"45"},"uris":["http://www.mendeley.com/documents/?uuid=2f694a7b-495a-4212-a596-4dfe6f258267"]}],"mendeley":{"formattedCitation":"(Simonetti et al., 1997)","plainTextFormattedCitation":"(Simonetti et al., 1997)"},"properties":{"noteIndex":0},"schema":"https://github.com/citation-style-language/schema/raw/master/csl-citation.json"}</w:instrText>
      </w:r>
      <w:r w:rsidR="000446FE">
        <w:rPr>
          <w:lang w:val="en-GB"/>
        </w:rPr>
        <w:fldChar w:fldCharType="separate"/>
      </w:r>
      <w:r w:rsidR="000446FE" w:rsidRPr="000446FE">
        <w:rPr>
          <w:noProof/>
          <w:lang w:val="en-GB"/>
        </w:rPr>
        <w:t>(Simonetti et al., 1997)</w:t>
      </w:r>
      <w:r w:rsidR="000446FE">
        <w:rPr>
          <w:lang w:val="en-GB"/>
        </w:rPr>
        <w:fldChar w:fldCharType="end"/>
      </w:r>
      <w:r w:rsidR="007B3AE9">
        <w:rPr>
          <w:lang w:val="en-GB"/>
        </w:rPr>
        <w:t xml:space="preserve">. </w:t>
      </w:r>
      <w:r w:rsidR="00E5187A">
        <w:rPr>
          <w:lang w:val="en-GB"/>
        </w:rPr>
        <w:t>This is important because the use of oenological tannins in white wines can modify severely the structure and the sensory perception of the product. Even a small addition of oenological tannins can have important sensory consequences in poorly structured white wines.</w:t>
      </w:r>
    </w:p>
    <w:p w14:paraId="525E1D35" w14:textId="77777777" w:rsidR="00512D9B" w:rsidRDefault="00FB589C" w:rsidP="008733A2">
      <w:pPr>
        <w:pStyle w:val="Titolo1"/>
        <w:spacing w:before="240"/>
        <w:ind w:right="0"/>
        <w:jc w:val="both"/>
        <w:rPr>
          <w:b/>
          <w:bCs/>
          <w:color w:val="000000"/>
          <w:sz w:val="24"/>
          <w:lang w:val="en-GB"/>
        </w:rPr>
      </w:pPr>
      <w:r>
        <w:rPr>
          <w:b/>
          <w:bCs/>
          <w:color w:val="000000"/>
          <w:sz w:val="24"/>
          <w:lang w:val="en-GB"/>
        </w:rPr>
        <w:t>2. Materials and Methods</w:t>
      </w:r>
    </w:p>
    <w:p w14:paraId="765D9762" w14:textId="21CBD1E6" w:rsidR="00566CD3" w:rsidRPr="00182CCB" w:rsidRDefault="007B3AE9" w:rsidP="007B3AE9">
      <w:pPr>
        <w:jc w:val="both"/>
        <w:rPr>
          <w:color w:val="FF0000"/>
          <w:lang w:val="en-GB"/>
        </w:rPr>
      </w:pPr>
      <w:r w:rsidRPr="005C076A">
        <w:rPr>
          <w:lang w:val="en-GB"/>
        </w:rPr>
        <w:t>All the oenological tannins were characterized using the analytical</w:t>
      </w:r>
      <w:r>
        <w:rPr>
          <w:lang w:val="en-GB"/>
        </w:rPr>
        <w:t xml:space="preserve"> </w:t>
      </w:r>
      <w:r w:rsidRPr="005C076A">
        <w:rPr>
          <w:lang w:val="en-GB"/>
        </w:rPr>
        <w:t>methods described below.</w:t>
      </w:r>
      <w:r>
        <w:rPr>
          <w:lang w:val="en-GB"/>
        </w:rPr>
        <w:t xml:space="preserve"> Different commercial tannins were supplied by Dal Cin </w:t>
      </w:r>
      <w:proofErr w:type="spellStart"/>
      <w:r>
        <w:rPr>
          <w:lang w:val="en-GB"/>
        </w:rPr>
        <w:t>Gildo</w:t>
      </w:r>
      <w:proofErr w:type="spellEnd"/>
      <w:r>
        <w:rPr>
          <w:lang w:val="en-GB"/>
        </w:rPr>
        <w:t xml:space="preserve"> S.p.A.</w:t>
      </w:r>
      <w:r w:rsidR="0075745D">
        <w:rPr>
          <w:lang w:val="en-GB"/>
        </w:rPr>
        <w:t xml:space="preserve"> </w:t>
      </w:r>
      <w:r>
        <w:rPr>
          <w:lang w:val="en-GB"/>
        </w:rPr>
        <w:t>(</w:t>
      </w:r>
      <w:proofErr w:type="spellStart"/>
      <w:r>
        <w:rPr>
          <w:lang w:val="en-GB"/>
        </w:rPr>
        <w:t>Concorrezzo</w:t>
      </w:r>
      <w:proofErr w:type="spellEnd"/>
      <w:r>
        <w:rPr>
          <w:lang w:val="en-GB"/>
        </w:rPr>
        <w:t>,</w:t>
      </w:r>
      <w:r w:rsidR="00E268FC">
        <w:rPr>
          <w:lang w:val="en-GB"/>
        </w:rPr>
        <w:t xml:space="preserve"> </w:t>
      </w:r>
      <w:r>
        <w:rPr>
          <w:lang w:val="en-GB"/>
        </w:rPr>
        <w:t xml:space="preserve">Italy). The samples were prepared at final concentration of 100 mg/L according to the guideline suggestions. </w:t>
      </w:r>
      <w:r w:rsidRPr="005C076A">
        <w:rPr>
          <w:lang w:val="en-GB"/>
        </w:rPr>
        <w:t>Solutions</w:t>
      </w:r>
      <w:r>
        <w:rPr>
          <w:lang w:val="en-GB"/>
        </w:rPr>
        <w:t xml:space="preserve"> </w:t>
      </w:r>
      <w:r w:rsidRPr="005C076A">
        <w:rPr>
          <w:lang w:val="en-GB"/>
        </w:rPr>
        <w:t>of each tannin were prepared in a synthetic model wine solution</w:t>
      </w:r>
      <w:r w:rsidR="004C6916">
        <w:rPr>
          <w:lang w:val="en-GB"/>
        </w:rPr>
        <w:t xml:space="preserve"> MS</w:t>
      </w:r>
      <w:r w:rsidRPr="005C076A">
        <w:rPr>
          <w:lang w:val="en-GB"/>
        </w:rPr>
        <w:t xml:space="preserve"> (12%</w:t>
      </w:r>
      <w:r>
        <w:rPr>
          <w:lang w:val="en-GB"/>
        </w:rPr>
        <w:t xml:space="preserve"> </w:t>
      </w:r>
      <w:r w:rsidRPr="005C076A">
        <w:rPr>
          <w:lang w:val="en-GB"/>
        </w:rPr>
        <w:t xml:space="preserve">v/v ethanol, </w:t>
      </w:r>
      <w:r>
        <w:rPr>
          <w:lang w:val="en-GB"/>
        </w:rPr>
        <w:t>5</w:t>
      </w:r>
      <w:r w:rsidRPr="005C076A">
        <w:rPr>
          <w:lang w:val="en-GB"/>
        </w:rPr>
        <w:t xml:space="preserve"> g/</w:t>
      </w:r>
      <w:r>
        <w:rPr>
          <w:lang w:val="en-GB"/>
        </w:rPr>
        <w:t>L</w:t>
      </w:r>
      <w:r w:rsidRPr="005C076A">
        <w:rPr>
          <w:lang w:val="en-GB"/>
        </w:rPr>
        <w:t xml:space="preserve"> tartaric acid adjusted to pH 3.</w:t>
      </w:r>
      <w:r>
        <w:rPr>
          <w:lang w:val="en-GB"/>
        </w:rPr>
        <w:t>2</w:t>
      </w:r>
      <w:r w:rsidRPr="005C076A">
        <w:rPr>
          <w:lang w:val="en-GB"/>
        </w:rPr>
        <w:t xml:space="preserve"> with sodium hydroxide)</w:t>
      </w:r>
      <w:r>
        <w:rPr>
          <w:lang w:val="en-GB"/>
        </w:rPr>
        <w:t xml:space="preserve"> and in two types of wine, one supplied by an Italian winery of the north-east</w:t>
      </w:r>
      <w:r w:rsidR="003875BD">
        <w:rPr>
          <w:lang w:val="en-GB"/>
        </w:rPr>
        <w:t xml:space="preserve"> (unstable wine</w:t>
      </w:r>
      <w:r w:rsidR="00D77777">
        <w:rPr>
          <w:lang w:val="en-GB"/>
        </w:rPr>
        <w:t>,</w:t>
      </w:r>
      <w:r w:rsidR="00F142A7">
        <w:rPr>
          <w:lang w:val="en-GB"/>
        </w:rPr>
        <w:t xml:space="preserve"> UW</w:t>
      </w:r>
      <w:r w:rsidR="003875BD">
        <w:rPr>
          <w:lang w:val="en-GB"/>
        </w:rPr>
        <w:t>)</w:t>
      </w:r>
      <w:r>
        <w:rPr>
          <w:lang w:val="en-GB"/>
        </w:rPr>
        <w:t xml:space="preserve"> and the other bought from the supermarket</w:t>
      </w:r>
      <w:r w:rsidR="003875BD">
        <w:rPr>
          <w:lang w:val="en-GB"/>
        </w:rPr>
        <w:t xml:space="preserve"> (stable wine</w:t>
      </w:r>
      <w:r w:rsidR="00D77777">
        <w:rPr>
          <w:lang w:val="en-GB"/>
        </w:rPr>
        <w:t>,</w:t>
      </w:r>
      <w:r w:rsidR="00F142A7">
        <w:rPr>
          <w:lang w:val="en-GB"/>
        </w:rPr>
        <w:t xml:space="preserve"> SW</w:t>
      </w:r>
      <w:r w:rsidR="003875BD">
        <w:rPr>
          <w:lang w:val="en-GB"/>
        </w:rPr>
        <w:t>)</w:t>
      </w:r>
      <w:r w:rsidRPr="005C076A">
        <w:rPr>
          <w:lang w:val="en-GB"/>
        </w:rPr>
        <w:t>.</w:t>
      </w:r>
      <w:r>
        <w:rPr>
          <w:lang w:val="en-GB"/>
        </w:rPr>
        <w:t xml:space="preserve"> </w:t>
      </w:r>
      <w:r w:rsidRPr="005C076A">
        <w:rPr>
          <w:lang w:val="en-GB"/>
        </w:rPr>
        <w:t>All the analyses were carried out at least in triplicate.</w:t>
      </w:r>
      <w:r>
        <w:rPr>
          <w:lang w:val="en-GB"/>
        </w:rPr>
        <w:t xml:space="preserve"> All the samples were analysed by measuring the UV and visible spectra. Also, the reactivity with wine proteins was measured with the aid of a turbidimeter. </w:t>
      </w:r>
      <w:r w:rsidRPr="00B9092A">
        <w:rPr>
          <w:lang w:val="en-GB"/>
        </w:rPr>
        <w:t xml:space="preserve">At the same time, cyclic voltammetry </w:t>
      </w:r>
      <w:r w:rsidR="00257988">
        <w:rPr>
          <w:lang w:val="en-GB"/>
        </w:rPr>
        <w:t xml:space="preserve">(CV) </w:t>
      </w:r>
      <w:r w:rsidRPr="00B9092A">
        <w:rPr>
          <w:lang w:val="en-GB"/>
        </w:rPr>
        <w:t>profile was acquired u</w:t>
      </w:r>
      <w:r>
        <w:rPr>
          <w:lang w:val="en-GB"/>
        </w:rPr>
        <w:t xml:space="preserve">sing screen-printed electrode (SPCE) model DRP-C110 </w:t>
      </w:r>
      <w:proofErr w:type="spellStart"/>
      <w:r>
        <w:rPr>
          <w:lang w:val="en-GB"/>
        </w:rPr>
        <w:t>Metrhom</w:t>
      </w:r>
      <w:proofErr w:type="spellEnd"/>
      <w:r>
        <w:rPr>
          <w:lang w:val="en-GB"/>
        </w:rPr>
        <w:t xml:space="preserve"> </w:t>
      </w:r>
      <w:proofErr w:type="spellStart"/>
      <w:r>
        <w:rPr>
          <w:lang w:val="en-GB"/>
        </w:rPr>
        <w:t>Dropsense</w:t>
      </w:r>
      <w:proofErr w:type="spellEnd"/>
      <w:r>
        <w:rPr>
          <w:lang w:val="en-GB"/>
        </w:rPr>
        <w:t xml:space="preserve"> (</w:t>
      </w:r>
      <w:proofErr w:type="spellStart"/>
      <w:r>
        <w:rPr>
          <w:lang w:val="en-GB"/>
        </w:rPr>
        <w:t>Metrohom</w:t>
      </w:r>
      <w:proofErr w:type="spellEnd"/>
      <w:r>
        <w:rPr>
          <w:lang w:val="en-GB"/>
        </w:rPr>
        <w:t xml:space="preserve"> </w:t>
      </w:r>
      <w:proofErr w:type="spellStart"/>
      <w:r>
        <w:rPr>
          <w:lang w:val="en-GB"/>
        </w:rPr>
        <w:t>Italiana</w:t>
      </w:r>
      <w:proofErr w:type="spellEnd"/>
      <w:r>
        <w:rPr>
          <w:lang w:val="en-GB"/>
        </w:rPr>
        <w:t xml:space="preserve"> S.r.l., </w:t>
      </w:r>
      <w:proofErr w:type="spellStart"/>
      <w:r>
        <w:rPr>
          <w:lang w:val="en-GB"/>
        </w:rPr>
        <w:t>Origgio</w:t>
      </w:r>
      <w:proofErr w:type="spellEnd"/>
      <w:r>
        <w:rPr>
          <w:lang w:val="en-GB"/>
        </w:rPr>
        <w:t xml:space="preserve">, Italy) and </w:t>
      </w:r>
      <w:proofErr w:type="spellStart"/>
      <w:r>
        <w:rPr>
          <w:lang w:val="en-GB"/>
        </w:rPr>
        <w:t>EmStat</w:t>
      </w:r>
      <w:proofErr w:type="spellEnd"/>
      <w:r>
        <w:rPr>
          <w:lang w:val="en-GB"/>
        </w:rPr>
        <w:t xml:space="preserve"> </w:t>
      </w:r>
      <w:proofErr w:type="spellStart"/>
      <w:r>
        <w:rPr>
          <w:lang w:val="en-GB"/>
        </w:rPr>
        <w:t>pico</w:t>
      </w:r>
      <w:proofErr w:type="spellEnd"/>
      <w:r>
        <w:rPr>
          <w:lang w:val="en-GB"/>
        </w:rPr>
        <w:t xml:space="preserve"> </w:t>
      </w:r>
      <w:proofErr w:type="spellStart"/>
      <w:r w:rsidR="001935CD">
        <w:rPr>
          <w:lang w:val="en-GB"/>
        </w:rPr>
        <w:t>potentiostat</w:t>
      </w:r>
      <w:proofErr w:type="spellEnd"/>
      <w:r w:rsidR="001935CD">
        <w:rPr>
          <w:lang w:val="en-GB"/>
        </w:rPr>
        <w:t xml:space="preserve"> </w:t>
      </w:r>
      <w:r>
        <w:rPr>
          <w:lang w:val="en-GB"/>
        </w:rPr>
        <w:t>(</w:t>
      </w:r>
      <w:proofErr w:type="spellStart"/>
      <w:r>
        <w:rPr>
          <w:lang w:val="en-GB"/>
        </w:rPr>
        <w:t>PalmSens</w:t>
      </w:r>
      <w:proofErr w:type="spellEnd"/>
      <w:r>
        <w:rPr>
          <w:lang w:val="en-GB"/>
        </w:rPr>
        <w:t xml:space="preserve"> BV, Houten, The Netherlands). </w:t>
      </w:r>
      <w:r w:rsidR="00F77FC1">
        <w:rPr>
          <w:lang w:val="en-GB"/>
        </w:rPr>
        <w:t>Finally,</w:t>
      </w:r>
      <w:r>
        <w:rPr>
          <w:lang w:val="en-GB"/>
        </w:rPr>
        <w:t xml:space="preserve"> the sensor</w:t>
      </w:r>
      <w:r w:rsidR="00E5283A">
        <w:rPr>
          <w:lang w:val="en-GB"/>
        </w:rPr>
        <w:t>y</w:t>
      </w:r>
      <w:r>
        <w:rPr>
          <w:lang w:val="en-GB"/>
        </w:rPr>
        <w:t xml:space="preserve"> impact of the different tannins was evaluated in wine solutions. </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lastRenderedPageBreak/>
        <w:t>3. Results and Discussion</w:t>
      </w:r>
    </w:p>
    <w:p w14:paraId="7B7F4BDD" w14:textId="3BBC92CC" w:rsidR="00512D9B" w:rsidRDefault="00FB589C">
      <w:pPr>
        <w:pStyle w:val="Titolo2"/>
        <w:jc w:val="both"/>
        <w:rPr>
          <w:b/>
          <w:bCs/>
          <w:sz w:val="20"/>
          <w:lang w:val="en-GB"/>
        </w:rPr>
      </w:pPr>
      <w:r>
        <w:rPr>
          <w:b/>
          <w:bCs/>
          <w:sz w:val="20"/>
          <w:lang w:val="en-GB"/>
        </w:rPr>
        <w:t>3.1</w:t>
      </w:r>
      <w:r w:rsidR="00B20D9D">
        <w:rPr>
          <w:b/>
          <w:bCs/>
          <w:sz w:val="20"/>
          <w:lang w:val="en-GB"/>
        </w:rPr>
        <w:t xml:space="preserve"> Characterization of different oenological tannins</w:t>
      </w:r>
      <w:r w:rsidR="00F4495C">
        <w:rPr>
          <w:b/>
          <w:bCs/>
          <w:sz w:val="20"/>
          <w:lang w:val="en-GB"/>
        </w:rPr>
        <w:t xml:space="preserve"> </w:t>
      </w:r>
    </w:p>
    <w:p w14:paraId="3ACA4116" w14:textId="450FD1D8" w:rsidR="003D5057" w:rsidRDefault="00B52BEE" w:rsidP="00686035">
      <w:pPr>
        <w:jc w:val="both"/>
        <w:rPr>
          <w:lang w:val="en-GB"/>
        </w:rPr>
      </w:pPr>
      <w:r>
        <w:rPr>
          <w:noProof/>
        </w:rPr>
        <w:drawing>
          <wp:anchor distT="0" distB="0" distL="114300" distR="114300" simplePos="0" relativeHeight="251662336" behindDoc="0" locked="0" layoutInCell="1" allowOverlap="1" wp14:anchorId="03F817F5" wp14:editId="7F45A5DD">
            <wp:simplePos x="0" y="0"/>
            <wp:positionH relativeFrom="margin">
              <wp:align>left</wp:align>
            </wp:positionH>
            <wp:positionV relativeFrom="paragraph">
              <wp:posOffset>12700</wp:posOffset>
            </wp:positionV>
            <wp:extent cx="3582035" cy="2219325"/>
            <wp:effectExtent l="0" t="0" r="0" b="0"/>
            <wp:wrapSquare wrapText="bothSides"/>
            <wp:docPr id="462147696" name="Grafico 1">
              <a:extLst xmlns:a="http://schemas.openxmlformats.org/drawingml/2006/main">
                <a:ext uri="{FF2B5EF4-FFF2-40B4-BE49-F238E27FC236}">
                  <a16:creationId xmlns:a16="http://schemas.microsoft.com/office/drawing/2014/main" id="{2CB9028D-0796-7D47-34E7-FDA8773CA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54FF4">
        <w:rPr>
          <w:lang w:val="en-GB"/>
        </w:rPr>
        <w:t xml:space="preserve">It is known that UV and visible spectra allow classifying the different tannins based on their botanical origin. however, in winemaking practice, tannins from the same source may give different performances. CV </w:t>
      </w:r>
      <w:r w:rsidR="00B54FF4" w:rsidRPr="007E7D8A">
        <w:rPr>
          <w:lang w:val="en-GB"/>
        </w:rPr>
        <w:t xml:space="preserve">may </w:t>
      </w:r>
      <w:r w:rsidR="00B54FF4">
        <w:rPr>
          <w:lang w:val="en-GB"/>
        </w:rPr>
        <w:t xml:space="preserve">allow a better characterization of tannins concerning their effect on wine redox </w:t>
      </w:r>
      <w:r w:rsidR="00B54FF4" w:rsidRPr="00B54FF4">
        <w:rPr>
          <w:lang w:val="en-GB"/>
        </w:rPr>
        <w:t>potential</w:t>
      </w:r>
      <w:r w:rsidR="00B54FF4">
        <w:rPr>
          <w:lang w:val="en-GB"/>
        </w:rPr>
        <w:t xml:space="preserve">. In fact, as we can see in </w:t>
      </w:r>
      <w:r w:rsidR="00FC752B">
        <w:rPr>
          <w:lang w:val="en-GB"/>
        </w:rPr>
        <w:t>F</w:t>
      </w:r>
      <w:r w:rsidR="00B54FF4">
        <w:rPr>
          <w:lang w:val="en-GB"/>
        </w:rPr>
        <w:t>ig. 1, four different lots of gall tannins give four different voltammograms, and this results in a different mechanism of action on white wines</w:t>
      </w:r>
      <w:r w:rsidR="00686035">
        <w:rPr>
          <w:lang w:val="en-GB"/>
        </w:rPr>
        <w:t xml:space="preserve">. </w:t>
      </w:r>
      <w:r w:rsidR="002B4A0D">
        <w:rPr>
          <w:lang w:val="en-GB"/>
        </w:rPr>
        <w:t xml:space="preserve">                                                                                           </w:t>
      </w:r>
    </w:p>
    <w:p w14:paraId="35DC9AF7" w14:textId="77777777" w:rsidR="003D5057" w:rsidRDefault="003D5057" w:rsidP="00686035">
      <w:pPr>
        <w:jc w:val="both"/>
        <w:rPr>
          <w:lang w:val="en-GB"/>
        </w:rPr>
      </w:pPr>
    </w:p>
    <w:p w14:paraId="6D8488CB" w14:textId="03A7C676" w:rsidR="008E38AB" w:rsidRPr="00B54FF4" w:rsidRDefault="00906126" w:rsidP="00B54FF4">
      <w:pPr>
        <w:jc w:val="both"/>
        <w:rPr>
          <w:i/>
          <w:sz w:val="18"/>
          <w:lang w:val="en-GB"/>
        </w:rPr>
      </w:pPr>
      <w:r>
        <w:rPr>
          <w:b/>
          <w:i/>
          <w:sz w:val="18"/>
          <w:lang w:val="en-GB"/>
        </w:rPr>
        <w:t>Fig</w:t>
      </w:r>
      <w:r w:rsidR="00FB589C">
        <w:rPr>
          <w:b/>
          <w:i/>
          <w:sz w:val="18"/>
          <w:lang w:val="en-GB"/>
        </w:rPr>
        <w:t xml:space="preserve"> 1</w:t>
      </w:r>
      <w:r w:rsidR="00E76F39">
        <w:rPr>
          <w:b/>
          <w:i/>
          <w:sz w:val="18"/>
          <w:lang w:val="en-GB"/>
        </w:rPr>
        <w:t>.</w:t>
      </w:r>
      <w:r>
        <w:rPr>
          <w:i/>
          <w:sz w:val="18"/>
          <w:lang w:val="en-GB"/>
        </w:rPr>
        <w:t xml:space="preserve"> </w:t>
      </w:r>
      <w:r w:rsidR="000A6F3B">
        <w:rPr>
          <w:i/>
          <w:sz w:val="18"/>
          <w:lang w:val="en-GB"/>
        </w:rPr>
        <w:t xml:space="preserve">Voltammograms of </w:t>
      </w:r>
      <w:r w:rsidR="002C2F2D">
        <w:rPr>
          <w:i/>
          <w:sz w:val="18"/>
          <w:lang w:val="en-GB"/>
        </w:rPr>
        <w:t>four different lot</w:t>
      </w:r>
      <w:r w:rsidR="00C411B2">
        <w:rPr>
          <w:i/>
          <w:sz w:val="18"/>
          <w:lang w:val="en-GB"/>
        </w:rPr>
        <w:t>s</w:t>
      </w:r>
      <w:r w:rsidR="002C2F2D">
        <w:rPr>
          <w:i/>
          <w:sz w:val="18"/>
          <w:lang w:val="en-GB"/>
        </w:rPr>
        <w:t xml:space="preserve"> </w:t>
      </w:r>
      <w:r w:rsidR="00477707">
        <w:rPr>
          <w:i/>
          <w:sz w:val="18"/>
          <w:lang w:val="en-GB"/>
        </w:rPr>
        <w:t>of gall</w:t>
      </w:r>
      <w:r w:rsidR="00BF349E">
        <w:rPr>
          <w:i/>
          <w:sz w:val="18"/>
          <w:lang w:val="en-GB"/>
        </w:rPr>
        <w:t xml:space="preserve"> </w:t>
      </w:r>
      <w:r w:rsidR="002C2F2D">
        <w:rPr>
          <w:i/>
          <w:sz w:val="18"/>
          <w:lang w:val="en-GB"/>
        </w:rPr>
        <w:t>tannins</w:t>
      </w:r>
      <w:r w:rsidR="005E4AF3">
        <w:rPr>
          <w:i/>
          <w:sz w:val="18"/>
          <w:lang w:val="en-GB"/>
        </w:rPr>
        <w:t>.</w:t>
      </w:r>
    </w:p>
    <w:p w14:paraId="1F52DB25" w14:textId="48E0A771" w:rsidR="005C449B" w:rsidRPr="000801C5" w:rsidRDefault="005C449B" w:rsidP="009C5698">
      <w:pPr>
        <w:pStyle w:val="Titolo2"/>
        <w:jc w:val="both"/>
        <w:rPr>
          <w:b/>
          <w:bCs/>
          <w:sz w:val="20"/>
          <w:szCs w:val="16"/>
          <w:lang w:val="en-GB"/>
        </w:rPr>
      </w:pPr>
      <w:r w:rsidRPr="000801C5">
        <w:rPr>
          <w:b/>
          <w:bCs/>
          <w:sz w:val="20"/>
          <w:szCs w:val="16"/>
          <w:lang w:val="en-GB"/>
        </w:rPr>
        <w:t>3.3 Reactivity of oenological tannins with white wine’s proteins</w:t>
      </w:r>
    </w:p>
    <w:tbl>
      <w:tblPr>
        <w:tblStyle w:val="Tabellasemplice-2"/>
        <w:tblpPr w:leftFromText="141" w:rightFromText="141" w:vertAnchor="text" w:horzAnchor="margin" w:tblpY="925"/>
        <w:tblW w:w="0" w:type="auto"/>
        <w:tblLook w:val="04A0" w:firstRow="1" w:lastRow="0" w:firstColumn="1" w:lastColumn="0" w:noHBand="0" w:noVBand="1"/>
      </w:tblPr>
      <w:tblGrid>
        <w:gridCol w:w="554"/>
        <w:gridCol w:w="722"/>
        <w:gridCol w:w="709"/>
        <w:gridCol w:w="850"/>
        <w:gridCol w:w="709"/>
        <w:gridCol w:w="709"/>
      </w:tblGrid>
      <w:tr w:rsidR="00C159F2" w:rsidRPr="003C745E" w14:paraId="6F64B4B9" w14:textId="77777777" w:rsidTr="00C15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vMerge w:val="restart"/>
          </w:tcPr>
          <w:p w14:paraId="0FB9A1A0" w14:textId="77777777" w:rsidR="00C159F2" w:rsidRPr="003C745E" w:rsidRDefault="00C159F2" w:rsidP="00C159F2">
            <w:pPr>
              <w:jc w:val="center"/>
              <w:rPr>
                <w:sz w:val="18"/>
                <w:szCs w:val="18"/>
                <w:lang w:val="en-GB"/>
              </w:rPr>
            </w:pPr>
            <w:bookmarkStart w:id="0" w:name="_Hlk136511856"/>
          </w:p>
        </w:tc>
        <w:tc>
          <w:tcPr>
            <w:tcW w:w="3699" w:type="dxa"/>
            <w:gridSpan w:val="5"/>
          </w:tcPr>
          <w:p w14:paraId="5F7A3C35" w14:textId="77777777" w:rsidR="00C159F2" w:rsidRPr="003C745E" w:rsidRDefault="00C159F2" w:rsidP="00C159F2">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745E">
              <w:rPr>
                <w:sz w:val="18"/>
                <w:szCs w:val="18"/>
              </w:rPr>
              <w:t>∆NTU</w:t>
            </w:r>
          </w:p>
        </w:tc>
      </w:tr>
      <w:tr w:rsidR="00C159F2" w:rsidRPr="003C745E" w14:paraId="6013018A" w14:textId="77777777" w:rsidTr="00C1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vMerge/>
          </w:tcPr>
          <w:p w14:paraId="05762249" w14:textId="77777777" w:rsidR="00C159F2" w:rsidRPr="003C745E" w:rsidRDefault="00C159F2" w:rsidP="00C159F2">
            <w:pPr>
              <w:jc w:val="center"/>
              <w:rPr>
                <w:sz w:val="18"/>
                <w:szCs w:val="18"/>
              </w:rPr>
            </w:pPr>
          </w:p>
        </w:tc>
        <w:tc>
          <w:tcPr>
            <w:tcW w:w="722" w:type="dxa"/>
          </w:tcPr>
          <w:p w14:paraId="200DEE6A" w14:textId="207996FE" w:rsidR="00C159F2" w:rsidRPr="003C745E" w:rsidRDefault="00EC3099" w:rsidP="00C159F2">
            <w:pP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 xml:space="preserve">Wine </w:t>
            </w:r>
          </w:p>
        </w:tc>
        <w:tc>
          <w:tcPr>
            <w:tcW w:w="709" w:type="dxa"/>
          </w:tcPr>
          <w:p w14:paraId="51800C35"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C745E">
              <w:rPr>
                <w:b/>
                <w:bCs/>
                <w:sz w:val="18"/>
                <w:szCs w:val="18"/>
              </w:rPr>
              <w:t>Gall</w:t>
            </w:r>
          </w:p>
        </w:tc>
        <w:tc>
          <w:tcPr>
            <w:tcW w:w="850" w:type="dxa"/>
          </w:tcPr>
          <w:p w14:paraId="386133D5"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Thè</w:t>
            </w:r>
          </w:p>
        </w:tc>
        <w:tc>
          <w:tcPr>
            <w:tcW w:w="709" w:type="dxa"/>
          </w:tcPr>
          <w:p w14:paraId="040E3F69"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C745E">
              <w:rPr>
                <w:b/>
                <w:bCs/>
                <w:sz w:val="18"/>
                <w:szCs w:val="18"/>
              </w:rPr>
              <w:t>Mix 1</w:t>
            </w:r>
          </w:p>
        </w:tc>
        <w:tc>
          <w:tcPr>
            <w:tcW w:w="709" w:type="dxa"/>
          </w:tcPr>
          <w:p w14:paraId="31A34822"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C745E">
              <w:rPr>
                <w:b/>
                <w:bCs/>
                <w:sz w:val="18"/>
                <w:szCs w:val="18"/>
              </w:rPr>
              <w:t>Mix 2</w:t>
            </w:r>
          </w:p>
        </w:tc>
      </w:tr>
      <w:tr w:rsidR="00C159F2" w:rsidRPr="003C745E" w14:paraId="1AF136BA" w14:textId="77777777" w:rsidTr="00C159F2">
        <w:tc>
          <w:tcPr>
            <w:cnfStyle w:val="001000000000" w:firstRow="0" w:lastRow="0" w:firstColumn="1" w:lastColumn="0" w:oddVBand="0" w:evenVBand="0" w:oddHBand="0" w:evenHBand="0" w:firstRowFirstColumn="0" w:firstRowLastColumn="0" w:lastRowFirstColumn="0" w:lastRowLastColumn="0"/>
            <w:tcW w:w="554" w:type="dxa"/>
          </w:tcPr>
          <w:p w14:paraId="542EE605" w14:textId="77777777" w:rsidR="00C159F2" w:rsidRPr="003C745E" w:rsidRDefault="00C159F2" w:rsidP="00C159F2">
            <w:pPr>
              <w:jc w:val="center"/>
              <w:rPr>
                <w:b w:val="0"/>
                <w:bCs w:val="0"/>
                <w:sz w:val="18"/>
                <w:szCs w:val="18"/>
              </w:rPr>
            </w:pPr>
            <w:r w:rsidRPr="003C745E">
              <w:rPr>
                <w:sz w:val="18"/>
                <w:szCs w:val="18"/>
              </w:rPr>
              <w:t>U</w:t>
            </w:r>
            <w:r w:rsidRPr="003C745E">
              <w:rPr>
                <w:b w:val="0"/>
                <w:bCs w:val="0"/>
                <w:sz w:val="18"/>
                <w:szCs w:val="18"/>
              </w:rPr>
              <w:t>W</w:t>
            </w:r>
          </w:p>
        </w:tc>
        <w:tc>
          <w:tcPr>
            <w:tcW w:w="722" w:type="dxa"/>
          </w:tcPr>
          <w:p w14:paraId="263B3452" w14:textId="77777777" w:rsidR="00C159F2" w:rsidRPr="003C745E" w:rsidRDefault="00C159F2" w:rsidP="00C159F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20,6</w:t>
            </w:r>
          </w:p>
        </w:tc>
        <w:tc>
          <w:tcPr>
            <w:tcW w:w="709" w:type="dxa"/>
          </w:tcPr>
          <w:p w14:paraId="4852F3D9" w14:textId="77777777" w:rsidR="00C159F2" w:rsidRPr="003C745E" w:rsidRDefault="00C159F2" w:rsidP="00C15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C745E">
              <w:rPr>
                <w:sz w:val="18"/>
                <w:szCs w:val="18"/>
              </w:rPr>
              <w:t>117,8</w:t>
            </w:r>
          </w:p>
        </w:tc>
        <w:tc>
          <w:tcPr>
            <w:tcW w:w="850" w:type="dxa"/>
          </w:tcPr>
          <w:p w14:paraId="31619F4E" w14:textId="6B136C13" w:rsidR="00C159F2" w:rsidRPr="003C745E" w:rsidRDefault="00C159F2" w:rsidP="00C159F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34,2</w:t>
            </w:r>
          </w:p>
        </w:tc>
        <w:tc>
          <w:tcPr>
            <w:tcW w:w="709" w:type="dxa"/>
          </w:tcPr>
          <w:p w14:paraId="09293427" w14:textId="77777777" w:rsidR="00C159F2" w:rsidRPr="003C745E" w:rsidRDefault="00C159F2" w:rsidP="00C15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C745E">
              <w:rPr>
                <w:sz w:val="18"/>
                <w:szCs w:val="18"/>
              </w:rPr>
              <w:t>74,5</w:t>
            </w:r>
          </w:p>
        </w:tc>
        <w:tc>
          <w:tcPr>
            <w:tcW w:w="709" w:type="dxa"/>
          </w:tcPr>
          <w:p w14:paraId="0CC27438" w14:textId="77777777" w:rsidR="00C159F2" w:rsidRPr="003C745E" w:rsidRDefault="00C159F2" w:rsidP="00C15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C745E">
              <w:rPr>
                <w:sz w:val="18"/>
                <w:szCs w:val="18"/>
              </w:rPr>
              <w:t>71,8</w:t>
            </w:r>
          </w:p>
        </w:tc>
      </w:tr>
      <w:tr w:rsidR="00C159F2" w:rsidRPr="003C745E" w14:paraId="1C0BB49B" w14:textId="77777777" w:rsidTr="00C1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32CD41C2" w14:textId="77777777" w:rsidR="00C159F2" w:rsidRPr="003C745E" w:rsidRDefault="00C159F2" w:rsidP="00C159F2">
            <w:pPr>
              <w:jc w:val="center"/>
              <w:rPr>
                <w:b w:val="0"/>
                <w:bCs w:val="0"/>
                <w:sz w:val="18"/>
                <w:szCs w:val="18"/>
              </w:rPr>
            </w:pPr>
            <w:r w:rsidRPr="003C745E">
              <w:rPr>
                <w:sz w:val="18"/>
                <w:szCs w:val="18"/>
              </w:rPr>
              <w:t>S</w:t>
            </w:r>
            <w:r w:rsidRPr="003C745E">
              <w:rPr>
                <w:b w:val="0"/>
                <w:bCs w:val="0"/>
                <w:sz w:val="18"/>
                <w:szCs w:val="18"/>
              </w:rPr>
              <w:t>W</w:t>
            </w:r>
          </w:p>
        </w:tc>
        <w:tc>
          <w:tcPr>
            <w:tcW w:w="722" w:type="dxa"/>
          </w:tcPr>
          <w:p w14:paraId="07606E32" w14:textId="176E3A2F"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w:t>
            </w:r>
          </w:p>
        </w:tc>
        <w:tc>
          <w:tcPr>
            <w:tcW w:w="709" w:type="dxa"/>
          </w:tcPr>
          <w:p w14:paraId="197028EB"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745E">
              <w:rPr>
                <w:sz w:val="18"/>
                <w:szCs w:val="18"/>
              </w:rPr>
              <w:t>-0,2</w:t>
            </w:r>
          </w:p>
        </w:tc>
        <w:tc>
          <w:tcPr>
            <w:tcW w:w="850" w:type="dxa"/>
          </w:tcPr>
          <w:p w14:paraId="7EDE6E0C" w14:textId="7ABACB3A"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w:t>
            </w:r>
          </w:p>
        </w:tc>
        <w:tc>
          <w:tcPr>
            <w:tcW w:w="709" w:type="dxa"/>
          </w:tcPr>
          <w:p w14:paraId="3630C8C8" w14:textId="77777777"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745E">
              <w:rPr>
                <w:sz w:val="18"/>
                <w:szCs w:val="18"/>
              </w:rPr>
              <w:t>7,35</w:t>
            </w:r>
          </w:p>
        </w:tc>
        <w:tc>
          <w:tcPr>
            <w:tcW w:w="709" w:type="dxa"/>
          </w:tcPr>
          <w:p w14:paraId="08937567" w14:textId="6326066B" w:rsidR="00C159F2" w:rsidRPr="003C745E" w:rsidRDefault="00C159F2" w:rsidP="00C15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745E">
              <w:rPr>
                <w:sz w:val="18"/>
                <w:szCs w:val="18"/>
              </w:rPr>
              <w:t>2,2</w:t>
            </w:r>
          </w:p>
        </w:tc>
      </w:tr>
    </w:tbl>
    <w:bookmarkEnd w:id="0"/>
    <w:p w14:paraId="0D8A6F27" w14:textId="710887A7" w:rsidR="00984469" w:rsidRDefault="005C449B" w:rsidP="005C449B">
      <w:pPr>
        <w:jc w:val="both"/>
        <w:rPr>
          <w:lang w:val="en-GB"/>
        </w:rPr>
      </w:pPr>
      <w:r>
        <w:rPr>
          <w:lang w:val="en-GB"/>
        </w:rPr>
        <w:t xml:space="preserve">The tannin-protein interaction is deeply studied for red wines but when we talk about white wines there are less information. Table 1 shows the different response of the wine after the adding </w:t>
      </w:r>
      <w:r w:rsidR="00C3268C">
        <w:rPr>
          <w:lang w:val="en-GB"/>
        </w:rPr>
        <w:t>of</w:t>
      </w:r>
      <w:r>
        <w:rPr>
          <w:lang w:val="en-GB"/>
        </w:rPr>
        <w:t xml:space="preserve"> oenological tannins in stable and unstable wine</w:t>
      </w:r>
      <w:r w:rsidR="00677E09">
        <w:rPr>
          <w:lang w:val="en-GB"/>
        </w:rPr>
        <w:t xml:space="preserve"> and the consequent heat treatment</w:t>
      </w:r>
      <w:r>
        <w:rPr>
          <w:lang w:val="en-GB"/>
        </w:rPr>
        <w:t>. Data can be explained in this way, if the ad</w:t>
      </w:r>
      <w:r w:rsidR="00AC3B0C">
        <w:rPr>
          <w:lang w:val="en-GB"/>
        </w:rPr>
        <w:t>dition</w:t>
      </w:r>
      <w:r>
        <w:rPr>
          <w:lang w:val="en-GB"/>
        </w:rPr>
        <w:t xml:space="preserve"> is </w:t>
      </w:r>
      <w:r w:rsidR="000F5389">
        <w:rPr>
          <w:lang w:val="en-GB"/>
        </w:rPr>
        <w:t>made</w:t>
      </w:r>
      <w:r>
        <w:rPr>
          <w:lang w:val="en-GB"/>
        </w:rPr>
        <w:t xml:space="preserve"> in an unstable wine, oenological tannins react with the more reactive protein fraction that is already present in wine and the increment of turbidity is consequently higher. Instead, when the oenological tannins are </w:t>
      </w:r>
      <w:r w:rsidR="00C3268C">
        <w:rPr>
          <w:lang w:val="en-GB"/>
        </w:rPr>
        <w:t>added</w:t>
      </w:r>
      <w:r>
        <w:rPr>
          <w:lang w:val="en-GB"/>
        </w:rPr>
        <w:t xml:space="preserve"> in a stabilized wine, this phenolic fraction creates a less</w:t>
      </w:r>
      <w:r w:rsidR="00CE6B1C">
        <w:rPr>
          <w:lang w:val="en-GB"/>
        </w:rPr>
        <w:t>er</w:t>
      </w:r>
      <w:r>
        <w:rPr>
          <w:lang w:val="en-GB"/>
        </w:rPr>
        <w:t xml:space="preserve"> incr</w:t>
      </w:r>
      <w:r w:rsidR="00CE6B1C">
        <w:rPr>
          <w:lang w:val="en-GB"/>
        </w:rPr>
        <w:t>ease</w:t>
      </w:r>
      <w:r>
        <w:rPr>
          <w:lang w:val="en-GB"/>
        </w:rPr>
        <w:t xml:space="preserve"> of </w:t>
      </w:r>
      <w:r w:rsidR="00D97E55">
        <w:rPr>
          <w:lang w:val="en-GB"/>
        </w:rPr>
        <w:t>turbidity,</w:t>
      </w:r>
      <w:r>
        <w:rPr>
          <w:lang w:val="en-GB"/>
        </w:rPr>
        <w:t xml:space="preserve"> and we can say that in this way</w:t>
      </w:r>
      <w:r w:rsidR="00FB6FE0">
        <w:rPr>
          <w:lang w:val="en-GB"/>
        </w:rPr>
        <w:t xml:space="preserve"> </w:t>
      </w:r>
      <w:r w:rsidR="003C745E">
        <w:rPr>
          <w:lang w:val="en-GB"/>
        </w:rPr>
        <w:t xml:space="preserve">these </w:t>
      </w:r>
      <w:r w:rsidR="00C3268C">
        <w:rPr>
          <w:lang w:val="en-GB"/>
        </w:rPr>
        <w:t>adjuvants</w:t>
      </w:r>
      <w:r>
        <w:rPr>
          <w:lang w:val="en-GB"/>
        </w:rPr>
        <w:t xml:space="preserve"> </w:t>
      </w:r>
      <w:r w:rsidR="00C159F2">
        <w:rPr>
          <w:lang w:val="en-GB"/>
        </w:rPr>
        <w:t xml:space="preserve">            </w:t>
      </w:r>
      <w:r w:rsidR="00C159F2" w:rsidRPr="003653F6">
        <w:rPr>
          <w:b/>
          <w:bCs/>
          <w:i/>
          <w:iCs/>
          <w:sz w:val="18"/>
          <w:szCs w:val="18"/>
          <w:lang w:val="en-GB"/>
        </w:rPr>
        <w:t xml:space="preserve">Table 1. </w:t>
      </w:r>
      <w:r w:rsidR="00C159F2" w:rsidRPr="003653F6">
        <w:rPr>
          <w:i/>
          <w:iCs/>
          <w:sz w:val="18"/>
          <w:szCs w:val="18"/>
          <w:lang w:val="en-GB"/>
        </w:rPr>
        <w:t>Differences of NTU pre and post heat treat</w:t>
      </w:r>
      <w:r w:rsidR="00C159F2">
        <w:rPr>
          <w:i/>
          <w:iCs/>
          <w:sz w:val="18"/>
          <w:szCs w:val="18"/>
          <w:lang w:val="en-GB"/>
        </w:rPr>
        <w:t>ment</w:t>
      </w:r>
      <w:r w:rsidR="005C7931">
        <w:rPr>
          <w:i/>
          <w:iCs/>
          <w:sz w:val="18"/>
          <w:szCs w:val="18"/>
          <w:lang w:val="en-GB"/>
        </w:rPr>
        <w:tab/>
        <w:t xml:space="preserve">    </w:t>
      </w:r>
      <w:r>
        <w:rPr>
          <w:lang w:val="en-GB"/>
        </w:rPr>
        <w:t xml:space="preserve">can exploit their action </w:t>
      </w:r>
      <w:r w:rsidR="002C6060">
        <w:rPr>
          <w:lang w:val="en-GB"/>
        </w:rPr>
        <w:t xml:space="preserve">by </w:t>
      </w:r>
      <w:r w:rsidR="00965F7F">
        <w:rPr>
          <w:lang w:val="en-GB"/>
        </w:rPr>
        <w:t>regulating</w:t>
      </w:r>
      <w:r>
        <w:rPr>
          <w:lang w:val="en-GB"/>
        </w:rPr>
        <w:t xml:space="preserve"> redox potential.</w:t>
      </w:r>
      <w:r w:rsidR="00C571D1">
        <w:rPr>
          <w:lang w:val="en-GB"/>
        </w:rPr>
        <w:t xml:space="preserve">               </w:t>
      </w:r>
      <w:r w:rsidR="00C571D1" w:rsidRPr="003653F6">
        <w:rPr>
          <w:i/>
          <w:iCs/>
          <w:sz w:val="18"/>
          <w:szCs w:val="18"/>
          <w:lang w:val="en-GB"/>
        </w:rPr>
        <w:t>of the wines</w:t>
      </w:r>
      <w:r w:rsidR="003B1CCA">
        <w:rPr>
          <w:i/>
          <w:iCs/>
          <w:sz w:val="18"/>
          <w:szCs w:val="18"/>
          <w:lang w:val="en-GB"/>
        </w:rPr>
        <w:t xml:space="preserve">. </w:t>
      </w:r>
      <w:r w:rsidR="00EC3099">
        <w:rPr>
          <w:i/>
          <w:iCs/>
          <w:sz w:val="18"/>
          <w:szCs w:val="18"/>
          <w:lang w:val="en-GB"/>
        </w:rPr>
        <w:t>Wine = UW and SW without tannins</w:t>
      </w:r>
      <w:r w:rsidR="00C571D1">
        <w:rPr>
          <w:lang w:val="en-GB"/>
        </w:rPr>
        <w:t xml:space="preserve">                                                         </w:t>
      </w:r>
    </w:p>
    <w:p w14:paraId="45CFFF23" w14:textId="77777777" w:rsidR="003C745E" w:rsidRDefault="003C745E" w:rsidP="00F53410">
      <w:pPr>
        <w:pStyle w:val="Titolo2"/>
        <w:jc w:val="both"/>
        <w:rPr>
          <w:b/>
          <w:bCs/>
          <w:sz w:val="20"/>
          <w:szCs w:val="12"/>
          <w:lang w:val="en-US"/>
        </w:rPr>
      </w:pPr>
    </w:p>
    <w:p w14:paraId="3425C5AA" w14:textId="72299F17" w:rsidR="000801C5" w:rsidRDefault="00F53410" w:rsidP="00F53410">
      <w:pPr>
        <w:pStyle w:val="Titolo2"/>
        <w:jc w:val="both"/>
        <w:rPr>
          <w:b/>
          <w:bCs/>
          <w:sz w:val="20"/>
          <w:lang w:val="en-US"/>
        </w:rPr>
      </w:pPr>
      <w:r w:rsidRPr="00F53410">
        <w:rPr>
          <w:b/>
          <w:bCs/>
          <w:sz w:val="20"/>
          <w:szCs w:val="12"/>
          <w:lang w:val="en-US"/>
        </w:rPr>
        <w:t xml:space="preserve">3.2 </w:t>
      </w:r>
      <w:r w:rsidRPr="00F53410">
        <w:rPr>
          <w:b/>
          <w:bCs/>
          <w:sz w:val="20"/>
          <w:lang w:val="en-US"/>
        </w:rPr>
        <w:t>Different behaviors of the same oenological tannin in different wines</w:t>
      </w:r>
    </w:p>
    <w:p w14:paraId="6586774A" w14:textId="3824223E" w:rsidR="008874D5" w:rsidRDefault="00907976" w:rsidP="00907976">
      <w:pPr>
        <w:ind w:left="5672"/>
        <w:jc w:val="both"/>
        <w:rPr>
          <w:lang w:val="en-US"/>
        </w:rPr>
      </w:pPr>
      <w:r>
        <w:rPr>
          <w:noProof/>
        </w:rPr>
        <w:drawing>
          <wp:anchor distT="0" distB="0" distL="114300" distR="114300" simplePos="0" relativeHeight="251663360" behindDoc="1" locked="0" layoutInCell="1" allowOverlap="1" wp14:anchorId="1E019A69" wp14:editId="1933A747">
            <wp:simplePos x="0" y="0"/>
            <wp:positionH relativeFrom="margin">
              <wp:align>left</wp:align>
            </wp:positionH>
            <wp:positionV relativeFrom="paragraph">
              <wp:posOffset>40005</wp:posOffset>
            </wp:positionV>
            <wp:extent cx="3582035" cy="2339975"/>
            <wp:effectExtent l="0" t="0" r="0" b="3175"/>
            <wp:wrapTight wrapText="bothSides">
              <wp:wrapPolygon edited="0">
                <wp:start x="0" y="0"/>
                <wp:lineTo x="0" y="21453"/>
                <wp:lineTo x="21481" y="21453"/>
                <wp:lineTo x="21481" y="0"/>
                <wp:lineTo x="0" y="0"/>
              </wp:wrapPolygon>
            </wp:wrapTight>
            <wp:docPr id="689039273" name="Grafico 1">
              <a:extLst xmlns:a="http://schemas.openxmlformats.org/drawingml/2006/main">
                <a:ext uri="{FF2B5EF4-FFF2-40B4-BE49-F238E27FC236}">
                  <a16:creationId xmlns:a16="http://schemas.microsoft.com/office/drawing/2014/main" id="{1572CDA0-961E-8EE9-47EE-F96C355F2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74311" w:rsidRPr="00674311">
        <w:rPr>
          <w:lang w:val="en-GB"/>
        </w:rPr>
        <w:t>Fig</w:t>
      </w:r>
      <w:r w:rsidR="00686415">
        <w:rPr>
          <w:lang w:val="en-GB"/>
        </w:rPr>
        <w:t>.</w:t>
      </w:r>
      <w:r w:rsidR="00674311" w:rsidRPr="00674311">
        <w:rPr>
          <w:lang w:val="en-GB"/>
        </w:rPr>
        <w:t xml:space="preserve"> 2 presents the voltammograms </w:t>
      </w:r>
      <w:r w:rsidR="00B34976">
        <w:rPr>
          <w:lang w:val="en-GB"/>
        </w:rPr>
        <w:t>illustrating</w:t>
      </w:r>
      <w:r w:rsidR="00674311" w:rsidRPr="00674311">
        <w:rPr>
          <w:lang w:val="en-GB"/>
        </w:rPr>
        <w:t xml:space="preserve"> the </w:t>
      </w:r>
      <w:r w:rsidR="00686415" w:rsidRPr="00674311">
        <w:rPr>
          <w:lang w:val="en-GB"/>
        </w:rPr>
        <w:t>behaviour</w:t>
      </w:r>
      <w:r w:rsidR="00674311" w:rsidRPr="00674311">
        <w:rPr>
          <w:lang w:val="en-GB"/>
        </w:rPr>
        <w:t xml:space="preserve"> of a particular tannin in various mediums. It is evident from the results that the introduction of gall tannin elevates the potential of the wine, while no noticeable disparity is observed between the two wine types. This observation appears</w:t>
      </w:r>
      <w:r w:rsidR="00E1711D">
        <w:rPr>
          <w:lang w:val="en-GB"/>
        </w:rPr>
        <w:t xml:space="preserve"> </w:t>
      </w:r>
      <w:r w:rsidR="00674311" w:rsidRPr="00674311">
        <w:rPr>
          <w:lang w:val="en-GB"/>
        </w:rPr>
        <w:t xml:space="preserve">counterintuitive since the presence of abundant unstable proteins in UW would typically lead to a reduction in the curve. However, it is important to note that the absence of a direct correlation at this </w:t>
      </w:r>
      <w:r w:rsidR="00113C2C">
        <w:rPr>
          <w:lang w:val="en-GB"/>
        </w:rPr>
        <w:t>moment</w:t>
      </w:r>
      <w:r w:rsidR="00674311" w:rsidRPr="00674311">
        <w:rPr>
          <w:lang w:val="en-GB"/>
        </w:rPr>
        <w:t xml:space="preserve"> may be attributed to the possibility that a longer duration is required for the tannin to establish </w:t>
      </w:r>
      <w:r w:rsidR="008A09CE">
        <w:rPr>
          <w:lang w:val="en-GB"/>
        </w:rPr>
        <w:t>binding</w:t>
      </w:r>
      <w:r w:rsidR="00674311" w:rsidRPr="00674311">
        <w:rPr>
          <w:lang w:val="en-GB"/>
        </w:rPr>
        <w:t xml:space="preserve"> and effectively </w:t>
      </w:r>
      <w:r w:rsidR="00113C2C" w:rsidRPr="00674311">
        <w:rPr>
          <w:lang w:val="en-GB"/>
        </w:rPr>
        <w:t>fulfil</w:t>
      </w:r>
      <w:r w:rsidR="00674311" w:rsidRPr="00674311">
        <w:rPr>
          <w:lang w:val="en-GB"/>
        </w:rPr>
        <w:t xml:space="preserve"> its intended role</w:t>
      </w:r>
      <w:r w:rsidR="001E79AA">
        <w:rPr>
          <w:lang w:val="en-US"/>
        </w:rPr>
        <w:t xml:space="preserve">. </w:t>
      </w:r>
      <w:r w:rsidR="009636D1">
        <w:rPr>
          <w:lang w:val="en-US"/>
        </w:rPr>
        <w:t xml:space="preserve"> </w:t>
      </w:r>
      <w:r w:rsidR="00A97F5D">
        <w:rPr>
          <w:lang w:val="en-US"/>
        </w:rPr>
        <w:t xml:space="preserve"> </w:t>
      </w:r>
      <w:r w:rsidR="00D01E82">
        <w:rPr>
          <w:lang w:val="en-US"/>
        </w:rPr>
        <w:t xml:space="preserve">                                                          </w:t>
      </w:r>
    </w:p>
    <w:p w14:paraId="369C12AF" w14:textId="4CB9DF16" w:rsidR="00512D9B" w:rsidRDefault="009C252E" w:rsidP="005C449B">
      <w:pPr>
        <w:rPr>
          <w:lang w:val="en-US"/>
        </w:rPr>
      </w:pPr>
      <w:r w:rsidRPr="00E76F39">
        <w:rPr>
          <w:b/>
          <w:i/>
          <w:iCs/>
          <w:sz w:val="18"/>
          <w:szCs w:val="18"/>
          <w:lang w:val="en-GB"/>
        </w:rPr>
        <w:t>Fig 2</w:t>
      </w:r>
      <w:r w:rsidR="00E76F39">
        <w:rPr>
          <w:b/>
          <w:sz w:val="18"/>
          <w:szCs w:val="18"/>
          <w:lang w:val="en-GB"/>
        </w:rPr>
        <w:t>.</w:t>
      </w:r>
      <w:r>
        <w:rPr>
          <w:b/>
          <w:sz w:val="18"/>
          <w:szCs w:val="18"/>
          <w:lang w:val="en-GB"/>
        </w:rPr>
        <w:t xml:space="preserve"> </w:t>
      </w:r>
      <w:r>
        <w:rPr>
          <w:sz w:val="18"/>
          <w:szCs w:val="18"/>
          <w:lang w:val="en-GB"/>
        </w:rPr>
        <w:t xml:space="preserve"> </w:t>
      </w:r>
      <w:r>
        <w:rPr>
          <w:i/>
          <w:iCs/>
          <w:sz w:val="18"/>
          <w:szCs w:val="18"/>
          <w:lang w:val="en-GB"/>
        </w:rPr>
        <w:t>Voltammograms of the same gall tannins in different med</w:t>
      </w:r>
      <w:r w:rsidR="003A105A">
        <w:rPr>
          <w:i/>
          <w:iCs/>
          <w:sz w:val="18"/>
          <w:szCs w:val="18"/>
          <w:lang w:val="en-GB"/>
        </w:rPr>
        <w:t>i</w:t>
      </w:r>
      <w:r w:rsidR="00631B01">
        <w:rPr>
          <w:i/>
          <w:iCs/>
          <w:sz w:val="18"/>
          <w:szCs w:val="18"/>
          <w:lang w:val="en-GB"/>
        </w:rPr>
        <w:t>ums</w:t>
      </w:r>
      <w:r w:rsidR="005E4AF3">
        <w:rPr>
          <w:i/>
          <w:iCs/>
          <w:sz w:val="18"/>
          <w:szCs w:val="18"/>
          <w:lang w:val="en-GB"/>
        </w:rPr>
        <w:t>.</w:t>
      </w:r>
      <w:r>
        <w:rPr>
          <w:i/>
          <w:iCs/>
          <w:sz w:val="18"/>
          <w:szCs w:val="18"/>
          <w:lang w:val="en-GB"/>
        </w:rPr>
        <w:t xml:space="preserve"> </w:t>
      </w:r>
      <w:r w:rsidR="005C449B">
        <w:rPr>
          <w:lang w:val="en-US"/>
        </w:rPr>
        <w:t xml:space="preserve">                                                                                                                              </w:t>
      </w:r>
    </w:p>
    <w:p w14:paraId="3205B1B8" w14:textId="77777777" w:rsidR="00411777" w:rsidRDefault="00411777" w:rsidP="009C5698">
      <w:pPr>
        <w:pStyle w:val="Titolo1"/>
        <w:spacing w:before="0"/>
        <w:ind w:right="0"/>
        <w:jc w:val="both"/>
        <w:rPr>
          <w:b/>
          <w:bCs/>
          <w:color w:val="000000"/>
          <w:sz w:val="24"/>
          <w:lang w:val="en-GB"/>
        </w:rPr>
      </w:pPr>
    </w:p>
    <w:p w14:paraId="4A28FD62" w14:textId="626E06BF" w:rsidR="00512D9B" w:rsidRDefault="00FB589C" w:rsidP="009C5698">
      <w:pPr>
        <w:pStyle w:val="Titolo1"/>
        <w:spacing w:before="0"/>
        <w:ind w:right="0"/>
        <w:jc w:val="both"/>
        <w:rPr>
          <w:b/>
          <w:bCs/>
          <w:color w:val="000000"/>
          <w:sz w:val="24"/>
          <w:lang w:val="en-GB"/>
        </w:rPr>
      </w:pPr>
      <w:r>
        <w:rPr>
          <w:b/>
          <w:bCs/>
          <w:color w:val="000000"/>
          <w:sz w:val="24"/>
          <w:lang w:val="en-GB"/>
        </w:rPr>
        <w:t>4. References</w:t>
      </w:r>
    </w:p>
    <w:p w14:paraId="3B29E780" w14:textId="6C6D8B7F" w:rsidR="000446FE" w:rsidRPr="004269D5" w:rsidRDefault="00EF6097" w:rsidP="000446FE">
      <w:pPr>
        <w:autoSpaceDE w:val="0"/>
        <w:autoSpaceDN w:val="0"/>
        <w:adjustRightInd w:val="0"/>
        <w:ind w:left="480" w:hanging="480"/>
        <w:rPr>
          <w:noProof/>
          <w:sz w:val="18"/>
          <w:szCs w:val="24"/>
          <w:lang w:val="en-GB"/>
        </w:rPr>
      </w:pPr>
      <w:r w:rsidRPr="00B52BEE">
        <w:rPr>
          <w:sz w:val="18"/>
          <w:szCs w:val="18"/>
        </w:rPr>
        <w:fldChar w:fldCharType="begin" w:fldLock="1"/>
      </w:r>
      <w:r w:rsidRPr="00B52BEE">
        <w:rPr>
          <w:sz w:val="18"/>
          <w:szCs w:val="18"/>
          <w:lang w:val="en-GB"/>
        </w:rPr>
        <w:instrText xml:space="preserve">ADDIN Mendeley Bibliography CSL_BIBLIOGRAPHY </w:instrText>
      </w:r>
      <w:r w:rsidRPr="00B52BEE">
        <w:rPr>
          <w:sz w:val="18"/>
          <w:szCs w:val="18"/>
        </w:rPr>
        <w:fldChar w:fldCharType="separate"/>
      </w:r>
      <w:r w:rsidR="000446FE" w:rsidRPr="004269D5">
        <w:rPr>
          <w:noProof/>
          <w:sz w:val="18"/>
          <w:szCs w:val="24"/>
          <w:lang w:val="en-GB"/>
        </w:rPr>
        <w:t xml:space="preserve">Cliff, M. A., Stanich, K., Edwards, J. E., &amp; Saucier, C. T. (2012). Adding Grape Seed Extract to Wine Affects Astringency and Other Sensory Attributes. </w:t>
      </w:r>
      <w:r w:rsidR="000446FE" w:rsidRPr="004269D5">
        <w:rPr>
          <w:i/>
          <w:iCs/>
          <w:noProof/>
          <w:sz w:val="18"/>
          <w:szCs w:val="24"/>
          <w:lang w:val="en-GB"/>
        </w:rPr>
        <w:t>Journal of Food Quality</w:t>
      </w:r>
      <w:r w:rsidR="000446FE" w:rsidRPr="004269D5">
        <w:rPr>
          <w:noProof/>
          <w:sz w:val="18"/>
          <w:szCs w:val="24"/>
          <w:lang w:val="en-GB"/>
        </w:rPr>
        <w:t xml:space="preserve">, </w:t>
      </w:r>
      <w:r w:rsidR="000446FE" w:rsidRPr="004269D5">
        <w:rPr>
          <w:i/>
          <w:iCs/>
          <w:noProof/>
          <w:sz w:val="18"/>
          <w:szCs w:val="24"/>
          <w:lang w:val="en-GB"/>
        </w:rPr>
        <w:t>35</w:t>
      </w:r>
      <w:r w:rsidR="000446FE" w:rsidRPr="004269D5">
        <w:rPr>
          <w:noProof/>
          <w:sz w:val="18"/>
          <w:szCs w:val="24"/>
          <w:lang w:val="en-GB"/>
        </w:rPr>
        <w:t>(4), 263–271. https://doi.org/10.1111/j.1745-4557.2012.00448.x</w:t>
      </w:r>
    </w:p>
    <w:p w14:paraId="51A2E806" w14:textId="77777777" w:rsidR="000446FE" w:rsidRPr="000446FE" w:rsidRDefault="000446FE" w:rsidP="000446FE">
      <w:pPr>
        <w:autoSpaceDE w:val="0"/>
        <w:autoSpaceDN w:val="0"/>
        <w:adjustRightInd w:val="0"/>
        <w:ind w:left="480" w:hanging="480"/>
        <w:rPr>
          <w:noProof/>
          <w:sz w:val="18"/>
          <w:szCs w:val="24"/>
        </w:rPr>
      </w:pPr>
      <w:r w:rsidRPr="004269D5">
        <w:rPr>
          <w:noProof/>
          <w:sz w:val="18"/>
          <w:szCs w:val="24"/>
          <w:lang w:val="en-GB"/>
        </w:rPr>
        <w:t xml:space="preserve">Harbertson, J. F., Parpinello, G. P., Heymann, H., &amp; Downey, M. O. (2012). Impact of exogenous tannin additions on wine chemistry and wine sensory character. </w:t>
      </w:r>
      <w:r w:rsidRPr="000446FE">
        <w:rPr>
          <w:i/>
          <w:iCs/>
          <w:noProof/>
          <w:sz w:val="18"/>
          <w:szCs w:val="24"/>
        </w:rPr>
        <w:t>Food Chemistry</w:t>
      </w:r>
      <w:r w:rsidRPr="000446FE">
        <w:rPr>
          <w:noProof/>
          <w:sz w:val="18"/>
          <w:szCs w:val="24"/>
        </w:rPr>
        <w:t xml:space="preserve">, </w:t>
      </w:r>
      <w:r w:rsidRPr="000446FE">
        <w:rPr>
          <w:i/>
          <w:iCs/>
          <w:noProof/>
          <w:sz w:val="18"/>
          <w:szCs w:val="24"/>
        </w:rPr>
        <w:t>131</w:t>
      </w:r>
      <w:r w:rsidRPr="000446FE">
        <w:rPr>
          <w:noProof/>
          <w:sz w:val="18"/>
          <w:szCs w:val="24"/>
        </w:rPr>
        <w:t>(3), 999–1008. https://doi.org/10.1016/j.foodchem.2011.09.101</w:t>
      </w:r>
    </w:p>
    <w:p w14:paraId="71AC15CE" w14:textId="77777777" w:rsidR="000446FE" w:rsidRPr="004269D5" w:rsidRDefault="000446FE" w:rsidP="000446FE">
      <w:pPr>
        <w:autoSpaceDE w:val="0"/>
        <w:autoSpaceDN w:val="0"/>
        <w:adjustRightInd w:val="0"/>
        <w:ind w:left="480" w:hanging="480"/>
        <w:rPr>
          <w:noProof/>
          <w:sz w:val="18"/>
          <w:szCs w:val="24"/>
          <w:lang w:val="en-GB"/>
        </w:rPr>
      </w:pPr>
      <w:r w:rsidRPr="000446FE">
        <w:rPr>
          <w:noProof/>
          <w:sz w:val="18"/>
          <w:szCs w:val="24"/>
        </w:rPr>
        <w:t xml:space="preserve">Laghi, L., Parpinello, G. P., Rio, D. Del, Calani, L., Mattioli, A. U., &amp; Versari, A. (2010). </w:t>
      </w:r>
      <w:r w:rsidRPr="004269D5">
        <w:rPr>
          <w:noProof/>
          <w:sz w:val="18"/>
          <w:szCs w:val="24"/>
          <w:lang w:val="en-GB"/>
        </w:rPr>
        <w:t xml:space="preserve">Fingerprint of enological tannins by multiple techniques approach. </w:t>
      </w:r>
      <w:r w:rsidRPr="004269D5">
        <w:rPr>
          <w:i/>
          <w:iCs/>
          <w:noProof/>
          <w:sz w:val="18"/>
          <w:szCs w:val="24"/>
          <w:lang w:val="en-GB"/>
        </w:rPr>
        <w:t>Food Chemistry</w:t>
      </w:r>
      <w:r w:rsidRPr="004269D5">
        <w:rPr>
          <w:noProof/>
          <w:sz w:val="18"/>
          <w:szCs w:val="24"/>
          <w:lang w:val="en-GB"/>
        </w:rPr>
        <w:t xml:space="preserve">, </w:t>
      </w:r>
      <w:r w:rsidRPr="004269D5">
        <w:rPr>
          <w:i/>
          <w:iCs/>
          <w:noProof/>
          <w:sz w:val="18"/>
          <w:szCs w:val="24"/>
          <w:lang w:val="en-GB"/>
        </w:rPr>
        <w:t>121</w:t>
      </w:r>
      <w:r w:rsidRPr="004269D5">
        <w:rPr>
          <w:noProof/>
          <w:sz w:val="18"/>
          <w:szCs w:val="24"/>
          <w:lang w:val="en-GB"/>
        </w:rPr>
        <w:t>(3), 783–788. https://doi.org/10.1016/j.foodchem.2010.01.002</w:t>
      </w:r>
    </w:p>
    <w:p w14:paraId="71CD61B1" w14:textId="77777777" w:rsidR="000446FE" w:rsidRPr="004269D5" w:rsidRDefault="000446FE" w:rsidP="000446FE">
      <w:pPr>
        <w:autoSpaceDE w:val="0"/>
        <w:autoSpaceDN w:val="0"/>
        <w:adjustRightInd w:val="0"/>
        <w:ind w:left="480" w:hanging="480"/>
        <w:rPr>
          <w:noProof/>
          <w:sz w:val="18"/>
          <w:szCs w:val="24"/>
          <w:lang w:val="en-GB"/>
        </w:rPr>
      </w:pPr>
      <w:r w:rsidRPr="004269D5">
        <w:rPr>
          <w:noProof/>
          <w:sz w:val="18"/>
          <w:szCs w:val="24"/>
          <w:lang w:val="es-ES"/>
        </w:rPr>
        <w:t xml:space="preserve">Magalhães, L. M., Ramos, I. I., Reis, S., &amp; Segundo, M. A. (2014). </w:t>
      </w:r>
      <w:r w:rsidRPr="004269D5">
        <w:rPr>
          <w:noProof/>
          <w:sz w:val="18"/>
          <w:szCs w:val="24"/>
          <w:lang w:val="en-GB"/>
        </w:rPr>
        <w:t xml:space="preserve">Antioxidant profile of commercial oenological tannins determined by multiple chemical assays. </w:t>
      </w:r>
      <w:r w:rsidRPr="004269D5">
        <w:rPr>
          <w:i/>
          <w:iCs/>
          <w:noProof/>
          <w:sz w:val="18"/>
          <w:szCs w:val="24"/>
          <w:lang w:val="en-GB"/>
        </w:rPr>
        <w:t>Australian Journal of Grape and Wine Research</w:t>
      </w:r>
      <w:r w:rsidRPr="004269D5">
        <w:rPr>
          <w:noProof/>
          <w:sz w:val="18"/>
          <w:szCs w:val="24"/>
          <w:lang w:val="en-GB"/>
        </w:rPr>
        <w:t xml:space="preserve">, </w:t>
      </w:r>
      <w:r w:rsidRPr="004269D5">
        <w:rPr>
          <w:i/>
          <w:iCs/>
          <w:noProof/>
          <w:sz w:val="18"/>
          <w:szCs w:val="24"/>
          <w:lang w:val="en-GB"/>
        </w:rPr>
        <w:t>20</w:t>
      </w:r>
      <w:r w:rsidRPr="004269D5">
        <w:rPr>
          <w:noProof/>
          <w:sz w:val="18"/>
          <w:szCs w:val="24"/>
          <w:lang w:val="en-GB"/>
        </w:rPr>
        <w:t>(1), 72–79. https://doi.org/10.1111/ajgw.12058</w:t>
      </w:r>
    </w:p>
    <w:p w14:paraId="1E571C23" w14:textId="4DFAF347" w:rsidR="00512D9B" w:rsidRPr="00B52BEE" w:rsidRDefault="000446FE" w:rsidP="007D5337">
      <w:pPr>
        <w:autoSpaceDE w:val="0"/>
        <w:autoSpaceDN w:val="0"/>
        <w:adjustRightInd w:val="0"/>
        <w:ind w:left="480" w:hanging="480"/>
        <w:rPr>
          <w:sz w:val="18"/>
          <w:szCs w:val="18"/>
        </w:rPr>
      </w:pPr>
      <w:r w:rsidRPr="000446FE">
        <w:rPr>
          <w:noProof/>
          <w:sz w:val="18"/>
          <w:szCs w:val="24"/>
        </w:rPr>
        <w:t xml:space="preserve">Simonetti, P., Pietta, P., &amp; Testolin, G. (1997). </w:t>
      </w:r>
      <w:r w:rsidRPr="004269D5">
        <w:rPr>
          <w:noProof/>
          <w:sz w:val="18"/>
          <w:szCs w:val="24"/>
          <w:lang w:val="en-GB"/>
        </w:rPr>
        <w:t xml:space="preserve">Polyphenol Content and Total Antioxidant Potential of Selected Italian Wines. </w:t>
      </w:r>
      <w:r w:rsidRPr="000446FE">
        <w:rPr>
          <w:i/>
          <w:iCs/>
          <w:noProof/>
          <w:sz w:val="18"/>
          <w:szCs w:val="24"/>
        </w:rPr>
        <w:t>Journal of Agricultural and Food Chemistry</w:t>
      </w:r>
      <w:r w:rsidRPr="000446FE">
        <w:rPr>
          <w:noProof/>
          <w:sz w:val="18"/>
          <w:szCs w:val="24"/>
        </w:rPr>
        <w:t xml:space="preserve">, </w:t>
      </w:r>
      <w:r w:rsidRPr="000446FE">
        <w:rPr>
          <w:i/>
          <w:iCs/>
          <w:noProof/>
          <w:sz w:val="18"/>
          <w:szCs w:val="24"/>
        </w:rPr>
        <w:t>45</w:t>
      </w:r>
      <w:r w:rsidRPr="000446FE">
        <w:rPr>
          <w:noProof/>
          <w:sz w:val="18"/>
          <w:szCs w:val="24"/>
        </w:rPr>
        <w:t>(4), 1152–1155. https://doi.org/10.1021/jf960705d</w:t>
      </w:r>
      <w:r w:rsidR="00EF6097" w:rsidRPr="00B52BEE">
        <w:rPr>
          <w:sz w:val="18"/>
          <w:szCs w:val="18"/>
        </w:rPr>
        <w:fldChar w:fldCharType="end"/>
      </w:r>
    </w:p>
    <w:sectPr w:rsidR="00512D9B" w:rsidRPr="00B52BEE">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BD5B" w14:textId="77777777" w:rsidR="008C4582" w:rsidRDefault="008C4582">
      <w:r>
        <w:separator/>
      </w:r>
    </w:p>
  </w:endnote>
  <w:endnote w:type="continuationSeparator" w:id="0">
    <w:p w14:paraId="68201FBB" w14:textId="77777777" w:rsidR="008C4582" w:rsidRDefault="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D15" w14:textId="77777777" w:rsidR="008C4582" w:rsidRDefault="008C4582">
      <w:r>
        <w:separator/>
      </w:r>
    </w:p>
  </w:footnote>
  <w:footnote w:type="continuationSeparator" w:id="0">
    <w:p w14:paraId="2340B4C9" w14:textId="77777777" w:rsidR="008C4582" w:rsidRDefault="008C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5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DC6C7D"/>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143355471">
    <w:abstractNumId w:val="3"/>
  </w:num>
  <w:num w:numId="2" w16cid:durableId="52198422">
    <w:abstractNumId w:val="2"/>
  </w:num>
  <w:num w:numId="3" w16cid:durableId="638606210">
    <w:abstractNumId w:val="1"/>
  </w:num>
  <w:num w:numId="4" w16cid:durableId="81849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327A1"/>
    <w:rsid w:val="000446FE"/>
    <w:rsid w:val="000646C5"/>
    <w:rsid w:val="000801C5"/>
    <w:rsid w:val="000935AE"/>
    <w:rsid w:val="000A21D4"/>
    <w:rsid w:val="000A35FF"/>
    <w:rsid w:val="000A6F3B"/>
    <w:rsid w:val="000B6EE7"/>
    <w:rsid w:val="000D6805"/>
    <w:rsid w:val="000D69B0"/>
    <w:rsid w:val="000E4FCF"/>
    <w:rsid w:val="000F0005"/>
    <w:rsid w:val="000F5389"/>
    <w:rsid w:val="001058A2"/>
    <w:rsid w:val="00110969"/>
    <w:rsid w:val="00113C2C"/>
    <w:rsid w:val="00151572"/>
    <w:rsid w:val="0018033D"/>
    <w:rsid w:val="00182CCB"/>
    <w:rsid w:val="001935CD"/>
    <w:rsid w:val="00193655"/>
    <w:rsid w:val="001B39C3"/>
    <w:rsid w:val="001B7673"/>
    <w:rsid w:val="001C4431"/>
    <w:rsid w:val="001D3B42"/>
    <w:rsid w:val="001D5E26"/>
    <w:rsid w:val="001E79AA"/>
    <w:rsid w:val="001F3287"/>
    <w:rsid w:val="001F3437"/>
    <w:rsid w:val="001F393D"/>
    <w:rsid w:val="00253691"/>
    <w:rsid w:val="00257988"/>
    <w:rsid w:val="00276EAE"/>
    <w:rsid w:val="00281E56"/>
    <w:rsid w:val="00287032"/>
    <w:rsid w:val="002B4A0D"/>
    <w:rsid w:val="002B60D3"/>
    <w:rsid w:val="002C2F2D"/>
    <w:rsid w:val="002C6060"/>
    <w:rsid w:val="002D3FE4"/>
    <w:rsid w:val="002D4FF0"/>
    <w:rsid w:val="002E2383"/>
    <w:rsid w:val="002F34B9"/>
    <w:rsid w:val="00302A7E"/>
    <w:rsid w:val="00311D78"/>
    <w:rsid w:val="00312785"/>
    <w:rsid w:val="00337345"/>
    <w:rsid w:val="00337C54"/>
    <w:rsid w:val="00344926"/>
    <w:rsid w:val="0035499A"/>
    <w:rsid w:val="003642F2"/>
    <w:rsid w:val="003653F6"/>
    <w:rsid w:val="00384F37"/>
    <w:rsid w:val="003875BD"/>
    <w:rsid w:val="003962DE"/>
    <w:rsid w:val="003A105A"/>
    <w:rsid w:val="003B0384"/>
    <w:rsid w:val="003B1CCA"/>
    <w:rsid w:val="003C60F9"/>
    <w:rsid w:val="003C745E"/>
    <w:rsid w:val="003D5057"/>
    <w:rsid w:val="003E331F"/>
    <w:rsid w:val="003F19E4"/>
    <w:rsid w:val="003F3655"/>
    <w:rsid w:val="00411777"/>
    <w:rsid w:val="00411CCA"/>
    <w:rsid w:val="004269D5"/>
    <w:rsid w:val="00432AC7"/>
    <w:rsid w:val="00433B2C"/>
    <w:rsid w:val="00442453"/>
    <w:rsid w:val="00452F95"/>
    <w:rsid w:val="00465427"/>
    <w:rsid w:val="00477707"/>
    <w:rsid w:val="00477833"/>
    <w:rsid w:val="004A01DD"/>
    <w:rsid w:val="004B1FED"/>
    <w:rsid w:val="004B5F54"/>
    <w:rsid w:val="004C6916"/>
    <w:rsid w:val="004E3517"/>
    <w:rsid w:val="004F58BB"/>
    <w:rsid w:val="00512D9B"/>
    <w:rsid w:val="00526224"/>
    <w:rsid w:val="005367AA"/>
    <w:rsid w:val="00540458"/>
    <w:rsid w:val="005408EF"/>
    <w:rsid w:val="00547A99"/>
    <w:rsid w:val="0055751A"/>
    <w:rsid w:val="00561019"/>
    <w:rsid w:val="0056380D"/>
    <w:rsid w:val="00566CD3"/>
    <w:rsid w:val="00573CD2"/>
    <w:rsid w:val="00582747"/>
    <w:rsid w:val="005913AB"/>
    <w:rsid w:val="00593394"/>
    <w:rsid w:val="00594BC0"/>
    <w:rsid w:val="005C449B"/>
    <w:rsid w:val="005C7931"/>
    <w:rsid w:val="005E4AF3"/>
    <w:rsid w:val="005F5C6D"/>
    <w:rsid w:val="00606A29"/>
    <w:rsid w:val="00631B01"/>
    <w:rsid w:val="00636155"/>
    <w:rsid w:val="006441C5"/>
    <w:rsid w:val="006571B1"/>
    <w:rsid w:val="00674311"/>
    <w:rsid w:val="00677E09"/>
    <w:rsid w:val="00686035"/>
    <w:rsid w:val="00686415"/>
    <w:rsid w:val="006B0003"/>
    <w:rsid w:val="006B2200"/>
    <w:rsid w:val="006E0EC6"/>
    <w:rsid w:val="006E2DE5"/>
    <w:rsid w:val="006E3EC8"/>
    <w:rsid w:val="006F5F78"/>
    <w:rsid w:val="006F6C0C"/>
    <w:rsid w:val="007111F7"/>
    <w:rsid w:val="00723F27"/>
    <w:rsid w:val="0073629B"/>
    <w:rsid w:val="00740C82"/>
    <w:rsid w:val="00746B7D"/>
    <w:rsid w:val="0075424D"/>
    <w:rsid w:val="0075745D"/>
    <w:rsid w:val="007613E6"/>
    <w:rsid w:val="00764C5A"/>
    <w:rsid w:val="00775CB9"/>
    <w:rsid w:val="00791AE3"/>
    <w:rsid w:val="007A3A8B"/>
    <w:rsid w:val="007B3AE9"/>
    <w:rsid w:val="007B6B14"/>
    <w:rsid w:val="007C4033"/>
    <w:rsid w:val="007D15D8"/>
    <w:rsid w:val="007D5337"/>
    <w:rsid w:val="007E1A6E"/>
    <w:rsid w:val="007E5360"/>
    <w:rsid w:val="007E67C7"/>
    <w:rsid w:val="007F7E20"/>
    <w:rsid w:val="0081418C"/>
    <w:rsid w:val="00815960"/>
    <w:rsid w:val="00816DF1"/>
    <w:rsid w:val="00840293"/>
    <w:rsid w:val="00865BA0"/>
    <w:rsid w:val="00871054"/>
    <w:rsid w:val="008733A2"/>
    <w:rsid w:val="008874D5"/>
    <w:rsid w:val="008A09CE"/>
    <w:rsid w:val="008B491D"/>
    <w:rsid w:val="008B502C"/>
    <w:rsid w:val="008C4582"/>
    <w:rsid w:val="008D6866"/>
    <w:rsid w:val="008E38AB"/>
    <w:rsid w:val="008E64CF"/>
    <w:rsid w:val="008F5EA6"/>
    <w:rsid w:val="00906126"/>
    <w:rsid w:val="00907583"/>
    <w:rsid w:val="00907976"/>
    <w:rsid w:val="00907CD9"/>
    <w:rsid w:val="0092751C"/>
    <w:rsid w:val="00941187"/>
    <w:rsid w:val="009546E1"/>
    <w:rsid w:val="009636D1"/>
    <w:rsid w:val="00965F7F"/>
    <w:rsid w:val="00970B57"/>
    <w:rsid w:val="00973BC1"/>
    <w:rsid w:val="00975496"/>
    <w:rsid w:val="00984469"/>
    <w:rsid w:val="009854CA"/>
    <w:rsid w:val="009C252E"/>
    <w:rsid w:val="009C5698"/>
    <w:rsid w:val="009D45C7"/>
    <w:rsid w:val="009E080E"/>
    <w:rsid w:val="009E44DF"/>
    <w:rsid w:val="009F1E22"/>
    <w:rsid w:val="00A31433"/>
    <w:rsid w:val="00A3307E"/>
    <w:rsid w:val="00A36043"/>
    <w:rsid w:val="00A47791"/>
    <w:rsid w:val="00A54BF2"/>
    <w:rsid w:val="00A71439"/>
    <w:rsid w:val="00A90CF1"/>
    <w:rsid w:val="00A915FE"/>
    <w:rsid w:val="00A976BF"/>
    <w:rsid w:val="00A97F5D"/>
    <w:rsid w:val="00AA13E6"/>
    <w:rsid w:val="00AB75DA"/>
    <w:rsid w:val="00AC3B0C"/>
    <w:rsid w:val="00AC422E"/>
    <w:rsid w:val="00AF1108"/>
    <w:rsid w:val="00B20D9D"/>
    <w:rsid w:val="00B34976"/>
    <w:rsid w:val="00B4127B"/>
    <w:rsid w:val="00B52BEE"/>
    <w:rsid w:val="00B54FF4"/>
    <w:rsid w:val="00B57A40"/>
    <w:rsid w:val="00B61A86"/>
    <w:rsid w:val="00B7422F"/>
    <w:rsid w:val="00B82E81"/>
    <w:rsid w:val="00B9416F"/>
    <w:rsid w:val="00BB06BC"/>
    <w:rsid w:val="00BB6957"/>
    <w:rsid w:val="00BC3674"/>
    <w:rsid w:val="00BC36EB"/>
    <w:rsid w:val="00BC55A6"/>
    <w:rsid w:val="00BF349E"/>
    <w:rsid w:val="00BF6EB7"/>
    <w:rsid w:val="00C041AE"/>
    <w:rsid w:val="00C159F2"/>
    <w:rsid w:val="00C215E2"/>
    <w:rsid w:val="00C3268C"/>
    <w:rsid w:val="00C411B2"/>
    <w:rsid w:val="00C571D1"/>
    <w:rsid w:val="00C65123"/>
    <w:rsid w:val="00C843D4"/>
    <w:rsid w:val="00C8506C"/>
    <w:rsid w:val="00CA399B"/>
    <w:rsid w:val="00CA5827"/>
    <w:rsid w:val="00CC5208"/>
    <w:rsid w:val="00CD2CD2"/>
    <w:rsid w:val="00CD5085"/>
    <w:rsid w:val="00CE05D7"/>
    <w:rsid w:val="00CE52E1"/>
    <w:rsid w:val="00CE6B1C"/>
    <w:rsid w:val="00D01E82"/>
    <w:rsid w:val="00D25BA5"/>
    <w:rsid w:val="00D335EF"/>
    <w:rsid w:val="00D42B75"/>
    <w:rsid w:val="00D707AD"/>
    <w:rsid w:val="00D76006"/>
    <w:rsid w:val="00D77777"/>
    <w:rsid w:val="00D97E55"/>
    <w:rsid w:val="00DA3617"/>
    <w:rsid w:val="00DA7460"/>
    <w:rsid w:val="00DB66C7"/>
    <w:rsid w:val="00DC5B83"/>
    <w:rsid w:val="00E12456"/>
    <w:rsid w:val="00E13868"/>
    <w:rsid w:val="00E1711D"/>
    <w:rsid w:val="00E268FC"/>
    <w:rsid w:val="00E36F34"/>
    <w:rsid w:val="00E5187A"/>
    <w:rsid w:val="00E5283A"/>
    <w:rsid w:val="00E53E96"/>
    <w:rsid w:val="00E63C55"/>
    <w:rsid w:val="00E72AA3"/>
    <w:rsid w:val="00E749F8"/>
    <w:rsid w:val="00E76724"/>
    <w:rsid w:val="00E76F39"/>
    <w:rsid w:val="00EC3099"/>
    <w:rsid w:val="00ED6706"/>
    <w:rsid w:val="00EF6097"/>
    <w:rsid w:val="00F01CE1"/>
    <w:rsid w:val="00F105FD"/>
    <w:rsid w:val="00F12D68"/>
    <w:rsid w:val="00F142A7"/>
    <w:rsid w:val="00F43A1A"/>
    <w:rsid w:val="00F4495C"/>
    <w:rsid w:val="00F53410"/>
    <w:rsid w:val="00F77FC1"/>
    <w:rsid w:val="00F86034"/>
    <w:rsid w:val="00F93EDA"/>
    <w:rsid w:val="00F97814"/>
    <w:rsid w:val="00FB30CB"/>
    <w:rsid w:val="00FB4CA9"/>
    <w:rsid w:val="00FB589C"/>
    <w:rsid w:val="00FB6FE0"/>
    <w:rsid w:val="00FC2E3F"/>
    <w:rsid w:val="00FC674E"/>
    <w:rsid w:val="00FC752B"/>
    <w:rsid w:val="00FD10B4"/>
    <w:rsid w:val="00FE53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rsid w:val="00E53E96"/>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styleId="Grigliatabella">
    <w:name w:val="Table Grid"/>
    <w:basedOn w:val="Tabellanormale"/>
    <w:uiPriority w:val="39"/>
    <w:rsid w:val="003F3655"/>
    <w:rPr>
      <w:rFonts w:asciiTheme="minorHAnsi" w:eastAsiaTheme="minorHAnsi" w:hAnsiTheme="minorHAnsi" w:cstheme="minorBidi"/>
      <w:kern w:val="2"/>
      <w:sz w:val="22"/>
      <w:szCs w:val="22"/>
      <w:lang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4033"/>
    <w:pPr>
      <w:ind w:left="720"/>
      <w:contextualSpacing/>
    </w:pPr>
  </w:style>
  <w:style w:type="table" w:styleId="Tabellasemplice-2">
    <w:name w:val="Plain Table 2"/>
    <w:basedOn w:val="Tabellanormale"/>
    <w:uiPriority w:val="42"/>
    <w:rsid w:val="002E23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1chiara">
    <w:name w:val="Grid Table 1 Light"/>
    <w:basedOn w:val="Tabellanormale"/>
    <w:uiPriority w:val="46"/>
    <w:rsid w:val="00DA36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uniudamce-my.sharepoint.com/personal/131081_spes_uniud_it/Documents/Dottorato/Napoli%202023/Nuovo%20Foglio%20di%20lavoro%20di%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udamce-my.sharepoint.com/personal/131081_spes_uniud_it/Documents/Dottorato/Napoli%202023/Nuovo%20Foglio%20di%20lavoro%20di%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01437265756628"/>
          <c:y val="6.2947067238912732E-2"/>
          <c:w val="0.8060904308358835"/>
          <c:h val="0.76358667612900322"/>
        </c:manualLayout>
      </c:layout>
      <c:scatterChart>
        <c:scatterStyle val="smoothMarker"/>
        <c:varyColors val="0"/>
        <c:ser>
          <c:idx val="0"/>
          <c:order val="0"/>
          <c:tx>
            <c:strRef>
              <c:f>'[Nuovo Foglio di lavoro di Microsoft Excel.xlsx]Foglio1'!$B$1</c:f>
              <c:strCache>
                <c:ptCount val="1"/>
                <c:pt idx="0">
                  <c:v>Gall 1</c:v>
                </c:pt>
              </c:strCache>
            </c:strRef>
          </c:tx>
          <c:spPr>
            <a:ln w="19050" cap="rnd">
              <a:solidFill>
                <a:schemeClr val="tx1"/>
              </a:solidFill>
              <a:prstDash val="sysDot"/>
              <a:round/>
            </a:ln>
            <a:effectLst/>
          </c:spPr>
          <c:marker>
            <c:symbol val="none"/>
          </c:marker>
          <c:xVal>
            <c:numRef>
              <c:f>'[Nuovo Foglio di lavoro di Microsoft Excel.xlsx]Foglio1'!$A$2:$A$82</c:f>
              <c:numCache>
                <c:formatCode>General</c:formatCode>
                <c:ptCount val="81"/>
                <c:pt idx="0">
                  <c:v>0</c:v>
                </c:pt>
                <c:pt idx="1">
                  <c:v>10.07</c:v>
                </c:pt>
                <c:pt idx="2">
                  <c:v>20.14</c:v>
                </c:pt>
                <c:pt idx="3">
                  <c:v>30.21</c:v>
                </c:pt>
                <c:pt idx="4">
                  <c:v>40.28</c:v>
                </c:pt>
                <c:pt idx="5">
                  <c:v>50.35</c:v>
                </c:pt>
                <c:pt idx="6">
                  <c:v>60.42</c:v>
                </c:pt>
                <c:pt idx="7">
                  <c:v>70.5</c:v>
                </c:pt>
                <c:pt idx="8">
                  <c:v>80.570000000000007</c:v>
                </c:pt>
                <c:pt idx="9">
                  <c:v>90.64</c:v>
                </c:pt>
                <c:pt idx="10">
                  <c:v>100.7</c:v>
                </c:pt>
                <c:pt idx="11">
                  <c:v>110.8</c:v>
                </c:pt>
                <c:pt idx="12">
                  <c:v>120.80000000000001</c:v>
                </c:pt>
                <c:pt idx="13">
                  <c:v>130.89999999999998</c:v>
                </c:pt>
                <c:pt idx="14">
                  <c:v>141</c:v>
                </c:pt>
                <c:pt idx="15">
                  <c:v>151.10000000000002</c:v>
                </c:pt>
                <c:pt idx="16">
                  <c:v>161.1</c:v>
                </c:pt>
                <c:pt idx="17">
                  <c:v>171.2</c:v>
                </c:pt>
                <c:pt idx="18">
                  <c:v>181.29999999999998</c:v>
                </c:pt>
                <c:pt idx="19">
                  <c:v>191.3</c:v>
                </c:pt>
                <c:pt idx="20">
                  <c:v>201.4</c:v>
                </c:pt>
                <c:pt idx="21">
                  <c:v>211.5</c:v>
                </c:pt>
                <c:pt idx="22">
                  <c:v>221.6</c:v>
                </c:pt>
                <c:pt idx="23">
                  <c:v>231.6</c:v>
                </c:pt>
                <c:pt idx="24">
                  <c:v>241.7</c:v>
                </c:pt>
                <c:pt idx="25">
                  <c:v>251.8</c:v>
                </c:pt>
                <c:pt idx="26">
                  <c:v>261.79999999999995</c:v>
                </c:pt>
                <c:pt idx="27">
                  <c:v>271.89999999999998</c:v>
                </c:pt>
                <c:pt idx="28">
                  <c:v>282</c:v>
                </c:pt>
                <c:pt idx="29">
                  <c:v>292.10000000000002</c:v>
                </c:pt>
                <c:pt idx="30">
                  <c:v>302.09999999999997</c:v>
                </c:pt>
                <c:pt idx="31">
                  <c:v>312.2</c:v>
                </c:pt>
                <c:pt idx="32">
                  <c:v>322.29999999999995</c:v>
                </c:pt>
                <c:pt idx="33">
                  <c:v>332.3</c:v>
                </c:pt>
                <c:pt idx="34">
                  <c:v>342.4</c:v>
                </c:pt>
                <c:pt idx="35">
                  <c:v>352.5</c:v>
                </c:pt>
                <c:pt idx="36">
                  <c:v>362.5</c:v>
                </c:pt>
                <c:pt idx="37">
                  <c:v>372.59999999999997</c:v>
                </c:pt>
                <c:pt idx="38">
                  <c:v>382.7</c:v>
                </c:pt>
                <c:pt idx="39">
                  <c:v>392.79999999999995</c:v>
                </c:pt>
                <c:pt idx="40">
                  <c:v>402.8</c:v>
                </c:pt>
                <c:pt idx="41">
                  <c:v>412.9</c:v>
                </c:pt>
                <c:pt idx="42">
                  <c:v>423</c:v>
                </c:pt>
                <c:pt idx="43">
                  <c:v>433</c:v>
                </c:pt>
                <c:pt idx="44">
                  <c:v>443.09999999999997</c:v>
                </c:pt>
                <c:pt idx="45">
                  <c:v>453.2</c:v>
                </c:pt>
                <c:pt idx="46">
                  <c:v>463.3</c:v>
                </c:pt>
                <c:pt idx="47">
                  <c:v>473.3</c:v>
                </c:pt>
                <c:pt idx="48">
                  <c:v>483.4</c:v>
                </c:pt>
                <c:pt idx="49">
                  <c:v>493.5</c:v>
                </c:pt>
                <c:pt idx="50">
                  <c:v>503.49999999999994</c:v>
                </c:pt>
                <c:pt idx="51">
                  <c:v>513.59999999999991</c:v>
                </c:pt>
                <c:pt idx="52">
                  <c:v>523.70000000000005</c:v>
                </c:pt>
                <c:pt idx="53">
                  <c:v>533.80000000000007</c:v>
                </c:pt>
                <c:pt idx="54">
                  <c:v>543.79999999999995</c:v>
                </c:pt>
                <c:pt idx="55">
                  <c:v>553.9</c:v>
                </c:pt>
                <c:pt idx="56">
                  <c:v>564</c:v>
                </c:pt>
                <c:pt idx="57">
                  <c:v>574</c:v>
                </c:pt>
                <c:pt idx="58">
                  <c:v>584.09999999999991</c:v>
                </c:pt>
                <c:pt idx="59">
                  <c:v>594.19999999999993</c:v>
                </c:pt>
                <c:pt idx="60">
                  <c:v>604.19999999999993</c:v>
                </c:pt>
                <c:pt idx="61">
                  <c:v>614.29999999999995</c:v>
                </c:pt>
                <c:pt idx="62">
                  <c:v>624.4</c:v>
                </c:pt>
                <c:pt idx="63">
                  <c:v>634.5</c:v>
                </c:pt>
                <c:pt idx="64">
                  <c:v>644.5</c:v>
                </c:pt>
                <c:pt idx="65">
                  <c:v>654.59999999999991</c:v>
                </c:pt>
                <c:pt idx="66">
                  <c:v>664.69999999999993</c:v>
                </c:pt>
                <c:pt idx="67">
                  <c:v>674.69999999999993</c:v>
                </c:pt>
                <c:pt idx="68">
                  <c:v>684.8</c:v>
                </c:pt>
                <c:pt idx="69">
                  <c:v>694.9</c:v>
                </c:pt>
                <c:pt idx="70">
                  <c:v>705</c:v>
                </c:pt>
                <c:pt idx="71">
                  <c:v>715</c:v>
                </c:pt>
                <c:pt idx="72">
                  <c:v>725.1</c:v>
                </c:pt>
                <c:pt idx="73">
                  <c:v>735.19999999999993</c:v>
                </c:pt>
                <c:pt idx="74">
                  <c:v>745.19999999999993</c:v>
                </c:pt>
                <c:pt idx="75">
                  <c:v>755.3</c:v>
                </c:pt>
                <c:pt idx="76">
                  <c:v>765.4</c:v>
                </c:pt>
                <c:pt idx="77">
                  <c:v>775.5</c:v>
                </c:pt>
                <c:pt idx="78">
                  <c:v>785.5</c:v>
                </c:pt>
                <c:pt idx="79">
                  <c:v>795.6</c:v>
                </c:pt>
                <c:pt idx="80">
                  <c:v>805.69999999999993</c:v>
                </c:pt>
              </c:numCache>
            </c:numRef>
          </c:xVal>
          <c:yVal>
            <c:numRef>
              <c:f>'[Nuovo Foglio di lavoro di Microsoft Excel.xlsx]Foglio1'!$B$2:$B$82</c:f>
              <c:numCache>
                <c:formatCode>General</c:formatCode>
                <c:ptCount val="81"/>
                <c:pt idx="0">
                  <c:v>-3.3909999999999999E-3</c:v>
                </c:pt>
                <c:pt idx="1">
                  <c:v>0.97920000000000007</c:v>
                </c:pt>
                <c:pt idx="2">
                  <c:v>1.696</c:v>
                </c:pt>
                <c:pt idx="3">
                  <c:v>2.3760000000000003</c:v>
                </c:pt>
                <c:pt idx="4">
                  <c:v>3.5459999999999998</c:v>
                </c:pt>
                <c:pt idx="5">
                  <c:v>5.508</c:v>
                </c:pt>
                <c:pt idx="6">
                  <c:v>8.3890000000000011</c:v>
                </c:pt>
                <c:pt idx="7">
                  <c:v>11.9</c:v>
                </c:pt>
                <c:pt idx="8">
                  <c:v>15.520000000000001</c:v>
                </c:pt>
                <c:pt idx="9">
                  <c:v>18.88</c:v>
                </c:pt>
                <c:pt idx="10">
                  <c:v>21.650000000000002</c:v>
                </c:pt>
                <c:pt idx="11">
                  <c:v>23.94</c:v>
                </c:pt>
                <c:pt idx="12">
                  <c:v>25.81</c:v>
                </c:pt>
                <c:pt idx="13">
                  <c:v>27.310000000000002</c:v>
                </c:pt>
                <c:pt idx="14">
                  <c:v>28.47</c:v>
                </c:pt>
                <c:pt idx="15">
                  <c:v>29.36</c:v>
                </c:pt>
                <c:pt idx="16">
                  <c:v>30.06</c:v>
                </c:pt>
                <c:pt idx="17">
                  <c:v>30.549999999999997</c:v>
                </c:pt>
                <c:pt idx="18">
                  <c:v>31.01</c:v>
                </c:pt>
                <c:pt idx="19">
                  <c:v>31.390000000000004</c:v>
                </c:pt>
                <c:pt idx="20">
                  <c:v>31.75</c:v>
                </c:pt>
                <c:pt idx="21">
                  <c:v>32.08</c:v>
                </c:pt>
                <c:pt idx="22">
                  <c:v>32.39</c:v>
                </c:pt>
                <c:pt idx="23">
                  <c:v>32.65</c:v>
                </c:pt>
                <c:pt idx="24">
                  <c:v>32.85</c:v>
                </c:pt>
                <c:pt idx="25">
                  <c:v>32.99</c:v>
                </c:pt>
                <c:pt idx="26">
                  <c:v>33.07</c:v>
                </c:pt>
                <c:pt idx="27">
                  <c:v>33.090000000000003</c:v>
                </c:pt>
                <c:pt idx="28">
                  <c:v>33.07</c:v>
                </c:pt>
                <c:pt idx="29">
                  <c:v>33.04</c:v>
                </c:pt>
                <c:pt idx="30">
                  <c:v>33</c:v>
                </c:pt>
                <c:pt idx="31">
                  <c:v>32.93</c:v>
                </c:pt>
                <c:pt idx="32">
                  <c:v>32.89</c:v>
                </c:pt>
                <c:pt idx="33">
                  <c:v>32.879999999999995</c:v>
                </c:pt>
                <c:pt idx="34">
                  <c:v>32.89</c:v>
                </c:pt>
                <c:pt idx="35">
                  <c:v>32.92</c:v>
                </c:pt>
                <c:pt idx="36">
                  <c:v>32.99</c:v>
                </c:pt>
                <c:pt idx="37">
                  <c:v>33.090000000000003</c:v>
                </c:pt>
                <c:pt idx="38">
                  <c:v>33.22</c:v>
                </c:pt>
                <c:pt idx="39">
                  <c:v>33.380000000000003</c:v>
                </c:pt>
                <c:pt idx="40">
                  <c:v>33.58</c:v>
                </c:pt>
                <c:pt idx="41">
                  <c:v>33.79</c:v>
                </c:pt>
                <c:pt idx="42">
                  <c:v>34.03</c:v>
                </c:pt>
                <c:pt idx="43">
                  <c:v>34.299999999999997</c:v>
                </c:pt>
                <c:pt idx="44">
                  <c:v>34.57</c:v>
                </c:pt>
                <c:pt idx="45">
                  <c:v>34.870000000000005</c:v>
                </c:pt>
                <c:pt idx="46">
                  <c:v>35.19</c:v>
                </c:pt>
                <c:pt idx="47">
                  <c:v>35.54</c:v>
                </c:pt>
                <c:pt idx="48">
                  <c:v>35.909999999999997</c:v>
                </c:pt>
                <c:pt idx="49">
                  <c:v>36.300000000000004</c:v>
                </c:pt>
                <c:pt idx="50">
                  <c:v>36.690000000000005</c:v>
                </c:pt>
                <c:pt idx="51">
                  <c:v>37.089999999999996</c:v>
                </c:pt>
                <c:pt idx="52">
                  <c:v>37.53</c:v>
                </c:pt>
                <c:pt idx="53">
                  <c:v>37.97</c:v>
                </c:pt>
                <c:pt idx="54">
                  <c:v>38.42</c:v>
                </c:pt>
                <c:pt idx="55">
                  <c:v>38.869999999999997</c:v>
                </c:pt>
                <c:pt idx="56">
                  <c:v>39.31</c:v>
                </c:pt>
                <c:pt idx="57">
                  <c:v>39.79</c:v>
                </c:pt>
                <c:pt idx="58">
                  <c:v>40.269999999999996</c:v>
                </c:pt>
                <c:pt idx="59">
                  <c:v>40.78</c:v>
                </c:pt>
                <c:pt idx="60">
                  <c:v>41.31</c:v>
                </c:pt>
                <c:pt idx="61">
                  <c:v>41.87</c:v>
                </c:pt>
                <c:pt idx="62">
                  <c:v>42.459999999999994</c:v>
                </c:pt>
                <c:pt idx="63">
                  <c:v>43.09</c:v>
                </c:pt>
                <c:pt idx="64">
                  <c:v>43.76</c:v>
                </c:pt>
                <c:pt idx="65">
                  <c:v>44.45</c:v>
                </c:pt>
                <c:pt idx="66">
                  <c:v>45.160000000000004</c:v>
                </c:pt>
                <c:pt idx="67">
                  <c:v>45.92</c:v>
                </c:pt>
                <c:pt idx="68">
                  <c:v>46.71</c:v>
                </c:pt>
                <c:pt idx="69">
                  <c:v>47.53</c:v>
                </c:pt>
                <c:pt idx="70">
                  <c:v>48.38</c:v>
                </c:pt>
                <c:pt idx="71">
                  <c:v>49.26</c:v>
                </c:pt>
                <c:pt idx="72">
                  <c:v>50.08</c:v>
                </c:pt>
                <c:pt idx="73">
                  <c:v>51.06</c:v>
                </c:pt>
                <c:pt idx="74">
                  <c:v>52.06</c:v>
                </c:pt>
                <c:pt idx="75">
                  <c:v>53.13</c:v>
                </c:pt>
                <c:pt idx="76">
                  <c:v>54.26</c:v>
                </c:pt>
                <c:pt idx="77">
                  <c:v>55.42</c:v>
                </c:pt>
                <c:pt idx="78">
                  <c:v>56.669999999999995</c:v>
                </c:pt>
                <c:pt idx="79">
                  <c:v>58.010000000000005</c:v>
                </c:pt>
                <c:pt idx="80">
                  <c:v>59.419999999999995</c:v>
                </c:pt>
              </c:numCache>
            </c:numRef>
          </c:yVal>
          <c:smooth val="1"/>
          <c:extLst>
            <c:ext xmlns:c16="http://schemas.microsoft.com/office/drawing/2014/chart" uri="{C3380CC4-5D6E-409C-BE32-E72D297353CC}">
              <c16:uniqueId val="{00000000-CBFB-4B4B-8948-1AC83A0E7006}"/>
            </c:ext>
          </c:extLst>
        </c:ser>
        <c:ser>
          <c:idx val="1"/>
          <c:order val="1"/>
          <c:tx>
            <c:strRef>
              <c:f>'[Nuovo Foglio di lavoro di Microsoft Excel.xlsx]Foglio1'!$C$1</c:f>
              <c:strCache>
                <c:ptCount val="1"/>
                <c:pt idx="0">
                  <c:v>Gall 2</c:v>
                </c:pt>
              </c:strCache>
            </c:strRef>
          </c:tx>
          <c:spPr>
            <a:ln w="19050" cap="rnd">
              <a:solidFill>
                <a:schemeClr val="tx1"/>
              </a:solidFill>
              <a:prstDash val="dash"/>
              <a:round/>
            </a:ln>
            <a:effectLst/>
          </c:spPr>
          <c:marker>
            <c:symbol val="none"/>
          </c:marker>
          <c:xVal>
            <c:numRef>
              <c:f>'[Nuovo Foglio di lavoro di Microsoft Excel.xlsx]Foglio1'!$A$2:$A$82</c:f>
              <c:numCache>
                <c:formatCode>General</c:formatCode>
                <c:ptCount val="81"/>
                <c:pt idx="0">
                  <c:v>0</c:v>
                </c:pt>
                <c:pt idx="1">
                  <c:v>10.07</c:v>
                </c:pt>
                <c:pt idx="2">
                  <c:v>20.14</c:v>
                </c:pt>
                <c:pt idx="3">
                  <c:v>30.21</c:v>
                </c:pt>
                <c:pt idx="4">
                  <c:v>40.28</c:v>
                </c:pt>
                <c:pt idx="5">
                  <c:v>50.35</c:v>
                </c:pt>
                <c:pt idx="6">
                  <c:v>60.42</c:v>
                </c:pt>
                <c:pt idx="7">
                  <c:v>70.5</c:v>
                </c:pt>
                <c:pt idx="8">
                  <c:v>80.570000000000007</c:v>
                </c:pt>
                <c:pt idx="9">
                  <c:v>90.64</c:v>
                </c:pt>
                <c:pt idx="10">
                  <c:v>100.7</c:v>
                </c:pt>
                <c:pt idx="11">
                  <c:v>110.8</c:v>
                </c:pt>
                <c:pt idx="12">
                  <c:v>120.80000000000001</c:v>
                </c:pt>
                <c:pt idx="13">
                  <c:v>130.89999999999998</c:v>
                </c:pt>
                <c:pt idx="14">
                  <c:v>141</c:v>
                </c:pt>
                <c:pt idx="15">
                  <c:v>151.10000000000002</c:v>
                </c:pt>
                <c:pt idx="16">
                  <c:v>161.1</c:v>
                </c:pt>
                <c:pt idx="17">
                  <c:v>171.2</c:v>
                </c:pt>
                <c:pt idx="18">
                  <c:v>181.29999999999998</c:v>
                </c:pt>
                <c:pt idx="19">
                  <c:v>191.3</c:v>
                </c:pt>
                <c:pt idx="20">
                  <c:v>201.4</c:v>
                </c:pt>
                <c:pt idx="21">
                  <c:v>211.5</c:v>
                </c:pt>
                <c:pt idx="22">
                  <c:v>221.6</c:v>
                </c:pt>
                <c:pt idx="23">
                  <c:v>231.6</c:v>
                </c:pt>
                <c:pt idx="24">
                  <c:v>241.7</c:v>
                </c:pt>
                <c:pt idx="25">
                  <c:v>251.8</c:v>
                </c:pt>
                <c:pt idx="26">
                  <c:v>261.79999999999995</c:v>
                </c:pt>
                <c:pt idx="27">
                  <c:v>271.89999999999998</c:v>
                </c:pt>
                <c:pt idx="28">
                  <c:v>282</c:v>
                </c:pt>
                <c:pt idx="29">
                  <c:v>292.10000000000002</c:v>
                </c:pt>
                <c:pt idx="30">
                  <c:v>302.09999999999997</c:v>
                </c:pt>
                <c:pt idx="31">
                  <c:v>312.2</c:v>
                </c:pt>
                <c:pt idx="32">
                  <c:v>322.29999999999995</c:v>
                </c:pt>
                <c:pt idx="33">
                  <c:v>332.3</c:v>
                </c:pt>
                <c:pt idx="34">
                  <c:v>342.4</c:v>
                </c:pt>
                <c:pt idx="35">
                  <c:v>352.5</c:v>
                </c:pt>
                <c:pt idx="36">
                  <c:v>362.5</c:v>
                </c:pt>
                <c:pt idx="37">
                  <c:v>372.59999999999997</c:v>
                </c:pt>
                <c:pt idx="38">
                  <c:v>382.7</c:v>
                </c:pt>
                <c:pt idx="39">
                  <c:v>392.79999999999995</c:v>
                </c:pt>
                <c:pt idx="40">
                  <c:v>402.8</c:v>
                </c:pt>
                <c:pt idx="41">
                  <c:v>412.9</c:v>
                </c:pt>
                <c:pt idx="42">
                  <c:v>423</c:v>
                </c:pt>
                <c:pt idx="43">
                  <c:v>433</c:v>
                </c:pt>
                <c:pt idx="44">
                  <c:v>443.09999999999997</c:v>
                </c:pt>
                <c:pt idx="45">
                  <c:v>453.2</c:v>
                </c:pt>
                <c:pt idx="46">
                  <c:v>463.3</c:v>
                </c:pt>
                <c:pt idx="47">
                  <c:v>473.3</c:v>
                </c:pt>
                <c:pt idx="48">
                  <c:v>483.4</c:v>
                </c:pt>
                <c:pt idx="49">
                  <c:v>493.5</c:v>
                </c:pt>
                <c:pt idx="50">
                  <c:v>503.49999999999994</c:v>
                </c:pt>
                <c:pt idx="51">
                  <c:v>513.59999999999991</c:v>
                </c:pt>
                <c:pt idx="52">
                  <c:v>523.70000000000005</c:v>
                </c:pt>
                <c:pt idx="53">
                  <c:v>533.80000000000007</c:v>
                </c:pt>
                <c:pt idx="54">
                  <c:v>543.79999999999995</c:v>
                </c:pt>
                <c:pt idx="55">
                  <c:v>553.9</c:v>
                </c:pt>
                <c:pt idx="56">
                  <c:v>564</c:v>
                </c:pt>
                <c:pt idx="57">
                  <c:v>574</c:v>
                </c:pt>
                <c:pt idx="58">
                  <c:v>584.09999999999991</c:v>
                </c:pt>
                <c:pt idx="59">
                  <c:v>594.19999999999993</c:v>
                </c:pt>
                <c:pt idx="60">
                  <c:v>604.19999999999993</c:v>
                </c:pt>
                <c:pt idx="61">
                  <c:v>614.29999999999995</c:v>
                </c:pt>
                <c:pt idx="62">
                  <c:v>624.4</c:v>
                </c:pt>
                <c:pt idx="63">
                  <c:v>634.5</c:v>
                </c:pt>
                <c:pt idx="64">
                  <c:v>644.5</c:v>
                </c:pt>
                <c:pt idx="65">
                  <c:v>654.59999999999991</c:v>
                </c:pt>
                <c:pt idx="66">
                  <c:v>664.69999999999993</c:v>
                </c:pt>
                <c:pt idx="67">
                  <c:v>674.69999999999993</c:v>
                </c:pt>
                <c:pt idx="68">
                  <c:v>684.8</c:v>
                </c:pt>
                <c:pt idx="69">
                  <c:v>694.9</c:v>
                </c:pt>
                <c:pt idx="70">
                  <c:v>705</c:v>
                </c:pt>
                <c:pt idx="71">
                  <c:v>715</c:v>
                </c:pt>
                <c:pt idx="72">
                  <c:v>725.1</c:v>
                </c:pt>
                <c:pt idx="73">
                  <c:v>735.19999999999993</c:v>
                </c:pt>
                <c:pt idx="74">
                  <c:v>745.19999999999993</c:v>
                </c:pt>
                <c:pt idx="75">
                  <c:v>755.3</c:v>
                </c:pt>
                <c:pt idx="76">
                  <c:v>765.4</c:v>
                </c:pt>
                <c:pt idx="77">
                  <c:v>775.5</c:v>
                </c:pt>
                <c:pt idx="78">
                  <c:v>785.5</c:v>
                </c:pt>
                <c:pt idx="79">
                  <c:v>795.6</c:v>
                </c:pt>
                <c:pt idx="80">
                  <c:v>805.69999999999993</c:v>
                </c:pt>
              </c:numCache>
            </c:numRef>
          </c:xVal>
          <c:yVal>
            <c:numRef>
              <c:f>'[Nuovo Foglio di lavoro di Microsoft Excel.xlsx]Foglio1'!$C$2:$C$82</c:f>
              <c:numCache>
                <c:formatCode>General</c:formatCode>
                <c:ptCount val="81"/>
                <c:pt idx="0">
                  <c:v>2.4080000000000001E-2</c:v>
                </c:pt>
                <c:pt idx="1">
                  <c:v>0.88169999999999993</c:v>
                </c:pt>
                <c:pt idx="2">
                  <c:v>1.3620000000000001</c:v>
                </c:pt>
                <c:pt idx="3">
                  <c:v>1.704</c:v>
                </c:pt>
                <c:pt idx="4">
                  <c:v>2.1840000000000002</c:v>
                </c:pt>
                <c:pt idx="5">
                  <c:v>3.012</c:v>
                </c:pt>
                <c:pt idx="6">
                  <c:v>4.4539999999999997</c:v>
                </c:pt>
                <c:pt idx="7">
                  <c:v>6.7629999999999999</c:v>
                </c:pt>
                <c:pt idx="8">
                  <c:v>9.918000000000001</c:v>
                </c:pt>
                <c:pt idx="9">
                  <c:v>13.5</c:v>
                </c:pt>
                <c:pt idx="10">
                  <c:v>17.05</c:v>
                </c:pt>
                <c:pt idx="11">
                  <c:v>20.12</c:v>
                </c:pt>
                <c:pt idx="12">
                  <c:v>22.67</c:v>
                </c:pt>
                <c:pt idx="13">
                  <c:v>24.78</c:v>
                </c:pt>
                <c:pt idx="14">
                  <c:v>26.46</c:v>
                </c:pt>
                <c:pt idx="15">
                  <c:v>27.77</c:v>
                </c:pt>
                <c:pt idx="16">
                  <c:v>28.779999999999998</c:v>
                </c:pt>
                <c:pt idx="17">
                  <c:v>29.57</c:v>
                </c:pt>
                <c:pt idx="18">
                  <c:v>30.21</c:v>
                </c:pt>
                <c:pt idx="19">
                  <c:v>30.66</c:v>
                </c:pt>
                <c:pt idx="20">
                  <c:v>31.090000000000003</c:v>
                </c:pt>
                <c:pt idx="21">
                  <c:v>31.470000000000002</c:v>
                </c:pt>
                <c:pt idx="22">
                  <c:v>31.819999999999997</c:v>
                </c:pt>
                <c:pt idx="23">
                  <c:v>32.14</c:v>
                </c:pt>
                <c:pt idx="24">
                  <c:v>32.43</c:v>
                </c:pt>
                <c:pt idx="25">
                  <c:v>32.660000000000004</c:v>
                </c:pt>
                <c:pt idx="26">
                  <c:v>32.839999999999996</c:v>
                </c:pt>
                <c:pt idx="27">
                  <c:v>32.96</c:v>
                </c:pt>
                <c:pt idx="28">
                  <c:v>33.03</c:v>
                </c:pt>
                <c:pt idx="29">
                  <c:v>33.04</c:v>
                </c:pt>
                <c:pt idx="30">
                  <c:v>33.019999999999996</c:v>
                </c:pt>
                <c:pt idx="31">
                  <c:v>33</c:v>
                </c:pt>
                <c:pt idx="32">
                  <c:v>32.96</c:v>
                </c:pt>
                <c:pt idx="33">
                  <c:v>32.94</c:v>
                </c:pt>
                <c:pt idx="34">
                  <c:v>32.94</c:v>
                </c:pt>
                <c:pt idx="35">
                  <c:v>32.97</c:v>
                </c:pt>
                <c:pt idx="36">
                  <c:v>33.01</c:v>
                </c:pt>
                <c:pt idx="37">
                  <c:v>33.1</c:v>
                </c:pt>
                <c:pt idx="38">
                  <c:v>33.21</c:v>
                </c:pt>
                <c:pt idx="39">
                  <c:v>33.340000000000003</c:v>
                </c:pt>
                <c:pt idx="40">
                  <c:v>33.510000000000005</c:v>
                </c:pt>
                <c:pt idx="41">
                  <c:v>33.71</c:v>
                </c:pt>
                <c:pt idx="42">
                  <c:v>33.92</c:v>
                </c:pt>
                <c:pt idx="43">
                  <c:v>34.159999999999997</c:v>
                </c:pt>
                <c:pt idx="44">
                  <c:v>34.409999999999997</c:v>
                </c:pt>
                <c:pt idx="45">
                  <c:v>34.68</c:v>
                </c:pt>
                <c:pt idx="46">
                  <c:v>34.96</c:v>
                </c:pt>
                <c:pt idx="47">
                  <c:v>35.269999999999996</c:v>
                </c:pt>
                <c:pt idx="48">
                  <c:v>35.61</c:v>
                </c:pt>
                <c:pt idx="49">
                  <c:v>35.96</c:v>
                </c:pt>
                <c:pt idx="50">
                  <c:v>36.32</c:v>
                </c:pt>
                <c:pt idx="51">
                  <c:v>36.690000000000005</c:v>
                </c:pt>
                <c:pt idx="52">
                  <c:v>37.08</c:v>
                </c:pt>
                <c:pt idx="53">
                  <c:v>37.479999999999997</c:v>
                </c:pt>
                <c:pt idx="54">
                  <c:v>37.92</c:v>
                </c:pt>
                <c:pt idx="55">
                  <c:v>38.340000000000003</c:v>
                </c:pt>
                <c:pt idx="56">
                  <c:v>38.770000000000003</c:v>
                </c:pt>
                <c:pt idx="57">
                  <c:v>39.21</c:v>
                </c:pt>
                <c:pt idx="58">
                  <c:v>39.660000000000004</c:v>
                </c:pt>
                <c:pt idx="59">
                  <c:v>40.14</c:v>
                </c:pt>
                <c:pt idx="60">
                  <c:v>40.619999999999997</c:v>
                </c:pt>
                <c:pt idx="61">
                  <c:v>41.15</c:v>
                </c:pt>
                <c:pt idx="62">
                  <c:v>41.690000000000005</c:v>
                </c:pt>
                <c:pt idx="63">
                  <c:v>42.290000000000006</c:v>
                </c:pt>
                <c:pt idx="64">
                  <c:v>42.93</c:v>
                </c:pt>
                <c:pt idx="65">
                  <c:v>43.6</c:v>
                </c:pt>
                <c:pt idx="66">
                  <c:v>44.29</c:v>
                </c:pt>
                <c:pt idx="67">
                  <c:v>45.019999999999996</c:v>
                </c:pt>
                <c:pt idx="68">
                  <c:v>45.760000000000005</c:v>
                </c:pt>
                <c:pt idx="69">
                  <c:v>46.55</c:v>
                </c:pt>
                <c:pt idx="70">
                  <c:v>47.370000000000005</c:v>
                </c:pt>
                <c:pt idx="71">
                  <c:v>48.220000000000006</c:v>
                </c:pt>
                <c:pt idx="72">
                  <c:v>49.1</c:v>
                </c:pt>
                <c:pt idx="73">
                  <c:v>49.93</c:v>
                </c:pt>
                <c:pt idx="74">
                  <c:v>50.87</c:v>
                </c:pt>
                <c:pt idx="75">
                  <c:v>51.910000000000004</c:v>
                </c:pt>
                <c:pt idx="76">
                  <c:v>52.95</c:v>
                </c:pt>
                <c:pt idx="77">
                  <c:v>54.08</c:v>
                </c:pt>
                <c:pt idx="78">
                  <c:v>55.24</c:v>
                </c:pt>
                <c:pt idx="79">
                  <c:v>56.49</c:v>
                </c:pt>
                <c:pt idx="80">
                  <c:v>57.83</c:v>
                </c:pt>
              </c:numCache>
            </c:numRef>
          </c:yVal>
          <c:smooth val="1"/>
          <c:extLst>
            <c:ext xmlns:c16="http://schemas.microsoft.com/office/drawing/2014/chart" uri="{C3380CC4-5D6E-409C-BE32-E72D297353CC}">
              <c16:uniqueId val="{00000001-CBFB-4B4B-8948-1AC83A0E7006}"/>
            </c:ext>
          </c:extLst>
        </c:ser>
        <c:ser>
          <c:idx val="3"/>
          <c:order val="2"/>
          <c:tx>
            <c:strRef>
              <c:f>'[Nuovo Foglio di lavoro di Microsoft Excel.xlsx]Foglio1'!$E$1</c:f>
              <c:strCache>
                <c:ptCount val="1"/>
                <c:pt idx="0">
                  <c:v>Gall 3</c:v>
                </c:pt>
              </c:strCache>
            </c:strRef>
          </c:tx>
          <c:spPr>
            <a:ln w="19050" cap="rnd">
              <a:solidFill>
                <a:schemeClr val="tx1"/>
              </a:solidFill>
              <a:prstDash val="sysDash"/>
              <a:round/>
            </a:ln>
            <a:effectLst/>
          </c:spPr>
          <c:marker>
            <c:symbol val="none"/>
          </c:marker>
          <c:xVal>
            <c:numRef>
              <c:f>'[Nuovo Foglio di lavoro di Microsoft Excel.xlsx]Foglio1'!$A$2:$A$82</c:f>
              <c:numCache>
                <c:formatCode>General</c:formatCode>
                <c:ptCount val="81"/>
                <c:pt idx="0">
                  <c:v>0</c:v>
                </c:pt>
                <c:pt idx="1">
                  <c:v>10.07</c:v>
                </c:pt>
                <c:pt idx="2">
                  <c:v>20.14</c:v>
                </c:pt>
                <c:pt idx="3">
                  <c:v>30.21</c:v>
                </c:pt>
                <c:pt idx="4">
                  <c:v>40.28</c:v>
                </c:pt>
                <c:pt idx="5">
                  <c:v>50.35</c:v>
                </c:pt>
                <c:pt idx="6">
                  <c:v>60.42</c:v>
                </c:pt>
                <c:pt idx="7">
                  <c:v>70.5</c:v>
                </c:pt>
                <c:pt idx="8">
                  <c:v>80.570000000000007</c:v>
                </c:pt>
                <c:pt idx="9">
                  <c:v>90.64</c:v>
                </c:pt>
                <c:pt idx="10">
                  <c:v>100.7</c:v>
                </c:pt>
                <c:pt idx="11">
                  <c:v>110.8</c:v>
                </c:pt>
                <c:pt idx="12">
                  <c:v>120.80000000000001</c:v>
                </c:pt>
                <c:pt idx="13">
                  <c:v>130.89999999999998</c:v>
                </c:pt>
                <c:pt idx="14">
                  <c:v>141</c:v>
                </c:pt>
                <c:pt idx="15">
                  <c:v>151.10000000000002</c:v>
                </c:pt>
                <c:pt idx="16">
                  <c:v>161.1</c:v>
                </c:pt>
                <c:pt idx="17">
                  <c:v>171.2</c:v>
                </c:pt>
                <c:pt idx="18">
                  <c:v>181.29999999999998</c:v>
                </c:pt>
                <c:pt idx="19">
                  <c:v>191.3</c:v>
                </c:pt>
                <c:pt idx="20">
                  <c:v>201.4</c:v>
                </c:pt>
                <c:pt idx="21">
                  <c:v>211.5</c:v>
                </c:pt>
                <c:pt idx="22">
                  <c:v>221.6</c:v>
                </c:pt>
                <c:pt idx="23">
                  <c:v>231.6</c:v>
                </c:pt>
                <c:pt idx="24">
                  <c:v>241.7</c:v>
                </c:pt>
                <c:pt idx="25">
                  <c:v>251.8</c:v>
                </c:pt>
                <c:pt idx="26">
                  <c:v>261.79999999999995</c:v>
                </c:pt>
                <c:pt idx="27">
                  <c:v>271.89999999999998</c:v>
                </c:pt>
                <c:pt idx="28">
                  <c:v>282</c:v>
                </c:pt>
                <c:pt idx="29">
                  <c:v>292.10000000000002</c:v>
                </c:pt>
                <c:pt idx="30">
                  <c:v>302.09999999999997</c:v>
                </c:pt>
                <c:pt idx="31">
                  <c:v>312.2</c:v>
                </c:pt>
                <c:pt idx="32">
                  <c:v>322.29999999999995</c:v>
                </c:pt>
                <c:pt idx="33">
                  <c:v>332.3</c:v>
                </c:pt>
                <c:pt idx="34">
                  <c:v>342.4</c:v>
                </c:pt>
                <c:pt idx="35">
                  <c:v>352.5</c:v>
                </c:pt>
                <c:pt idx="36">
                  <c:v>362.5</c:v>
                </c:pt>
                <c:pt idx="37">
                  <c:v>372.59999999999997</c:v>
                </c:pt>
                <c:pt idx="38">
                  <c:v>382.7</c:v>
                </c:pt>
                <c:pt idx="39">
                  <c:v>392.79999999999995</c:v>
                </c:pt>
                <c:pt idx="40">
                  <c:v>402.8</c:v>
                </c:pt>
                <c:pt idx="41">
                  <c:v>412.9</c:v>
                </c:pt>
                <c:pt idx="42">
                  <c:v>423</c:v>
                </c:pt>
                <c:pt idx="43">
                  <c:v>433</c:v>
                </c:pt>
                <c:pt idx="44">
                  <c:v>443.09999999999997</c:v>
                </c:pt>
                <c:pt idx="45">
                  <c:v>453.2</c:v>
                </c:pt>
                <c:pt idx="46">
                  <c:v>463.3</c:v>
                </c:pt>
                <c:pt idx="47">
                  <c:v>473.3</c:v>
                </c:pt>
                <c:pt idx="48">
                  <c:v>483.4</c:v>
                </c:pt>
                <c:pt idx="49">
                  <c:v>493.5</c:v>
                </c:pt>
                <c:pt idx="50">
                  <c:v>503.49999999999994</c:v>
                </c:pt>
                <c:pt idx="51">
                  <c:v>513.59999999999991</c:v>
                </c:pt>
                <c:pt idx="52">
                  <c:v>523.70000000000005</c:v>
                </c:pt>
                <c:pt idx="53">
                  <c:v>533.80000000000007</c:v>
                </c:pt>
                <c:pt idx="54">
                  <c:v>543.79999999999995</c:v>
                </c:pt>
                <c:pt idx="55">
                  <c:v>553.9</c:v>
                </c:pt>
                <c:pt idx="56">
                  <c:v>564</c:v>
                </c:pt>
                <c:pt idx="57">
                  <c:v>574</c:v>
                </c:pt>
                <c:pt idx="58">
                  <c:v>584.09999999999991</c:v>
                </c:pt>
                <c:pt idx="59">
                  <c:v>594.19999999999993</c:v>
                </c:pt>
                <c:pt idx="60">
                  <c:v>604.19999999999993</c:v>
                </c:pt>
                <c:pt idx="61">
                  <c:v>614.29999999999995</c:v>
                </c:pt>
                <c:pt idx="62">
                  <c:v>624.4</c:v>
                </c:pt>
                <c:pt idx="63">
                  <c:v>634.5</c:v>
                </c:pt>
                <c:pt idx="64">
                  <c:v>644.5</c:v>
                </c:pt>
                <c:pt idx="65">
                  <c:v>654.59999999999991</c:v>
                </c:pt>
                <c:pt idx="66">
                  <c:v>664.69999999999993</c:v>
                </c:pt>
                <c:pt idx="67">
                  <c:v>674.69999999999993</c:v>
                </c:pt>
                <c:pt idx="68">
                  <c:v>684.8</c:v>
                </c:pt>
                <c:pt idx="69">
                  <c:v>694.9</c:v>
                </c:pt>
                <c:pt idx="70">
                  <c:v>705</c:v>
                </c:pt>
                <c:pt idx="71">
                  <c:v>715</c:v>
                </c:pt>
                <c:pt idx="72">
                  <c:v>725.1</c:v>
                </c:pt>
                <c:pt idx="73">
                  <c:v>735.19999999999993</c:v>
                </c:pt>
                <c:pt idx="74">
                  <c:v>745.19999999999993</c:v>
                </c:pt>
                <c:pt idx="75">
                  <c:v>755.3</c:v>
                </c:pt>
                <c:pt idx="76">
                  <c:v>765.4</c:v>
                </c:pt>
                <c:pt idx="77">
                  <c:v>775.5</c:v>
                </c:pt>
                <c:pt idx="78">
                  <c:v>785.5</c:v>
                </c:pt>
                <c:pt idx="79">
                  <c:v>795.6</c:v>
                </c:pt>
                <c:pt idx="80">
                  <c:v>805.69999999999993</c:v>
                </c:pt>
              </c:numCache>
            </c:numRef>
          </c:xVal>
          <c:yVal>
            <c:numRef>
              <c:f>'[Nuovo Foglio di lavoro di Microsoft Excel.xlsx]Foglio1'!$E$2:$E$82</c:f>
              <c:numCache>
                <c:formatCode>General</c:formatCode>
                <c:ptCount val="81"/>
                <c:pt idx="0">
                  <c:v>-1.8279999999999998E-2</c:v>
                </c:pt>
                <c:pt idx="1">
                  <c:v>0.1011</c:v>
                </c:pt>
                <c:pt idx="2">
                  <c:v>0.18080000000000002</c:v>
                </c:pt>
                <c:pt idx="3">
                  <c:v>0.22740000000000002</c:v>
                </c:pt>
                <c:pt idx="4">
                  <c:v>0.26850000000000002</c:v>
                </c:pt>
                <c:pt idx="5">
                  <c:v>0.31460000000000005</c:v>
                </c:pt>
                <c:pt idx="6">
                  <c:v>0.3745</c:v>
                </c:pt>
                <c:pt idx="7">
                  <c:v>0.46909999999999996</c:v>
                </c:pt>
                <c:pt idx="8">
                  <c:v>0.64669999999999994</c:v>
                </c:pt>
                <c:pt idx="9">
                  <c:v>0.99699999999999989</c:v>
                </c:pt>
                <c:pt idx="10">
                  <c:v>1.6720000000000002</c:v>
                </c:pt>
                <c:pt idx="11">
                  <c:v>2.8420000000000001</c:v>
                </c:pt>
                <c:pt idx="12">
                  <c:v>4.5999999999999996</c:v>
                </c:pt>
                <c:pt idx="13">
                  <c:v>6.8449999999999998</c:v>
                </c:pt>
                <c:pt idx="14">
                  <c:v>9.3510000000000009</c:v>
                </c:pt>
                <c:pt idx="15">
                  <c:v>11.83</c:v>
                </c:pt>
                <c:pt idx="16">
                  <c:v>14.08</c:v>
                </c:pt>
                <c:pt idx="17">
                  <c:v>16.010000000000002</c:v>
                </c:pt>
                <c:pt idx="18">
                  <c:v>17.57</c:v>
                </c:pt>
                <c:pt idx="19">
                  <c:v>18.78</c:v>
                </c:pt>
                <c:pt idx="20">
                  <c:v>19.700000000000003</c:v>
                </c:pt>
                <c:pt idx="21">
                  <c:v>20.37</c:v>
                </c:pt>
                <c:pt idx="22">
                  <c:v>20.869999999999997</c:v>
                </c:pt>
                <c:pt idx="23">
                  <c:v>21.25</c:v>
                </c:pt>
                <c:pt idx="24">
                  <c:v>21.569999999999997</c:v>
                </c:pt>
                <c:pt idx="25">
                  <c:v>21.88</c:v>
                </c:pt>
                <c:pt idx="26">
                  <c:v>22.189999999999998</c:v>
                </c:pt>
                <c:pt idx="27">
                  <c:v>22.5</c:v>
                </c:pt>
                <c:pt idx="28">
                  <c:v>22.81</c:v>
                </c:pt>
                <c:pt idx="29">
                  <c:v>23.08</c:v>
                </c:pt>
                <c:pt idx="30">
                  <c:v>23.32</c:v>
                </c:pt>
                <c:pt idx="31">
                  <c:v>23.5</c:v>
                </c:pt>
                <c:pt idx="32">
                  <c:v>23.62</c:v>
                </c:pt>
                <c:pt idx="33">
                  <c:v>23.7</c:v>
                </c:pt>
                <c:pt idx="34">
                  <c:v>23.74</c:v>
                </c:pt>
                <c:pt idx="35">
                  <c:v>23.75</c:v>
                </c:pt>
                <c:pt idx="36">
                  <c:v>23.74</c:v>
                </c:pt>
                <c:pt idx="37">
                  <c:v>23.72</c:v>
                </c:pt>
                <c:pt idx="38">
                  <c:v>23.7</c:v>
                </c:pt>
                <c:pt idx="39">
                  <c:v>23.68</c:v>
                </c:pt>
                <c:pt idx="40">
                  <c:v>23.669999999999998</c:v>
                </c:pt>
                <c:pt idx="41">
                  <c:v>23.68</c:v>
                </c:pt>
                <c:pt idx="42">
                  <c:v>23.71</c:v>
                </c:pt>
                <c:pt idx="43">
                  <c:v>23.759999999999998</c:v>
                </c:pt>
                <c:pt idx="44">
                  <c:v>23.84</c:v>
                </c:pt>
                <c:pt idx="45">
                  <c:v>23.95</c:v>
                </c:pt>
                <c:pt idx="46">
                  <c:v>24.08</c:v>
                </c:pt>
                <c:pt idx="47">
                  <c:v>24.25</c:v>
                </c:pt>
                <c:pt idx="48">
                  <c:v>24.44</c:v>
                </c:pt>
                <c:pt idx="49">
                  <c:v>24.669999999999998</c:v>
                </c:pt>
                <c:pt idx="50">
                  <c:v>24.939999999999998</c:v>
                </c:pt>
                <c:pt idx="51">
                  <c:v>25.21</c:v>
                </c:pt>
                <c:pt idx="52">
                  <c:v>25.5</c:v>
                </c:pt>
                <c:pt idx="53">
                  <c:v>25.78</c:v>
                </c:pt>
                <c:pt idx="54">
                  <c:v>26.07</c:v>
                </c:pt>
                <c:pt idx="55">
                  <c:v>26.35</c:v>
                </c:pt>
                <c:pt idx="56">
                  <c:v>26.62</c:v>
                </c:pt>
                <c:pt idx="57">
                  <c:v>26.889999999999997</c:v>
                </c:pt>
                <c:pt idx="58">
                  <c:v>27.14</c:v>
                </c:pt>
                <c:pt idx="59">
                  <c:v>27.39</c:v>
                </c:pt>
                <c:pt idx="60">
                  <c:v>27.630000000000003</c:v>
                </c:pt>
                <c:pt idx="61">
                  <c:v>27.89</c:v>
                </c:pt>
                <c:pt idx="62">
                  <c:v>28.14</c:v>
                </c:pt>
                <c:pt idx="63">
                  <c:v>28.41</c:v>
                </c:pt>
                <c:pt idx="64">
                  <c:v>28.69</c:v>
                </c:pt>
                <c:pt idx="65">
                  <c:v>28.99</c:v>
                </c:pt>
                <c:pt idx="66">
                  <c:v>29.3</c:v>
                </c:pt>
                <c:pt idx="67">
                  <c:v>29.63</c:v>
                </c:pt>
                <c:pt idx="68">
                  <c:v>29.98</c:v>
                </c:pt>
                <c:pt idx="69">
                  <c:v>30.349999999999998</c:v>
                </c:pt>
                <c:pt idx="70">
                  <c:v>30.679999999999996</c:v>
                </c:pt>
                <c:pt idx="71">
                  <c:v>31.080000000000002</c:v>
                </c:pt>
                <c:pt idx="72">
                  <c:v>31.5</c:v>
                </c:pt>
                <c:pt idx="73">
                  <c:v>31.93</c:v>
                </c:pt>
                <c:pt idx="74">
                  <c:v>32.379999999999995</c:v>
                </c:pt>
                <c:pt idx="75">
                  <c:v>32.839999999999996</c:v>
                </c:pt>
                <c:pt idx="76">
                  <c:v>33.33</c:v>
                </c:pt>
                <c:pt idx="77">
                  <c:v>33.840000000000003</c:v>
                </c:pt>
                <c:pt idx="78">
                  <c:v>34.380000000000003</c:v>
                </c:pt>
                <c:pt idx="79">
                  <c:v>34.96</c:v>
                </c:pt>
                <c:pt idx="80">
                  <c:v>35.590000000000003</c:v>
                </c:pt>
              </c:numCache>
            </c:numRef>
          </c:yVal>
          <c:smooth val="1"/>
          <c:extLst>
            <c:ext xmlns:c16="http://schemas.microsoft.com/office/drawing/2014/chart" uri="{C3380CC4-5D6E-409C-BE32-E72D297353CC}">
              <c16:uniqueId val="{00000002-CBFB-4B4B-8948-1AC83A0E7006}"/>
            </c:ext>
          </c:extLst>
        </c:ser>
        <c:ser>
          <c:idx val="4"/>
          <c:order val="3"/>
          <c:tx>
            <c:strRef>
              <c:f>'[Nuovo Foglio di lavoro di Microsoft Excel.xlsx]Foglio1'!$F$1</c:f>
              <c:strCache>
                <c:ptCount val="1"/>
                <c:pt idx="0">
                  <c:v>Gall 4</c:v>
                </c:pt>
              </c:strCache>
            </c:strRef>
          </c:tx>
          <c:spPr>
            <a:ln w="19050" cap="rnd">
              <a:solidFill>
                <a:schemeClr val="tx1"/>
              </a:solidFill>
              <a:prstDash val="lgDash"/>
              <a:round/>
            </a:ln>
            <a:effectLst/>
          </c:spPr>
          <c:marker>
            <c:symbol val="none"/>
          </c:marker>
          <c:xVal>
            <c:numRef>
              <c:f>'[Nuovo Foglio di lavoro di Microsoft Excel.xlsx]Foglio1'!$A$2:$A$82</c:f>
              <c:numCache>
                <c:formatCode>General</c:formatCode>
                <c:ptCount val="81"/>
                <c:pt idx="0">
                  <c:v>0</c:v>
                </c:pt>
                <c:pt idx="1">
                  <c:v>10.07</c:v>
                </c:pt>
                <c:pt idx="2">
                  <c:v>20.14</c:v>
                </c:pt>
                <c:pt idx="3">
                  <c:v>30.21</c:v>
                </c:pt>
                <c:pt idx="4">
                  <c:v>40.28</c:v>
                </c:pt>
                <c:pt idx="5">
                  <c:v>50.35</c:v>
                </c:pt>
                <c:pt idx="6">
                  <c:v>60.42</c:v>
                </c:pt>
                <c:pt idx="7">
                  <c:v>70.5</c:v>
                </c:pt>
                <c:pt idx="8">
                  <c:v>80.570000000000007</c:v>
                </c:pt>
                <c:pt idx="9">
                  <c:v>90.64</c:v>
                </c:pt>
                <c:pt idx="10">
                  <c:v>100.7</c:v>
                </c:pt>
                <c:pt idx="11">
                  <c:v>110.8</c:v>
                </c:pt>
                <c:pt idx="12">
                  <c:v>120.80000000000001</c:v>
                </c:pt>
                <c:pt idx="13">
                  <c:v>130.89999999999998</c:v>
                </c:pt>
                <c:pt idx="14">
                  <c:v>141</c:v>
                </c:pt>
                <c:pt idx="15">
                  <c:v>151.10000000000002</c:v>
                </c:pt>
                <c:pt idx="16">
                  <c:v>161.1</c:v>
                </c:pt>
                <c:pt idx="17">
                  <c:v>171.2</c:v>
                </c:pt>
                <c:pt idx="18">
                  <c:v>181.29999999999998</c:v>
                </c:pt>
                <c:pt idx="19">
                  <c:v>191.3</c:v>
                </c:pt>
                <c:pt idx="20">
                  <c:v>201.4</c:v>
                </c:pt>
                <c:pt idx="21">
                  <c:v>211.5</c:v>
                </c:pt>
                <c:pt idx="22">
                  <c:v>221.6</c:v>
                </c:pt>
                <c:pt idx="23">
                  <c:v>231.6</c:v>
                </c:pt>
                <c:pt idx="24">
                  <c:v>241.7</c:v>
                </c:pt>
                <c:pt idx="25">
                  <c:v>251.8</c:v>
                </c:pt>
                <c:pt idx="26">
                  <c:v>261.79999999999995</c:v>
                </c:pt>
                <c:pt idx="27">
                  <c:v>271.89999999999998</c:v>
                </c:pt>
                <c:pt idx="28">
                  <c:v>282</c:v>
                </c:pt>
                <c:pt idx="29">
                  <c:v>292.10000000000002</c:v>
                </c:pt>
                <c:pt idx="30">
                  <c:v>302.09999999999997</c:v>
                </c:pt>
                <c:pt idx="31">
                  <c:v>312.2</c:v>
                </c:pt>
                <c:pt idx="32">
                  <c:v>322.29999999999995</c:v>
                </c:pt>
                <c:pt idx="33">
                  <c:v>332.3</c:v>
                </c:pt>
                <c:pt idx="34">
                  <c:v>342.4</c:v>
                </c:pt>
                <c:pt idx="35">
                  <c:v>352.5</c:v>
                </c:pt>
                <c:pt idx="36">
                  <c:v>362.5</c:v>
                </c:pt>
                <c:pt idx="37">
                  <c:v>372.59999999999997</c:v>
                </c:pt>
                <c:pt idx="38">
                  <c:v>382.7</c:v>
                </c:pt>
                <c:pt idx="39">
                  <c:v>392.79999999999995</c:v>
                </c:pt>
                <c:pt idx="40">
                  <c:v>402.8</c:v>
                </c:pt>
                <c:pt idx="41">
                  <c:v>412.9</c:v>
                </c:pt>
                <c:pt idx="42">
                  <c:v>423</c:v>
                </c:pt>
                <c:pt idx="43">
                  <c:v>433</c:v>
                </c:pt>
                <c:pt idx="44">
                  <c:v>443.09999999999997</c:v>
                </c:pt>
                <c:pt idx="45">
                  <c:v>453.2</c:v>
                </c:pt>
                <c:pt idx="46">
                  <c:v>463.3</c:v>
                </c:pt>
                <c:pt idx="47">
                  <c:v>473.3</c:v>
                </c:pt>
                <c:pt idx="48">
                  <c:v>483.4</c:v>
                </c:pt>
                <c:pt idx="49">
                  <c:v>493.5</c:v>
                </c:pt>
                <c:pt idx="50">
                  <c:v>503.49999999999994</c:v>
                </c:pt>
                <c:pt idx="51">
                  <c:v>513.59999999999991</c:v>
                </c:pt>
                <c:pt idx="52">
                  <c:v>523.70000000000005</c:v>
                </c:pt>
                <c:pt idx="53">
                  <c:v>533.80000000000007</c:v>
                </c:pt>
                <c:pt idx="54">
                  <c:v>543.79999999999995</c:v>
                </c:pt>
                <c:pt idx="55">
                  <c:v>553.9</c:v>
                </c:pt>
                <c:pt idx="56">
                  <c:v>564</c:v>
                </c:pt>
                <c:pt idx="57">
                  <c:v>574</c:v>
                </c:pt>
                <c:pt idx="58">
                  <c:v>584.09999999999991</c:v>
                </c:pt>
                <c:pt idx="59">
                  <c:v>594.19999999999993</c:v>
                </c:pt>
                <c:pt idx="60">
                  <c:v>604.19999999999993</c:v>
                </c:pt>
                <c:pt idx="61">
                  <c:v>614.29999999999995</c:v>
                </c:pt>
                <c:pt idx="62">
                  <c:v>624.4</c:v>
                </c:pt>
                <c:pt idx="63">
                  <c:v>634.5</c:v>
                </c:pt>
                <c:pt idx="64">
                  <c:v>644.5</c:v>
                </c:pt>
                <c:pt idx="65">
                  <c:v>654.59999999999991</c:v>
                </c:pt>
                <c:pt idx="66">
                  <c:v>664.69999999999993</c:v>
                </c:pt>
                <c:pt idx="67">
                  <c:v>674.69999999999993</c:v>
                </c:pt>
                <c:pt idx="68">
                  <c:v>684.8</c:v>
                </c:pt>
                <c:pt idx="69">
                  <c:v>694.9</c:v>
                </c:pt>
                <c:pt idx="70">
                  <c:v>705</c:v>
                </c:pt>
                <c:pt idx="71">
                  <c:v>715</c:v>
                </c:pt>
                <c:pt idx="72">
                  <c:v>725.1</c:v>
                </c:pt>
                <c:pt idx="73">
                  <c:v>735.19999999999993</c:v>
                </c:pt>
                <c:pt idx="74">
                  <c:v>745.19999999999993</c:v>
                </c:pt>
                <c:pt idx="75">
                  <c:v>755.3</c:v>
                </c:pt>
                <c:pt idx="76">
                  <c:v>765.4</c:v>
                </c:pt>
                <c:pt idx="77">
                  <c:v>775.5</c:v>
                </c:pt>
                <c:pt idx="78">
                  <c:v>785.5</c:v>
                </c:pt>
                <c:pt idx="79">
                  <c:v>795.6</c:v>
                </c:pt>
                <c:pt idx="80">
                  <c:v>805.69999999999993</c:v>
                </c:pt>
              </c:numCache>
            </c:numRef>
          </c:xVal>
          <c:yVal>
            <c:numRef>
              <c:f>'[Nuovo Foglio di lavoro di Microsoft Excel.xlsx]Foglio1'!$F$2:$F$82</c:f>
              <c:numCache>
                <c:formatCode>General</c:formatCode>
                <c:ptCount val="81"/>
                <c:pt idx="0">
                  <c:v>-4.675E-2</c:v>
                </c:pt>
                <c:pt idx="1">
                  <c:v>4.4740000000000002E-2</c:v>
                </c:pt>
                <c:pt idx="2">
                  <c:v>9.6559999999999993E-2</c:v>
                </c:pt>
                <c:pt idx="3">
                  <c:v>0.12859999999999999</c:v>
                </c:pt>
                <c:pt idx="4">
                  <c:v>0.15410000000000001</c:v>
                </c:pt>
                <c:pt idx="5">
                  <c:v>0.17779999999999999</c:v>
                </c:pt>
                <c:pt idx="6">
                  <c:v>0.1988</c:v>
                </c:pt>
                <c:pt idx="7">
                  <c:v>0.2223</c:v>
                </c:pt>
                <c:pt idx="8">
                  <c:v>0.25320000000000004</c:v>
                </c:pt>
                <c:pt idx="9">
                  <c:v>0.29480000000000001</c:v>
                </c:pt>
                <c:pt idx="10">
                  <c:v>0.36409999999999998</c:v>
                </c:pt>
                <c:pt idx="11">
                  <c:v>0.49100000000000005</c:v>
                </c:pt>
                <c:pt idx="12">
                  <c:v>0.74280000000000002</c:v>
                </c:pt>
                <c:pt idx="13">
                  <c:v>1.24</c:v>
                </c:pt>
                <c:pt idx="14">
                  <c:v>2.1229999999999998</c:v>
                </c:pt>
                <c:pt idx="15">
                  <c:v>3.4809999999999999</c:v>
                </c:pt>
                <c:pt idx="16">
                  <c:v>5.24</c:v>
                </c:pt>
                <c:pt idx="17">
                  <c:v>7.2200000000000006</c:v>
                </c:pt>
                <c:pt idx="18">
                  <c:v>9.1859999999999999</c:v>
                </c:pt>
                <c:pt idx="19">
                  <c:v>10.98</c:v>
                </c:pt>
                <c:pt idx="20">
                  <c:v>12.52</c:v>
                </c:pt>
                <c:pt idx="21">
                  <c:v>13.790000000000001</c:v>
                </c:pt>
                <c:pt idx="22">
                  <c:v>14.81</c:v>
                </c:pt>
                <c:pt idx="23">
                  <c:v>15.62</c:v>
                </c:pt>
                <c:pt idx="24">
                  <c:v>16.260000000000002</c:v>
                </c:pt>
                <c:pt idx="25">
                  <c:v>16.77</c:v>
                </c:pt>
                <c:pt idx="26">
                  <c:v>17.21</c:v>
                </c:pt>
                <c:pt idx="27">
                  <c:v>17.61</c:v>
                </c:pt>
                <c:pt idx="28">
                  <c:v>18.02</c:v>
                </c:pt>
                <c:pt idx="29">
                  <c:v>18.41</c:v>
                </c:pt>
                <c:pt idx="30">
                  <c:v>18.8</c:v>
                </c:pt>
                <c:pt idx="31">
                  <c:v>19.170000000000002</c:v>
                </c:pt>
                <c:pt idx="32">
                  <c:v>19.5</c:v>
                </c:pt>
                <c:pt idx="33">
                  <c:v>19.79</c:v>
                </c:pt>
                <c:pt idx="34">
                  <c:v>20.020000000000003</c:v>
                </c:pt>
                <c:pt idx="35">
                  <c:v>20.190000000000001</c:v>
                </c:pt>
                <c:pt idx="36">
                  <c:v>20.32</c:v>
                </c:pt>
                <c:pt idx="37">
                  <c:v>20.400000000000002</c:v>
                </c:pt>
                <c:pt idx="38">
                  <c:v>20.45</c:v>
                </c:pt>
                <c:pt idx="39">
                  <c:v>20.48</c:v>
                </c:pt>
                <c:pt idx="40">
                  <c:v>20.49</c:v>
                </c:pt>
                <c:pt idx="41">
                  <c:v>20.49</c:v>
                </c:pt>
                <c:pt idx="42">
                  <c:v>20.49</c:v>
                </c:pt>
                <c:pt idx="43">
                  <c:v>20.49</c:v>
                </c:pt>
                <c:pt idx="44">
                  <c:v>20.509999999999998</c:v>
                </c:pt>
                <c:pt idx="45">
                  <c:v>20.56</c:v>
                </c:pt>
                <c:pt idx="46">
                  <c:v>20.619999999999997</c:v>
                </c:pt>
                <c:pt idx="47">
                  <c:v>20.73</c:v>
                </c:pt>
                <c:pt idx="48">
                  <c:v>20.86</c:v>
                </c:pt>
                <c:pt idx="49">
                  <c:v>21.02</c:v>
                </c:pt>
                <c:pt idx="50">
                  <c:v>21.209999999999997</c:v>
                </c:pt>
                <c:pt idx="51">
                  <c:v>21.43</c:v>
                </c:pt>
                <c:pt idx="52">
                  <c:v>21.66</c:v>
                </c:pt>
                <c:pt idx="53">
                  <c:v>21.92</c:v>
                </c:pt>
                <c:pt idx="54">
                  <c:v>22.2</c:v>
                </c:pt>
                <c:pt idx="55">
                  <c:v>22.49</c:v>
                </c:pt>
                <c:pt idx="56">
                  <c:v>22.779999999999998</c:v>
                </c:pt>
                <c:pt idx="57">
                  <c:v>23.07</c:v>
                </c:pt>
                <c:pt idx="58">
                  <c:v>23.36</c:v>
                </c:pt>
                <c:pt idx="59">
                  <c:v>23.64</c:v>
                </c:pt>
                <c:pt idx="60">
                  <c:v>23.92</c:v>
                </c:pt>
                <c:pt idx="61">
                  <c:v>24.19</c:v>
                </c:pt>
                <c:pt idx="62">
                  <c:v>24.46</c:v>
                </c:pt>
                <c:pt idx="63">
                  <c:v>24.740000000000002</c:v>
                </c:pt>
                <c:pt idx="64">
                  <c:v>25.029999999999998</c:v>
                </c:pt>
                <c:pt idx="65">
                  <c:v>25.32</c:v>
                </c:pt>
                <c:pt idx="66">
                  <c:v>25.61</c:v>
                </c:pt>
                <c:pt idx="67">
                  <c:v>25.93</c:v>
                </c:pt>
                <c:pt idx="68">
                  <c:v>26.259999999999998</c:v>
                </c:pt>
                <c:pt idx="69">
                  <c:v>26.630000000000003</c:v>
                </c:pt>
                <c:pt idx="70">
                  <c:v>27.01</c:v>
                </c:pt>
                <c:pt idx="71">
                  <c:v>27.4</c:v>
                </c:pt>
                <c:pt idx="72">
                  <c:v>27.8</c:v>
                </c:pt>
                <c:pt idx="73">
                  <c:v>28.189999999999998</c:v>
                </c:pt>
                <c:pt idx="74">
                  <c:v>28.580000000000002</c:v>
                </c:pt>
                <c:pt idx="75">
                  <c:v>28.99</c:v>
                </c:pt>
                <c:pt idx="76">
                  <c:v>29.4</c:v>
                </c:pt>
                <c:pt idx="77">
                  <c:v>29.82</c:v>
                </c:pt>
                <c:pt idx="78">
                  <c:v>30.23</c:v>
                </c:pt>
                <c:pt idx="79">
                  <c:v>30.61</c:v>
                </c:pt>
                <c:pt idx="80">
                  <c:v>31.06</c:v>
                </c:pt>
              </c:numCache>
            </c:numRef>
          </c:yVal>
          <c:smooth val="1"/>
          <c:extLst>
            <c:ext xmlns:c16="http://schemas.microsoft.com/office/drawing/2014/chart" uri="{C3380CC4-5D6E-409C-BE32-E72D297353CC}">
              <c16:uniqueId val="{00000003-CBFB-4B4B-8948-1AC83A0E7006}"/>
            </c:ext>
          </c:extLst>
        </c:ser>
        <c:dLbls>
          <c:showLegendKey val="0"/>
          <c:showVal val="0"/>
          <c:showCatName val="0"/>
          <c:showSerName val="0"/>
          <c:showPercent val="0"/>
          <c:showBubbleSize val="0"/>
        </c:dLbls>
        <c:axId val="797324640"/>
        <c:axId val="797325120"/>
      </c:scatterChart>
      <c:valAx>
        <c:axId val="797324640"/>
        <c:scaling>
          <c:orientation val="minMax"/>
          <c:max val="80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mV</a:t>
                </a:r>
              </a:p>
            </c:rich>
          </c:tx>
          <c:layout>
            <c:manualLayout>
              <c:xMode val="edge"/>
              <c:yMode val="edge"/>
              <c:x val="0.50951029811229931"/>
              <c:y val="0.9035355344530431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97325120"/>
        <c:crosses val="autoZero"/>
        <c:crossBetween val="midCat"/>
      </c:valAx>
      <c:valAx>
        <c:axId val="797325120"/>
        <c:scaling>
          <c:orientation val="minMax"/>
          <c:max val="60"/>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μ</a:t>
                </a:r>
                <a:r>
                  <a:rPr lang="it-IT"/>
                  <a:t>A</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97324640"/>
        <c:crosses val="autoZero"/>
        <c:crossBetween val="midCat"/>
        <c:majorUnit val="20"/>
      </c:valAx>
      <c:spPr>
        <a:noFill/>
        <a:ln>
          <a:noFill/>
        </a:ln>
        <a:effectLst/>
      </c:spPr>
    </c:plotArea>
    <c:legend>
      <c:legendPos val="b"/>
      <c:layout>
        <c:manualLayout>
          <c:xMode val="edge"/>
          <c:yMode val="edge"/>
          <c:x val="0.17742837119182092"/>
          <c:y val="4.488789027888361E-2"/>
          <c:w val="0.58007970207912496"/>
          <c:h val="0.21948021330235606"/>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1276493664097"/>
          <c:y val="5.7142857142857141E-2"/>
          <c:w val="0.8239259447407784"/>
          <c:h val="0.72305634522957363"/>
        </c:manualLayout>
      </c:layout>
      <c:scatterChart>
        <c:scatterStyle val="smoothMarker"/>
        <c:varyColors val="0"/>
        <c:ser>
          <c:idx val="1"/>
          <c:order val="0"/>
          <c:tx>
            <c:strRef>
              <c:f>'[Nuovo Foglio di lavoro di Microsoft Excel.xlsx]Foglio2'!$C$1</c:f>
              <c:strCache>
                <c:ptCount val="1"/>
                <c:pt idx="0">
                  <c:v>Gall SW</c:v>
                </c:pt>
              </c:strCache>
            </c:strRef>
          </c:tx>
          <c:spPr>
            <a:ln w="19050" cap="rnd">
              <a:solidFill>
                <a:schemeClr val="bg2">
                  <a:lumMod val="75000"/>
                </a:schemeClr>
              </a:solidFill>
              <a:prstDash val="dash"/>
              <a:round/>
            </a:ln>
            <a:effectLst/>
          </c:spPr>
          <c:marker>
            <c:symbol val="none"/>
          </c:marker>
          <c:xVal>
            <c:numRef>
              <c:f>'[Nuovo Foglio di lavoro di Microsoft Excel.xlsx]Foglio2'!$A$2:$A$80</c:f>
              <c:numCache>
                <c:formatCode>0.00</c:formatCode>
                <c:ptCount val="79"/>
                <c:pt idx="0">
                  <c:v>0</c:v>
                </c:pt>
                <c:pt idx="1">
                  <c:v>10</c:v>
                </c:pt>
                <c:pt idx="2">
                  <c:v>20</c:v>
                </c:pt>
                <c:pt idx="3">
                  <c:v>31</c:v>
                </c:pt>
                <c:pt idx="4">
                  <c:v>41</c:v>
                </c:pt>
                <c:pt idx="5">
                  <c:v>51</c:v>
                </c:pt>
                <c:pt idx="6">
                  <c:v>61</c:v>
                </c:pt>
                <c:pt idx="7">
                  <c:v>71</c:v>
                </c:pt>
                <c:pt idx="8">
                  <c:v>82</c:v>
                </c:pt>
                <c:pt idx="9">
                  <c:v>92</c:v>
                </c:pt>
                <c:pt idx="10">
                  <c:v>102</c:v>
                </c:pt>
                <c:pt idx="11">
                  <c:v>112</c:v>
                </c:pt>
                <c:pt idx="12">
                  <c:v>122</c:v>
                </c:pt>
                <c:pt idx="13">
                  <c:v>133</c:v>
                </c:pt>
                <c:pt idx="14">
                  <c:v>143</c:v>
                </c:pt>
                <c:pt idx="15">
                  <c:v>153</c:v>
                </c:pt>
                <c:pt idx="16">
                  <c:v>163</c:v>
                </c:pt>
                <c:pt idx="17">
                  <c:v>174</c:v>
                </c:pt>
                <c:pt idx="18">
                  <c:v>184</c:v>
                </c:pt>
                <c:pt idx="19">
                  <c:v>194</c:v>
                </c:pt>
                <c:pt idx="20">
                  <c:v>204</c:v>
                </c:pt>
                <c:pt idx="21">
                  <c:v>214</c:v>
                </c:pt>
                <c:pt idx="22">
                  <c:v>225</c:v>
                </c:pt>
                <c:pt idx="23">
                  <c:v>235</c:v>
                </c:pt>
                <c:pt idx="24">
                  <c:v>245</c:v>
                </c:pt>
                <c:pt idx="25">
                  <c:v>255</c:v>
                </c:pt>
                <c:pt idx="26">
                  <c:v>265</c:v>
                </c:pt>
                <c:pt idx="27">
                  <c:v>276</c:v>
                </c:pt>
                <c:pt idx="28">
                  <c:v>286</c:v>
                </c:pt>
                <c:pt idx="29">
                  <c:v>296</c:v>
                </c:pt>
                <c:pt idx="30">
                  <c:v>306</c:v>
                </c:pt>
                <c:pt idx="31">
                  <c:v>316</c:v>
                </c:pt>
                <c:pt idx="32">
                  <c:v>327</c:v>
                </c:pt>
                <c:pt idx="33">
                  <c:v>337</c:v>
                </c:pt>
                <c:pt idx="34">
                  <c:v>347</c:v>
                </c:pt>
                <c:pt idx="35">
                  <c:v>357</c:v>
                </c:pt>
                <c:pt idx="36">
                  <c:v>367</c:v>
                </c:pt>
                <c:pt idx="37">
                  <c:v>378</c:v>
                </c:pt>
                <c:pt idx="38">
                  <c:v>388</c:v>
                </c:pt>
                <c:pt idx="39">
                  <c:v>398</c:v>
                </c:pt>
                <c:pt idx="40">
                  <c:v>408</c:v>
                </c:pt>
                <c:pt idx="41">
                  <c:v>419</c:v>
                </c:pt>
                <c:pt idx="42">
                  <c:v>429</c:v>
                </c:pt>
                <c:pt idx="43">
                  <c:v>439</c:v>
                </c:pt>
                <c:pt idx="44">
                  <c:v>449</c:v>
                </c:pt>
                <c:pt idx="45">
                  <c:v>459</c:v>
                </c:pt>
                <c:pt idx="46">
                  <c:v>470</c:v>
                </c:pt>
                <c:pt idx="47">
                  <c:v>480</c:v>
                </c:pt>
                <c:pt idx="48">
                  <c:v>490</c:v>
                </c:pt>
                <c:pt idx="49">
                  <c:v>500</c:v>
                </c:pt>
                <c:pt idx="50">
                  <c:v>510</c:v>
                </c:pt>
                <c:pt idx="51">
                  <c:v>521</c:v>
                </c:pt>
                <c:pt idx="52">
                  <c:v>531</c:v>
                </c:pt>
                <c:pt idx="53">
                  <c:v>541</c:v>
                </c:pt>
                <c:pt idx="54">
                  <c:v>551</c:v>
                </c:pt>
                <c:pt idx="55">
                  <c:v>561</c:v>
                </c:pt>
                <c:pt idx="56">
                  <c:v>572</c:v>
                </c:pt>
                <c:pt idx="57">
                  <c:v>582</c:v>
                </c:pt>
                <c:pt idx="58">
                  <c:v>592</c:v>
                </c:pt>
                <c:pt idx="59">
                  <c:v>602</c:v>
                </c:pt>
                <c:pt idx="60">
                  <c:v>612</c:v>
                </c:pt>
                <c:pt idx="61">
                  <c:v>623</c:v>
                </c:pt>
                <c:pt idx="62">
                  <c:v>633</c:v>
                </c:pt>
                <c:pt idx="63">
                  <c:v>643</c:v>
                </c:pt>
                <c:pt idx="64">
                  <c:v>653</c:v>
                </c:pt>
                <c:pt idx="65">
                  <c:v>663</c:v>
                </c:pt>
                <c:pt idx="66">
                  <c:v>674</c:v>
                </c:pt>
                <c:pt idx="67">
                  <c:v>684</c:v>
                </c:pt>
                <c:pt idx="68">
                  <c:v>694</c:v>
                </c:pt>
                <c:pt idx="69">
                  <c:v>704</c:v>
                </c:pt>
                <c:pt idx="70">
                  <c:v>715</c:v>
                </c:pt>
                <c:pt idx="71">
                  <c:v>725</c:v>
                </c:pt>
                <c:pt idx="72">
                  <c:v>735</c:v>
                </c:pt>
                <c:pt idx="73">
                  <c:v>745</c:v>
                </c:pt>
                <c:pt idx="74">
                  <c:v>755</c:v>
                </c:pt>
                <c:pt idx="75">
                  <c:v>766</c:v>
                </c:pt>
                <c:pt idx="76">
                  <c:v>776</c:v>
                </c:pt>
                <c:pt idx="77">
                  <c:v>786</c:v>
                </c:pt>
                <c:pt idx="78">
                  <c:v>796</c:v>
                </c:pt>
              </c:numCache>
            </c:numRef>
          </c:xVal>
          <c:yVal>
            <c:numRef>
              <c:f>'[Nuovo Foglio di lavoro di Microsoft Excel.xlsx]Foglio2'!$C$2:$C$80</c:f>
              <c:numCache>
                <c:formatCode>General</c:formatCode>
                <c:ptCount val="79"/>
                <c:pt idx="0">
                  <c:v>-1.1059999999999999</c:v>
                </c:pt>
                <c:pt idx="1">
                  <c:v>0.14933333333333335</c:v>
                </c:pt>
                <c:pt idx="2">
                  <c:v>0.59266666666666667</c:v>
                </c:pt>
                <c:pt idx="3">
                  <c:v>0.89600000000000002</c:v>
                </c:pt>
                <c:pt idx="4">
                  <c:v>1.1153333333333333</c:v>
                </c:pt>
                <c:pt idx="5">
                  <c:v>1.2670000000000001</c:v>
                </c:pt>
                <c:pt idx="6">
                  <c:v>1.4021666666666668</c:v>
                </c:pt>
                <c:pt idx="7">
                  <c:v>1.5085</c:v>
                </c:pt>
                <c:pt idx="8">
                  <c:v>1.5606666666666669</c:v>
                </c:pt>
                <c:pt idx="9">
                  <c:v>1.6076666666666668</c:v>
                </c:pt>
                <c:pt idx="10">
                  <c:v>1.6366666666666667</c:v>
                </c:pt>
                <c:pt idx="11">
                  <c:v>1.6436666666666666</c:v>
                </c:pt>
                <c:pt idx="12">
                  <c:v>1.6366666666666667</c:v>
                </c:pt>
                <c:pt idx="13">
                  <c:v>1.6483333333333334</c:v>
                </c:pt>
                <c:pt idx="14">
                  <c:v>1.6973333333333336</c:v>
                </c:pt>
                <c:pt idx="15">
                  <c:v>1.7510000000000001</c:v>
                </c:pt>
                <c:pt idx="16">
                  <c:v>1.8373333333333335</c:v>
                </c:pt>
                <c:pt idx="17">
                  <c:v>1.9633333333333332</c:v>
                </c:pt>
                <c:pt idx="18">
                  <c:v>2.1303333333333332</c:v>
                </c:pt>
                <c:pt idx="19">
                  <c:v>2.3426666666666667</c:v>
                </c:pt>
                <c:pt idx="20">
                  <c:v>2.6213333333333333</c:v>
                </c:pt>
                <c:pt idx="21">
                  <c:v>3.0730000000000004</c:v>
                </c:pt>
                <c:pt idx="22">
                  <c:v>3.7633333333333336</c:v>
                </c:pt>
                <c:pt idx="23">
                  <c:v>4.7679999999999998</c:v>
                </c:pt>
                <c:pt idx="24">
                  <c:v>6.1890000000000001</c:v>
                </c:pt>
                <c:pt idx="25">
                  <c:v>8.0486666666666675</c:v>
                </c:pt>
                <c:pt idx="26">
                  <c:v>10.216666666666667</c:v>
                </c:pt>
                <c:pt idx="27">
                  <c:v>12.466666666666667</c:v>
                </c:pt>
                <c:pt idx="28">
                  <c:v>14.413333333333332</c:v>
                </c:pt>
                <c:pt idx="29">
                  <c:v>15.823333333333332</c:v>
                </c:pt>
                <c:pt idx="30">
                  <c:v>16.716666666666669</c:v>
                </c:pt>
                <c:pt idx="31">
                  <c:v>17.236666666666668</c:v>
                </c:pt>
                <c:pt idx="32">
                  <c:v>17.556666666666668</c:v>
                </c:pt>
                <c:pt idx="33">
                  <c:v>17.820000000000004</c:v>
                </c:pt>
                <c:pt idx="34">
                  <c:v>18.066666666666666</c:v>
                </c:pt>
                <c:pt idx="35">
                  <c:v>18.326666666666668</c:v>
                </c:pt>
                <c:pt idx="36">
                  <c:v>18.593333333333334</c:v>
                </c:pt>
                <c:pt idx="37">
                  <c:v>18.916666666666668</c:v>
                </c:pt>
                <c:pt idx="38">
                  <c:v>19.256666666666668</c:v>
                </c:pt>
                <c:pt idx="39">
                  <c:v>19.543333333333333</c:v>
                </c:pt>
                <c:pt idx="40">
                  <c:v>19.82</c:v>
                </c:pt>
                <c:pt idx="41">
                  <c:v>20.08666666666667</c:v>
                </c:pt>
                <c:pt idx="42">
                  <c:v>20.343333333333334</c:v>
                </c:pt>
                <c:pt idx="43">
                  <c:v>20.616666666666664</c:v>
                </c:pt>
                <c:pt idx="44">
                  <c:v>20.930000000000003</c:v>
                </c:pt>
                <c:pt idx="45">
                  <c:v>21.283333333333335</c:v>
                </c:pt>
                <c:pt idx="46">
                  <c:v>21.676666666666666</c:v>
                </c:pt>
                <c:pt idx="47">
                  <c:v>22.123333333333335</c:v>
                </c:pt>
                <c:pt idx="48">
                  <c:v>22.61</c:v>
                </c:pt>
                <c:pt idx="49">
                  <c:v>23.123333333333335</c:v>
                </c:pt>
                <c:pt idx="50">
                  <c:v>23.639999999999997</c:v>
                </c:pt>
                <c:pt idx="51">
                  <c:v>24.183333333333334</c:v>
                </c:pt>
                <c:pt idx="52">
                  <c:v>24.709999999999997</c:v>
                </c:pt>
                <c:pt idx="53">
                  <c:v>25.223333333333333</c:v>
                </c:pt>
                <c:pt idx="54">
                  <c:v>25.77</c:v>
                </c:pt>
                <c:pt idx="55">
                  <c:v>26.326666666666668</c:v>
                </c:pt>
                <c:pt idx="56">
                  <c:v>26.933333333333334</c:v>
                </c:pt>
                <c:pt idx="57">
                  <c:v>27.633333333333336</c:v>
                </c:pt>
                <c:pt idx="58">
                  <c:v>28.436666666666667</c:v>
                </c:pt>
                <c:pt idx="59">
                  <c:v>29.33</c:v>
                </c:pt>
                <c:pt idx="60">
                  <c:v>30.296666666666667</c:v>
                </c:pt>
                <c:pt idx="61">
                  <c:v>31.386666666666667</c:v>
                </c:pt>
                <c:pt idx="62">
                  <c:v>32.576666666666668</c:v>
                </c:pt>
                <c:pt idx="63">
                  <c:v>33.836666666666666</c:v>
                </c:pt>
                <c:pt idx="64">
                  <c:v>35.153333333333329</c:v>
                </c:pt>
                <c:pt idx="65">
                  <c:v>36.446666666666665</c:v>
                </c:pt>
                <c:pt idx="66">
                  <c:v>37.676666666666669</c:v>
                </c:pt>
                <c:pt idx="67">
                  <c:v>38.806666666666665</c:v>
                </c:pt>
                <c:pt idx="68">
                  <c:v>39.813333333333333</c:v>
                </c:pt>
                <c:pt idx="69">
                  <c:v>40.696666666666665</c:v>
                </c:pt>
                <c:pt idx="70">
                  <c:v>41.476666666666667</c:v>
                </c:pt>
                <c:pt idx="71">
                  <c:v>42.103333333333332</c:v>
                </c:pt>
                <c:pt idx="72">
                  <c:v>42.603333333333332</c:v>
                </c:pt>
                <c:pt idx="73">
                  <c:v>42.976666666666667</c:v>
                </c:pt>
                <c:pt idx="74">
                  <c:v>43.346666666666664</c:v>
                </c:pt>
                <c:pt idx="75">
                  <c:v>43.73</c:v>
                </c:pt>
                <c:pt idx="76">
                  <c:v>44.129999999999995</c:v>
                </c:pt>
                <c:pt idx="77">
                  <c:v>44.646666666666668</c:v>
                </c:pt>
                <c:pt idx="78">
                  <c:v>45.193333333333328</c:v>
                </c:pt>
              </c:numCache>
            </c:numRef>
          </c:yVal>
          <c:smooth val="1"/>
          <c:extLst>
            <c:ext xmlns:c16="http://schemas.microsoft.com/office/drawing/2014/chart" uri="{C3380CC4-5D6E-409C-BE32-E72D297353CC}">
              <c16:uniqueId val="{00000001-12C3-4064-B1EC-7665BFFDE7A0}"/>
            </c:ext>
          </c:extLst>
        </c:ser>
        <c:ser>
          <c:idx val="2"/>
          <c:order val="1"/>
          <c:tx>
            <c:strRef>
              <c:f>'[Nuovo Foglio di lavoro di Microsoft Excel.xlsx]Foglio2'!$D$1</c:f>
              <c:strCache>
                <c:ptCount val="1"/>
                <c:pt idx="0">
                  <c:v>Gall UW</c:v>
                </c:pt>
              </c:strCache>
            </c:strRef>
          </c:tx>
          <c:spPr>
            <a:ln w="19050" cap="rnd">
              <a:solidFill>
                <a:schemeClr val="tx1"/>
              </a:solidFill>
              <a:prstDash val="sysDash"/>
              <a:round/>
            </a:ln>
            <a:effectLst/>
          </c:spPr>
          <c:marker>
            <c:symbol val="none"/>
          </c:marker>
          <c:xVal>
            <c:numRef>
              <c:f>'[Nuovo Foglio di lavoro di Microsoft Excel.xlsx]Foglio2'!$A$2:$A$80</c:f>
              <c:numCache>
                <c:formatCode>0.00</c:formatCode>
                <c:ptCount val="79"/>
                <c:pt idx="0">
                  <c:v>0</c:v>
                </c:pt>
                <c:pt idx="1">
                  <c:v>10</c:v>
                </c:pt>
                <c:pt idx="2">
                  <c:v>20</c:v>
                </c:pt>
                <c:pt idx="3">
                  <c:v>31</c:v>
                </c:pt>
                <c:pt idx="4">
                  <c:v>41</c:v>
                </c:pt>
                <c:pt idx="5">
                  <c:v>51</c:v>
                </c:pt>
                <c:pt idx="6">
                  <c:v>61</c:v>
                </c:pt>
                <c:pt idx="7">
                  <c:v>71</c:v>
                </c:pt>
                <c:pt idx="8">
                  <c:v>82</c:v>
                </c:pt>
                <c:pt idx="9">
                  <c:v>92</c:v>
                </c:pt>
                <c:pt idx="10">
                  <c:v>102</c:v>
                </c:pt>
                <c:pt idx="11">
                  <c:v>112</c:v>
                </c:pt>
                <c:pt idx="12">
                  <c:v>122</c:v>
                </c:pt>
                <c:pt idx="13">
                  <c:v>133</c:v>
                </c:pt>
                <c:pt idx="14">
                  <c:v>143</c:v>
                </c:pt>
                <c:pt idx="15">
                  <c:v>153</c:v>
                </c:pt>
                <c:pt idx="16">
                  <c:v>163</c:v>
                </c:pt>
                <c:pt idx="17">
                  <c:v>174</c:v>
                </c:pt>
                <c:pt idx="18">
                  <c:v>184</c:v>
                </c:pt>
                <c:pt idx="19">
                  <c:v>194</c:v>
                </c:pt>
                <c:pt idx="20">
                  <c:v>204</c:v>
                </c:pt>
                <c:pt idx="21">
                  <c:v>214</c:v>
                </c:pt>
                <c:pt idx="22">
                  <c:v>225</c:v>
                </c:pt>
                <c:pt idx="23">
                  <c:v>235</c:v>
                </c:pt>
                <c:pt idx="24">
                  <c:v>245</c:v>
                </c:pt>
                <c:pt idx="25">
                  <c:v>255</c:v>
                </c:pt>
                <c:pt idx="26">
                  <c:v>265</c:v>
                </c:pt>
                <c:pt idx="27">
                  <c:v>276</c:v>
                </c:pt>
                <c:pt idx="28">
                  <c:v>286</c:v>
                </c:pt>
                <c:pt idx="29">
                  <c:v>296</c:v>
                </c:pt>
                <c:pt idx="30">
                  <c:v>306</c:v>
                </c:pt>
                <c:pt idx="31">
                  <c:v>316</c:v>
                </c:pt>
                <c:pt idx="32">
                  <c:v>327</c:v>
                </c:pt>
                <c:pt idx="33">
                  <c:v>337</c:v>
                </c:pt>
                <c:pt idx="34">
                  <c:v>347</c:v>
                </c:pt>
                <c:pt idx="35">
                  <c:v>357</c:v>
                </c:pt>
                <c:pt idx="36">
                  <c:v>367</c:v>
                </c:pt>
                <c:pt idx="37">
                  <c:v>378</c:v>
                </c:pt>
                <c:pt idx="38">
                  <c:v>388</c:v>
                </c:pt>
                <c:pt idx="39">
                  <c:v>398</c:v>
                </c:pt>
                <c:pt idx="40">
                  <c:v>408</c:v>
                </c:pt>
                <c:pt idx="41">
                  <c:v>419</c:v>
                </c:pt>
                <c:pt idx="42">
                  <c:v>429</c:v>
                </c:pt>
                <c:pt idx="43">
                  <c:v>439</c:v>
                </c:pt>
                <c:pt idx="44">
                  <c:v>449</c:v>
                </c:pt>
                <c:pt idx="45">
                  <c:v>459</c:v>
                </c:pt>
                <c:pt idx="46">
                  <c:v>470</c:v>
                </c:pt>
                <c:pt idx="47">
                  <c:v>480</c:v>
                </c:pt>
                <c:pt idx="48">
                  <c:v>490</c:v>
                </c:pt>
                <c:pt idx="49">
                  <c:v>500</c:v>
                </c:pt>
                <c:pt idx="50">
                  <c:v>510</c:v>
                </c:pt>
                <c:pt idx="51">
                  <c:v>521</c:v>
                </c:pt>
                <c:pt idx="52">
                  <c:v>531</c:v>
                </c:pt>
                <c:pt idx="53">
                  <c:v>541</c:v>
                </c:pt>
                <c:pt idx="54">
                  <c:v>551</c:v>
                </c:pt>
                <c:pt idx="55">
                  <c:v>561</c:v>
                </c:pt>
                <c:pt idx="56">
                  <c:v>572</c:v>
                </c:pt>
                <c:pt idx="57">
                  <c:v>582</c:v>
                </c:pt>
                <c:pt idx="58">
                  <c:v>592</c:v>
                </c:pt>
                <c:pt idx="59">
                  <c:v>602</c:v>
                </c:pt>
                <c:pt idx="60">
                  <c:v>612</c:v>
                </c:pt>
                <c:pt idx="61">
                  <c:v>623</c:v>
                </c:pt>
                <c:pt idx="62">
                  <c:v>633</c:v>
                </c:pt>
                <c:pt idx="63">
                  <c:v>643</c:v>
                </c:pt>
                <c:pt idx="64">
                  <c:v>653</c:v>
                </c:pt>
                <c:pt idx="65">
                  <c:v>663</c:v>
                </c:pt>
                <c:pt idx="66">
                  <c:v>674</c:v>
                </c:pt>
                <c:pt idx="67">
                  <c:v>684</c:v>
                </c:pt>
                <c:pt idx="68">
                  <c:v>694</c:v>
                </c:pt>
                <c:pt idx="69">
                  <c:v>704</c:v>
                </c:pt>
                <c:pt idx="70">
                  <c:v>715</c:v>
                </c:pt>
                <c:pt idx="71">
                  <c:v>725</c:v>
                </c:pt>
                <c:pt idx="72">
                  <c:v>735</c:v>
                </c:pt>
                <c:pt idx="73">
                  <c:v>745</c:v>
                </c:pt>
                <c:pt idx="74">
                  <c:v>755</c:v>
                </c:pt>
                <c:pt idx="75">
                  <c:v>766</c:v>
                </c:pt>
                <c:pt idx="76">
                  <c:v>776</c:v>
                </c:pt>
                <c:pt idx="77">
                  <c:v>786</c:v>
                </c:pt>
                <c:pt idx="78">
                  <c:v>796</c:v>
                </c:pt>
              </c:numCache>
            </c:numRef>
          </c:xVal>
          <c:yVal>
            <c:numRef>
              <c:f>'[Nuovo Foglio di lavoro di Microsoft Excel.xlsx]Foglio2'!$D$2:$D$80</c:f>
              <c:numCache>
                <c:formatCode>General</c:formatCode>
                <c:ptCount val="79"/>
                <c:pt idx="0">
                  <c:v>-1.3860000000000001</c:v>
                </c:pt>
                <c:pt idx="1">
                  <c:v>0.40133333333333338</c:v>
                </c:pt>
                <c:pt idx="2">
                  <c:v>0.94266666666666665</c:v>
                </c:pt>
                <c:pt idx="3">
                  <c:v>1.3183333333333334</c:v>
                </c:pt>
                <c:pt idx="4">
                  <c:v>1.6263333333333332</c:v>
                </c:pt>
                <c:pt idx="5">
                  <c:v>1.883</c:v>
                </c:pt>
                <c:pt idx="6">
                  <c:v>2.0859999999999999</c:v>
                </c:pt>
                <c:pt idx="7">
                  <c:v>2.2596666666666665</c:v>
                </c:pt>
                <c:pt idx="8">
                  <c:v>2.3903333333333334</c:v>
                </c:pt>
                <c:pt idx="9">
                  <c:v>2.464</c:v>
                </c:pt>
                <c:pt idx="10">
                  <c:v>2.5</c:v>
                </c:pt>
                <c:pt idx="11">
                  <c:v>2.5</c:v>
                </c:pt>
                <c:pt idx="12">
                  <c:v>2.4533333333333336</c:v>
                </c:pt>
                <c:pt idx="13">
                  <c:v>2.3973333333333335</c:v>
                </c:pt>
                <c:pt idx="14">
                  <c:v>2.3519999999999999</c:v>
                </c:pt>
                <c:pt idx="15">
                  <c:v>2.3263333333333338</c:v>
                </c:pt>
                <c:pt idx="16">
                  <c:v>2.3039999999999998</c:v>
                </c:pt>
                <c:pt idx="17">
                  <c:v>2.3239999999999998</c:v>
                </c:pt>
                <c:pt idx="18">
                  <c:v>2.3646666666666669</c:v>
                </c:pt>
                <c:pt idx="19">
                  <c:v>2.3823333333333334</c:v>
                </c:pt>
                <c:pt idx="20">
                  <c:v>2.4476666666666667</c:v>
                </c:pt>
                <c:pt idx="21">
                  <c:v>2.5689999999999995</c:v>
                </c:pt>
                <c:pt idx="22">
                  <c:v>2.7883333333333327</c:v>
                </c:pt>
                <c:pt idx="23">
                  <c:v>3.1336666666666666</c:v>
                </c:pt>
                <c:pt idx="24">
                  <c:v>3.6936666666666667</c:v>
                </c:pt>
                <c:pt idx="25">
                  <c:v>4.5779999999999994</c:v>
                </c:pt>
                <c:pt idx="26">
                  <c:v>5.9043333333333337</c:v>
                </c:pt>
                <c:pt idx="27">
                  <c:v>7.7663333333333329</c:v>
                </c:pt>
                <c:pt idx="28">
                  <c:v>10.086333333333334</c:v>
                </c:pt>
                <c:pt idx="29">
                  <c:v>12.776666666666666</c:v>
                </c:pt>
                <c:pt idx="30">
                  <c:v>15.486666666666666</c:v>
                </c:pt>
                <c:pt idx="31">
                  <c:v>17.893333333333334</c:v>
                </c:pt>
                <c:pt idx="32">
                  <c:v>19.64</c:v>
                </c:pt>
                <c:pt idx="33">
                  <c:v>20.593333333333334</c:v>
                </c:pt>
                <c:pt idx="34">
                  <c:v>20.89</c:v>
                </c:pt>
                <c:pt idx="35">
                  <c:v>20.806666666666668</c:v>
                </c:pt>
                <c:pt idx="36">
                  <c:v>20.62</c:v>
                </c:pt>
                <c:pt idx="37">
                  <c:v>20.576666666666664</c:v>
                </c:pt>
                <c:pt idx="38">
                  <c:v>20.706666666666667</c:v>
                </c:pt>
                <c:pt idx="39">
                  <c:v>20.936666666666667</c:v>
                </c:pt>
                <c:pt idx="40">
                  <c:v>21.246666666666666</c:v>
                </c:pt>
                <c:pt idx="41">
                  <c:v>21.563333333333336</c:v>
                </c:pt>
                <c:pt idx="42">
                  <c:v>21.896666666666665</c:v>
                </c:pt>
                <c:pt idx="43">
                  <c:v>22.173333333333332</c:v>
                </c:pt>
                <c:pt idx="44">
                  <c:v>22.493333333333336</c:v>
                </c:pt>
                <c:pt idx="45">
                  <c:v>22.806666666666668</c:v>
                </c:pt>
                <c:pt idx="46">
                  <c:v>23.156666666666666</c:v>
                </c:pt>
                <c:pt idx="47">
                  <c:v>23.53</c:v>
                </c:pt>
                <c:pt idx="48">
                  <c:v>23.98</c:v>
                </c:pt>
                <c:pt idx="49">
                  <c:v>24.406666666666666</c:v>
                </c:pt>
                <c:pt idx="50">
                  <c:v>24.876666666666669</c:v>
                </c:pt>
                <c:pt idx="51">
                  <c:v>25.366666666666664</c:v>
                </c:pt>
                <c:pt idx="52">
                  <c:v>25.826666666666668</c:v>
                </c:pt>
                <c:pt idx="53">
                  <c:v>26.24</c:v>
                </c:pt>
                <c:pt idx="54">
                  <c:v>26.64</c:v>
                </c:pt>
                <c:pt idx="55">
                  <c:v>26.946666666666669</c:v>
                </c:pt>
                <c:pt idx="56">
                  <c:v>27.316666666666663</c:v>
                </c:pt>
                <c:pt idx="57">
                  <c:v>27.663333333333338</c:v>
                </c:pt>
                <c:pt idx="58">
                  <c:v>28.099999999999998</c:v>
                </c:pt>
                <c:pt idx="59">
                  <c:v>28.583333333333332</c:v>
                </c:pt>
                <c:pt idx="60">
                  <c:v>29.143333333333334</c:v>
                </c:pt>
                <c:pt idx="61">
                  <c:v>29.783333333333331</c:v>
                </c:pt>
                <c:pt idx="62">
                  <c:v>30.540000000000003</c:v>
                </c:pt>
                <c:pt idx="63">
                  <c:v>31.383333333333336</c:v>
                </c:pt>
                <c:pt idx="64">
                  <c:v>32.376666666666672</c:v>
                </c:pt>
                <c:pt idx="65">
                  <c:v>33.47</c:v>
                </c:pt>
                <c:pt idx="66">
                  <c:v>34.593333333333327</c:v>
                </c:pt>
                <c:pt idx="67">
                  <c:v>35.71</c:v>
                </c:pt>
                <c:pt idx="68">
                  <c:v>36.816666666666663</c:v>
                </c:pt>
                <c:pt idx="69">
                  <c:v>37.853333333333332</c:v>
                </c:pt>
                <c:pt idx="70">
                  <c:v>38.923333333333339</c:v>
                </c:pt>
                <c:pt idx="71">
                  <c:v>39.913333333333334</c:v>
                </c:pt>
                <c:pt idx="72">
                  <c:v>40.830000000000005</c:v>
                </c:pt>
                <c:pt idx="73">
                  <c:v>41.673333333333339</c:v>
                </c:pt>
                <c:pt idx="74">
                  <c:v>42.403333333333336</c:v>
                </c:pt>
                <c:pt idx="75">
                  <c:v>43.103333333333332</c:v>
                </c:pt>
                <c:pt idx="76">
                  <c:v>43.77</c:v>
                </c:pt>
                <c:pt idx="77">
                  <c:v>44.436666666666667</c:v>
                </c:pt>
                <c:pt idx="78">
                  <c:v>45.136666666666663</c:v>
                </c:pt>
              </c:numCache>
            </c:numRef>
          </c:yVal>
          <c:smooth val="1"/>
          <c:extLst>
            <c:ext xmlns:c16="http://schemas.microsoft.com/office/drawing/2014/chart" uri="{C3380CC4-5D6E-409C-BE32-E72D297353CC}">
              <c16:uniqueId val="{00000002-12C3-4064-B1EC-7665BFFDE7A0}"/>
            </c:ext>
          </c:extLst>
        </c:ser>
        <c:ser>
          <c:idx val="3"/>
          <c:order val="2"/>
          <c:tx>
            <c:strRef>
              <c:f>'[Nuovo Foglio di lavoro di Microsoft Excel.xlsx]Foglio2'!$E$1</c:f>
              <c:strCache>
                <c:ptCount val="1"/>
                <c:pt idx="0">
                  <c:v>SW</c:v>
                </c:pt>
              </c:strCache>
            </c:strRef>
          </c:tx>
          <c:spPr>
            <a:ln w="19050" cap="rnd">
              <a:solidFill>
                <a:schemeClr val="bg2">
                  <a:lumMod val="75000"/>
                </a:schemeClr>
              </a:solidFill>
              <a:round/>
            </a:ln>
            <a:effectLst/>
          </c:spPr>
          <c:marker>
            <c:symbol val="none"/>
          </c:marker>
          <c:xVal>
            <c:numRef>
              <c:f>'[Nuovo Foglio di lavoro di Microsoft Excel.xlsx]Foglio2'!$A$2:$A$80</c:f>
              <c:numCache>
                <c:formatCode>0.00</c:formatCode>
                <c:ptCount val="79"/>
                <c:pt idx="0">
                  <c:v>0</c:v>
                </c:pt>
                <c:pt idx="1">
                  <c:v>10</c:v>
                </c:pt>
                <c:pt idx="2">
                  <c:v>20</c:v>
                </c:pt>
                <c:pt idx="3">
                  <c:v>31</c:v>
                </c:pt>
                <c:pt idx="4">
                  <c:v>41</c:v>
                </c:pt>
                <c:pt idx="5">
                  <c:v>51</c:v>
                </c:pt>
                <c:pt idx="6">
                  <c:v>61</c:v>
                </c:pt>
                <c:pt idx="7">
                  <c:v>71</c:v>
                </c:pt>
                <c:pt idx="8">
                  <c:v>82</c:v>
                </c:pt>
                <c:pt idx="9">
                  <c:v>92</c:v>
                </c:pt>
                <c:pt idx="10">
                  <c:v>102</c:v>
                </c:pt>
                <c:pt idx="11">
                  <c:v>112</c:v>
                </c:pt>
                <c:pt idx="12">
                  <c:v>122</c:v>
                </c:pt>
                <c:pt idx="13">
                  <c:v>133</c:v>
                </c:pt>
                <c:pt idx="14">
                  <c:v>143</c:v>
                </c:pt>
                <c:pt idx="15">
                  <c:v>153</c:v>
                </c:pt>
                <c:pt idx="16">
                  <c:v>163</c:v>
                </c:pt>
                <c:pt idx="17">
                  <c:v>174</c:v>
                </c:pt>
                <c:pt idx="18">
                  <c:v>184</c:v>
                </c:pt>
                <c:pt idx="19">
                  <c:v>194</c:v>
                </c:pt>
                <c:pt idx="20">
                  <c:v>204</c:v>
                </c:pt>
                <c:pt idx="21">
                  <c:v>214</c:v>
                </c:pt>
                <c:pt idx="22">
                  <c:v>225</c:v>
                </c:pt>
                <c:pt idx="23">
                  <c:v>235</c:v>
                </c:pt>
                <c:pt idx="24">
                  <c:v>245</c:v>
                </c:pt>
                <c:pt idx="25">
                  <c:v>255</c:v>
                </c:pt>
                <c:pt idx="26">
                  <c:v>265</c:v>
                </c:pt>
                <c:pt idx="27">
                  <c:v>276</c:v>
                </c:pt>
                <c:pt idx="28">
                  <c:v>286</c:v>
                </c:pt>
                <c:pt idx="29">
                  <c:v>296</c:v>
                </c:pt>
                <c:pt idx="30">
                  <c:v>306</c:v>
                </c:pt>
                <c:pt idx="31">
                  <c:v>316</c:v>
                </c:pt>
                <c:pt idx="32">
                  <c:v>327</c:v>
                </c:pt>
                <c:pt idx="33">
                  <c:v>337</c:v>
                </c:pt>
                <c:pt idx="34">
                  <c:v>347</c:v>
                </c:pt>
                <c:pt idx="35">
                  <c:v>357</c:v>
                </c:pt>
                <c:pt idx="36">
                  <c:v>367</c:v>
                </c:pt>
                <c:pt idx="37">
                  <c:v>378</c:v>
                </c:pt>
                <c:pt idx="38">
                  <c:v>388</c:v>
                </c:pt>
                <c:pt idx="39">
                  <c:v>398</c:v>
                </c:pt>
                <c:pt idx="40">
                  <c:v>408</c:v>
                </c:pt>
                <c:pt idx="41">
                  <c:v>419</c:v>
                </c:pt>
                <c:pt idx="42">
                  <c:v>429</c:v>
                </c:pt>
                <c:pt idx="43">
                  <c:v>439</c:v>
                </c:pt>
                <c:pt idx="44">
                  <c:v>449</c:v>
                </c:pt>
                <c:pt idx="45">
                  <c:v>459</c:v>
                </c:pt>
                <c:pt idx="46">
                  <c:v>470</c:v>
                </c:pt>
                <c:pt idx="47">
                  <c:v>480</c:v>
                </c:pt>
                <c:pt idx="48">
                  <c:v>490</c:v>
                </c:pt>
                <c:pt idx="49">
                  <c:v>500</c:v>
                </c:pt>
                <c:pt idx="50">
                  <c:v>510</c:v>
                </c:pt>
                <c:pt idx="51">
                  <c:v>521</c:v>
                </c:pt>
                <c:pt idx="52">
                  <c:v>531</c:v>
                </c:pt>
                <c:pt idx="53">
                  <c:v>541</c:v>
                </c:pt>
                <c:pt idx="54">
                  <c:v>551</c:v>
                </c:pt>
                <c:pt idx="55">
                  <c:v>561</c:v>
                </c:pt>
                <c:pt idx="56">
                  <c:v>572</c:v>
                </c:pt>
                <c:pt idx="57">
                  <c:v>582</c:v>
                </c:pt>
                <c:pt idx="58">
                  <c:v>592</c:v>
                </c:pt>
                <c:pt idx="59">
                  <c:v>602</c:v>
                </c:pt>
                <c:pt idx="60">
                  <c:v>612</c:v>
                </c:pt>
                <c:pt idx="61">
                  <c:v>623</c:v>
                </c:pt>
                <c:pt idx="62">
                  <c:v>633</c:v>
                </c:pt>
                <c:pt idx="63">
                  <c:v>643</c:v>
                </c:pt>
                <c:pt idx="64">
                  <c:v>653</c:v>
                </c:pt>
                <c:pt idx="65">
                  <c:v>663</c:v>
                </c:pt>
                <c:pt idx="66">
                  <c:v>674</c:v>
                </c:pt>
                <c:pt idx="67">
                  <c:v>684</c:v>
                </c:pt>
                <c:pt idx="68">
                  <c:v>694</c:v>
                </c:pt>
                <c:pt idx="69">
                  <c:v>704</c:v>
                </c:pt>
                <c:pt idx="70">
                  <c:v>715</c:v>
                </c:pt>
                <c:pt idx="71">
                  <c:v>725</c:v>
                </c:pt>
                <c:pt idx="72">
                  <c:v>735</c:v>
                </c:pt>
                <c:pt idx="73">
                  <c:v>745</c:v>
                </c:pt>
                <c:pt idx="74">
                  <c:v>755</c:v>
                </c:pt>
                <c:pt idx="75">
                  <c:v>766</c:v>
                </c:pt>
                <c:pt idx="76">
                  <c:v>776</c:v>
                </c:pt>
                <c:pt idx="77">
                  <c:v>786</c:v>
                </c:pt>
                <c:pt idx="78">
                  <c:v>796</c:v>
                </c:pt>
              </c:numCache>
            </c:numRef>
          </c:xVal>
          <c:yVal>
            <c:numRef>
              <c:f>'[Nuovo Foglio di lavoro di Microsoft Excel.xlsx]Foglio2'!$E$2:$E$80</c:f>
              <c:numCache>
                <c:formatCode>0.00</c:formatCode>
                <c:ptCount val="79"/>
                <c:pt idx="0">
                  <c:v>-0.86799999999999999</c:v>
                </c:pt>
                <c:pt idx="1">
                  <c:v>0.224</c:v>
                </c:pt>
                <c:pt idx="2">
                  <c:v>0.60199999999999998</c:v>
                </c:pt>
                <c:pt idx="3">
                  <c:v>0.84</c:v>
                </c:pt>
                <c:pt idx="4">
                  <c:v>1.036</c:v>
                </c:pt>
                <c:pt idx="5">
                  <c:v>1.1759999999999999</c:v>
                </c:pt>
                <c:pt idx="6">
                  <c:v>1.288</c:v>
                </c:pt>
                <c:pt idx="7">
                  <c:v>1.3680000000000001</c:v>
                </c:pt>
                <c:pt idx="8">
                  <c:v>1.41</c:v>
                </c:pt>
                <c:pt idx="9">
                  <c:v>1.4239999999999999</c:v>
                </c:pt>
                <c:pt idx="10">
                  <c:v>1.4279999999999999</c:v>
                </c:pt>
                <c:pt idx="11">
                  <c:v>1.4239999999999999</c:v>
                </c:pt>
                <c:pt idx="12">
                  <c:v>1.4239999999999999</c:v>
                </c:pt>
                <c:pt idx="13">
                  <c:v>1.4419999999999999</c:v>
                </c:pt>
                <c:pt idx="14">
                  <c:v>1.48</c:v>
                </c:pt>
                <c:pt idx="15">
                  <c:v>1.5680000000000001</c:v>
                </c:pt>
                <c:pt idx="16">
                  <c:v>1.6619999999999999</c:v>
                </c:pt>
                <c:pt idx="17">
                  <c:v>1.806</c:v>
                </c:pt>
                <c:pt idx="18">
                  <c:v>1.9950000000000001</c:v>
                </c:pt>
                <c:pt idx="19">
                  <c:v>2.2679999999999998</c:v>
                </c:pt>
                <c:pt idx="20">
                  <c:v>2.6389999999999998</c:v>
                </c:pt>
                <c:pt idx="21">
                  <c:v>3.1989999999999998</c:v>
                </c:pt>
                <c:pt idx="22">
                  <c:v>3.927</c:v>
                </c:pt>
                <c:pt idx="23">
                  <c:v>4.819</c:v>
                </c:pt>
                <c:pt idx="24">
                  <c:v>5.883</c:v>
                </c:pt>
                <c:pt idx="25">
                  <c:v>7.0279999999999996</c:v>
                </c:pt>
                <c:pt idx="26">
                  <c:v>8.0220000000000002</c:v>
                </c:pt>
                <c:pt idx="27">
                  <c:v>8.7530000000000001</c:v>
                </c:pt>
                <c:pt idx="28">
                  <c:v>9.1419999999999995</c:v>
                </c:pt>
                <c:pt idx="29">
                  <c:v>9.4250000000000007</c:v>
                </c:pt>
                <c:pt idx="30">
                  <c:v>9.67</c:v>
                </c:pt>
                <c:pt idx="31">
                  <c:v>10.02</c:v>
                </c:pt>
                <c:pt idx="32">
                  <c:v>10.37</c:v>
                </c:pt>
                <c:pt idx="33">
                  <c:v>10.77</c:v>
                </c:pt>
                <c:pt idx="34">
                  <c:v>11.13</c:v>
                </c:pt>
                <c:pt idx="35">
                  <c:v>11.52</c:v>
                </c:pt>
                <c:pt idx="36">
                  <c:v>11.84</c:v>
                </c:pt>
                <c:pt idx="37">
                  <c:v>12.14</c:v>
                </c:pt>
                <c:pt idx="38">
                  <c:v>12.45</c:v>
                </c:pt>
                <c:pt idx="39">
                  <c:v>12.72</c:v>
                </c:pt>
                <c:pt idx="40">
                  <c:v>12.97</c:v>
                </c:pt>
                <c:pt idx="41">
                  <c:v>13.28</c:v>
                </c:pt>
                <c:pt idx="42">
                  <c:v>13.57</c:v>
                </c:pt>
                <c:pt idx="43">
                  <c:v>13.89</c:v>
                </c:pt>
                <c:pt idx="44">
                  <c:v>14.23</c:v>
                </c:pt>
                <c:pt idx="45">
                  <c:v>14.62</c:v>
                </c:pt>
                <c:pt idx="46">
                  <c:v>15.06</c:v>
                </c:pt>
                <c:pt idx="47">
                  <c:v>15.52</c:v>
                </c:pt>
                <c:pt idx="48">
                  <c:v>16.03</c:v>
                </c:pt>
                <c:pt idx="49">
                  <c:v>16.48</c:v>
                </c:pt>
                <c:pt idx="50">
                  <c:v>16.96</c:v>
                </c:pt>
                <c:pt idx="51">
                  <c:v>17.36</c:v>
                </c:pt>
                <c:pt idx="52">
                  <c:v>17.79</c:v>
                </c:pt>
                <c:pt idx="53">
                  <c:v>18.25</c:v>
                </c:pt>
                <c:pt idx="54">
                  <c:v>18.82</c:v>
                </c:pt>
                <c:pt idx="55">
                  <c:v>19.39</c:v>
                </c:pt>
                <c:pt idx="56">
                  <c:v>20.02</c:v>
                </c:pt>
                <c:pt idx="57">
                  <c:v>20.7</c:v>
                </c:pt>
                <c:pt idx="58">
                  <c:v>21.49</c:v>
                </c:pt>
                <c:pt idx="59">
                  <c:v>22.38</c:v>
                </c:pt>
                <c:pt idx="60">
                  <c:v>23.43</c:v>
                </c:pt>
                <c:pt idx="61">
                  <c:v>24.48</c:v>
                </c:pt>
                <c:pt idx="62">
                  <c:v>25.66</c:v>
                </c:pt>
                <c:pt idx="63">
                  <c:v>26.79</c:v>
                </c:pt>
                <c:pt idx="64">
                  <c:v>27.98</c:v>
                </c:pt>
                <c:pt idx="65">
                  <c:v>29.11</c:v>
                </c:pt>
                <c:pt idx="66">
                  <c:v>30.19</c:v>
                </c:pt>
                <c:pt idx="67">
                  <c:v>31.24</c:v>
                </c:pt>
                <c:pt idx="68">
                  <c:v>32.24</c:v>
                </c:pt>
                <c:pt idx="69">
                  <c:v>33.119999999999997</c:v>
                </c:pt>
                <c:pt idx="70">
                  <c:v>33.93</c:v>
                </c:pt>
                <c:pt idx="71">
                  <c:v>34.69</c:v>
                </c:pt>
                <c:pt idx="72">
                  <c:v>35.450000000000003</c:v>
                </c:pt>
                <c:pt idx="73">
                  <c:v>36.119999999999997</c:v>
                </c:pt>
                <c:pt idx="74">
                  <c:v>36.770000000000003</c:v>
                </c:pt>
                <c:pt idx="75">
                  <c:v>37.4</c:v>
                </c:pt>
                <c:pt idx="76">
                  <c:v>38.07</c:v>
                </c:pt>
                <c:pt idx="77">
                  <c:v>38.770000000000003</c:v>
                </c:pt>
                <c:pt idx="78">
                  <c:v>39.54</c:v>
                </c:pt>
              </c:numCache>
            </c:numRef>
          </c:yVal>
          <c:smooth val="1"/>
          <c:extLst>
            <c:ext xmlns:c16="http://schemas.microsoft.com/office/drawing/2014/chart" uri="{C3380CC4-5D6E-409C-BE32-E72D297353CC}">
              <c16:uniqueId val="{00000003-12C3-4064-B1EC-7665BFFDE7A0}"/>
            </c:ext>
          </c:extLst>
        </c:ser>
        <c:ser>
          <c:idx val="4"/>
          <c:order val="3"/>
          <c:tx>
            <c:strRef>
              <c:f>'[Nuovo Foglio di lavoro di Microsoft Excel.xlsx]Foglio2'!$F$1</c:f>
              <c:strCache>
                <c:ptCount val="1"/>
                <c:pt idx="0">
                  <c:v>UW</c:v>
                </c:pt>
              </c:strCache>
            </c:strRef>
          </c:tx>
          <c:spPr>
            <a:ln w="19050" cap="rnd">
              <a:solidFill>
                <a:schemeClr val="tx1"/>
              </a:solidFill>
              <a:round/>
            </a:ln>
            <a:effectLst/>
          </c:spPr>
          <c:marker>
            <c:symbol val="none"/>
          </c:marker>
          <c:xVal>
            <c:numRef>
              <c:f>'[Nuovo Foglio di lavoro di Microsoft Excel.xlsx]Foglio2'!$A$2:$A$80</c:f>
              <c:numCache>
                <c:formatCode>0.00</c:formatCode>
                <c:ptCount val="79"/>
                <c:pt idx="0">
                  <c:v>0</c:v>
                </c:pt>
                <c:pt idx="1">
                  <c:v>10</c:v>
                </c:pt>
                <c:pt idx="2">
                  <c:v>20</c:v>
                </c:pt>
                <c:pt idx="3">
                  <c:v>31</c:v>
                </c:pt>
                <c:pt idx="4">
                  <c:v>41</c:v>
                </c:pt>
                <c:pt idx="5">
                  <c:v>51</c:v>
                </c:pt>
                <c:pt idx="6">
                  <c:v>61</c:v>
                </c:pt>
                <c:pt idx="7">
                  <c:v>71</c:v>
                </c:pt>
                <c:pt idx="8">
                  <c:v>82</c:v>
                </c:pt>
                <c:pt idx="9">
                  <c:v>92</c:v>
                </c:pt>
                <c:pt idx="10">
                  <c:v>102</c:v>
                </c:pt>
                <c:pt idx="11">
                  <c:v>112</c:v>
                </c:pt>
                <c:pt idx="12">
                  <c:v>122</c:v>
                </c:pt>
                <c:pt idx="13">
                  <c:v>133</c:v>
                </c:pt>
                <c:pt idx="14">
                  <c:v>143</c:v>
                </c:pt>
                <c:pt idx="15">
                  <c:v>153</c:v>
                </c:pt>
                <c:pt idx="16">
                  <c:v>163</c:v>
                </c:pt>
                <c:pt idx="17">
                  <c:v>174</c:v>
                </c:pt>
                <c:pt idx="18">
                  <c:v>184</c:v>
                </c:pt>
                <c:pt idx="19">
                  <c:v>194</c:v>
                </c:pt>
                <c:pt idx="20">
                  <c:v>204</c:v>
                </c:pt>
                <c:pt idx="21">
                  <c:v>214</c:v>
                </c:pt>
                <c:pt idx="22">
                  <c:v>225</c:v>
                </c:pt>
                <c:pt idx="23">
                  <c:v>235</c:v>
                </c:pt>
                <c:pt idx="24">
                  <c:v>245</c:v>
                </c:pt>
                <c:pt idx="25">
                  <c:v>255</c:v>
                </c:pt>
                <c:pt idx="26">
                  <c:v>265</c:v>
                </c:pt>
                <c:pt idx="27">
                  <c:v>276</c:v>
                </c:pt>
                <c:pt idx="28">
                  <c:v>286</c:v>
                </c:pt>
                <c:pt idx="29">
                  <c:v>296</c:v>
                </c:pt>
                <c:pt idx="30">
                  <c:v>306</c:v>
                </c:pt>
                <c:pt idx="31">
                  <c:v>316</c:v>
                </c:pt>
                <c:pt idx="32">
                  <c:v>327</c:v>
                </c:pt>
                <c:pt idx="33">
                  <c:v>337</c:v>
                </c:pt>
                <c:pt idx="34">
                  <c:v>347</c:v>
                </c:pt>
                <c:pt idx="35">
                  <c:v>357</c:v>
                </c:pt>
                <c:pt idx="36">
                  <c:v>367</c:v>
                </c:pt>
                <c:pt idx="37">
                  <c:v>378</c:v>
                </c:pt>
                <c:pt idx="38">
                  <c:v>388</c:v>
                </c:pt>
                <c:pt idx="39">
                  <c:v>398</c:v>
                </c:pt>
                <c:pt idx="40">
                  <c:v>408</c:v>
                </c:pt>
                <c:pt idx="41">
                  <c:v>419</c:v>
                </c:pt>
                <c:pt idx="42">
                  <c:v>429</c:v>
                </c:pt>
                <c:pt idx="43">
                  <c:v>439</c:v>
                </c:pt>
                <c:pt idx="44">
                  <c:v>449</c:v>
                </c:pt>
                <c:pt idx="45">
                  <c:v>459</c:v>
                </c:pt>
                <c:pt idx="46">
                  <c:v>470</c:v>
                </c:pt>
                <c:pt idx="47">
                  <c:v>480</c:v>
                </c:pt>
                <c:pt idx="48">
                  <c:v>490</c:v>
                </c:pt>
                <c:pt idx="49">
                  <c:v>500</c:v>
                </c:pt>
                <c:pt idx="50">
                  <c:v>510</c:v>
                </c:pt>
                <c:pt idx="51">
                  <c:v>521</c:v>
                </c:pt>
                <c:pt idx="52">
                  <c:v>531</c:v>
                </c:pt>
                <c:pt idx="53">
                  <c:v>541</c:v>
                </c:pt>
                <c:pt idx="54">
                  <c:v>551</c:v>
                </c:pt>
                <c:pt idx="55">
                  <c:v>561</c:v>
                </c:pt>
                <c:pt idx="56">
                  <c:v>572</c:v>
                </c:pt>
                <c:pt idx="57">
                  <c:v>582</c:v>
                </c:pt>
                <c:pt idx="58">
                  <c:v>592</c:v>
                </c:pt>
                <c:pt idx="59">
                  <c:v>602</c:v>
                </c:pt>
                <c:pt idx="60">
                  <c:v>612</c:v>
                </c:pt>
                <c:pt idx="61">
                  <c:v>623</c:v>
                </c:pt>
                <c:pt idx="62">
                  <c:v>633</c:v>
                </c:pt>
                <c:pt idx="63">
                  <c:v>643</c:v>
                </c:pt>
                <c:pt idx="64">
                  <c:v>653</c:v>
                </c:pt>
                <c:pt idx="65">
                  <c:v>663</c:v>
                </c:pt>
                <c:pt idx="66">
                  <c:v>674</c:v>
                </c:pt>
                <c:pt idx="67">
                  <c:v>684</c:v>
                </c:pt>
                <c:pt idx="68">
                  <c:v>694</c:v>
                </c:pt>
                <c:pt idx="69">
                  <c:v>704</c:v>
                </c:pt>
                <c:pt idx="70">
                  <c:v>715</c:v>
                </c:pt>
                <c:pt idx="71">
                  <c:v>725</c:v>
                </c:pt>
                <c:pt idx="72">
                  <c:v>735</c:v>
                </c:pt>
                <c:pt idx="73">
                  <c:v>745</c:v>
                </c:pt>
                <c:pt idx="74">
                  <c:v>755</c:v>
                </c:pt>
                <c:pt idx="75">
                  <c:v>766</c:v>
                </c:pt>
                <c:pt idx="76">
                  <c:v>776</c:v>
                </c:pt>
                <c:pt idx="77">
                  <c:v>786</c:v>
                </c:pt>
                <c:pt idx="78">
                  <c:v>796</c:v>
                </c:pt>
              </c:numCache>
            </c:numRef>
          </c:xVal>
          <c:yVal>
            <c:numRef>
              <c:f>'[Nuovo Foglio di lavoro di Microsoft Excel.xlsx]Foglio2'!$F$2:$F$80</c:f>
              <c:numCache>
                <c:formatCode>0.00</c:formatCode>
                <c:ptCount val="79"/>
                <c:pt idx="0">
                  <c:v>-1.3160000000000001</c:v>
                </c:pt>
                <c:pt idx="1">
                  <c:v>-0.33600000000000002</c:v>
                </c:pt>
                <c:pt idx="2">
                  <c:v>4.2000000000000003E-2</c:v>
                </c:pt>
                <c:pt idx="3">
                  <c:v>0.34300000000000003</c:v>
                </c:pt>
                <c:pt idx="4">
                  <c:v>0.56699999999999995</c:v>
                </c:pt>
                <c:pt idx="5">
                  <c:v>0.76300000000000001</c:v>
                </c:pt>
                <c:pt idx="6">
                  <c:v>0.9345</c:v>
                </c:pt>
                <c:pt idx="7">
                  <c:v>1.0669999999999999</c:v>
                </c:pt>
                <c:pt idx="8">
                  <c:v>1.1830000000000001</c:v>
                </c:pt>
                <c:pt idx="9">
                  <c:v>1.256</c:v>
                </c:pt>
                <c:pt idx="10">
                  <c:v>1.298</c:v>
                </c:pt>
                <c:pt idx="11">
                  <c:v>1.3160000000000001</c:v>
                </c:pt>
                <c:pt idx="12">
                  <c:v>1.3120000000000001</c:v>
                </c:pt>
                <c:pt idx="13">
                  <c:v>1.288</c:v>
                </c:pt>
                <c:pt idx="14">
                  <c:v>1.274</c:v>
                </c:pt>
                <c:pt idx="15">
                  <c:v>1.2769999999999999</c:v>
                </c:pt>
                <c:pt idx="16">
                  <c:v>1.284</c:v>
                </c:pt>
                <c:pt idx="17">
                  <c:v>1.3049999999999999</c:v>
                </c:pt>
                <c:pt idx="18">
                  <c:v>1.337</c:v>
                </c:pt>
                <c:pt idx="19">
                  <c:v>1.379</c:v>
                </c:pt>
                <c:pt idx="20">
                  <c:v>1.4450000000000001</c:v>
                </c:pt>
                <c:pt idx="21">
                  <c:v>1.5569999999999999</c:v>
                </c:pt>
                <c:pt idx="22">
                  <c:v>1.7150000000000001</c:v>
                </c:pt>
                <c:pt idx="23">
                  <c:v>1.956</c:v>
                </c:pt>
                <c:pt idx="24">
                  <c:v>2.331</c:v>
                </c:pt>
                <c:pt idx="25">
                  <c:v>2.8839999999999999</c:v>
                </c:pt>
                <c:pt idx="26">
                  <c:v>3.657</c:v>
                </c:pt>
                <c:pt idx="27">
                  <c:v>4.7069999999999999</c:v>
                </c:pt>
                <c:pt idx="28">
                  <c:v>6.0579999999999998</c:v>
                </c:pt>
                <c:pt idx="29">
                  <c:v>7.6609999999999996</c:v>
                </c:pt>
                <c:pt idx="30">
                  <c:v>9.359</c:v>
                </c:pt>
                <c:pt idx="31">
                  <c:v>10.91</c:v>
                </c:pt>
                <c:pt idx="32">
                  <c:v>11.98</c:v>
                </c:pt>
                <c:pt idx="33">
                  <c:v>12.37</c:v>
                </c:pt>
                <c:pt idx="34">
                  <c:v>12.31</c:v>
                </c:pt>
                <c:pt idx="35">
                  <c:v>12.18</c:v>
                </c:pt>
                <c:pt idx="36">
                  <c:v>12.17</c:v>
                </c:pt>
                <c:pt idx="37">
                  <c:v>12.27</c:v>
                </c:pt>
                <c:pt idx="38">
                  <c:v>12.47</c:v>
                </c:pt>
                <c:pt idx="39">
                  <c:v>12.69</c:v>
                </c:pt>
                <c:pt idx="40">
                  <c:v>12.93</c:v>
                </c:pt>
                <c:pt idx="41">
                  <c:v>13.16</c:v>
                </c:pt>
                <c:pt idx="42">
                  <c:v>13.37</c:v>
                </c:pt>
                <c:pt idx="43">
                  <c:v>13.57</c:v>
                </c:pt>
                <c:pt idx="44">
                  <c:v>13.74</c:v>
                </c:pt>
                <c:pt idx="45">
                  <c:v>13.94</c:v>
                </c:pt>
                <c:pt idx="46">
                  <c:v>14.15</c:v>
                </c:pt>
                <c:pt idx="47">
                  <c:v>14.38</c:v>
                </c:pt>
                <c:pt idx="48">
                  <c:v>14.66</c:v>
                </c:pt>
                <c:pt idx="49">
                  <c:v>14.97</c:v>
                </c:pt>
                <c:pt idx="50">
                  <c:v>15.32</c:v>
                </c:pt>
                <c:pt idx="51">
                  <c:v>15.67</c:v>
                </c:pt>
                <c:pt idx="52">
                  <c:v>16.010000000000002</c:v>
                </c:pt>
                <c:pt idx="53">
                  <c:v>16.28</c:v>
                </c:pt>
                <c:pt idx="54">
                  <c:v>16.53</c:v>
                </c:pt>
                <c:pt idx="55">
                  <c:v>16.760000000000002</c:v>
                </c:pt>
                <c:pt idx="56">
                  <c:v>17.04</c:v>
                </c:pt>
                <c:pt idx="57">
                  <c:v>17.36</c:v>
                </c:pt>
                <c:pt idx="58">
                  <c:v>17.72</c:v>
                </c:pt>
                <c:pt idx="59">
                  <c:v>18.13</c:v>
                </c:pt>
                <c:pt idx="60">
                  <c:v>18.600000000000001</c:v>
                </c:pt>
                <c:pt idx="61">
                  <c:v>19.13</c:v>
                </c:pt>
                <c:pt idx="62">
                  <c:v>19.82</c:v>
                </c:pt>
                <c:pt idx="63">
                  <c:v>20.61</c:v>
                </c:pt>
                <c:pt idx="64">
                  <c:v>21.51</c:v>
                </c:pt>
                <c:pt idx="65">
                  <c:v>22.51</c:v>
                </c:pt>
                <c:pt idx="66">
                  <c:v>23.54</c:v>
                </c:pt>
                <c:pt idx="67">
                  <c:v>24.55</c:v>
                </c:pt>
                <c:pt idx="68">
                  <c:v>25.55</c:v>
                </c:pt>
                <c:pt idx="69">
                  <c:v>26.47</c:v>
                </c:pt>
                <c:pt idx="70">
                  <c:v>27.39</c:v>
                </c:pt>
                <c:pt idx="71">
                  <c:v>28.28</c:v>
                </c:pt>
                <c:pt idx="72">
                  <c:v>29.09</c:v>
                </c:pt>
                <c:pt idx="73">
                  <c:v>29.84</c:v>
                </c:pt>
                <c:pt idx="74">
                  <c:v>30.55</c:v>
                </c:pt>
                <c:pt idx="75">
                  <c:v>31.21</c:v>
                </c:pt>
                <c:pt idx="76">
                  <c:v>31.91</c:v>
                </c:pt>
                <c:pt idx="77">
                  <c:v>32.56</c:v>
                </c:pt>
                <c:pt idx="78">
                  <c:v>33.229999999999997</c:v>
                </c:pt>
              </c:numCache>
            </c:numRef>
          </c:yVal>
          <c:smooth val="1"/>
          <c:extLst>
            <c:ext xmlns:c16="http://schemas.microsoft.com/office/drawing/2014/chart" uri="{C3380CC4-5D6E-409C-BE32-E72D297353CC}">
              <c16:uniqueId val="{00000004-12C3-4064-B1EC-7665BFFDE7A0}"/>
            </c:ext>
          </c:extLst>
        </c:ser>
        <c:dLbls>
          <c:showLegendKey val="0"/>
          <c:showVal val="0"/>
          <c:showCatName val="0"/>
          <c:showSerName val="0"/>
          <c:showPercent val="0"/>
          <c:showBubbleSize val="0"/>
        </c:dLbls>
        <c:axId val="2091363840"/>
        <c:axId val="785259904"/>
      </c:scatterChart>
      <c:valAx>
        <c:axId val="2091363840"/>
        <c:scaling>
          <c:orientation val="minMax"/>
          <c:max val="80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mV</a:t>
                </a:r>
              </a:p>
            </c:rich>
          </c:tx>
          <c:layout>
            <c:manualLayout>
              <c:xMode val="edge"/>
              <c:yMode val="edge"/>
              <c:x val="0.50284830525216606"/>
              <c:y val="0.8586751201554351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85259904"/>
        <c:crosses val="autoZero"/>
        <c:crossBetween val="midCat"/>
      </c:valAx>
      <c:valAx>
        <c:axId val="785259904"/>
        <c:scaling>
          <c:orientation val="minMax"/>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μ</a:t>
                </a:r>
                <a:r>
                  <a:rPr lang="it-IT"/>
                  <a:t>A</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2091363840"/>
        <c:crosses val="autoZero"/>
        <c:crossBetween val="midCat"/>
        <c:majorUnit val="10"/>
      </c:valAx>
      <c:spPr>
        <a:noFill/>
        <a:ln>
          <a:noFill/>
        </a:ln>
        <a:effectLst/>
      </c:spPr>
    </c:plotArea>
    <c:legend>
      <c:legendPos val="b"/>
      <c:layout>
        <c:manualLayout>
          <c:xMode val="edge"/>
          <c:yMode val="edge"/>
          <c:x val="0.16142375903799427"/>
          <c:y val="7.5072829636753449E-2"/>
          <c:w val="0.55648059443743814"/>
          <c:h val="0.28953233748156149"/>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43E3-B616-4E1D-ADEB-84E7F0B7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Pages>
  <Words>3409</Words>
  <Characters>19433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Ilaria Picco</cp:lastModifiedBy>
  <cp:revision>247</cp:revision>
  <cp:lastPrinted>2023-06-07T10:16:00Z</cp:lastPrinted>
  <dcterms:created xsi:type="dcterms:W3CDTF">2023-05-30T09:53:00Z</dcterms:created>
  <dcterms:modified xsi:type="dcterms:W3CDTF">2023-06-28T12:59:00Z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Document_1">
    <vt:lpwstr>True</vt:lpwstr>
  </property>
  <property fmtid="{D5CDD505-2E9C-101B-9397-08002B2CF9AE}" pid="4" name="Mendeley Unique User Id_1">
    <vt:lpwstr>932fc16d-85de-381c-8ef2-c1a2d352a84f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