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42B6" w14:textId="77777777" w:rsidR="00081E79" w:rsidRDefault="00081E79" w:rsidP="00081E79">
      <w:pPr>
        <w:pStyle w:val="Corpodeltesto2"/>
        <w:tabs>
          <w:tab w:val="left" w:pos="5040"/>
          <w:tab w:val="left" w:pos="5760"/>
          <w:tab w:val="left" w:pos="6480"/>
        </w:tabs>
        <w:spacing w:before="600"/>
        <w:rPr>
          <w:i w:val="0"/>
          <w:iCs w:val="0"/>
          <w:sz w:val="52"/>
          <w:szCs w:val="2"/>
          <w:lang w:val="en-GB"/>
        </w:rPr>
      </w:pPr>
    </w:p>
    <w:p w14:paraId="586EFE02" w14:textId="77777777" w:rsidR="00081E79" w:rsidRDefault="00081E79" w:rsidP="00081E79">
      <w:pPr>
        <w:pStyle w:val="Corpodeltesto2"/>
        <w:tabs>
          <w:tab w:val="left" w:pos="5040"/>
          <w:tab w:val="left" w:pos="5760"/>
          <w:tab w:val="left" w:pos="6480"/>
        </w:tabs>
        <w:spacing w:before="600"/>
        <w:rPr>
          <w:i w:val="0"/>
          <w:iCs w:val="0"/>
          <w:sz w:val="52"/>
          <w:szCs w:val="2"/>
          <w:lang w:val="en-GB"/>
        </w:rPr>
      </w:pPr>
    </w:p>
    <w:p w14:paraId="351384EB" w14:textId="77777777" w:rsidR="00081E79" w:rsidRDefault="00081E79" w:rsidP="00081E79">
      <w:pPr>
        <w:pStyle w:val="Corpodeltesto2"/>
        <w:tabs>
          <w:tab w:val="left" w:pos="5040"/>
          <w:tab w:val="left" w:pos="5760"/>
          <w:tab w:val="left" w:pos="6480"/>
        </w:tabs>
        <w:spacing w:before="600"/>
        <w:rPr>
          <w:i w:val="0"/>
          <w:iCs w:val="0"/>
          <w:sz w:val="52"/>
          <w:lang w:val="en-GB"/>
        </w:rPr>
      </w:pPr>
    </w:p>
    <w:p w14:paraId="48DEFE51" w14:textId="77777777" w:rsidR="00081E79" w:rsidRDefault="00081E79" w:rsidP="00081E79">
      <w:pPr>
        <w:pStyle w:val="Corpodeltesto2"/>
        <w:tabs>
          <w:tab w:val="left" w:pos="5040"/>
          <w:tab w:val="left" w:pos="5760"/>
          <w:tab w:val="left" w:pos="6480"/>
        </w:tabs>
        <w:spacing w:before="600"/>
        <w:rPr>
          <w:i w:val="0"/>
          <w:iCs w:val="0"/>
          <w:sz w:val="52"/>
          <w:lang w:val="en-GB"/>
        </w:rPr>
      </w:pPr>
    </w:p>
    <w:p w14:paraId="2DCF4630" w14:textId="77777777" w:rsidR="00081E79" w:rsidRDefault="00081E79" w:rsidP="00081E79">
      <w:pPr>
        <w:pStyle w:val="Corpodeltesto2"/>
        <w:tabs>
          <w:tab w:val="left" w:pos="5040"/>
          <w:tab w:val="left" w:pos="5760"/>
          <w:tab w:val="left" w:pos="6480"/>
        </w:tabs>
        <w:spacing w:before="600"/>
        <w:jc w:val="center"/>
        <w:rPr>
          <w:i w:val="0"/>
          <w:iCs w:val="0"/>
          <w:sz w:val="52"/>
          <w:lang w:val="en-GB"/>
        </w:rPr>
      </w:pPr>
      <w:r>
        <w:rPr>
          <w:i w:val="0"/>
          <w:iCs w:val="0"/>
          <w:sz w:val="52"/>
          <w:lang w:val="en-GB"/>
        </w:rPr>
        <w:t>PhD DISSERTATION PROJECTS</w:t>
      </w:r>
    </w:p>
    <w:p w14:paraId="579B649A" w14:textId="0A89F8B0" w:rsidR="00081E79" w:rsidRDefault="00081E79" w:rsidP="00081E79">
      <w:pPr>
        <w:pStyle w:val="Corpodeltesto2"/>
        <w:tabs>
          <w:tab w:val="left" w:pos="5040"/>
          <w:tab w:val="left" w:pos="5760"/>
          <w:tab w:val="left" w:pos="6480"/>
          <w:tab w:val="left" w:pos="8364"/>
        </w:tabs>
        <w:spacing w:before="240"/>
        <w:rPr>
          <w:b w:val="0"/>
          <w:bCs w:val="0"/>
          <w:i w:val="0"/>
          <w:iCs w:val="0"/>
          <w:lang w:val="en-GB"/>
        </w:rPr>
      </w:pPr>
      <w:r>
        <w:rPr>
          <w:b w:val="0"/>
          <w:bCs w:val="0"/>
          <w:i w:val="0"/>
          <w:iCs w:val="0"/>
          <w:lang w:val="en-GB"/>
        </w:rPr>
        <w:t xml:space="preserve"> </w:t>
      </w:r>
    </w:p>
    <w:p w14:paraId="56F86702" w14:textId="6DA5BE7F" w:rsidR="00081E79" w:rsidRPr="00081E79" w:rsidRDefault="00081E79" w:rsidP="00081E79">
      <w:pPr>
        <w:widowControl/>
        <w:suppressAutoHyphens w:val="0"/>
        <w:rPr>
          <w:sz w:val="28"/>
          <w:lang w:val="en-GB"/>
        </w:rPr>
      </w:pPr>
      <w:r>
        <w:rPr>
          <w:b/>
          <w:bCs/>
          <w:i/>
          <w:iCs/>
          <w:lang w:val="en-GB"/>
        </w:rPr>
        <w:br w:type="page"/>
      </w:r>
    </w:p>
    <w:p w14:paraId="004B3F77" w14:textId="567EA81E" w:rsidR="007C517F" w:rsidRDefault="007C517F" w:rsidP="0026030C">
      <w:pPr>
        <w:spacing w:before="600" w:after="120"/>
        <w:jc w:val="center"/>
        <w:rPr>
          <w:b/>
          <w:kern w:val="2"/>
          <w:sz w:val="28"/>
          <w:lang w:val="en-GB"/>
        </w:rPr>
      </w:pPr>
      <w:r w:rsidRPr="007C517F">
        <w:rPr>
          <w:b/>
          <w:kern w:val="2"/>
          <w:sz w:val="28"/>
          <w:lang w:val="en-GB"/>
        </w:rPr>
        <w:lastRenderedPageBreak/>
        <w:t>Exploitation of functional potential of autochthonous microorganisms from fermented foods</w:t>
      </w:r>
    </w:p>
    <w:p w14:paraId="050008D4" w14:textId="5C8E86DB" w:rsidR="00081E79" w:rsidRDefault="007C517F" w:rsidP="00081E79">
      <w:pPr>
        <w:jc w:val="center"/>
        <w:rPr>
          <w:lang w:val="de-DE"/>
        </w:rPr>
      </w:pPr>
      <w:r>
        <w:rPr>
          <w:lang w:val="de-DE"/>
        </w:rPr>
        <w:t>Anna Rossi</w:t>
      </w:r>
      <w:r w:rsidR="00081E79">
        <w:rPr>
          <w:lang w:val="de-DE"/>
        </w:rPr>
        <w:t xml:space="preserve"> (</w:t>
      </w:r>
      <w:r>
        <w:rPr>
          <w:lang w:val="de-DE"/>
        </w:rPr>
        <w:t>rossi.anna002@spes.uniud.it</w:t>
      </w:r>
      <w:r w:rsidR="00081E79">
        <w:rPr>
          <w:lang w:val="de-DE"/>
        </w:rPr>
        <w:t>)</w:t>
      </w:r>
    </w:p>
    <w:p w14:paraId="6D5F5145" w14:textId="51459469" w:rsidR="00081E79" w:rsidRDefault="00081E79" w:rsidP="00081E79">
      <w:pPr>
        <w:jc w:val="center"/>
        <w:rPr>
          <w:lang w:val="en-GB"/>
        </w:rPr>
      </w:pPr>
      <w:r>
        <w:rPr>
          <w:lang w:val="en-GB"/>
        </w:rPr>
        <w:t xml:space="preserve">Dept. </w:t>
      </w:r>
      <w:r w:rsidR="007C517F">
        <w:rPr>
          <w:lang w:val="en-GB"/>
        </w:rPr>
        <w:t>of Agri</w:t>
      </w:r>
      <w:r w:rsidR="002B12D3">
        <w:rPr>
          <w:lang w:val="en-GB"/>
        </w:rPr>
        <w:t>cultural, F</w:t>
      </w:r>
      <w:r w:rsidR="007C517F">
        <w:rPr>
          <w:lang w:val="en-GB"/>
        </w:rPr>
        <w:t>ood, Environmental and Animal Sciences</w:t>
      </w:r>
      <w:r>
        <w:rPr>
          <w:lang w:val="en-GB"/>
        </w:rPr>
        <w:t xml:space="preserve">, University of </w:t>
      </w:r>
      <w:r w:rsidR="007C517F">
        <w:rPr>
          <w:lang w:val="en-GB"/>
        </w:rPr>
        <w:t>Udine</w:t>
      </w:r>
      <w:r>
        <w:rPr>
          <w:lang w:val="en-GB"/>
        </w:rPr>
        <w:t>, Italy</w:t>
      </w:r>
    </w:p>
    <w:p w14:paraId="7CBDB1B6" w14:textId="354FCF8F" w:rsidR="00081E79" w:rsidRDefault="00081E79" w:rsidP="00081E79">
      <w:pPr>
        <w:jc w:val="center"/>
        <w:rPr>
          <w:lang w:val="en-GB"/>
        </w:rPr>
      </w:pPr>
      <w:r>
        <w:rPr>
          <w:lang w:val="en-GB"/>
        </w:rPr>
        <w:t xml:space="preserve">Tutor: Prof. </w:t>
      </w:r>
      <w:r w:rsidR="007C517F">
        <w:rPr>
          <w:lang w:val="en-GB"/>
        </w:rPr>
        <w:t xml:space="preserve">Nadia Innocente and </w:t>
      </w:r>
      <w:r w:rsidR="009B1EE0">
        <w:rPr>
          <w:lang w:val="en-GB"/>
        </w:rPr>
        <w:t xml:space="preserve">Prof. </w:t>
      </w:r>
      <w:r w:rsidR="007C517F">
        <w:rPr>
          <w:lang w:val="en-GB"/>
        </w:rPr>
        <w:t>Marilena Marino</w:t>
      </w:r>
    </w:p>
    <w:p w14:paraId="145790C6" w14:textId="77777777" w:rsidR="00081E79" w:rsidRDefault="00081E79" w:rsidP="00081E79">
      <w:pPr>
        <w:jc w:val="center"/>
        <w:rPr>
          <w:lang w:val="en-GB"/>
        </w:rPr>
      </w:pPr>
    </w:p>
    <w:p w14:paraId="61C92380" w14:textId="12D132C1" w:rsidR="00EA4294" w:rsidRDefault="00081E79" w:rsidP="0093611F">
      <w:pPr>
        <w:pStyle w:val="Corpotesto"/>
        <w:jc w:val="both"/>
        <w:rPr>
          <w:i w:val="0"/>
          <w:iCs w:val="0"/>
          <w:sz w:val="20"/>
          <w:lang w:val="en-GB"/>
        </w:rPr>
      </w:pPr>
      <w:r>
        <w:rPr>
          <w:i w:val="0"/>
          <w:iCs w:val="0"/>
          <w:sz w:val="20"/>
          <w:lang w:val="en-GB"/>
        </w:rPr>
        <w:t xml:space="preserve">This PhD thesis research </w:t>
      </w:r>
      <w:r w:rsidR="00EA4294" w:rsidRPr="00EA4294">
        <w:rPr>
          <w:i w:val="0"/>
          <w:iCs w:val="0"/>
          <w:sz w:val="20"/>
          <w:lang w:val="en-GB"/>
        </w:rPr>
        <w:t xml:space="preserve">aims </w:t>
      </w:r>
      <w:r w:rsidR="0093611F" w:rsidRPr="0093611F">
        <w:rPr>
          <w:i w:val="0"/>
          <w:iCs w:val="0"/>
          <w:sz w:val="20"/>
          <w:lang w:val="en-GB"/>
        </w:rPr>
        <w:t>to isolate new candidate probiotic strains possessing traits potentially useful to hinder NCDs, to introduce them in traditional and new functional foods.</w:t>
      </w:r>
    </w:p>
    <w:p w14:paraId="7F4DE7CB" w14:textId="2BEF8F59" w:rsidR="00EA4294" w:rsidRDefault="00F55002" w:rsidP="0026030C">
      <w:pPr>
        <w:spacing w:before="240" w:after="120"/>
        <w:jc w:val="center"/>
        <w:rPr>
          <w:b/>
          <w:kern w:val="2"/>
          <w:sz w:val="24"/>
        </w:rPr>
      </w:pPr>
      <w:r>
        <w:rPr>
          <w:b/>
          <w:kern w:val="2"/>
          <w:sz w:val="24"/>
        </w:rPr>
        <w:t>Valorizzazione</w:t>
      </w:r>
      <w:r w:rsidR="00EA4294" w:rsidRPr="00EA4294">
        <w:rPr>
          <w:b/>
          <w:kern w:val="2"/>
          <w:sz w:val="24"/>
        </w:rPr>
        <w:t xml:space="preserve"> del </w:t>
      </w:r>
      <w:r w:rsidR="00EA4294">
        <w:rPr>
          <w:b/>
          <w:kern w:val="2"/>
          <w:sz w:val="24"/>
        </w:rPr>
        <w:t xml:space="preserve">potenziale </w:t>
      </w:r>
      <w:r w:rsidR="00EA4294" w:rsidRPr="00EA4294">
        <w:rPr>
          <w:b/>
          <w:kern w:val="2"/>
          <w:sz w:val="24"/>
        </w:rPr>
        <w:t>funzionale di microrganismi autoctoni da alimenti a</w:t>
      </w:r>
      <w:r w:rsidR="00C160F9">
        <w:rPr>
          <w:b/>
          <w:kern w:val="2"/>
          <w:sz w:val="24"/>
        </w:rPr>
        <w:t xml:space="preserve"> </w:t>
      </w:r>
      <w:r w:rsidR="00EA4294" w:rsidRPr="00EA4294">
        <w:rPr>
          <w:b/>
          <w:kern w:val="2"/>
          <w:sz w:val="24"/>
        </w:rPr>
        <w:t>fermentazione naturale</w:t>
      </w:r>
    </w:p>
    <w:p w14:paraId="69B4EF32" w14:textId="06F3CFE8" w:rsidR="00081E79" w:rsidRDefault="0093611F" w:rsidP="00CA60EF">
      <w:pPr>
        <w:jc w:val="both"/>
      </w:pPr>
      <w:r>
        <w:t>Q</w:t>
      </w:r>
      <w:r w:rsidRPr="0093611F">
        <w:t>uest</w:t>
      </w:r>
      <w:r>
        <w:t>o</w:t>
      </w:r>
      <w:r w:rsidRPr="0093611F">
        <w:t xml:space="preserve"> </w:t>
      </w:r>
      <w:r>
        <w:t>progetto</w:t>
      </w:r>
      <w:r w:rsidRPr="0093611F">
        <w:t xml:space="preserve"> di tesi di dottorato </w:t>
      </w:r>
      <w:r>
        <w:t>mira ad</w:t>
      </w:r>
      <w:r w:rsidRPr="0093611F">
        <w:t xml:space="preserve"> isolare nuovi ceppi probiotici </w:t>
      </w:r>
      <w:r w:rsidR="009A360E">
        <w:t xml:space="preserve">in grado di </w:t>
      </w:r>
      <w:r w:rsidRPr="0093611F">
        <w:t xml:space="preserve">ostacolare le malattie non trasmissibili, </w:t>
      </w:r>
      <w:r w:rsidR="002B12D3">
        <w:t>allo scopo di</w:t>
      </w:r>
      <w:r w:rsidRPr="0093611F">
        <w:t xml:space="preserve"> introdurli in alimenti funzionali tradizionali e n</w:t>
      </w:r>
      <w:r>
        <w:t>on</w:t>
      </w:r>
      <w:r w:rsidR="009B1EE0">
        <w:t xml:space="preserve"> tradizionali</w:t>
      </w:r>
      <w:r w:rsidR="00081E79">
        <w:t>.</w:t>
      </w:r>
    </w:p>
    <w:p w14:paraId="5F678478" w14:textId="77777777" w:rsidR="00081E79" w:rsidRDefault="00081E79" w:rsidP="009B1EE0">
      <w:pPr>
        <w:pStyle w:val="Titolo1"/>
        <w:spacing w:before="240" w:after="120"/>
        <w:ind w:right="0"/>
        <w:jc w:val="both"/>
        <w:rPr>
          <w:b/>
          <w:bCs/>
          <w:color w:val="000000"/>
          <w:sz w:val="24"/>
          <w:lang w:val="en-GB"/>
        </w:rPr>
      </w:pPr>
      <w:r>
        <w:rPr>
          <w:b/>
          <w:bCs/>
          <w:color w:val="000000"/>
          <w:sz w:val="24"/>
          <w:lang w:val="en-GB"/>
        </w:rPr>
        <w:t>1. State-of-the-Art</w:t>
      </w:r>
    </w:p>
    <w:p w14:paraId="186C75E2" w14:textId="4198B2FE" w:rsidR="00B33475" w:rsidRPr="00B33475" w:rsidRDefault="00B33475" w:rsidP="009B1EE0">
      <w:pPr>
        <w:jc w:val="both"/>
        <w:rPr>
          <w:lang w:val="en-US"/>
        </w:rPr>
      </w:pPr>
      <w:r w:rsidRPr="00B33475">
        <w:rPr>
          <w:lang w:val="en-US"/>
        </w:rPr>
        <w:t xml:space="preserve">Nowadays consumer’s demand for safe, high-quality, and health-promoting foods is growing more and more. Research has been demonstrating that nutrition can prevent several diseases, by reducing risk factors and increasing certain physiological functions. There are several studies that highlight the link between diet and a specific class of diseases, called non communicable diseases (NCDs). NCDs are slow-developing and long-lasting diseases, such as cancer, diabetes, cardiovascular, respiratory, and neuro-degenerative diseases, which are the cause of more than 71% of annual deaths worldwide. In recent years, scientific evidence that emphasizes the correlation between the development of NCDs and gut microbiota has emerged: microbiota dysbiosis is a common trait in people affected by these pathologies. </w:t>
      </w:r>
      <w:r w:rsidR="003F3DC4" w:rsidRPr="00B33475">
        <w:rPr>
          <w:lang w:val="en-US"/>
        </w:rPr>
        <w:t>Also,</w:t>
      </w:r>
      <w:r w:rsidRPr="00B33475">
        <w:rPr>
          <w:lang w:val="en-US"/>
        </w:rPr>
        <w:t xml:space="preserve"> gut microbiota is closely related to nutrition</w:t>
      </w:r>
      <w:r w:rsidR="00CA60EF">
        <w:rPr>
          <w:lang w:val="en-US"/>
        </w:rPr>
        <w:t xml:space="preserve">. </w:t>
      </w:r>
      <w:r w:rsidR="00CA60EF" w:rsidRPr="00CA60EF">
        <w:rPr>
          <w:lang w:val="en-US"/>
        </w:rPr>
        <w:t>Among the microbiota species, it is particularly</w:t>
      </w:r>
      <w:r w:rsidR="00CF6C50">
        <w:rPr>
          <w:lang w:val="en-US"/>
        </w:rPr>
        <w:t xml:space="preserve"> </w:t>
      </w:r>
      <w:r w:rsidR="00CA60EF" w:rsidRPr="00CA60EF">
        <w:rPr>
          <w:lang w:val="en-US"/>
        </w:rPr>
        <w:t xml:space="preserve">important to monitor the so-called next generation probiotics (NGPs): </w:t>
      </w:r>
      <w:proofErr w:type="spellStart"/>
      <w:r w:rsidR="00CA60EF" w:rsidRPr="00CA60EF">
        <w:rPr>
          <w:i/>
          <w:iCs/>
          <w:lang w:val="en-US"/>
        </w:rPr>
        <w:t>Faecalibacterium</w:t>
      </w:r>
      <w:proofErr w:type="spellEnd"/>
      <w:r w:rsidR="00CA60EF" w:rsidRPr="00CA60EF">
        <w:rPr>
          <w:i/>
          <w:iCs/>
          <w:lang w:val="en-US"/>
        </w:rPr>
        <w:t xml:space="preserve"> </w:t>
      </w:r>
      <w:proofErr w:type="spellStart"/>
      <w:r w:rsidR="00CA60EF" w:rsidRPr="00CA60EF">
        <w:rPr>
          <w:i/>
          <w:iCs/>
          <w:lang w:val="en-US"/>
        </w:rPr>
        <w:t>pausnitzii</w:t>
      </w:r>
      <w:proofErr w:type="spellEnd"/>
      <w:r w:rsidR="00CA60EF" w:rsidRPr="00CA60EF">
        <w:rPr>
          <w:lang w:val="en-US"/>
        </w:rPr>
        <w:t xml:space="preserve">, </w:t>
      </w:r>
      <w:proofErr w:type="spellStart"/>
      <w:r w:rsidR="00CA60EF" w:rsidRPr="00CA60EF">
        <w:rPr>
          <w:i/>
          <w:iCs/>
          <w:lang w:val="en-US"/>
        </w:rPr>
        <w:t>Akkermansia</w:t>
      </w:r>
      <w:proofErr w:type="spellEnd"/>
      <w:r w:rsidR="00CA60EF" w:rsidRPr="00CA60EF">
        <w:rPr>
          <w:i/>
          <w:iCs/>
          <w:lang w:val="en-US"/>
        </w:rPr>
        <w:t xml:space="preserve"> </w:t>
      </w:r>
      <w:proofErr w:type="spellStart"/>
      <w:r w:rsidR="00CA60EF" w:rsidRPr="00CA60EF">
        <w:rPr>
          <w:i/>
          <w:iCs/>
          <w:lang w:val="en-US"/>
        </w:rPr>
        <w:t>muciniphila</w:t>
      </w:r>
      <w:proofErr w:type="spellEnd"/>
      <w:r w:rsidR="00CA60EF" w:rsidRPr="00CA60EF">
        <w:rPr>
          <w:lang w:val="en-US"/>
        </w:rPr>
        <w:t xml:space="preserve"> and </w:t>
      </w:r>
      <w:r w:rsidR="00CA60EF" w:rsidRPr="00CA60EF">
        <w:rPr>
          <w:i/>
          <w:iCs/>
          <w:lang w:val="en-US"/>
        </w:rPr>
        <w:t xml:space="preserve">Eubacterium </w:t>
      </w:r>
      <w:proofErr w:type="spellStart"/>
      <w:r w:rsidR="00CA60EF" w:rsidRPr="00CA60EF">
        <w:rPr>
          <w:i/>
          <w:iCs/>
          <w:lang w:val="en-US"/>
        </w:rPr>
        <w:t>hallii</w:t>
      </w:r>
      <w:proofErr w:type="spellEnd"/>
      <w:r w:rsidR="00CA60EF" w:rsidRPr="00CA60EF">
        <w:rPr>
          <w:lang w:val="en-US"/>
        </w:rPr>
        <w:t xml:space="preserve"> are the most promising. NGPs recently gain attention for their role in prevention and treatment of many chronic diseases. For example, </w:t>
      </w:r>
      <w:proofErr w:type="spellStart"/>
      <w:r w:rsidR="00CA60EF" w:rsidRPr="00CA60EF">
        <w:rPr>
          <w:i/>
          <w:iCs/>
          <w:lang w:val="en-US"/>
        </w:rPr>
        <w:t>Akkermansia</w:t>
      </w:r>
      <w:proofErr w:type="spellEnd"/>
      <w:r w:rsidR="00CA60EF" w:rsidRPr="00CA60EF">
        <w:rPr>
          <w:i/>
          <w:iCs/>
          <w:lang w:val="en-US"/>
        </w:rPr>
        <w:t xml:space="preserve"> </w:t>
      </w:r>
      <w:proofErr w:type="spellStart"/>
      <w:r w:rsidR="00CA60EF" w:rsidRPr="00CA60EF">
        <w:rPr>
          <w:i/>
          <w:iCs/>
          <w:lang w:val="en-US"/>
        </w:rPr>
        <w:t>muciniphila</w:t>
      </w:r>
      <w:proofErr w:type="spellEnd"/>
      <w:r w:rsidR="00CA60EF" w:rsidRPr="00CA60EF">
        <w:rPr>
          <w:lang w:val="en-US"/>
        </w:rPr>
        <w:t xml:space="preserve"> helps to prevent type 2 diabetes and to maintain glucose homeostasis </w:t>
      </w:r>
      <w:r w:rsidR="00CF6C50">
        <w:rPr>
          <w:lang w:val="en-US"/>
        </w:rPr>
        <w:t xml:space="preserve">(De </w:t>
      </w:r>
      <w:proofErr w:type="spellStart"/>
      <w:r w:rsidR="00CF6C50">
        <w:rPr>
          <w:lang w:val="en-US"/>
        </w:rPr>
        <w:t>Filippis</w:t>
      </w:r>
      <w:proofErr w:type="spellEnd"/>
      <w:r w:rsidR="00CF6C50">
        <w:rPr>
          <w:lang w:val="en-US"/>
        </w:rPr>
        <w:t xml:space="preserve"> et al., 2022)</w:t>
      </w:r>
      <w:r w:rsidRPr="00B33475">
        <w:rPr>
          <w:lang w:val="en-US"/>
        </w:rPr>
        <w:t xml:space="preserve">. </w:t>
      </w:r>
    </w:p>
    <w:p w14:paraId="54BCDBD6" w14:textId="6C501891" w:rsidR="002B5B9D" w:rsidRPr="00432AC7" w:rsidRDefault="00B33475" w:rsidP="009B1EE0">
      <w:pPr>
        <w:jc w:val="both"/>
        <w:rPr>
          <w:lang w:val="en-US"/>
        </w:rPr>
      </w:pPr>
      <w:r w:rsidRPr="00B33475">
        <w:rPr>
          <w:lang w:val="en-US"/>
        </w:rPr>
        <w:t>From this perspective, functional foods can play a central role. Functional foods are defined as those foods which, besides providing nutrients and energy, are also able to enhance health or reduce the risk of disease. One of the main classes of functional foods are fermented foods. The main agents of fermentation are lactic acid bacteria (LAB), which play a key role in guaranteeing safety, enhancing shelf-life, and developing typical sensory properties of the product. Moreover, during fermentation, vitamins, minerals, biologically active peptides, bacteriocins, antioxidants are produced, and some anti-nutritional factors are removed. As a result, these products provide many health benefits. In traditional fermented foods fermentation occurs spontaneously, thanks to autochthonous microorganisms that are naturally present in the raw food</w:t>
      </w:r>
      <w:r w:rsidR="002B5B9D">
        <w:rPr>
          <w:lang w:val="en-US"/>
        </w:rPr>
        <w:t xml:space="preserve"> and can</w:t>
      </w:r>
      <w:r w:rsidRPr="00B33475">
        <w:rPr>
          <w:lang w:val="en-US"/>
        </w:rPr>
        <w:t xml:space="preserve"> be promising probiotic candidates</w:t>
      </w:r>
      <w:r w:rsidR="00CF6C50">
        <w:rPr>
          <w:lang w:val="en-US"/>
        </w:rPr>
        <w:t xml:space="preserve"> (</w:t>
      </w:r>
      <w:proofErr w:type="spellStart"/>
      <w:r w:rsidR="00CF6C50" w:rsidRPr="00CF6C50">
        <w:rPr>
          <w:lang w:val="en-US"/>
        </w:rPr>
        <w:t>Grujović</w:t>
      </w:r>
      <w:proofErr w:type="spellEnd"/>
      <w:r w:rsidR="00CF6C50">
        <w:rPr>
          <w:lang w:val="en-US"/>
        </w:rPr>
        <w:t xml:space="preserve"> et al., 2021)</w:t>
      </w:r>
      <w:r w:rsidRPr="00B33475">
        <w:rPr>
          <w:lang w:val="en-US"/>
        </w:rPr>
        <w:t xml:space="preserve">. </w:t>
      </w:r>
      <w:r w:rsidR="002B5B9D" w:rsidRPr="00B33475">
        <w:rPr>
          <w:lang w:val="en-US"/>
        </w:rPr>
        <w:t xml:space="preserve">There are several studies regarding the indigenous microflora, but studies focusing on their addition in functional foods with the aim to hinder NCDs are still lacking. </w:t>
      </w:r>
    </w:p>
    <w:p w14:paraId="707E1987" w14:textId="24110AEB" w:rsidR="00B33475" w:rsidRPr="00B33475" w:rsidRDefault="00607F16" w:rsidP="009B1EE0">
      <w:pPr>
        <w:jc w:val="both"/>
        <w:rPr>
          <w:lang w:val="en-US"/>
        </w:rPr>
      </w:pPr>
      <w:r>
        <w:rPr>
          <w:lang w:val="en-US"/>
        </w:rPr>
        <w:t>The</w:t>
      </w:r>
      <w:r w:rsidR="00B33475" w:rsidRPr="00B33475">
        <w:rPr>
          <w:lang w:val="en-US"/>
        </w:rPr>
        <w:t xml:space="preserve"> potential of indigenous LAB from fermented foods is huge, but the selection of the best probiotic candidates to use in the development of a functional food is challenging. It is indeed necessary to consider functional, safety, technological and physiological aspects. As for the functional aspects, numerous studies have confirmed antioxidant, anti-inflammatory, immunomodulatory, anti-carcinogenic, anti-cholesterol, antidiabetic, and anti-obesity effects of natural microflora and their metabolites. LAB not only show several metabolic pathways useful for health, but they may also modulate gut microbiota </w:t>
      </w:r>
      <w:r w:rsidR="002B5B9D">
        <w:rPr>
          <w:lang w:val="en-US"/>
        </w:rPr>
        <w:t>by</w:t>
      </w:r>
      <w:r w:rsidR="00B33475" w:rsidRPr="00B33475">
        <w:rPr>
          <w:lang w:val="en-US"/>
        </w:rPr>
        <w:t xml:space="preserve"> produc</w:t>
      </w:r>
      <w:r w:rsidR="002B5B9D">
        <w:rPr>
          <w:lang w:val="en-US"/>
        </w:rPr>
        <w:t xml:space="preserve">ing </w:t>
      </w:r>
      <w:r w:rsidR="00B33475" w:rsidRPr="00B33475">
        <w:rPr>
          <w:lang w:val="en-US"/>
        </w:rPr>
        <w:t>active metabolites (e.g., short chain fatty acids (SCFAs) and antimicrobial substances) in the gut, which contribute to prevent microbiota dysbiosis</w:t>
      </w:r>
      <w:r w:rsidR="00025A04">
        <w:rPr>
          <w:lang w:val="en-US"/>
        </w:rPr>
        <w:t xml:space="preserve"> (</w:t>
      </w:r>
      <w:proofErr w:type="spellStart"/>
      <w:r w:rsidR="00025A04" w:rsidRPr="00CF6C50">
        <w:rPr>
          <w:lang w:val="en-US"/>
        </w:rPr>
        <w:t>Grujović</w:t>
      </w:r>
      <w:proofErr w:type="spellEnd"/>
      <w:r w:rsidR="00025A04">
        <w:rPr>
          <w:lang w:val="en-US"/>
        </w:rPr>
        <w:t xml:space="preserve"> et al., 2021)</w:t>
      </w:r>
      <w:r w:rsidR="00B33475" w:rsidRPr="00B33475">
        <w:rPr>
          <w:lang w:val="en-US"/>
        </w:rPr>
        <w:t xml:space="preserve">. In this regard, in vitro models that simulate large intestine fermentations are crucial to assess the effect of probiotics on gut microbiota and its metabolites. As for safety aspects, probiotic candidates must obviously be safe for human consumption, so they must be non-pathogenic strains with no toxic properties. Most LAB are included in the list of species presumed to be safe, in accordance with the QPS (Qualified Presumption of Safety) concept introduced in 2007 by </w:t>
      </w:r>
      <w:r w:rsidR="00025A04">
        <w:rPr>
          <w:lang w:val="en-US"/>
        </w:rPr>
        <w:t>t</w:t>
      </w:r>
      <w:r w:rsidR="00B33475" w:rsidRPr="00B33475">
        <w:rPr>
          <w:lang w:val="en-US"/>
        </w:rPr>
        <w:t>he European Food Safety Authority (EFSA). From a technological point of view, probiotics must be able to survive and maintain a high vitality in the food matrix during all processing steps and shelf-life, since the physiological effect is guaranteed only in the presence of high concentrations of viable cells (at least 10</w:t>
      </w:r>
      <w:r w:rsidR="00B33475" w:rsidRPr="002B5B9D">
        <w:rPr>
          <w:vertAlign w:val="superscript"/>
          <w:lang w:val="en-US"/>
        </w:rPr>
        <w:t>6</w:t>
      </w:r>
      <w:r w:rsidR="00B33475" w:rsidRPr="00B33475">
        <w:rPr>
          <w:lang w:val="en-US"/>
        </w:rPr>
        <w:t>-10</w:t>
      </w:r>
      <w:r w:rsidR="00B33475" w:rsidRPr="002B5B9D">
        <w:rPr>
          <w:vertAlign w:val="superscript"/>
          <w:lang w:val="en-US"/>
        </w:rPr>
        <w:t>7</w:t>
      </w:r>
      <w:r w:rsidR="00B33475" w:rsidRPr="00B33475">
        <w:rPr>
          <w:lang w:val="en-US"/>
        </w:rPr>
        <w:t xml:space="preserve"> CFU/g). Furthermore, in the case of fermented foods, they must not interfere with the metabolic activities of the indigenous microflora of the product, nor negatively influence the </w:t>
      </w:r>
      <w:proofErr w:type="spellStart"/>
      <w:r w:rsidR="00B33475" w:rsidRPr="00B33475">
        <w:rPr>
          <w:lang w:val="en-US"/>
        </w:rPr>
        <w:t>physico</w:t>
      </w:r>
      <w:proofErr w:type="spellEnd"/>
      <w:r w:rsidR="00B33475" w:rsidRPr="00B33475">
        <w:rPr>
          <w:lang w:val="en-US"/>
        </w:rPr>
        <w:t>-chemical, structural, and sensory characteristics of the product. Lastly, to exert the health effects they are selected for, physiological features are relevant. Probiotics must survive the gastrointestinal transit (GIT), which depends first on their tolerance to gastric acidity, antimicrobial activity of pepsin, bile salts and pancreatin</w:t>
      </w:r>
      <w:r w:rsidR="00025A04">
        <w:rPr>
          <w:lang w:val="en-US"/>
        </w:rPr>
        <w:t xml:space="preserve"> (Marino et al., 2021)</w:t>
      </w:r>
      <w:r w:rsidR="00B33475" w:rsidRPr="00B33475">
        <w:rPr>
          <w:lang w:val="en-US"/>
        </w:rPr>
        <w:t>.</w:t>
      </w:r>
    </w:p>
    <w:p w14:paraId="5CF44C67" w14:textId="77777777" w:rsidR="00081E79" w:rsidRDefault="00081E79" w:rsidP="009B1EE0">
      <w:pPr>
        <w:pStyle w:val="Titolo1"/>
        <w:spacing w:before="240" w:after="120"/>
        <w:ind w:right="0"/>
        <w:jc w:val="both"/>
        <w:rPr>
          <w:b/>
          <w:bCs/>
          <w:color w:val="000000"/>
          <w:sz w:val="24"/>
          <w:lang w:val="en-GB"/>
        </w:rPr>
      </w:pPr>
      <w:r>
        <w:rPr>
          <w:b/>
          <w:bCs/>
          <w:color w:val="000000"/>
          <w:sz w:val="24"/>
          <w:lang w:val="en-GB"/>
        </w:rPr>
        <w:lastRenderedPageBreak/>
        <w:t>2. PhD Thesis Objectives and Milestones</w:t>
      </w:r>
    </w:p>
    <w:p w14:paraId="5B5CF2E1" w14:textId="1F4342FC" w:rsidR="00FE3830" w:rsidRPr="00FE3830" w:rsidRDefault="00FE3830" w:rsidP="009B1EE0">
      <w:pPr>
        <w:spacing w:before="300" w:after="120"/>
        <w:contextualSpacing/>
        <w:jc w:val="both"/>
        <w:rPr>
          <w:lang w:val="en-GB"/>
        </w:rPr>
      </w:pPr>
      <w:r w:rsidRPr="00FE3830">
        <w:rPr>
          <w:lang w:val="en-GB"/>
        </w:rPr>
        <w:t>Within the overall objective mentioned above, this project can be divided into the following activities according to the Gantt diagram (Table 1):</w:t>
      </w:r>
    </w:p>
    <w:p w14:paraId="56E8352F" w14:textId="0F66BE7D" w:rsidR="0093611F" w:rsidRPr="0093611F" w:rsidRDefault="00933ACD" w:rsidP="0026030C">
      <w:pPr>
        <w:spacing w:before="300" w:after="120"/>
        <w:ind w:left="426" w:hanging="426"/>
        <w:contextualSpacing/>
        <w:jc w:val="both"/>
        <w:rPr>
          <w:lang w:val="en-GB"/>
        </w:rPr>
      </w:pPr>
      <w:r w:rsidRPr="00933ACD">
        <w:rPr>
          <w:lang w:val="en-GB"/>
        </w:rPr>
        <w:t>A1)</w:t>
      </w:r>
      <w:r w:rsidRPr="009B1EE0">
        <w:rPr>
          <w:lang w:val="en-GB"/>
        </w:rPr>
        <w:t xml:space="preserve"> </w:t>
      </w:r>
      <w:r w:rsidR="0026030C">
        <w:rPr>
          <w:lang w:val="en-GB"/>
        </w:rPr>
        <w:t xml:space="preserve"> </w:t>
      </w:r>
      <w:r w:rsidR="0093611F" w:rsidRPr="009B1EE0">
        <w:rPr>
          <w:b/>
          <w:bCs/>
          <w:lang w:val="en-GB"/>
        </w:rPr>
        <w:t>Literature review</w:t>
      </w:r>
      <w:r w:rsidR="00607F16">
        <w:rPr>
          <w:lang w:val="en-GB"/>
        </w:rPr>
        <w:t xml:space="preserve"> </w:t>
      </w:r>
      <w:r w:rsidR="009B1EE0">
        <w:rPr>
          <w:lang w:val="en-GB"/>
        </w:rPr>
        <w:t>in order to select the</w:t>
      </w:r>
      <w:r w:rsidR="00607F16">
        <w:rPr>
          <w:lang w:val="en-GB"/>
        </w:rPr>
        <w:t xml:space="preserve"> </w:t>
      </w:r>
      <w:r w:rsidR="0093611F" w:rsidRPr="0093611F">
        <w:rPr>
          <w:lang w:val="en"/>
        </w:rPr>
        <w:t>mo</w:t>
      </w:r>
      <w:r w:rsidR="009B1EE0">
        <w:rPr>
          <w:lang w:val="en"/>
        </w:rPr>
        <w:t>st</w:t>
      </w:r>
      <w:r w:rsidR="0093611F" w:rsidRPr="0093611F">
        <w:rPr>
          <w:lang w:val="en"/>
        </w:rPr>
        <w:t xml:space="preserve"> suitable food products for strains’ isolation</w:t>
      </w:r>
      <w:r w:rsidR="009B1EE0">
        <w:rPr>
          <w:lang w:val="en"/>
        </w:rPr>
        <w:t xml:space="preserve"> and a</w:t>
      </w:r>
      <w:r w:rsidR="00607F16">
        <w:rPr>
          <w:lang w:val="en"/>
        </w:rPr>
        <w:t xml:space="preserve"> </w:t>
      </w:r>
      <w:r w:rsidR="0093611F" w:rsidRPr="0093611F">
        <w:rPr>
          <w:lang w:val="en-GB"/>
        </w:rPr>
        <w:t>definitive</w:t>
      </w:r>
      <w:r w:rsidR="0093611F" w:rsidRPr="0093611F">
        <w:rPr>
          <w:lang w:val="en"/>
        </w:rPr>
        <w:t xml:space="preserve"> list</w:t>
      </w:r>
      <w:r w:rsidR="0026030C">
        <w:rPr>
          <w:lang w:val="en"/>
        </w:rPr>
        <w:t xml:space="preserve"> </w:t>
      </w:r>
      <w:r w:rsidR="0093611F" w:rsidRPr="0093611F">
        <w:rPr>
          <w:lang w:val="en"/>
        </w:rPr>
        <w:t>of functional activities to look for</w:t>
      </w:r>
      <w:r w:rsidR="009B1EE0">
        <w:rPr>
          <w:lang w:val="en"/>
        </w:rPr>
        <w:t>.</w:t>
      </w:r>
    </w:p>
    <w:p w14:paraId="4DEAF42D" w14:textId="3E20E7BB" w:rsidR="0093611F" w:rsidRPr="0093611F" w:rsidRDefault="00933ACD" w:rsidP="0026030C">
      <w:pPr>
        <w:spacing w:before="300" w:after="120"/>
        <w:ind w:left="426" w:hanging="426"/>
        <w:contextualSpacing/>
        <w:jc w:val="both"/>
        <w:rPr>
          <w:lang w:val="en-GB"/>
        </w:rPr>
      </w:pPr>
      <w:r w:rsidRPr="00933ACD">
        <w:rPr>
          <w:lang w:val="en-GB"/>
        </w:rPr>
        <w:t>A2)</w:t>
      </w:r>
      <w:r w:rsidRPr="009B1EE0">
        <w:rPr>
          <w:b/>
          <w:bCs/>
          <w:lang w:val="en-GB"/>
        </w:rPr>
        <w:t xml:space="preserve"> </w:t>
      </w:r>
      <w:r w:rsidR="0026030C">
        <w:rPr>
          <w:b/>
          <w:bCs/>
          <w:lang w:val="en-GB"/>
        </w:rPr>
        <w:t xml:space="preserve"> </w:t>
      </w:r>
      <w:r w:rsidR="0093611F" w:rsidRPr="009B1EE0">
        <w:rPr>
          <w:b/>
          <w:bCs/>
          <w:lang w:val="en-GB"/>
        </w:rPr>
        <w:t>Isolation of autochthonous LAB strains from different food matrices and evaluation of their probiotic potential</w:t>
      </w:r>
      <w:r w:rsidR="009B1EE0">
        <w:rPr>
          <w:b/>
          <w:bCs/>
          <w:lang w:val="en-GB"/>
        </w:rPr>
        <w:t xml:space="preserve"> </w:t>
      </w:r>
      <w:r w:rsidR="009B1EE0" w:rsidRPr="009B1EE0">
        <w:rPr>
          <w:lang w:val="en-GB"/>
        </w:rPr>
        <w:t>in order to collect safe bacterial strains able to reach and interact with the target site.</w:t>
      </w:r>
      <w:r w:rsidR="009B1EE0">
        <w:rPr>
          <w:b/>
          <w:bCs/>
          <w:lang w:val="en-GB"/>
        </w:rPr>
        <w:t xml:space="preserve"> </w:t>
      </w:r>
      <w:r w:rsidR="002B5B9D">
        <w:rPr>
          <w:lang w:val="en-GB"/>
        </w:rPr>
        <w:t xml:space="preserve">(A2.1) </w:t>
      </w:r>
      <w:r w:rsidR="0093611F" w:rsidRPr="0093611F">
        <w:rPr>
          <w:lang w:val="en-GB"/>
        </w:rPr>
        <w:t>Safety assessment (absence of biogenic amines production, absence of horizontal transfer of antibiotic-resistance genes).</w:t>
      </w:r>
      <w:r w:rsidR="002B5B9D">
        <w:rPr>
          <w:lang w:val="en-GB"/>
        </w:rPr>
        <w:t xml:space="preserve"> (A2.2) </w:t>
      </w:r>
      <w:r w:rsidR="0093611F" w:rsidRPr="0093611F">
        <w:rPr>
          <w:lang w:val="en-GB"/>
        </w:rPr>
        <w:t>Probiotic assessment: survival ability to GIT stressors (pH, gastric juices, and bile salts) and intestinal colonization ability (adherence to enterocytes, auto-aggregation, cell surface hydrophobicity, co-aggregation).</w:t>
      </w:r>
      <w:r w:rsidR="002B5B9D">
        <w:rPr>
          <w:lang w:val="en-GB"/>
        </w:rPr>
        <w:t xml:space="preserve"> (A2.3) </w:t>
      </w:r>
      <w:r w:rsidR="0093611F" w:rsidRPr="0093611F">
        <w:rPr>
          <w:lang w:val="en-GB"/>
        </w:rPr>
        <w:t>Species assignment through 16S rDNA sequencing, and molecular fingerprinting.</w:t>
      </w:r>
    </w:p>
    <w:p w14:paraId="1252490C" w14:textId="2C9E2FA7" w:rsidR="0093611F" w:rsidRPr="0093611F" w:rsidRDefault="00933ACD" w:rsidP="0026030C">
      <w:pPr>
        <w:spacing w:before="300" w:after="120"/>
        <w:ind w:left="426" w:hanging="426"/>
        <w:contextualSpacing/>
        <w:jc w:val="both"/>
        <w:rPr>
          <w:lang w:val="en-GB"/>
        </w:rPr>
      </w:pPr>
      <w:r w:rsidRPr="00933ACD">
        <w:rPr>
          <w:lang w:val="en-GB"/>
        </w:rPr>
        <w:t>A3</w:t>
      </w:r>
      <w:r w:rsidRPr="009B1EE0">
        <w:rPr>
          <w:lang w:val="en-GB"/>
        </w:rPr>
        <w:t>)</w:t>
      </w:r>
      <w:r w:rsidR="0026030C">
        <w:rPr>
          <w:i/>
          <w:iCs/>
          <w:lang w:val="en-GB"/>
        </w:rPr>
        <w:t xml:space="preserve"> </w:t>
      </w:r>
      <w:r w:rsidR="0093611F" w:rsidRPr="009B1EE0">
        <w:rPr>
          <w:b/>
          <w:bCs/>
          <w:i/>
          <w:iCs/>
          <w:lang w:val="en-GB"/>
        </w:rPr>
        <w:t>In vitro</w:t>
      </w:r>
      <w:r w:rsidR="0093611F" w:rsidRPr="009B1EE0">
        <w:rPr>
          <w:b/>
          <w:bCs/>
          <w:lang w:val="en-GB"/>
        </w:rPr>
        <w:t xml:space="preserve"> evaluation of functional properties</w:t>
      </w:r>
      <w:r w:rsidR="009B1EE0">
        <w:rPr>
          <w:b/>
          <w:bCs/>
          <w:lang w:val="en-GB"/>
        </w:rPr>
        <w:t xml:space="preserve"> </w:t>
      </w:r>
      <w:r w:rsidR="0093611F" w:rsidRPr="009B1EE0">
        <w:rPr>
          <w:lang w:val="en-GB"/>
        </w:rPr>
        <w:t>(</w:t>
      </w:r>
      <w:r w:rsidR="0093611F" w:rsidRPr="0093611F">
        <w:rPr>
          <w:lang w:val="en-GB"/>
        </w:rPr>
        <w:t>anti-cholesterol activity, ACE-inhibitory activity, immunomodulatory and anti-inflammatory activity, pro-N</w:t>
      </w:r>
      <w:r w:rsidR="009B1EE0">
        <w:rPr>
          <w:lang w:val="en-GB"/>
        </w:rPr>
        <w:t xml:space="preserve">ext </w:t>
      </w:r>
      <w:r w:rsidR="0093611F" w:rsidRPr="0093611F">
        <w:rPr>
          <w:lang w:val="en-GB"/>
        </w:rPr>
        <w:t>G</w:t>
      </w:r>
      <w:r w:rsidR="009B1EE0">
        <w:rPr>
          <w:lang w:val="en-GB"/>
        </w:rPr>
        <w:t xml:space="preserve">eneration </w:t>
      </w:r>
      <w:r w:rsidR="0093611F" w:rsidRPr="0093611F">
        <w:rPr>
          <w:lang w:val="en-GB"/>
        </w:rPr>
        <w:t>P</w:t>
      </w:r>
      <w:r w:rsidR="009B1EE0">
        <w:rPr>
          <w:lang w:val="en-GB"/>
        </w:rPr>
        <w:t>robiotics</w:t>
      </w:r>
      <w:r w:rsidR="0093611F" w:rsidRPr="0093611F">
        <w:rPr>
          <w:lang w:val="en-GB"/>
        </w:rPr>
        <w:t xml:space="preserve"> activity, alfa-amylase inhibition, GABA production, folates production, EPS production, …)</w:t>
      </w:r>
      <w:r w:rsidR="009B1EE0">
        <w:rPr>
          <w:lang w:val="en-GB"/>
        </w:rPr>
        <w:t xml:space="preserve"> </w:t>
      </w:r>
      <w:r w:rsidR="009B1EE0" w:rsidRPr="009B1EE0">
        <w:rPr>
          <w:lang w:val="en-GB"/>
        </w:rPr>
        <w:t>in order to collect the most promising bacterial cultures</w:t>
      </w:r>
      <w:r w:rsidR="009B1EE0">
        <w:rPr>
          <w:lang w:val="en-GB"/>
        </w:rPr>
        <w:t>.</w:t>
      </w:r>
    </w:p>
    <w:p w14:paraId="3306CF16" w14:textId="4C4779DB" w:rsidR="0093611F" w:rsidRPr="0093611F" w:rsidRDefault="004B2E45" w:rsidP="0026030C">
      <w:pPr>
        <w:spacing w:before="300" w:after="120"/>
        <w:ind w:left="426" w:hanging="426"/>
        <w:contextualSpacing/>
        <w:jc w:val="both"/>
        <w:rPr>
          <w:lang w:val="en-GB"/>
        </w:rPr>
      </w:pPr>
      <w:r w:rsidRPr="004B2E45">
        <w:rPr>
          <w:lang w:val="en-GB"/>
        </w:rPr>
        <w:t>A4</w:t>
      </w:r>
      <w:r w:rsidRPr="009B1EE0">
        <w:rPr>
          <w:lang w:val="en-GB"/>
        </w:rPr>
        <w:t xml:space="preserve">) </w:t>
      </w:r>
      <w:r w:rsidR="0026030C">
        <w:rPr>
          <w:lang w:val="en-GB"/>
        </w:rPr>
        <w:t xml:space="preserve"> </w:t>
      </w:r>
      <w:r w:rsidR="0093611F" w:rsidRPr="009B1EE0">
        <w:rPr>
          <w:b/>
          <w:bCs/>
          <w:lang w:val="en-GB"/>
        </w:rPr>
        <w:t>Development of new functional foods</w:t>
      </w:r>
      <w:r w:rsidR="009B1EE0">
        <w:rPr>
          <w:lang w:val="en-GB"/>
        </w:rPr>
        <w:t>.</w:t>
      </w:r>
      <w:r w:rsidR="002B5B9D">
        <w:rPr>
          <w:lang w:val="en-GB"/>
        </w:rPr>
        <w:t xml:space="preserve"> (</w:t>
      </w:r>
      <w:r w:rsidR="00197131">
        <w:rPr>
          <w:lang w:val="en-GB"/>
        </w:rPr>
        <w:t xml:space="preserve">A4.1) </w:t>
      </w:r>
      <w:r w:rsidR="0093611F" w:rsidRPr="0093611F">
        <w:rPr>
          <w:lang w:val="en-GB"/>
        </w:rPr>
        <w:t>Selection of possible food targets (e.g., dairy products, plant-based products, …)</w:t>
      </w:r>
      <w:r w:rsidR="00197131">
        <w:rPr>
          <w:lang w:val="en-GB"/>
        </w:rPr>
        <w:t xml:space="preserve">. (A4.2) </w:t>
      </w:r>
      <w:r w:rsidR="0093611F" w:rsidRPr="0093611F">
        <w:rPr>
          <w:lang w:val="en-GB"/>
        </w:rPr>
        <w:t xml:space="preserve">Development of functional foods and assessment of the microbiological, </w:t>
      </w:r>
      <w:proofErr w:type="spellStart"/>
      <w:r w:rsidR="0093611F" w:rsidRPr="0093611F">
        <w:rPr>
          <w:lang w:val="en-GB"/>
        </w:rPr>
        <w:t>physico</w:t>
      </w:r>
      <w:proofErr w:type="spellEnd"/>
      <w:r w:rsidR="0093611F" w:rsidRPr="0093611F">
        <w:rPr>
          <w:lang w:val="en-GB"/>
        </w:rPr>
        <w:t>-chemical, and sensory characteristics</w:t>
      </w:r>
      <w:r w:rsidR="00197131">
        <w:rPr>
          <w:lang w:val="en-GB"/>
        </w:rPr>
        <w:t xml:space="preserve">. (A4.3) </w:t>
      </w:r>
      <w:r w:rsidR="0093611F" w:rsidRPr="0093611F">
        <w:rPr>
          <w:lang w:val="en-GB"/>
        </w:rPr>
        <w:t xml:space="preserve">Assessment of strains’ viability during production process, shelf-life, and </w:t>
      </w:r>
      <w:r w:rsidR="0093611F" w:rsidRPr="0093611F">
        <w:rPr>
          <w:i/>
          <w:iCs/>
          <w:lang w:val="en-GB"/>
        </w:rPr>
        <w:t>in vitro</w:t>
      </w:r>
      <w:r w:rsidR="0093611F" w:rsidRPr="0093611F">
        <w:rPr>
          <w:lang w:val="en-GB"/>
        </w:rPr>
        <w:t xml:space="preserve"> digestion</w:t>
      </w:r>
      <w:r w:rsidR="00197131">
        <w:rPr>
          <w:lang w:val="en-GB"/>
        </w:rPr>
        <w:t xml:space="preserve">. (A4.4) </w:t>
      </w:r>
      <w:r w:rsidR="0093611F" w:rsidRPr="0093611F">
        <w:rPr>
          <w:lang w:val="en-GB"/>
        </w:rPr>
        <w:t>Assessment of the impact on gut microbiota and its metabolites</w:t>
      </w:r>
      <w:r w:rsidR="009B1EE0">
        <w:rPr>
          <w:lang w:val="en-GB"/>
        </w:rPr>
        <w:t>.</w:t>
      </w:r>
    </w:p>
    <w:p w14:paraId="7CE6B644" w14:textId="6D1A91EF" w:rsidR="002B12D3" w:rsidRPr="00CA60EF" w:rsidRDefault="00197131" w:rsidP="00CA60EF">
      <w:pPr>
        <w:spacing w:before="300" w:after="120"/>
        <w:contextualSpacing/>
        <w:jc w:val="both"/>
        <w:rPr>
          <w:lang w:val="en-GB"/>
        </w:rPr>
      </w:pPr>
      <w:r w:rsidRPr="009B1EE0">
        <w:rPr>
          <w:lang w:val="en-GB"/>
        </w:rPr>
        <w:t xml:space="preserve">A5) </w:t>
      </w:r>
      <w:r w:rsidR="0026030C">
        <w:rPr>
          <w:lang w:val="en-GB"/>
        </w:rPr>
        <w:t xml:space="preserve"> </w:t>
      </w:r>
      <w:r w:rsidR="0093611F" w:rsidRPr="009B1EE0">
        <w:rPr>
          <w:b/>
          <w:bCs/>
          <w:lang w:val="en-GB"/>
        </w:rPr>
        <w:t>Writing and editing of scientific papers and PhD thesis</w:t>
      </w:r>
      <w:r w:rsidR="0093611F" w:rsidRPr="0093611F">
        <w:rPr>
          <w:lang w:val="en-GB"/>
        </w:rPr>
        <w:t>.</w:t>
      </w:r>
    </w:p>
    <w:p w14:paraId="6CF2DD29" w14:textId="6C471969" w:rsidR="00CA60EF" w:rsidRPr="00075F37" w:rsidRDefault="00CA60EF" w:rsidP="0026030C">
      <w:pPr>
        <w:pStyle w:val="Didascalia"/>
        <w:keepNext/>
        <w:spacing w:before="300" w:after="120"/>
        <w:contextualSpacing/>
        <w:jc w:val="both"/>
        <w:rPr>
          <w:sz w:val="16"/>
          <w:szCs w:val="16"/>
        </w:rPr>
      </w:pPr>
      <w:r w:rsidRPr="00075F37">
        <w:rPr>
          <w:b/>
          <w:bCs/>
          <w:color w:val="auto"/>
          <w:lang w:val="en-US"/>
        </w:rPr>
        <w:t xml:space="preserve">Table </w:t>
      </w:r>
      <w:r w:rsidRPr="00075F37">
        <w:rPr>
          <w:b/>
          <w:bCs/>
          <w:color w:val="auto"/>
          <w:lang w:val="en-US"/>
        </w:rPr>
        <w:fldChar w:fldCharType="begin"/>
      </w:r>
      <w:r w:rsidRPr="00075F37">
        <w:rPr>
          <w:b/>
          <w:bCs/>
          <w:color w:val="auto"/>
          <w:lang w:val="en-US"/>
        </w:rPr>
        <w:instrText xml:space="preserve"> SEQ Table \* ARABIC </w:instrText>
      </w:r>
      <w:r w:rsidRPr="00075F37">
        <w:rPr>
          <w:b/>
          <w:bCs/>
          <w:color w:val="auto"/>
          <w:lang w:val="en-US"/>
        </w:rPr>
        <w:fldChar w:fldCharType="separate"/>
      </w:r>
      <w:r w:rsidRPr="00075F37">
        <w:rPr>
          <w:b/>
          <w:bCs/>
          <w:noProof/>
          <w:color w:val="auto"/>
          <w:lang w:val="en-US"/>
        </w:rPr>
        <w:t>1</w:t>
      </w:r>
      <w:r w:rsidRPr="00075F37">
        <w:rPr>
          <w:b/>
          <w:bCs/>
          <w:color w:val="auto"/>
          <w:lang w:val="en-US"/>
        </w:rPr>
        <w:fldChar w:fldCharType="end"/>
      </w:r>
      <w:r w:rsidRPr="00075F37">
        <w:rPr>
          <w:i w:val="0"/>
          <w:iCs w:val="0"/>
          <w:color w:val="auto"/>
          <w:lang w:val="en-US"/>
        </w:rPr>
        <w:t xml:space="preserve"> Gantt diagram for this PhD thesis project.</w:t>
      </w:r>
    </w:p>
    <w:p w14:paraId="05CC9E3C" w14:textId="1CA4DEB1" w:rsidR="0093611F" w:rsidRPr="0093611F" w:rsidRDefault="00CA60EF" w:rsidP="009B1EE0">
      <w:pPr>
        <w:spacing w:before="300" w:after="120"/>
        <w:jc w:val="both"/>
      </w:pPr>
      <w:r w:rsidRPr="00CA60EF">
        <w:rPr>
          <w:noProof/>
        </w:rPr>
        <w:drawing>
          <wp:inline distT="0" distB="0" distL="0" distR="0" wp14:anchorId="70A6D6D6" wp14:editId="06A1614B">
            <wp:extent cx="5738400" cy="2725200"/>
            <wp:effectExtent l="0" t="0" r="0" b="0"/>
            <wp:docPr id="142555516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8400" cy="2725200"/>
                    </a:xfrm>
                    <a:prstGeom prst="rect">
                      <a:avLst/>
                    </a:prstGeom>
                    <a:noFill/>
                    <a:ln>
                      <a:noFill/>
                    </a:ln>
                  </pic:spPr>
                </pic:pic>
              </a:graphicData>
            </a:graphic>
          </wp:inline>
        </w:drawing>
      </w:r>
    </w:p>
    <w:p w14:paraId="1FCB330E" w14:textId="77777777" w:rsidR="00081E79" w:rsidRDefault="00081E79" w:rsidP="009B1EE0">
      <w:pPr>
        <w:pStyle w:val="Titolo1"/>
        <w:spacing w:before="240" w:after="120"/>
        <w:ind w:right="0"/>
        <w:jc w:val="both"/>
        <w:rPr>
          <w:b/>
          <w:color w:val="000000"/>
          <w:sz w:val="24"/>
        </w:rPr>
      </w:pPr>
      <w:r>
        <w:rPr>
          <w:b/>
          <w:color w:val="000000"/>
          <w:sz w:val="24"/>
        </w:rPr>
        <w:t>3. Selected References</w:t>
      </w:r>
    </w:p>
    <w:p w14:paraId="4103C030" w14:textId="06DEFEE2" w:rsidR="001E0B90" w:rsidRPr="0012166C" w:rsidRDefault="00022935" w:rsidP="0012166C">
      <w:pPr>
        <w:ind w:left="426" w:hanging="426"/>
        <w:jc w:val="both"/>
        <w:rPr>
          <w:lang w:val="en-GB"/>
        </w:rPr>
      </w:pPr>
      <w:r w:rsidRPr="0012166C">
        <w:rPr>
          <w:lang w:val="en-GB"/>
        </w:rPr>
        <w:t>D</w:t>
      </w:r>
      <w:r w:rsidR="001E0B90" w:rsidRPr="0012166C">
        <w:rPr>
          <w:lang w:val="en-GB"/>
        </w:rPr>
        <w:t xml:space="preserve">e </w:t>
      </w:r>
      <w:proofErr w:type="spellStart"/>
      <w:r w:rsidR="001E0B90" w:rsidRPr="0012166C">
        <w:rPr>
          <w:lang w:val="en-GB"/>
        </w:rPr>
        <w:t>Filippis</w:t>
      </w:r>
      <w:proofErr w:type="spellEnd"/>
      <w:r w:rsidRPr="0012166C">
        <w:rPr>
          <w:lang w:val="en-GB"/>
        </w:rPr>
        <w:t xml:space="preserve"> F</w:t>
      </w:r>
      <w:r w:rsidR="001E0B90" w:rsidRPr="0012166C">
        <w:rPr>
          <w:lang w:val="en-GB"/>
        </w:rPr>
        <w:t>, Esposito</w:t>
      </w:r>
      <w:r w:rsidRPr="0012166C">
        <w:rPr>
          <w:lang w:val="en-GB"/>
        </w:rPr>
        <w:t xml:space="preserve"> A</w:t>
      </w:r>
      <w:r w:rsidR="001E0B90" w:rsidRPr="0012166C">
        <w:rPr>
          <w:lang w:val="en-GB"/>
        </w:rPr>
        <w:t xml:space="preserve">, </w:t>
      </w:r>
      <w:proofErr w:type="spellStart"/>
      <w:r w:rsidR="001E0B90" w:rsidRPr="0012166C">
        <w:rPr>
          <w:lang w:val="en-GB"/>
        </w:rPr>
        <w:t>Ercolini</w:t>
      </w:r>
      <w:proofErr w:type="spellEnd"/>
      <w:r w:rsidRPr="0012166C">
        <w:rPr>
          <w:lang w:val="en-GB"/>
        </w:rPr>
        <w:t xml:space="preserve"> D (2022)</w:t>
      </w:r>
      <w:r w:rsidR="001E0B90" w:rsidRPr="0012166C">
        <w:rPr>
          <w:lang w:val="en-GB"/>
        </w:rPr>
        <w:t xml:space="preserve"> Outlook on next-generation probiotics from the human gut</w:t>
      </w:r>
      <w:r w:rsidRPr="0012166C">
        <w:rPr>
          <w:lang w:val="en-GB"/>
        </w:rPr>
        <w:t>.</w:t>
      </w:r>
      <w:r w:rsidR="001E0B90" w:rsidRPr="0012166C">
        <w:rPr>
          <w:lang w:val="en-GB"/>
        </w:rPr>
        <w:t xml:space="preserve"> </w:t>
      </w:r>
      <w:r w:rsidR="001E0B90" w:rsidRPr="0012166C">
        <w:rPr>
          <w:i/>
          <w:iCs/>
          <w:lang w:val="en-GB"/>
        </w:rPr>
        <w:t>Cellular and Molecular Life</w:t>
      </w:r>
      <w:r w:rsidR="001E0B90" w:rsidRPr="0012166C">
        <w:rPr>
          <w:lang w:val="en-GB"/>
        </w:rPr>
        <w:t xml:space="preserve"> </w:t>
      </w:r>
      <w:r w:rsidR="001E0B90" w:rsidRPr="0012166C">
        <w:rPr>
          <w:i/>
          <w:iCs/>
          <w:lang w:val="en-GB"/>
        </w:rPr>
        <w:t>Sciences</w:t>
      </w:r>
      <w:r w:rsidR="001E0B90" w:rsidRPr="0012166C">
        <w:rPr>
          <w:lang w:val="en-GB"/>
        </w:rPr>
        <w:t xml:space="preserve"> </w:t>
      </w:r>
      <w:r w:rsidR="001E0B90" w:rsidRPr="0012166C">
        <w:rPr>
          <w:b/>
          <w:bCs/>
          <w:lang w:val="en-GB"/>
        </w:rPr>
        <w:t>79</w:t>
      </w:r>
      <w:r w:rsidRPr="0012166C">
        <w:rPr>
          <w:lang w:val="en-GB"/>
        </w:rPr>
        <w:t>: 7</w:t>
      </w:r>
      <w:r w:rsidR="001E0B90" w:rsidRPr="0012166C">
        <w:rPr>
          <w:lang w:val="en-GB"/>
        </w:rPr>
        <w:t>6.</w:t>
      </w:r>
    </w:p>
    <w:p w14:paraId="11A28B43" w14:textId="15B0CD7C" w:rsidR="001E0B90" w:rsidRPr="0012166C" w:rsidRDefault="001E0B90" w:rsidP="0012166C">
      <w:pPr>
        <w:ind w:left="426" w:hanging="426"/>
        <w:jc w:val="both"/>
        <w:rPr>
          <w:lang w:val="en-GB"/>
        </w:rPr>
      </w:pPr>
      <w:proofErr w:type="spellStart"/>
      <w:r w:rsidRPr="0012166C">
        <w:rPr>
          <w:lang w:val="en-GB"/>
        </w:rPr>
        <w:t>Grujović</w:t>
      </w:r>
      <w:proofErr w:type="spellEnd"/>
      <w:r w:rsidR="00022935" w:rsidRPr="0012166C">
        <w:rPr>
          <w:lang w:val="en-GB"/>
        </w:rPr>
        <w:t xml:space="preserve"> M</w:t>
      </w:r>
      <w:r w:rsidRPr="0012166C">
        <w:rPr>
          <w:lang w:val="en-GB"/>
        </w:rPr>
        <w:t xml:space="preserve">, </w:t>
      </w:r>
      <w:proofErr w:type="spellStart"/>
      <w:r w:rsidRPr="0012166C">
        <w:rPr>
          <w:lang w:val="en-GB"/>
        </w:rPr>
        <w:t>Mladenović</w:t>
      </w:r>
      <w:proofErr w:type="spellEnd"/>
      <w:r w:rsidR="00022935" w:rsidRPr="0012166C">
        <w:rPr>
          <w:lang w:val="en-GB"/>
        </w:rPr>
        <w:t xml:space="preserve"> KG</w:t>
      </w:r>
      <w:r w:rsidRPr="0012166C">
        <w:rPr>
          <w:lang w:val="en-GB"/>
        </w:rPr>
        <w:t xml:space="preserve">, </w:t>
      </w:r>
      <w:proofErr w:type="spellStart"/>
      <w:r w:rsidRPr="0012166C">
        <w:rPr>
          <w:lang w:val="en-GB"/>
        </w:rPr>
        <w:t>Nikodijević</w:t>
      </w:r>
      <w:proofErr w:type="spellEnd"/>
      <w:r w:rsidR="00022935" w:rsidRPr="0012166C">
        <w:rPr>
          <w:lang w:val="en-GB"/>
        </w:rPr>
        <w:t xml:space="preserve"> DD</w:t>
      </w:r>
      <w:r w:rsidRPr="0012166C">
        <w:rPr>
          <w:lang w:val="en-GB"/>
        </w:rPr>
        <w:t xml:space="preserve">, </w:t>
      </w:r>
      <w:proofErr w:type="spellStart"/>
      <w:r w:rsidRPr="0012166C">
        <w:rPr>
          <w:lang w:val="en-GB"/>
        </w:rPr>
        <w:t>Čomić</w:t>
      </w:r>
      <w:proofErr w:type="spellEnd"/>
      <w:r w:rsidR="00022935" w:rsidRPr="0012166C">
        <w:rPr>
          <w:lang w:val="en-GB"/>
        </w:rPr>
        <w:t xml:space="preserve"> LR (2019) </w:t>
      </w:r>
      <w:r w:rsidRPr="0012166C">
        <w:rPr>
          <w:lang w:val="en-GB"/>
        </w:rPr>
        <w:t>Autochthonous lactic acid bacteria</w:t>
      </w:r>
      <w:r w:rsidR="00022935" w:rsidRPr="0012166C">
        <w:rPr>
          <w:lang w:val="en-GB"/>
        </w:rPr>
        <w:t xml:space="preserve"> - </w:t>
      </w:r>
      <w:r w:rsidRPr="0012166C">
        <w:rPr>
          <w:lang w:val="en-GB"/>
        </w:rPr>
        <w:t>presentation of potential probiotics application</w:t>
      </w:r>
      <w:r w:rsidR="00022935" w:rsidRPr="0012166C">
        <w:rPr>
          <w:lang w:val="en-GB"/>
        </w:rPr>
        <w:t>.</w:t>
      </w:r>
      <w:r w:rsidRPr="0012166C">
        <w:rPr>
          <w:lang w:val="en-GB"/>
        </w:rPr>
        <w:t xml:space="preserve"> </w:t>
      </w:r>
      <w:r w:rsidRPr="0012166C">
        <w:rPr>
          <w:i/>
          <w:iCs/>
          <w:lang w:val="en-GB"/>
        </w:rPr>
        <w:t>Biotechnology Letters</w:t>
      </w:r>
      <w:r w:rsidRPr="0012166C">
        <w:rPr>
          <w:lang w:val="en-GB"/>
        </w:rPr>
        <w:t xml:space="preserve"> </w:t>
      </w:r>
      <w:r w:rsidRPr="0012166C">
        <w:rPr>
          <w:b/>
          <w:bCs/>
          <w:lang w:val="en-GB"/>
        </w:rPr>
        <w:t>41</w:t>
      </w:r>
      <w:r w:rsidR="00022935" w:rsidRPr="0012166C">
        <w:rPr>
          <w:lang w:val="en-GB"/>
        </w:rPr>
        <w:t>:</w:t>
      </w:r>
      <w:r w:rsidRPr="0012166C">
        <w:rPr>
          <w:lang w:val="en-GB"/>
        </w:rPr>
        <w:t xml:space="preserve"> 1319</w:t>
      </w:r>
      <w:r w:rsidR="00022935" w:rsidRPr="0012166C">
        <w:rPr>
          <w:lang w:val="en-GB"/>
        </w:rPr>
        <w:t>-</w:t>
      </w:r>
      <w:r w:rsidRPr="0012166C">
        <w:rPr>
          <w:lang w:val="en-GB"/>
        </w:rPr>
        <w:t>1331</w:t>
      </w:r>
      <w:r w:rsidR="00022935" w:rsidRPr="0012166C">
        <w:rPr>
          <w:lang w:val="en-GB"/>
        </w:rPr>
        <w:t>.</w:t>
      </w:r>
    </w:p>
    <w:p w14:paraId="3371CD62" w14:textId="0E852A97" w:rsidR="008604A1" w:rsidRPr="0012166C" w:rsidRDefault="001E0B90" w:rsidP="0012166C">
      <w:pPr>
        <w:tabs>
          <w:tab w:val="left" w:pos="142"/>
        </w:tabs>
        <w:ind w:left="426" w:hanging="426"/>
        <w:jc w:val="both"/>
        <w:rPr>
          <w:lang w:val="en-GB"/>
        </w:rPr>
      </w:pPr>
      <w:r w:rsidRPr="0012166C">
        <w:rPr>
          <w:lang w:val="en-GB"/>
        </w:rPr>
        <w:t>Marino</w:t>
      </w:r>
      <w:r w:rsidR="00022935" w:rsidRPr="0012166C">
        <w:rPr>
          <w:lang w:val="en-GB"/>
        </w:rPr>
        <w:t xml:space="preserve"> M</w:t>
      </w:r>
      <w:r w:rsidRPr="0012166C">
        <w:rPr>
          <w:lang w:val="en-GB"/>
        </w:rPr>
        <w:t>, Innocente</w:t>
      </w:r>
      <w:r w:rsidR="00022935" w:rsidRPr="0012166C">
        <w:rPr>
          <w:lang w:val="en-GB"/>
        </w:rPr>
        <w:t xml:space="preserve"> N</w:t>
      </w:r>
      <w:r w:rsidRPr="0012166C">
        <w:rPr>
          <w:lang w:val="en-GB"/>
        </w:rPr>
        <w:t>, Melchior</w:t>
      </w:r>
      <w:r w:rsidR="00022935" w:rsidRPr="0012166C">
        <w:rPr>
          <w:lang w:val="en-GB"/>
        </w:rPr>
        <w:t xml:space="preserve"> S</w:t>
      </w:r>
      <w:r w:rsidRPr="0012166C">
        <w:rPr>
          <w:lang w:val="en-GB"/>
        </w:rPr>
        <w:t>, Calligaris</w:t>
      </w:r>
      <w:r w:rsidR="00022935" w:rsidRPr="0012166C">
        <w:rPr>
          <w:lang w:val="en-GB"/>
        </w:rPr>
        <w:t xml:space="preserve"> S</w:t>
      </w:r>
      <w:r w:rsidRPr="0012166C">
        <w:rPr>
          <w:lang w:val="en-GB"/>
        </w:rPr>
        <w:t xml:space="preserve">, </w:t>
      </w:r>
      <w:proofErr w:type="spellStart"/>
      <w:r w:rsidRPr="0012166C">
        <w:rPr>
          <w:lang w:val="en-GB"/>
        </w:rPr>
        <w:t>Maifreni</w:t>
      </w:r>
      <w:proofErr w:type="spellEnd"/>
      <w:r w:rsidR="00022935" w:rsidRPr="0012166C">
        <w:rPr>
          <w:lang w:val="en-GB"/>
        </w:rPr>
        <w:t xml:space="preserve"> M (2021)</w:t>
      </w:r>
      <w:r w:rsidRPr="0012166C">
        <w:rPr>
          <w:lang w:val="en-GB"/>
        </w:rPr>
        <w:t xml:space="preserve"> Main technological challenges associated with the incorporation of probiotic cultures into foods</w:t>
      </w:r>
      <w:r w:rsidR="00022935" w:rsidRPr="0012166C">
        <w:rPr>
          <w:lang w:val="en-GB"/>
        </w:rPr>
        <w:t>.</w:t>
      </w:r>
      <w:r w:rsidRPr="0012166C">
        <w:rPr>
          <w:lang w:val="en-GB"/>
        </w:rPr>
        <w:t xml:space="preserve"> </w:t>
      </w:r>
      <w:r w:rsidRPr="0012166C">
        <w:rPr>
          <w:i/>
          <w:iCs/>
          <w:lang w:val="en-GB"/>
        </w:rPr>
        <w:t>Advances in Probiotics</w:t>
      </w:r>
      <w:r w:rsidR="00CE17E2" w:rsidRPr="0012166C">
        <w:rPr>
          <w:lang w:val="en-GB"/>
        </w:rPr>
        <w:t xml:space="preserve"> </w:t>
      </w:r>
      <w:r w:rsidRPr="0012166C">
        <w:rPr>
          <w:lang w:val="en-GB"/>
        </w:rPr>
        <w:t>479–495</w:t>
      </w:r>
      <w:r w:rsidR="00022935" w:rsidRPr="0012166C">
        <w:rPr>
          <w:lang w:val="en-GB"/>
        </w:rPr>
        <w:t>.</w:t>
      </w:r>
    </w:p>
    <w:sectPr w:rsidR="008604A1" w:rsidRPr="0012166C" w:rsidSect="0012166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2086C"/>
    <w:multiLevelType w:val="multilevel"/>
    <w:tmpl w:val="F726390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5E61F94"/>
    <w:multiLevelType w:val="hybridMultilevel"/>
    <w:tmpl w:val="EF705DC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326B8A"/>
    <w:multiLevelType w:val="hybridMultilevel"/>
    <w:tmpl w:val="C7AEFF54"/>
    <w:lvl w:ilvl="0" w:tplc="FFFFFFFF">
      <w:numFmt w:val="bullet"/>
      <w:lvlText w:val="-"/>
      <w:lvlJc w:val="left"/>
      <w:rPr>
        <w:rFonts w:ascii="Arial" w:eastAsia="Calibri" w:hAnsi="Arial" w:cs="Arial" w:hint="default"/>
      </w:rPr>
    </w:lvl>
    <w:lvl w:ilvl="1" w:tplc="58C28C3A">
      <w:numFmt w:val="bullet"/>
      <w:lvlText w:val="-"/>
      <w:lvlJc w:val="left"/>
      <w:rPr>
        <w:rFonts w:ascii="Arial" w:eastAsia="Calibri"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A810201"/>
    <w:multiLevelType w:val="multilevel"/>
    <w:tmpl w:val="8B7A4E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2292684"/>
    <w:multiLevelType w:val="hybridMultilevel"/>
    <w:tmpl w:val="79FE9FA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C142D92"/>
    <w:multiLevelType w:val="hybridMultilevel"/>
    <w:tmpl w:val="A53098A2"/>
    <w:lvl w:ilvl="0" w:tplc="DA1E6D7A">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209995312">
    <w:abstractNumId w:val="1"/>
  </w:num>
  <w:num w:numId="2" w16cid:durableId="102654377">
    <w:abstractNumId w:val="4"/>
  </w:num>
  <w:num w:numId="3" w16cid:durableId="1850832129">
    <w:abstractNumId w:val="0"/>
  </w:num>
  <w:num w:numId="4" w16cid:durableId="117140833">
    <w:abstractNumId w:val="2"/>
  </w:num>
  <w:num w:numId="5" w16cid:durableId="1926528557">
    <w:abstractNumId w:val="3"/>
  </w:num>
  <w:num w:numId="6" w16cid:durableId="14290790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79"/>
    <w:rsid w:val="00022935"/>
    <w:rsid w:val="00025A04"/>
    <w:rsid w:val="00075F37"/>
    <w:rsid w:val="00081E79"/>
    <w:rsid w:val="0012166C"/>
    <w:rsid w:val="00197131"/>
    <w:rsid w:val="001E0B90"/>
    <w:rsid w:val="0026030C"/>
    <w:rsid w:val="002746E5"/>
    <w:rsid w:val="002B12D3"/>
    <w:rsid w:val="002B5B9D"/>
    <w:rsid w:val="003052F9"/>
    <w:rsid w:val="003F3DC4"/>
    <w:rsid w:val="004244B0"/>
    <w:rsid w:val="004B2E45"/>
    <w:rsid w:val="00607F16"/>
    <w:rsid w:val="00645545"/>
    <w:rsid w:val="00782529"/>
    <w:rsid w:val="007C517F"/>
    <w:rsid w:val="008715D7"/>
    <w:rsid w:val="00933ACD"/>
    <w:rsid w:val="0093611F"/>
    <w:rsid w:val="009A360E"/>
    <w:rsid w:val="009B1EE0"/>
    <w:rsid w:val="00AC0AD7"/>
    <w:rsid w:val="00B33475"/>
    <w:rsid w:val="00C160F9"/>
    <w:rsid w:val="00CA60EF"/>
    <w:rsid w:val="00CE17E2"/>
    <w:rsid w:val="00CF6C50"/>
    <w:rsid w:val="00D31E5F"/>
    <w:rsid w:val="00DD75C6"/>
    <w:rsid w:val="00E017E5"/>
    <w:rsid w:val="00EA4294"/>
    <w:rsid w:val="00F55002"/>
    <w:rsid w:val="00FE3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 w:type="character" w:styleId="Collegamentoipertestuale">
    <w:name w:val="Hyperlink"/>
    <w:basedOn w:val="Carpredefinitoparagrafo"/>
    <w:uiPriority w:val="99"/>
    <w:unhideWhenUsed/>
    <w:rsid w:val="007C517F"/>
    <w:rPr>
      <w:color w:val="0563C1" w:themeColor="hyperlink"/>
      <w:u w:val="single"/>
    </w:rPr>
  </w:style>
  <w:style w:type="character" w:styleId="Menzionenonrisolta">
    <w:name w:val="Unresolved Mention"/>
    <w:basedOn w:val="Carpredefinitoparagrafo"/>
    <w:uiPriority w:val="99"/>
    <w:semiHidden/>
    <w:unhideWhenUsed/>
    <w:rsid w:val="007C517F"/>
    <w:rPr>
      <w:color w:val="605E5C"/>
      <w:shd w:val="clear" w:color="auto" w:fill="E1DFDD"/>
    </w:rPr>
  </w:style>
  <w:style w:type="paragraph" w:styleId="Paragrafoelenco">
    <w:name w:val="List Paragraph"/>
    <w:basedOn w:val="Normale"/>
    <w:uiPriority w:val="34"/>
    <w:qFormat/>
    <w:rsid w:val="00EA4294"/>
    <w:pPr>
      <w:ind w:left="720"/>
      <w:contextualSpacing/>
    </w:pPr>
  </w:style>
  <w:style w:type="paragraph" w:styleId="Didascalia">
    <w:name w:val="caption"/>
    <w:basedOn w:val="Normale"/>
    <w:next w:val="Normale"/>
    <w:uiPriority w:val="35"/>
    <w:semiHidden/>
    <w:unhideWhenUsed/>
    <w:qFormat/>
    <w:rsid w:val="00607F16"/>
    <w:pPr>
      <w:spacing w:after="200"/>
    </w:pPr>
    <w:rPr>
      <w:i/>
      <w:iCs/>
      <w:color w:val="44546A" w:themeColor="text2"/>
      <w:sz w:val="18"/>
      <w:szCs w:val="18"/>
    </w:rPr>
  </w:style>
  <w:style w:type="table" w:styleId="Grigliatabella">
    <w:name w:val="Table Grid"/>
    <w:basedOn w:val="Tabellanormale"/>
    <w:uiPriority w:val="39"/>
    <w:rsid w:val="00AC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29123">
      <w:bodyDiv w:val="1"/>
      <w:marLeft w:val="0"/>
      <w:marRight w:val="0"/>
      <w:marTop w:val="0"/>
      <w:marBottom w:val="0"/>
      <w:divBdr>
        <w:top w:val="none" w:sz="0" w:space="0" w:color="auto"/>
        <w:left w:val="none" w:sz="0" w:space="0" w:color="auto"/>
        <w:bottom w:val="none" w:sz="0" w:space="0" w:color="auto"/>
        <w:right w:val="none" w:sz="0" w:space="0" w:color="auto"/>
      </w:divBdr>
    </w:div>
    <w:div w:id="518204891">
      <w:bodyDiv w:val="1"/>
      <w:marLeft w:val="0"/>
      <w:marRight w:val="0"/>
      <w:marTop w:val="0"/>
      <w:marBottom w:val="0"/>
      <w:divBdr>
        <w:top w:val="none" w:sz="0" w:space="0" w:color="auto"/>
        <w:left w:val="none" w:sz="0" w:space="0" w:color="auto"/>
        <w:bottom w:val="none" w:sz="0" w:space="0" w:color="auto"/>
        <w:right w:val="none" w:sz="0" w:space="0" w:color="auto"/>
      </w:divBdr>
    </w:div>
    <w:div w:id="662465149">
      <w:bodyDiv w:val="1"/>
      <w:marLeft w:val="0"/>
      <w:marRight w:val="0"/>
      <w:marTop w:val="0"/>
      <w:marBottom w:val="0"/>
      <w:divBdr>
        <w:top w:val="none" w:sz="0" w:space="0" w:color="auto"/>
        <w:left w:val="none" w:sz="0" w:space="0" w:color="auto"/>
        <w:bottom w:val="none" w:sz="0" w:space="0" w:color="auto"/>
        <w:right w:val="none" w:sz="0" w:space="0" w:color="auto"/>
      </w:divBdr>
    </w:div>
    <w:div w:id="1443572226">
      <w:bodyDiv w:val="1"/>
      <w:marLeft w:val="0"/>
      <w:marRight w:val="0"/>
      <w:marTop w:val="0"/>
      <w:marBottom w:val="0"/>
      <w:divBdr>
        <w:top w:val="none" w:sz="0" w:space="0" w:color="auto"/>
        <w:left w:val="none" w:sz="0" w:space="0" w:color="auto"/>
        <w:bottom w:val="none" w:sz="0" w:space="0" w:color="auto"/>
        <w:right w:val="none" w:sz="0" w:space="0" w:color="auto"/>
      </w:divBdr>
    </w:div>
    <w:div w:id="1711104015">
      <w:bodyDiv w:val="1"/>
      <w:marLeft w:val="0"/>
      <w:marRight w:val="0"/>
      <w:marTop w:val="0"/>
      <w:marBottom w:val="0"/>
      <w:divBdr>
        <w:top w:val="none" w:sz="0" w:space="0" w:color="auto"/>
        <w:left w:val="none" w:sz="0" w:space="0" w:color="auto"/>
        <w:bottom w:val="none" w:sz="0" w:space="0" w:color="auto"/>
        <w:right w:val="none" w:sz="0" w:space="0" w:color="auto"/>
      </w:divBdr>
    </w:div>
    <w:div w:id="1746416008">
      <w:bodyDiv w:val="1"/>
      <w:marLeft w:val="0"/>
      <w:marRight w:val="0"/>
      <w:marTop w:val="0"/>
      <w:marBottom w:val="0"/>
      <w:divBdr>
        <w:top w:val="none" w:sz="0" w:space="0" w:color="auto"/>
        <w:left w:val="none" w:sz="0" w:space="0" w:color="auto"/>
        <w:bottom w:val="none" w:sz="0" w:space="0" w:color="auto"/>
        <w:right w:val="none" w:sz="0" w:space="0" w:color="auto"/>
      </w:divBdr>
    </w:div>
    <w:div w:id="179694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Anna Rossi</cp:lastModifiedBy>
  <cp:revision>20</cp:revision>
  <dcterms:created xsi:type="dcterms:W3CDTF">2023-05-19T10:52:00Z</dcterms:created>
  <dcterms:modified xsi:type="dcterms:W3CDTF">2023-06-09T07:31:00Z</dcterms:modified>
</cp:coreProperties>
</file>