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C618" w14:textId="77777777" w:rsidR="00507E3B" w:rsidRPr="00507E3B" w:rsidRDefault="00507E3B" w:rsidP="00606853">
      <w:pPr>
        <w:pStyle w:val="Titolo"/>
        <w:spacing w:before="600" w:line="240" w:lineRule="auto"/>
      </w:pPr>
      <w:r w:rsidRPr="00507E3B">
        <w:t>Digital innovation for sustainable intensification in cereals sector. An economic valuation of contractual agreements and CAP eco-schemes adoption in bakery value chain in Italy</w:t>
      </w:r>
    </w:p>
    <w:p w14:paraId="050008D4" w14:textId="58B435CD" w:rsidR="00081E79" w:rsidRDefault="00507E3B" w:rsidP="00081E79">
      <w:pPr>
        <w:jc w:val="center"/>
        <w:rPr>
          <w:lang w:val="de-DE"/>
        </w:rPr>
      </w:pPr>
      <w:r>
        <w:rPr>
          <w:lang w:val="de-DE"/>
        </w:rPr>
        <w:t>Maria Teresa Cappella</w:t>
      </w:r>
      <w:r w:rsidR="00081E79">
        <w:rPr>
          <w:lang w:val="de-DE"/>
        </w:rPr>
        <w:t xml:space="preserve"> (</w:t>
      </w:r>
      <w:r>
        <w:rPr>
          <w:lang w:val="de-DE"/>
        </w:rPr>
        <w:t>mariateresa.cappella@unitus.it</w:t>
      </w:r>
      <w:r w:rsidR="00081E79">
        <w:rPr>
          <w:lang w:val="de-DE"/>
        </w:rPr>
        <w:t>)</w:t>
      </w:r>
    </w:p>
    <w:p w14:paraId="6D5F5145" w14:textId="639B66E4" w:rsidR="00081E79" w:rsidRDefault="00081E79" w:rsidP="00081E79">
      <w:pPr>
        <w:jc w:val="center"/>
        <w:rPr>
          <w:lang w:val="en-GB"/>
        </w:rPr>
      </w:pPr>
      <w:r>
        <w:rPr>
          <w:lang w:val="en-GB"/>
        </w:rPr>
        <w:t xml:space="preserve">Dept. </w:t>
      </w:r>
      <w:r w:rsidR="00507E3B">
        <w:rPr>
          <w:lang w:val="en-GB"/>
        </w:rPr>
        <w:t>DIBAF</w:t>
      </w:r>
      <w:r>
        <w:rPr>
          <w:lang w:val="en-GB"/>
        </w:rPr>
        <w:t xml:space="preserve">, University of </w:t>
      </w:r>
      <w:proofErr w:type="spellStart"/>
      <w:r w:rsidR="00507E3B">
        <w:rPr>
          <w:lang w:val="en-GB"/>
        </w:rPr>
        <w:t>Tuscia</w:t>
      </w:r>
      <w:proofErr w:type="spellEnd"/>
      <w:r>
        <w:rPr>
          <w:lang w:val="en-GB"/>
        </w:rPr>
        <w:t xml:space="preserve">, </w:t>
      </w:r>
      <w:r w:rsidR="00507E3B">
        <w:rPr>
          <w:lang w:val="en-GB"/>
        </w:rPr>
        <w:t>Viterbo</w:t>
      </w:r>
      <w:r>
        <w:rPr>
          <w:lang w:val="en-GB"/>
        </w:rPr>
        <w:t>, Italy</w:t>
      </w:r>
    </w:p>
    <w:p w14:paraId="7CBDB1B6" w14:textId="1302EDF0" w:rsidR="00081E79" w:rsidRDefault="00081E79" w:rsidP="00081E79">
      <w:pPr>
        <w:jc w:val="center"/>
        <w:rPr>
          <w:lang w:val="en-GB"/>
        </w:rPr>
      </w:pPr>
      <w:r>
        <w:rPr>
          <w:lang w:val="en-GB"/>
        </w:rPr>
        <w:t xml:space="preserve">Tutor: Prof. </w:t>
      </w:r>
      <w:r w:rsidR="00507E3B">
        <w:rPr>
          <w:lang w:val="en-GB"/>
        </w:rPr>
        <w:t>Emanuele Blasi</w:t>
      </w:r>
    </w:p>
    <w:p w14:paraId="145790C6" w14:textId="77777777" w:rsidR="00081E79" w:rsidRDefault="00081E79" w:rsidP="00081E79">
      <w:pPr>
        <w:jc w:val="center"/>
        <w:rPr>
          <w:lang w:val="en-GB"/>
        </w:rPr>
      </w:pPr>
    </w:p>
    <w:p w14:paraId="027E5B13" w14:textId="77777777" w:rsidR="00F9662D" w:rsidRPr="00562E86" w:rsidRDefault="00F9662D" w:rsidP="00F9662D">
      <w:pPr>
        <w:pStyle w:val="Corpotesto"/>
        <w:jc w:val="both"/>
        <w:rPr>
          <w:i w:val="0"/>
          <w:iCs w:val="0"/>
          <w:sz w:val="20"/>
          <w:lang w:val="en-GB"/>
        </w:rPr>
      </w:pPr>
      <w:r>
        <w:rPr>
          <w:i w:val="0"/>
          <w:iCs w:val="0"/>
          <w:sz w:val="20"/>
          <w:lang w:val="en-GB"/>
        </w:rPr>
        <w:t xml:space="preserve">This PhD thesis research project aims to implement current information and studies on the actual economic benefits of adopting sustainable agricultural practices in a raw materials supply chain. </w:t>
      </w:r>
      <w:r w:rsidRPr="00562E86">
        <w:rPr>
          <w:i w:val="0"/>
          <w:iCs w:val="0"/>
          <w:sz w:val="20"/>
          <w:lang w:val="en-GB"/>
        </w:rPr>
        <w:t xml:space="preserve">It also intends </w:t>
      </w:r>
      <w:r>
        <w:rPr>
          <w:i w:val="0"/>
          <w:iCs w:val="0"/>
          <w:sz w:val="20"/>
          <w:lang w:val="en-GB"/>
        </w:rPr>
        <w:t>to evaluate the willingness to adopt digital tools related</w:t>
      </w:r>
      <w:r w:rsidRPr="00562E86">
        <w:rPr>
          <w:i w:val="0"/>
          <w:iCs w:val="0"/>
          <w:sz w:val="20"/>
          <w:lang w:val="en-GB"/>
        </w:rPr>
        <w:t xml:space="preserve"> to s</w:t>
      </w:r>
      <w:r>
        <w:rPr>
          <w:i w:val="0"/>
          <w:iCs w:val="0"/>
          <w:sz w:val="20"/>
          <w:lang w:val="en-GB"/>
        </w:rPr>
        <w:t xml:space="preserve">upport contractual relationships and to monitor raw material and values flows among bakery supply chain actors. Finally, the project aims to update the analysis of synergy between private initiatives and public policies for sustainable agricultural schemes. </w:t>
      </w:r>
    </w:p>
    <w:p w14:paraId="0D52849F" w14:textId="4EB5202A" w:rsidR="00F9662D" w:rsidRDefault="00F9662D" w:rsidP="00F9662D">
      <w:pPr>
        <w:pStyle w:val="Titolo"/>
        <w:spacing w:before="240" w:line="240" w:lineRule="auto"/>
        <w:rPr>
          <w:sz w:val="24"/>
          <w:lang w:val="it-IT"/>
        </w:rPr>
      </w:pPr>
      <w:r>
        <w:rPr>
          <w:sz w:val="24"/>
          <w:lang w:val="it-IT"/>
        </w:rPr>
        <w:t>Innovazione digitale per l’intensificazione sostenibile nel settore cerealicolo. Una valutazione economica degli accordi contrattuali e dell’adozione degli eco-schemi della</w:t>
      </w:r>
      <w:r w:rsidR="00566FD3">
        <w:rPr>
          <w:sz w:val="24"/>
          <w:lang w:val="it-IT"/>
        </w:rPr>
        <w:t xml:space="preserve"> </w:t>
      </w:r>
      <w:r>
        <w:rPr>
          <w:sz w:val="24"/>
          <w:lang w:val="it-IT"/>
        </w:rPr>
        <w:t>PAC nella filiera dei prodotti da forno in Italia</w:t>
      </w:r>
    </w:p>
    <w:p w14:paraId="74C6E019" w14:textId="77777777" w:rsidR="00F9662D" w:rsidRDefault="00F9662D" w:rsidP="00F9662D">
      <w:pPr>
        <w:jc w:val="both"/>
      </w:pPr>
      <w:r>
        <w:t>Il progetto</w:t>
      </w:r>
      <w:r w:rsidRPr="00570701">
        <w:t xml:space="preserve"> di tesi di dottorato mira a implementare </w:t>
      </w:r>
      <w:r>
        <w:t xml:space="preserve">le </w:t>
      </w:r>
      <w:r w:rsidRPr="00570701">
        <w:t xml:space="preserve">informazioni e </w:t>
      </w:r>
      <w:r>
        <w:t xml:space="preserve">gli </w:t>
      </w:r>
      <w:r w:rsidRPr="00570701">
        <w:t xml:space="preserve">studi attuali sugli effettivi benefici economici </w:t>
      </w:r>
      <w:r>
        <w:t>derivanti dall’</w:t>
      </w:r>
      <w:r w:rsidRPr="00570701">
        <w:t xml:space="preserve">adozione di pratiche agricole sostenibili </w:t>
      </w:r>
      <w:r>
        <w:t>nella filiera di approvvigionamento delle materie prime.</w:t>
      </w:r>
      <w:r w:rsidRPr="00570701">
        <w:t xml:space="preserve"> </w:t>
      </w:r>
      <w:r>
        <w:t>Si i</w:t>
      </w:r>
      <w:r w:rsidRPr="00570701">
        <w:t xml:space="preserve">ntende inoltre valutare la disponibilità </w:t>
      </w:r>
      <w:proofErr w:type="gramStart"/>
      <w:r w:rsidRPr="00570701">
        <w:t>ad</w:t>
      </w:r>
      <w:proofErr w:type="gramEnd"/>
      <w:r w:rsidRPr="00570701">
        <w:t xml:space="preserve"> adottare strumenti digitali relativi al supporto dei rapporti contrattuali e al monitoraggio dei flussi di materie prime e valor</w:t>
      </w:r>
      <w:r>
        <w:t>e</w:t>
      </w:r>
      <w:r w:rsidRPr="00570701">
        <w:t xml:space="preserve"> tra gli attori della filiera </w:t>
      </w:r>
      <w:r>
        <w:t>dei prodotti da forno</w:t>
      </w:r>
      <w:r w:rsidRPr="00570701">
        <w:t>. Infine, il progetto mira ad aggiornare l'analisi delle sinergie</w:t>
      </w:r>
      <w:r>
        <w:t xml:space="preserve"> che si potrebbero instaurare</w:t>
      </w:r>
      <w:r w:rsidRPr="00570701">
        <w:t xml:space="preserve"> tra iniziative private e politiche pubbliche </w:t>
      </w:r>
      <w:r>
        <w:t>per i sistemi agricoli sostenibili.</w:t>
      </w:r>
    </w:p>
    <w:p w14:paraId="5F678478" w14:textId="77777777" w:rsidR="00081E79" w:rsidRPr="00566FD3" w:rsidRDefault="00081E79" w:rsidP="00566FD3">
      <w:pPr>
        <w:pStyle w:val="Titolo1"/>
        <w:spacing w:before="240" w:after="120"/>
        <w:ind w:right="318"/>
        <w:jc w:val="left"/>
        <w:rPr>
          <w:b/>
          <w:bCs/>
          <w:color w:val="auto"/>
          <w:sz w:val="24"/>
          <w:szCs w:val="24"/>
        </w:rPr>
      </w:pPr>
      <w:r w:rsidRPr="00566FD3">
        <w:rPr>
          <w:b/>
          <w:bCs/>
          <w:color w:val="auto"/>
          <w:sz w:val="24"/>
          <w:szCs w:val="24"/>
        </w:rPr>
        <w:t>1. State-of-the-Art</w:t>
      </w:r>
    </w:p>
    <w:p w14:paraId="350C22B5" w14:textId="77777777" w:rsidR="001E6047" w:rsidRDefault="001E6047" w:rsidP="001E6047">
      <w:pPr>
        <w:widowControl/>
        <w:suppressAutoHyphens w:val="0"/>
        <w:autoSpaceDE w:val="0"/>
        <w:autoSpaceDN w:val="0"/>
        <w:adjustRightInd w:val="0"/>
        <w:jc w:val="both"/>
        <w:rPr>
          <w:lang w:val="en-GB"/>
        </w:rPr>
      </w:pPr>
      <w:r>
        <w:rPr>
          <w:lang w:val="en-GB"/>
        </w:rPr>
        <w:t>The dominant paradigm in European agriculture is characterized by highly specialised and industrialized production. It is based on intensive use of agrochemicals, monocultures and few crops and varieties, and contributes to greenhouse gas emissions, water pollution, soil degradation and loss of biodiversity (Kleijn et al., 2019). The role of farmers in mitigating impacts on natural resources is becoming increasingly central to the decision-making process of policies such as the CAP. Among the solutions proposed by CAP, is the renewed intention to increase arable and crops diversification and to protect biodiversity by farmer and agricultural system (</w:t>
      </w:r>
      <w:proofErr w:type="spellStart"/>
      <w:r>
        <w:rPr>
          <w:lang w:val="en-GB"/>
        </w:rPr>
        <w:t>Bonke</w:t>
      </w:r>
      <w:proofErr w:type="spellEnd"/>
      <w:r>
        <w:rPr>
          <w:lang w:val="en-GB"/>
        </w:rPr>
        <w:t xml:space="preserve"> e Musshoff,2020).</w:t>
      </w:r>
    </w:p>
    <w:p w14:paraId="2D9C4030" w14:textId="77777777" w:rsidR="001E6047" w:rsidRDefault="001E6047" w:rsidP="001E6047">
      <w:pPr>
        <w:widowControl/>
        <w:suppressAutoHyphens w:val="0"/>
        <w:autoSpaceDE w:val="0"/>
        <w:autoSpaceDN w:val="0"/>
        <w:adjustRightInd w:val="0"/>
        <w:jc w:val="both"/>
        <w:rPr>
          <w:lang w:val="en-GB"/>
        </w:rPr>
      </w:pPr>
      <w:r w:rsidRPr="006C7135">
        <w:rPr>
          <w:rFonts w:eastAsiaTheme="minorHAnsi"/>
          <w:lang w:val="en-GB" w:eastAsia="en-US"/>
        </w:rPr>
        <w:t>The new CAP 2023-2027 introduces among the good agricultural and environmental conditions</w:t>
      </w:r>
      <w:r>
        <w:rPr>
          <w:rFonts w:eastAsiaTheme="minorHAnsi"/>
          <w:lang w:val="en-GB" w:eastAsia="en-US"/>
        </w:rPr>
        <w:t xml:space="preserve"> (</w:t>
      </w:r>
      <w:r w:rsidRPr="006C7135">
        <w:rPr>
          <w:rFonts w:eastAsiaTheme="minorHAnsi"/>
          <w:lang w:val="en-GB" w:eastAsia="en-US"/>
        </w:rPr>
        <w:t>GAEC) crop rotation in arable lands (GAEC7) and a minimum percentage of arable land to be</w:t>
      </w:r>
      <w:r>
        <w:rPr>
          <w:rFonts w:eastAsiaTheme="minorHAnsi"/>
          <w:lang w:val="en-GB" w:eastAsia="en-US"/>
        </w:rPr>
        <w:t xml:space="preserve"> </w:t>
      </w:r>
      <w:r w:rsidRPr="006C7135">
        <w:rPr>
          <w:rFonts w:eastAsiaTheme="minorHAnsi"/>
          <w:lang w:val="en-GB" w:eastAsia="en-US"/>
        </w:rPr>
        <w:t>allocated to area or non-productive elements</w:t>
      </w:r>
      <w:r>
        <w:rPr>
          <w:rFonts w:eastAsiaTheme="minorHAnsi"/>
          <w:lang w:val="en-GB" w:eastAsia="en-US"/>
        </w:rPr>
        <w:t xml:space="preserve"> </w:t>
      </w:r>
      <w:r w:rsidRPr="006C7135">
        <w:rPr>
          <w:rFonts w:eastAsiaTheme="minorHAnsi"/>
          <w:lang w:val="en-GB" w:eastAsia="en-US"/>
        </w:rPr>
        <w:t>(GAEC8). To this are added the new eco-schemes, the</w:t>
      </w:r>
      <w:r>
        <w:rPr>
          <w:rFonts w:eastAsiaTheme="minorHAnsi"/>
          <w:lang w:val="en-GB" w:eastAsia="en-US"/>
        </w:rPr>
        <w:t xml:space="preserve"> </w:t>
      </w:r>
      <w:r w:rsidRPr="006C7135">
        <w:rPr>
          <w:rFonts w:eastAsiaTheme="minorHAnsi"/>
          <w:lang w:val="en-GB" w:eastAsia="en-US"/>
        </w:rPr>
        <w:t>main innovation in the green architecture of the CAP. As</w:t>
      </w:r>
      <w:r>
        <w:rPr>
          <w:rFonts w:eastAsiaTheme="minorHAnsi"/>
          <w:lang w:val="en-GB" w:eastAsia="en-US"/>
        </w:rPr>
        <w:t xml:space="preserve"> </w:t>
      </w:r>
      <w:r w:rsidRPr="006C7135">
        <w:rPr>
          <w:rFonts w:eastAsiaTheme="minorHAnsi"/>
          <w:lang w:val="en-GB" w:eastAsia="en-US"/>
        </w:rPr>
        <w:t>mandatory instruments, they would oblige</w:t>
      </w:r>
      <w:r>
        <w:rPr>
          <w:rFonts w:eastAsiaTheme="minorHAnsi"/>
          <w:lang w:val="en-GB" w:eastAsia="en-US"/>
        </w:rPr>
        <w:t xml:space="preserve"> </w:t>
      </w:r>
      <w:r w:rsidRPr="006C7135">
        <w:rPr>
          <w:rFonts w:eastAsiaTheme="minorHAnsi"/>
          <w:lang w:val="en-GB" w:eastAsia="en-US"/>
        </w:rPr>
        <w:t>Member States to allocate a proportion of their Pillar 1 payments to schemes that would directly</w:t>
      </w:r>
      <w:r>
        <w:rPr>
          <w:rFonts w:eastAsiaTheme="minorHAnsi"/>
          <w:lang w:val="en-GB" w:eastAsia="en-US"/>
        </w:rPr>
        <w:t xml:space="preserve"> </w:t>
      </w:r>
      <w:r w:rsidRPr="006C7135">
        <w:rPr>
          <w:rFonts w:eastAsiaTheme="minorHAnsi"/>
          <w:lang w:val="en-GB" w:eastAsia="en-US"/>
        </w:rPr>
        <w:t xml:space="preserve">benefit the environment and climate. </w:t>
      </w:r>
    </w:p>
    <w:p w14:paraId="5E574162" w14:textId="77777777" w:rsidR="001E6047" w:rsidRPr="006C7135" w:rsidRDefault="001E6047" w:rsidP="001E6047">
      <w:pPr>
        <w:widowControl/>
        <w:suppressAutoHyphens w:val="0"/>
        <w:autoSpaceDE w:val="0"/>
        <w:autoSpaceDN w:val="0"/>
        <w:adjustRightInd w:val="0"/>
        <w:jc w:val="both"/>
        <w:rPr>
          <w:rFonts w:eastAsiaTheme="minorHAnsi"/>
          <w:lang w:val="en-GB" w:eastAsia="en-US"/>
        </w:rPr>
      </w:pPr>
      <w:r w:rsidRPr="006C7135">
        <w:rPr>
          <w:rFonts w:eastAsiaTheme="minorHAnsi"/>
          <w:lang w:val="en-GB" w:eastAsia="en-US"/>
        </w:rPr>
        <w:t>The strategic plan of the CAP of Italy identifies 5 eco-schemes, in particular the eco-scheme 4 “extensive forage systems</w:t>
      </w:r>
      <w:r>
        <w:rPr>
          <w:rFonts w:eastAsiaTheme="minorHAnsi"/>
          <w:lang w:val="en-GB" w:eastAsia="en-US"/>
        </w:rPr>
        <w:t xml:space="preserve"> </w:t>
      </w:r>
      <w:r w:rsidRPr="006C7135">
        <w:rPr>
          <w:rFonts w:eastAsiaTheme="minorHAnsi"/>
          <w:lang w:val="en-GB" w:eastAsia="en-US"/>
        </w:rPr>
        <w:t>with rotation” that provides support for arable land in rotation of crops</w:t>
      </w:r>
      <w:r>
        <w:rPr>
          <w:rFonts w:eastAsiaTheme="minorHAnsi"/>
          <w:lang w:val="en-GB" w:eastAsia="en-US"/>
        </w:rPr>
        <w:t xml:space="preserve"> </w:t>
      </w:r>
      <w:r w:rsidRPr="006C7135">
        <w:rPr>
          <w:rFonts w:eastAsiaTheme="minorHAnsi"/>
          <w:lang w:val="en-GB" w:eastAsia="en-US"/>
        </w:rPr>
        <w:t>legumes and forage, and the eco-scheme 5 “Specific measures for pollinators” which aims to</w:t>
      </w:r>
      <w:r>
        <w:rPr>
          <w:rFonts w:eastAsiaTheme="minorHAnsi"/>
          <w:lang w:val="en-GB" w:eastAsia="en-US"/>
        </w:rPr>
        <w:t xml:space="preserve"> </w:t>
      </w:r>
      <w:r w:rsidRPr="006C7135">
        <w:rPr>
          <w:rFonts w:eastAsiaTheme="minorHAnsi"/>
          <w:lang w:val="en-GB" w:eastAsia="en-US"/>
        </w:rPr>
        <w:t>contribute to the preservation of biodiversity through the spread crops of bee interest and a sustainable</w:t>
      </w:r>
      <w:r>
        <w:rPr>
          <w:rFonts w:eastAsiaTheme="minorHAnsi"/>
          <w:lang w:val="en-GB" w:eastAsia="en-US"/>
        </w:rPr>
        <w:t xml:space="preserve"> </w:t>
      </w:r>
      <w:r w:rsidRPr="006C7135">
        <w:rPr>
          <w:rFonts w:eastAsiaTheme="minorHAnsi"/>
          <w:lang w:val="en-GB" w:eastAsia="en-US"/>
        </w:rPr>
        <w:t>and reduced use of pesticides (Strategic Plan for the CAP, Italy, 2021)</w:t>
      </w:r>
      <w:r>
        <w:rPr>
          <w:rFonts w:eastAsiaTheme="minorHAnsi"/>
          <w:lang w:val="en-GB" w:eastAsia="en-US"/>
        </w:rPr>
        <w:t xml:space="preserve">.  Crop diversification, rotation patterns and flower strips are recently </w:t>
      </w:r>
      <w:r w:rsidRPr="00B90190">
        <w:rPr>
          <w:rFonts w:eastAsiaTheme="minorHAnsi"/>
          <w:lang w:val="en-GB" w:eastAsia="en-US"/>
        </w:rPr>
        <w:t>recognised as keys CAP measure to drive Italian agricultural sector towards sustainable path (</w:t>
      </w:r>
      <w:proofErr w:type="spellStart"/>
      <w:r w:rsidRPr="00B90190">
        <w:rPr>
          <w:rFonts w:eastAsiaTheme="minorHAnsi"/>
          <w:lang w:val="en-GB" w:eastAsia="en-US"/>
        </w:rPr>
        <w:t>Bonke</w:t>
      </w:r>
      <w:proofErr w:type="spellEnd"/>
      <w:r w:rsidRPr="00B90190">
        <w:rPr>
          <w:rFonts w:eastAsiaTheme="minorHAnsi"/>
          <w:lang w:val="en-GB" w:eastAsia="en-US"/>
        </w:rPr>
        <w:t xml:space="preserve"> e </w:t>
      </w:r>
      <w:proofErr w:type="spellStart"/>
      <w:r w:rsidRPr="00B90190">
        <w:rPr>
          <w:rFonts w:eastAsiaTheme="minorHAnsi"/>
          <w:lang w:val="en-GB" w:eastAsia="en-US"/>
        </w:rPr>
        <w:t>Musshoff</w:t>
      </w:r>
      <w:proofErr w:type="spellEnd"/>
      <w:r w:rsidRPr="00B90190">
        <w:rPr>
          <w:rFonts w:eastAsiaTheme="minorHAnsi"/>
          <w:lang w:val="en-GB" w:eastAsia="en-US"/>
        </w:rPr>
        <w:t xml:space="preserve"> 2020).</w:t>
      </w:r>
    </w:p>
    <w:p w14:paraId="54744589" w14:textId="2582CB32" w:rsidR="001E6047" w:rsidRPr="006C7135" w:rsidRDefault="001E6047" w:rsidP="001E6047">
      <w:pPr>
        <w:widowControl/>
        <w:suppressAutoHyphens w:val="0"/>
        <w:autoSpaceDE w:val="0"/>
        <w:autoSpaceDN w:val="0"/>
        <w:adjustRightInd w:val="0"/>
        <w:jc w:val="both"/>
        <w:rPr>
          <w:rFonts w:eastAsiaTheme="minorHAnsi"/>
          <w:lang w:val="en-GB" w:eastAsia="en-US"/>
        </w:rPr>
      </w:pPr>
      <w:r>
        <w:rPr>
          <w:rFonts w:eastAsiaTheme="minorHAnsi"/>
          <w:lang w:val="en-GB" w:eastAsia="en-US"/>
        </w:rPr>
        <w:t>N</w:t>
      </w:r>
      <w:r w:rsidRPr="006C7135">
        <w:rPr>
          <w:rFonts w:eastAsiaTheme="minorHAnsi"/>
          <w:lang w:val="en-GB" w:eastAsia="en-US"/>
        </w:rPr>
        <w:t>umerous studies confirm the actual short- and</w:t>
      </w:r>
      <w:r>
        <w:rPr>
          <w:rFonts w:eastAsiaTheme="minorHAnsi"/>
          <w:lang w:val="en-GB" w:eastAsia="en-US"/>
        </w:rPr>
        <w:t xml:space="preserve"> </w:t>
      </w:r>
      <w:r w:rsidRPr="006C7135">
        <w:rPr>
          <w:rFonts w:eastAsiaTheme="minorHAnsi"/>
          <w:lang w:val="en-GB" w:eastAsia="en-US"/>
        </w:rPr>
        <w:t>long-term environmental benefits that can be derived from the adoption of sustainable farming</w:t>
      </w:r>
      <w:r>
        <w:rPr>
          <w:rFonts w:eastAsiaTheme="minorHAnsi"/>
          <w:lang w:val="en-GB" w:eastAsia="en-US"/>
        </w:rPr>
        <w:t xml:space="preserve"> </w:t>
      </w:r>
      <w:r w:rsidRPr="006C7135">
        <w:rPr>
          <w:rFonts w:eastAsiaTheme="minorHAnsi"/>
          <w:lang w:val="en-GB" w:eastAsia="en-US"/>
        </w:rPr>
        <w:t>practices, and therefore changes of this type are considered win-win strategies from the environmental</w:t>
      </w:r>
      <w:r>
        <w:rPr>
          <w:rFonts w:eastAsiaTheme="minorHAnsi"/>
          <w:lang w:val="en-GB" w:eastAsia="en-US"/>
        </w:rPr>
        <w:t xml:space="preserve"> </w:t>
      </w:r>
      <w:r w:rsidRPr="006C7135">
        <w:rPr>
          <w:rFonts w:eastAsiaTheme="minorHAnsi"/>
          <w:lang w:val="en-GB" w:eastAsia="en-US"/>
        </w:rPr>
        <w:t>point of view</w:t>
      </w:r>
      <w:r>
        <w:rPr>
          <w:rFonts w:eastAsiaTheme="minorHAnsi"/>
          <w:lang w:val="en-GB" w:eastAsia="en-US"/>
        </w:rPr>
        <w:t>, however, t</w:t>
      </w:r>
      <w:r w:rsidRPr="006C7135">
        <w:rPr>
          <w:rFonts w:eastAsiaTheme="minorHAnsi"/>
          <w:lang w:val="en-GB" w:eastAsia="en-US"/>
        </w:rPr>
        <w:t>he literature reports a smaller number of studies that investigate the potential income from the</w:t>
      </w:r>
      <w:r>
        <w:rPr>
          <w:rFonts w:eastAsiaTheme="minorHAnsi"/>
          <w:lang w:val="en-GB" w:eastAsia="en-US"/>
        </w:rPr>
        <w:t xml:space="preserve"> </w:t>
      </w:r>
      <w:r w:rsidRPr="006C7135">
        <w:rPr>
          <w:rFonts w:eastAsiaTheme="minorHAnsi"/>
          <w:lang w:val="en-GB" w:eastAsia="en-US"/>
        </w:rPr>
        <w:t>adoption of sustainable production methods and a large part of these studies refer to a small scale,</w:t>
      </w:r>
      <w:r>
        <w:rPr>
          <w:rFonts w:eastAsiaTheme="minorHAnsi"/>
          <w:lang w:val="en-GB" w:eastAsia="en-US"/>
        </w:rPr>
        <w:t xml:space="preserve"> </w:t>
      </w:r>
      <w:r w:rsidRPr="006C7135">
        <w:rPr>
          <w:rFonts w:eastAsiaTheme="minorHAnsi"/>
          <w:lang w:val="en-GB" w:eastAsia="en-US"/>
        </w:rPr>
        <w:t>often family-run business and located in developing contexts (</w:t>
      </w:r>
      <w:proofErr w:type="spellStart"/>
      <w:r w:rsidRPr="006C7135">
        <w:rPr>
          <w:rFonts w:eastAsiaTheme="minorHAnsi"/>
          <w:lang w:val="en-GB" w:eastAsia="en-US"/>
        </w:rPr>
        <w:t>Schleich</w:t>
      </w:r>
      <w:proofErr w:type="spellEnd"/>
      <w:r w:rsidRPr="006C7135">
        <w:rPr>
          <w:rFonts w:eastAsiaTheme="minorHAnsi"/>
          <w:lang w:val="en-GB" w:eastAsia="en-US"/>
        </w:rPr>
        <w:t xml:space="preserve"> et al., 2019).</w:t>
      </w:r>
    </w:p>
    <w:p w14:paraId="0B9C790E" w14:textId="25BA0BFE" w:rsidR="001E6047" w:rsidRPr="006C7135" w:rsidRDefault="001E6047" w:rsidP="001E6047">
      <w:pPr>
        <w:widowControl/>
        <w:suppressAutoHyphens w:val="0"/>
        <w:autoSpaceDE w:val="0"/>
        <w:autoSpaceDN w:val="0"/>
        <w:adjustRightInd w:val="0"/>
        <w:jc w:val="both"/>
        <w:rPr>
          <w:rFonts w:eastAsiaTheme="minorHAnsi"/>
          <w:lang w:val="en-GB" w:eastAsia="en-US"/>
        </w:rPr>
      </w:pPr>
      <w:r w:rsidRPr="006C7135">
        <w:rPr>
          <w:rFonts w:eastAsiaTheme="minorHAnsi"/>
          <w:lang w:val="en-GB" w:eastAsia="en-US"/>
        </w:rPr>
        <w:t>Despite their benefits, implementing such practices often implies (initial) increased costs for farmers</w:t>
      </w:r>
      <w:r>
        <w:rPr>
          <w:rFonts w:eastAsiaTheme="minorHAnsi"/>
          <w:lang w:val="en-GB" w:eastAsia="en-US"/>
        </w:rPr>
        <w:t xml:space="preserve"> </w:t>
      </w:r>
      <w:r w:rsidRPr="006C7135">
        <w:rPr>
          <w:rFonts w:eastAsiaTheme="minorHAnsi"/>
          <w:lang w:val="en-GB" w:eastAsia="en-US"/>
        </w:rPr>
        <w:t>(</w:t>
      </w:r>
      <w:proofErr w:type="spellStart"/>
      <w:r w:rsidRPr="006C7135">
        <w:rPr>
          <w:rFonts w:eastAsiaTheme="minorHAnsi"/>
          <w:lang w:val="en-GB" w:eastAsia="en-US"/>
        </w:rPr>
        <w:t>Schleich</w:t>
      </w:r>
      <w:proofErr w:type="spellEnd"/>
      <w:r w:rsidRPr="006C7135">
        <w:rPr>
          <w:rFonts w:eastAsiaTheme="minorHAnsi"/>
          <w:lang w:val="en-GB" w:eastAsia="en-US"/>
        </w:rPr>
        <w:t xml:space="preserve"> et al., 2019) and a change in practices often requires the reorganization of relations</w:t>
      </w:r>
      <w:r>
        <w:rPr>
          <w:rFonts w:eastAsiaTheme="minorHAnsi"/>
          <w:lang w:val="en-GB" w:eastAsia="en-US"/>
        </w:rPr>
        <w:t xml:space="preserve"> </w:t>
      </w:r>
      <w:r w:rsidRPr="006C7135">
        <w:rPr>
          <w:rFonts w:eastAsiaTheme="minorHAnsi"/>
          <w:lang w:val="en-GB" w:eastAsia="en-US"/>
        </w:rPr>
        <w:t>with downstream partners at value chain level (</w:t>
      </w:r>
      <w:proofErr w:type="spellStart"/>
      <w:r w:rsidRPr="006C7135">
        <w:rPr>
          <w:rFonts w:eastAsiaTheme="minorHAnsi"/>
          <w:lang w:val="en-GB" w:eastAsia="en-US"/>
        </w:rPr>
        <w:t>Meynard</w:t>
      </w:r>
      <w:proofErr w:type="spellEnd"/>
      <w:r w:rsidRPr="006C7135">
        <w:rPr>
          <w:rFonts w:eastAsiaTheme="minorHAnsi"/>
          <w:lang w:val="en-GB" w:eastAsia="en-US"/>
        </w:rPr>
        <w:t xml:space="preserve"> et al., 2017).</w:t>
      </w:r>
    </w:p>
    <w:p w14:paraId="0CDCD13A" w14:textId="77777777" w:rsidR="001E6047" w:rsidRPr="00470288" w:rsidRDefault="001E6047" w:rsidP="001E6047">
      <w:pPr>
        <w:widowControl/>
        <w:suppressAutoHyphens w:val="0"/>
        <w:autoSpaceDE w:val="0"/>
        <w:autoSpaceDN w:val="0"/>
        <w:adjustRightInd w:val="0"/>
        <w:jc w:val="both"/>
        <w:rPr>
          <w:rFonts w:eastAsiaTheme="minorHAnsi"/>
          <w:lang w:val="en-GB" w:eastAsia="en-US"/>
        </w:rPr>
      </w:pPr>
      <w:r w:rsidRPr="006C7135">
        <w:rPr>
          <w:rFonts w:eastAsiaTheme="minorHAnsi"/>
          <w:lang w:val="en-GB" w:eastAsia="en-US"/>
        </w:rPr>
        <w:t>Extant literature, in fact, mostly discusses forms of value chain organisation, including contract</w:t>
      </w:r>
      <w:r>
        <w:rPr>
          <w:rFonts w:eastAsiaTheme="minorHAnsi"/>
          <w:lang w:val="en-GB" w:eastAsia="en-US"/>
        </w:rPr>
        <w:t xml:space="preserve"> </w:t>
      </w:r>
      <w:r w:rsidRPr="006C7135">
        <w:rPr>
          <w:rFonts w:eastAsiaTheme="minorHAnsi"/>
          <w:lang w:val="en-GB" w:eastAsia="en-US"/>
        </w:rPr>
        <w:t>farming that have enabled farmers to adopt new practices aiming to improve product quality, or</w:t>
      </w:r>
      <w:r>
        <w:rPr>
          <w:rFonts w:eastAsiaTheme="minorHAnsi"/>
          <w:lang w:val="en-GB" w:eastAsia="en-US"/>
        </w:rPr>
        <w:t xml:space="preserve"> </w:t>
      </w:r>
      <w:r w:rsidRPr="006C7135">
        <w:rPr>
          <w:rFonts w:eastAsiaTheme="minorHAnsi"/>
          <w:lang w:val="en-GB" w:eastAsia="en-US"/>
        </w:rPr>
        <w:t>comply with food safety standards (Kumar et al., 2018).</w:t>
      </w:r>
      <w:r>
        <w:rPr>
          <w:rFonts w:eastAsiaTheme="minorHAnsi"/>
          <w:lang w:val="en-GB" w:eastAsia="en-US"/>
        </w:rPr>
        <w:t xml:space="preserve"> </w:t>
      </w:r>
      <w:r w:rsidRPr="006C7135">
        <w:rPr>
          <w:rFonts w:eastAsiaTheme="minorHAnsi"/>
          <w:lang w:val="en-GB" w:eastAsia="en-US"/>
        </w:rPr>
        <w:t>Often contractual arrangements are needed to provide premium prices to farmers to</w:t>
      </w:r>
      <w:r>
        <w:rPr>
          <w:rFonts w:eastAsiaTheme="minorHAnsi"/>
          <w:lang w:val="en-GB" w:eastAsia="en-US"/>
        </w:rPr>
        <w:t xml:space="preserve"> </w:t>
      </w:r>
      <w:r w:rsidRPr="006C7135">
        <w:rPr>
          <w:rFonts w:eastAsiaTheme="minorHAnsi"/>
          <w:lang w:val="en-GB" w:eastAsia="en-US"/>
        </w:rPr>
        <w:t>incentivise the adoption of practices and the implementation of quality standards (Banterle and</w:t>
      </w:r>
      <w:r>
        <w:rPr>
          <w:rFonts w:eastAsiaTheme="minorHAnsi"/>
          <w:lang w:val="en-GB" w:eastAsia="en-US"/>
        </w:rPr>
        <w:t xml:space="preserve"> </w:t>
      </w:r>
      <w:proofErr w:type="spellStart"/>
      <w:r w:rsidRPr="006C7135">
        <w:rPr>
          <w:rFonts w:eastAsiaTheme="minorHAnsi"/>
          <w:lang w:val="en-GB" w:eastAsia="en-US"/>
        </w:rPr>
        <w:t>Kuijpers</w:t>
      </w:r>
      <w:proofErr w:type="spellEnd"/>
      <w:r w:rsidRPr="006C7135">
        <w:rPr>
          <w:rFonts w:eastAsiaTheme="minorHAnsi"/>
          <w:lang w:val="en-GB" w:eastAsia="en-US"/>
        </w:rPr>
        <w:t>, 2019). Nonetheless, studies suggest that there is no blueprint contract to encourage adoption</w:t>
      </w:r>
      <w:r>
        <w:rPr>
          <w:rFonts w:eastAsiaTheme="minorHAnsi"/>
          <w:lang w:val="en-GB" w:eastAsia="en-US"/>
        </w:rPr>
        <w:t xml:space="preserve"> </w:t>
      </w:r>
      <w:r w:rsidRPr="006C7135">
        <w:rPr>
          <w:rFonts w:eastAsiaTheme="minorHAnsi"/>
          <w:lang w:val="en-GB" w:eastAsia="en-US"/>
        </w:rPr>
        <w:t>(</w:t>
      </w:r>
      <w:proofErr w:type="spellStart"/>
      <w:r w:rsidRPr="006C7135">
        <w:rPr>
          <w:rFonts w:eastAsiaTheme="minorHAnsi"/>
          <w:lang w:val="en-GB" w:eastAsia="en-US"/>
        </w:rPr>
        <w:t>Meynard</w:t>
      </w:r>
      <w:proofErr w:type="spellEnd"/>
      <w:r w:rsidRPr="006C7135">
        <w:rPr>
          <w:rFonts w:eastAsiaTheme="minorHAnsi"/>
          <w:lang w:val="en-GB" w:eastAsia="en-US"/>
        </w:rPr>
        <w:t xml:space="preserve"> et al., 2017) and designing adequate contracts and value chain configurations to support</w:t>
      </w:r>
      <w:r>
        <w:rPr>
          <w:rFonts w:eastAsiaTheme="minorHAnsi"/>
          <w:lang w:val="en-GB" w:eastAsia="en-US"/>
        </w:rPr>
        <w:t xml:space="preserve"> </w:t>
      </w:r>
      <w:r w:rsidRPr="006C7135">
        <w:rPr>
          <w:rFonts w:eastAsiaTheme="minorHAnsi"/>
          <w:lang w:val="en-GB" w:eastAsia="en-US"/>
        </w:rPr>
        <w:t>the adoption of sustainable practices can be a complex process (</w:t>
      </w:r>
      <w:proofErr w:type="spellStart"/>
      <w:r w:rsidRPr="006C7135">
        <w:rPr>
          <w:rFonts w:eastAsiaTheme="minorHAnsi"/>
          <w:lang w:val="en-GB" w:eastAsia="en-US"/>
        </w:rPr>
        <w:t>Pancino</w:t>
      </w:r>
      <w:proofErr w:type="spellEnd"/>
      <w:r w:rsidRPr="006C7135">
        <w:rPr>
          <w:rFonts w:eastAsiaTheme="minorHAnsi"/>
          <w:lang w:val="en-GB" w:eastAsia="en-US"/>
        </w:rPr>
        <w:t xml:space="preserve"> et al., 2019).</w:t>
      </w:r>
      <w:r>
        <w:rPr>
          <w:rFonts w:eastAsiaTheme="minorHAnsi"/>
          <w:lang w:val="en-GB" w:eastAsia="en-US"/>
        </w:rPr>
        <w:t xml:space="preserve"> </w:t>
      </w:r>
      <w:r w:rsidRPr="006C7135">
        <w:rPr>
          <w:rFonts w:eastAsiaTheme="minorHAnsi"/>
          <w:lang w:val="en-GB" w:eastAsia="en-US"/>
        </w:rPr>
        <w:t xml:space="preserve">The transition towards sustainability commits the agri-food chains to </w:t>
      </w:r>
      <w:r w:rsidRPr="006C7135">
        <w:rPr>
          <w:rFonts w:eastAsiaTheme="minorHAnsi"/>
          <w:lang w:val="en-GB" w:eastAsia="en-US"/>
        </w:rPr>
        <w:lastRenderedPageBreak/>
        <w:t>define new business models that</w:t>
      </w:r>
      <w:r>
        <w:rPr>
          <w:rFonts w:eastAsiaTheme="minorHAnsi"/>
          <w:lang w:val="en-GB" w:eastAsia="en-US"/>
        </w:rPr>
        <w:t xml:space="preserve"> </w:t>
      </w:r>
      <w:r w:rsidRPr="006C7135">
        <w:rPr>
          <w:rFonts w:eastAsiaTheme="minorHAnsi"/>
          <w:lang w:val="en-GB" w:eastAsia="en-US"/>
        </w:rPr>
        <w:t xml:space="preserve">encourage the adoption of new </w:t>
      </w:r>
      <w:proofErr w:type="spellStart"/>
      <w:r w:rsidRPr="006C7135">
        <w:rPr>
          <w:rFonts w:eastAsiaTheme="minorHAnsi"/>
          <w:lang w:val="en-GB" w:eastAsia="en-US"/>
        </w:rPr>
        <w:t>agro</w:t>
      </w:r>
      <w:proofErr w:type="spellEnd"/>
      <w:r w:rsidRPr="006C7135">
        <w:rPr>
          <w:rFonts w:eastAsiaTheme="minorHAnsi"/>
          <w:lang w:val="en-GB" w:eastAsia="en-US"/>
        </w:rPr>
        <w:t>-ecological practices by farms without undermining the volumes</w:t>
      </w:r>
      <w:r>
        <w:rPr>
          <w:rFonts w:eastAsiaTheme="minorHAnsi"/>
          <w:lang w:val="en-GB" w:eastAsia="en-US"/>
        </w:rPr>
        <w:t xml:space="preserve"> </w:t>
      </w:r>
      <w:r w:rsidRPr="006C7135">
        <w:rPr>
          <w:rFonts w:eastAsiaTheme="minorHAnsi"/>
          <w:lang w:val="en-GB" w:eastAsia="en-US"/>
        </w:rPr>
        <w:t>of the supplies. Incentives such as linking subsidies to the adoption of sustainable practices,</w:t>
      </w:r>
      <w:r>
        <w:rPr>
          <w:rFonts w:eastAsiaTheme="minorHAnsi"/>
          <w:lang w:val="en-GB" w:eastAsia="en-US"/>
        </w:rPr>
        <w:t xml:space="preserve"> </w:t>
      </w:r>
      <w:r w:rsidRPr="006C7135">
        <w:rPr>
          <w:rFonts w:eastAsiaTheme="minorHAnsi"/>
          <w:lang w:val="en-GB" w:eastAsia="en-US"/>
        </w:rPr>
        <w:t>particularly</w:t>
      </w:r>
      <w:r>
        <w:rPr>
          <w:rFonts w:eastAsiaTheme="minorHAnsi"/>
          <w:lang w:val="en-GB" w:eastAsia="en-US"/>
        </w:rPr>
        <w:t xml:space="preserve"> </w:t>
      </w:r>
      <w:r w:rsidRPr="006C7135">
        <w:rPr>
          <w:rFonts w:eastAsiaTheme="minorHAnsi"/>
          <w:lang w:val="en-GB" w:eastAsia="en-US"/>
        </w:rPr>
        <w:t>through the CAP, may be a mechanism to enhance participation, and reach additional</w:t>
      </w:r>
      <w:r>
        <w:rPr>
          <w:rFonts w:eastAsiaTheme="minorHAnsi"/>
          <w:lang w:val="en-GB" w:eastAsia="en-US"/>
        </w:rPr>
        <w:t xml:space="preserve"> </w:t>
      </w:r>
      <w:r w:rsidRPr="006C7135">
        <w:rPr>
          <w:rFonts w:eastAsiaTheme="minorHAnsi"/>
          <w:lang w:val="en-GB" w:eastAsia="en-US"/>
        </w:rPr>
        <w:t>farmers (</w:t>
      </w:r>
      <w:proofErr w:type="spellStart"/>
      <w:r w:rsidRPr="006C7135">
        <w:rPr>
          <w:rFonts w:eastAsiaTheme="minorHAnsi"/>
          <w:lang w:val="en-GB" w:eastAsia="en-US"/>
        </w:rPr>
        <w:t>Weituschat</w:t>
      </w:r>
      <w:proofErr w:type="spellEnd"/>
      <w:r w:rsidRPr="006C7135">
        <w:rPr>
          <w:rFonts w:eastAsiaTheme="minorHAnsi"/>
          <w:lang w:val="en-GB" w:eastAsia="en-US"/>
        </w:rPr>
        <w:t xml:space="preserve"> et al., 2023). According to this paradigm, the question arises whether the new</w:t>
      </w:r>
      <w:r>
        <w:rPr>
          <w:rFonts w:eastAsiaTheme="minorHAnsi"/>
          <w:lang w:val="en-GB" w:eastAsia="en-US"/>
        </w:rPr>
        <w:t xml:space="preserve"> </w:t>
      </w:r>
      <w:r w:rsidRPr="006C7135">
        <w:rPr>
          <w:rFonts w:eastAsiaTheme="minorHAnsi"/>
          <w:lang w:val="en-GB" w:eastAsia="en-US"/>
        </w:rPr>
        <w:t>CAP aid scheme encourages the participation of specialised agricultural enterprises in private sector</w:t>
      </w:r>
      <w:r>
        <w:rPr>
          <w:rFonts w:eastAsiaTheme="minorHAnsi"/>
          <w:lang w:val="en-GB" w:eastAsia="en-US"/>
        </w:rPr>
        <w:t xml:space="preserve"> </w:t>
      </w:r>
      <w:r w:rsidRPr="00470288">
        <w:rPr>
          <w:rFonts w:eastAsiaTheme="minorHAnsi"/>
          <w:lang w:val="en-GB" w:eastAsia="en-US"/>
        </w:rPr>
        <w:t>schemes.</w:t>
      </w:r>
    </w:p>
    <w:p w14:paraId="5CF44C67" w14:textId="77777777" w:rsidR="00081E79" w:rsidRDefault="00081E79" w:rsidP="00EE19E8">
      <w:pPr>
        <w:pStyle w:val="Titolo1"/>
        <w:spacing w:before="240" w:after="120"/>
        <w:ind w:right="0"/>
        <w:jc w:val="both"/>
        <w:rPr>
          <w:b/>
          <w:bCs/>
          <w:color w:val="000000"/>
          <w:sz w:val="24"/>
          <w:lang w:val="en-GB"/>
        </w:rPr>
      </w:pPr>
      <w:r>
        <w:rPr>
          <w:b/>
          <w:bCs/>
          <w:color w:val="000000"/>
          <w:sz w:val="24"/>
          <w:lang w:val="en-GB"/>
        </w:rPr>
        <w:t>2. PhD Thesis Objectives and Milestones</w:t>
      </w:r>
    </w:p>
    <w:p w14:paraId="34A17E1C" w14:textId="77777777" w:rsidR="001E6047" w:rsidRPr="00A10987" w:rsidRDefault="001E6047" w:rsidP="00EE19E8">
      <w:pPr>
        <w:jc w:val="both"/>
        <w:rPr>
          <w:lang w:val="en-GB"/>
        </w:rPr>
      </w:pPr>
      <w:r>
        <w:rPr>
          <w:lang w:val="en-GB"/>
        </w:rPr>
        <w:t xml:space="preserve">Within the overall objective mentioned above this PhD thesis project can be subdivided into the following activities according to the Gantt diagram given in Table 2: </w:t>
      </w:r>
    </w:p>
    <w:p w14:paraId="35D96739" w14:textId="629AAD02" w:rsidR="00081E79" w:rsidRPr="001E6047" w:rsidRDefault="001E6047" w:rsidP="00EE19E8">
      <w:pPr>
        <w:pStyle w:val="Titolo11"/>
        <w:numPr>
          <w:ilvl w:val="0"/>
          <w:numId w:val="1"/>
        </w:numPr>
        <w:ind w:left="426" w:hanging="142"/>
        <w:jc w:val="both"/>
        <w:rPr>
          <w:lang w:val="en-GB"/>
        </w:rPr>
      </w:pPr>
      <w:r w:rsidRPr="00A10987">
        <w:rPr>
          <w:rFonts w:eastAsiaTheme="minorHAnsi"/>
          <w:b/>
          <w:bCs/>
          <w:lang w:val="en-GB" w:eastAsia="en-US"/>
        </w:rPr>
        <w:t>Analysis of the context</w:t>
      </w:r>
      <w:r w:rsidRPr="00A10987">
        <w:rPr>
          <w:rFonts w:eastAsiaTheme="minorHAnsi"/>
          <w:lang w:val="en-GB" w:eastAsia="en-US"/>
        </w:rPr>
        <w:t xml:space="preserve">: </w:t>
      </w:r>
      <w:r w:rsidRPr="00B90190">
        <w:rPr>
          <w:rFonts w:eastAsiaTheme="minorHAnsi"/>
          <w:lang w:val="en-GB" w:eastAsia="en-US"/>
        </w:rPr>
        <w:t>literature review on sustainable cultivation practices, on the adoption of digital</w:t>
      </w:r>
      <w:r w:rsidR="009E7ADC">
        <w:rPr>
          <w:rFonts w:eastAsiaTheme="minorHAnsi"/>
          <w:lang w:val="en-GB" w:eastAsia="en-US"/>
        </w:rPr>
        <w:t xml:space="preserve"> </w:t>
      </w:r>
      <w:r w:rsidRPr="00B90190">
        <w:rPr>
          <w:rFonts w:eastAsiaTheme="minorHAnsi"/>
          <w:lang w:val="en-GB" w:eastAsia="en-US"/>
        </w:rPr>
        <w:t>innovations for sustainable intensification (A1.1) and definition of case study (A1.2).</w:t>
      </w:r>
    </w:p>
    <w:p w14:paraId="7059CB1F" w14:textId="111B8ADF" w:rsidR="00081E79" w:rsidRPr="001E6047" w:rsidRDefault="001E6047" w:rsidP="00EE19E8">
      <w:pPr>
        <w:pStyle w:val="Paragrafoelenco"/>
        <w:widowControl/>
        <w:numPr>
          <w:ilvl w:val="0"/>
          <w:numId w:val="2"/>
        </w:numPr>
        <w:suppressAutoHyphens w:val="0"/>
        <w:autoSpaceDE w:val="0"/>
        <w:autoSpaceDN w:val="0"/>
        <w:adjustRightInd w:val="0"/>
        <w:ind w:left="426" w:hanging="142"/>
        <w:jc w:val="both"/>
        <w:rPr>
          <w:rFonts w:eastAsiaTheme="minorHAnsi"/>
          <w:lang w:val="en-GB" w:eastAsia="en-US"/>
        </w:rPr>
      </w:pPr>
      <w:r>
        <w:rPr>
          <w:rFonts w:eastAsiaTheme="minorHAnsi"/>
          <w:b/>
          <w:bCs/>
          <w:lang w:val="en-GB" w:eastAsia="en-US"/>
        </w:rPr>
        <w:t xml:space="preserve">Farms data collection: </w:t>
      </w:r>
      <w:r w:rsidRPr="00B90190">
        <w:rPr>
          <w:rFonts w:eastAsiaTheme="minorHAnsi"/>
          <w:lang w:val="en-GB" w:eastAsia="en-US"/>
        </w:rPr>
        <w:t>structural and economic data will be collected to describe farms involved in CAP and in private scheme (A 2.1) Stable panel identification (A 2.2). Provide tools to assess farms costs and benefits in different practices adoption scenario (A2.3).</w:t>
      </w:r>
    </w:p>
    <w:p w14:paraId="3FD26729" w14:textId="422D91F8" w:rsidR="00081E79" w:rsidRPr="001E6047" w:rsidRDefault="001E6047" w:rsidP="00EE19E8">
      <w:pPr>
        <w:pStyle w:val="Paragrafoelenco"/>
        <w:widowControl/>
        <w:numPr>
          <w:ilvl w:val="0"/>
          <w:numId w:val="3"/>
        </w:numPr>
        <w:suppressAutoHyphens w:val="0"/>
        <w:autoSpaceDE w:val="0"/>
        <w:autoSpaceDN w:val="0"/>
        <w:adjustRightInd w:val="0"/>
        <w:ind w:left="426" w:hanging="142"/>
        <w:jc w:val="both"/>
        <w:rPr>
          <w:rFonts w:ascii="TimesNewRomanPSMT" w:eastAsiaTheme="minorHAnsi" w:hAnsi="TimesNewRomanPSMT" w:cs="TimesNewRomanPSMT"/>
          <w:sz w:val="24"/>
          <w:szCs w:val="24"/>
          <w:lang w:val="en-GB" w:eastAsia="en-US"/>
        </w:rPr>
      </w:pPr>
      <w:r w:rsidRPr="00A10987">
        <w:rPr>
          <w:rFonts w:eastAsiaTheme="minorHAnsi"/>
          <w:b/>
          <w:bCs/>
          <w:lang w:val="en-GB" w:eastAsia="en-US"/>
        </w:rPr>
        <w:t>Study and identification of tools and methods</w:t>
      </w:r>
      <w:r w:rsidRPr="00A10987">
        <w:rPr>
          <w:rFonts w:eastAsiaTheme="minorHAnsi"/>
          <w:lang w:val="en-GB" w:eastAsia="en-US"/>
        </w:rPr>
        <w:t xml:space="preserve">: </w:t>
      </w:r>
      <w:r w:rsidRPr="00B90190">
        <w:rPr>
          <w:rFonts w:eastAsiaTheme="minorHAnsi"/>
          <w:lang w:val="en-GB" w:eastAsia="en-US"/>
        </w:rPr>
        <w:t>attend advance courses on socioeconomics analysis and econometrics techniques (A3.1). Develo</w:t>
      </w:r>
      <w:r>
        <w:rPr>
          <w:rFonts w:eastAsiaTheme="minorHAnsi"/>
          <w:lang w:val="en-GB" w:eastAsia="en-US"/>
        </w:rPr>
        <w:t xml:space="preserve">pment </w:t>
      </w:r>
      <w:r w:rsidRPr="00B90190">
        <w:rPr>
          <w:rFonts w:eastAsiaTheme="minorHAnsi"/>
          <w:lang w:val="en-GB" w:eastAsia="en-US"/>
        </w:rPr>
        <w:t>and test</w:t>
      </w:r>
      <w:r>
        <w:rPr>
          <w:rFonts w:eastAsiaTheme="minorHAnsi"/>
          <w:lang w:val="en-GB" w:eastAsia="en-US"/>
        </w:rPr>
        <w:t xml:space="preserve"> </w:t>
      </w:r>
      <w:r w:rsidRPr="00B90190">
        <w:rPr>
          <w:rFonts w:eastAsiaTheme="minorHAnsi"/>
          <w:lang w:val="en-GB" w:eastAsia="en-US"/>
        </w:rPr>
        <w:t>a useful methodology to address and validate the research questions (A 3.2)</w:t>
      </w:r>
      <w:r w:rsidRPr="00A10987">
        <w:rPr>
          <w:rFonts w:eastAsiaTheme="minorHAnsi"/>
          <w:lang w:val="en-GB" w:eastAsia="en-US"/>
        </w:rPr>
        <w:t>.</w:t>
      </w:r>
    </w:p>
    <w:p w14:paraId="05CC7653" w14:textId="424E535C" w:rsidR="00081E79" w:rsidRPr="001E6047" w:rsidRDefault="001E6047" w:rsidP="00EE19E8">
      <w:pPr>
        <w:pStyle w:val="Paragrafoelenco"/>
        <w:widowControl/>
        <w:numPr>
          <w:ilvl w:val="0"/>
          <w:numId w:val="4"/>
        </w:numPr>
        <w:suppressAutoHyphens w:val="0"/>
        <w:autoSpaceDE w:val="0"/>
        <w:autoSpaceDN w:val="0"/>
        <w:adjustRightInd w:val="0"/>
        <w:ind w:left="426" w:hanging="142"/>
        <w:jc w:val="both"/>
        <w:rPr>
          <w:rFonts w:eastAsiaTheme="minorHAnsi"/>
          <w:lang w:val="en-GB" w:eastAsia="en-US"/>
        </w:rPr>
      </w:pPr>
      <w:r>
        <w:rPr>
          <w:rFonts w:eastAsiaTheme="minorHAnsi"/>
          <w:b/>
          <w:bCs/>
          <w:lang w:val="en-GB" w:eastAsia="en-US"/>
        </w:rPr>
        <w:t>Development of analysis</w:t>
      </w:r>
      <w:r w:rsidRPr="00A10987">
        <w:rPr>
          <w:rFonts w:eastAsiaTheme="minorHAnsi"/>
          <w:b/>
          <w:bCs/>
          <w:lang w:val="en-GB" w:eastAsia="en-US"/>
        </w:rPr>
        <w:t>:</w:t>
      </w:r>
      <w:r w:rsidRPr="00A10987">
        <w:rPr>
          <w:rFonts w:eastAsiaTheme="minorHAnsi"/>
          <w:lang w:val="en-GB" w:eastAsia="en-US"/>
        </w:rPr>
        <w:t xml:space="preserve"> </w:t>
      </w:r>
      <w:r w:rsidRPr="00B90190">
        <w:rPr>
          <w:rFonts w:eastAsiaTheme="minorHAnsi"/>
          <w:lang w:val="en-GB" w:eastAsia="en-US"/>
        </w:rPr>
        <w:t>adoption scenarios characterization (A 4.1). Impact assessment of public polices and business model adoption at farm and value chain level (A 4.2). Outcome valorisation by stakeholder consultation (policy makers and business managers of the value chain)</w:t>
      </w:r>
    </w:p>
    <w:p w14:paraId="0FE40D3F" w14:textId="09155D25" w:rsidR="00081E79" w:rsidRPr="001E6047" w:rsidRDefault="001E6047" w:rsidP="00EE19E8">
      <w:pPr>
        <w:pStyle w:val="Paragrafoelenco"/>
        <w:widowControl/>
        <w:numPr>
          <w:ilvl w:val="0"/>
          <w:numId w:val="5"/>
        </w:numPr>
        <w:suppressAutoHyphens w:val="0"/>
        <w:autoSpaceDE w:val="0"/>
        <w:autoSpaceDN w:val="0"/>
        <w:adjustRightInd w:val="0"/>
        <w:ind w:left="426" w:hanging="142"/>
        <w:jc w:val="both"/>
        <w:rPr>
          <w:rFonts w:eastAsiaTheme="minorHAnsi"/>
          <w:lang w:val="en-GB" w:eastAsia="en-US"/>
        </w:rPr>
      </w:pPr>
      <w:r w:rsidRPr="00ED04C4">
        <w:rPr>
          <w:rFonts w:eastAsiaTheme="minorHAnsi"/>
          <w:b/>
          <w:bCs/>
          <w:lang w:val="en-GB" w:eastAsia="en-US"/>
        </w:rPr>
        <w:t>Writing and Editing:</w:t>
      </w:r>
      <w:r w:rsidRPr="00ED04C4">
        <w:rPr>
          <w:rFonts w:eastAsiaTheme="minorHAnsi"/>
          <w:lang w:val="en-GB" w:eastAsia="en-US"/>
        </w:rPr>
        <w:t xml:space="preserve"> </w:t>
      </w:r>
      <w:proofErr w:type="spellStart"/>
      <w:r w:rsidRPr="00ED04C4">
        <w:rPr>
          <w:rFonts w:eastAsiaTheme="minorHAnsi"/>
          <w:lang w:val="en-GB" w:eastAsia="en-US"/>
        </w:rPr>
        <w:t>Phd</w:t>
      </w:r>
      <w:proofErr w:type="spellEnd"/>
      <w:r w:rsidRPr="00ED04C4">
        <w:rPr>
          <w:rFonts w:eastAsiaTheme="minorHAnsi"/>
          <w:lang w:val="en-GB" w:eastAsia="en-US"/>
        </w:rPr>
        <w:t xml:space="preserve"> thesis, scientific papers, and oral and/or poster communications will carry on during PhD period</w:t>
      </w:r>
      <w:r>
        <w:rPr>
          <w:rFonts w:eastAsiaTheme="minorHAnsi"/>
          <w:lang w:val="en-GB" w:eastAsia="en-US"/>
        </w:rPr>
        <w:t xml:space="preserve">. </w:t>
      </w:r>
    </w:p>
    <w:p w14:paraId="3ADCDB1E" w14:textId="3B5ECA80" w:rsidR="00081E79" w:rsidRPr="00432AC7" w:rsidRDefault="00081E79" w:rsidP="001507DB">
      <w:pPr>
        <w:spacing w:before="300" w:after="120"/>
        <w:rPr>
          <w:lang w:val="en-US"/>
        </w:rPr>
      </w:pPr>
      <w:r>
        <w:rPr>
          <w:b/>
          <w:i/>
          <w:iCs/>
          <w:sz w:val="18"/>
          <w:lang w:val="en-GB"/>
        </w:rPr>
        <w:t>Table 2</w:t>
      </w:r>
      <w:r w:rsidR="001507DB">
        <w:rPr>
          <w:b/>
          <w:i/>
          <w:iCs/>
          <w:sz w:val="18"/>
          <w:lang w:val="en-GB"/>
        </w:rPr>
        <w:t xml:space="preserve"> </w:t>
      </w:r>
      <w:r w:rsidR="002E2633">
        <w:rPr>
          <w:i/>
          <w:iCs/>
          <w:sz w:val="18"/>
          <w:lang w:val="en-GB"/>
        </w:rPr>
        <w:t xml:space="preserve"> </w:t>
      </w:r>
      <w:r w:rsidR="001507DB">
        <w:rPr>
          <w:i/>
          <w:iCs/>
          <w:sz w:val="18"/>
          <w:lang w:val="en-GB"/>
        </w:rPr>
        <w:t xml:space="preserve"> </w:t>
      </w:r>
      <w:r w:rsidRPr="00432AC7">
        <w:rPr>
          <w:lang w:val="en-US"/>
        </w:rPr>
        <w:t>Gantt diagram for this PhD thesis project.</w:t>
      </w:r>
    </w:p>
    <w:tbl>
      <w:tblPr>
        <w:tblW w:w="5003" w:type="pct"/>
        <w:tblInd w:w="-30" w:type="dxa"/>
        <w:tblCellMar>
          <w:top w:w="15" w:type="dxa"/>
          <w:left w:w="15" w:type="dxa"/>
          <w:right w:w="15" w:type="dxa"/>
        </w:tblCellMar>
        <w:tblLook w:val="04A0" w:firstRow="1" w:lastRow="0" w:firstColumn="1" w:lastColumn="0" w:noHBand="0" w:noVBand="1"/>
      </w:tblPr>
      <w:tblGrid>
        <w:gridCol w:w="474"/>
        <w:gridCol w:w="4512"/>
        <w:gridCol w:w="340"/>
        <w:gridCol w:w="340"/>
        <w:gridCol w:w="340"/>
        <w:gridCol w:w="340"/>
        <w:gridCol w:w="340"/>
        <w:gridCol w:w="340"/>
        <w:gridCol w:w="340"/>
        <w:gridCol w:w="340"/>
        <w:gridCol w:w="340"/>
        <w:gridCol w:w="340"/>
        <w:gridCol w:w="340"/>
        <w:gridCol w:w="340"/>
      </w:tblGrid>
      <w:tr w:rsidR="00680B31" w14:paraId="093AB028" w14:textId="583191AA" w:rsidTr="002E2633">
        <w:trPr>
          <w:cantSplit/>
          <w:trHeight w:val="23"/>
        </w:trPr>
        <w:tc>
          <w:tcPr>
            <w:tcW w:w="4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ECE56" w14:textId="28DE69F0" w:rsidR="00680B31" w:rsidRDefault="00680B31" w:rsidP="00E04D30">
            <w:pPr>
              <w:pStyle w:val="Titolo2"/>
            </w:pPr>
            <w:r>
              <w:rPr>
                <w:bCs/>
                <w:sz w:val="18"/>
              </w:rPr>
              <w:t>Activity</w:t>
            </w:r>
            <w:r w:rsidR="002E2633">
              <w:rPr>
                <w:bCs/>
                <w:sz w:val="18"/>
              </w:rPr>
              <w:t xml:space="preserve">                                                                    </w:t>
            </w:r>
            <w:proofErr w:type="spellStart"/>
            <w:r>
              <w:rPr>
                <w:bCs/>
                <w:sz w:val="18"/>
              </w:rPr>
              <w:t>Trimester</w:t>
            </w:r>
            <w:r w:rsidR="002E2633">
              <w:rPr>
                <w:bCs/>
                <w:sz w:val="18"/>
              </w:rPr>
              <w:t>s</w:t>
            </w:r>
            <w:proofErr w:type="spellEnd"/>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E9B2D" w14:textId="1CBC19EC" w:rsidR="00680B31" w:rsidRDefault="00680B31" w:rsidP="002E2633">
            <w:pPr>
              <w:jc w:val="center"/>
              <w:rPr>
                <w:b/>
                <w:bCs/>
                <w:sz w:val="18"/>
                <w:lang w:val="en-GB"/>
              </w:rPr>
            </w:pPr>
            <w:r>
              <w:rPr>
                <w:b/>
                <w:bCs/>
                <w:sz w:val="18"/>
                <w:lang w:val="en-GB"/>
              </w:rPr>
              <w:t>3</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D055" w14:textId="28739D55" w:rsidR="00680B31" w:rsidRDefault="00680B31" w:rsidP="002E2633">
            <w:pPr>
              <w:jc w:val="center"/>
              <w:rPr>
                <w:b/>
                <w:bCs/>
                <w:sz w:val="18"/>
                <w:lang w:val="en-GB"/>
              </w:rPr>
            </w:pPr>
            <w:r>
              <w:rPr>
                <w:b/>
                <w:bCs/>
                <w:sz w:val="18"/>
                <w:lang w:val="en-GB"/>
              </w:rPr>
              <w:t>6</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6FC358D" w14:textId="3CC9170F" w:rsidR="00680B31" w:rsidRDefault="00680B31" w:rsidP="002E2633">
            <w:pPr>
              <w:jc w:val="center"/>
              <w:rPr>
                <w:b/>
                <w:bCs/>
                <w:sz w:val="18"/>
                <w:lang w:val="en-GB"/>
              </w:rPr>
            </w:pPr>
            <w:r>
              <w:rPr>
                <w:b/>
                <w:bCs/>
                <w:sz w:val="18"/>
                <w:lang w:val="en-GB"/>
              </w:rPr>
              <w:t>9</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49F58FC" w14:textId="2A8BC787" w:rsidR="00680B31" w:rsidRDefault="00680B31" w:rsidP="002E2633">
            <w:pPr>
              <w:jc w:val="center"/>
              <w:rPr>
                <w:b/>
                <w:bCs/>
                <w:sz w:val="18"/>
                <w:lang w:val="en-GB"/>
              </w:rPr>
            </w:pPr>
            <w:r>
              <w:rPr>
                <w:b/>
                <w:bCs/>
                <w:sz w:val="18"/>
                <w:lang w:val="en-GB"/>
              </w:rPr>
              <w:t>12</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10259191" w14:textId="6F994382" w:rsidR="00680B31" w:rsidRDefault="00680B31" w:rsidP="002E2633">
            <w:pPr>
              <w:jc w:val="center"/>
              <w:rPr>
                <w:b/>
                <w:bCs/>
                <w:sz w:val="18"/>
                <w:lang w:val="en-GB"/>
              </w:rPr>
            </w:pPr>
            <w:r>
              <w:rPr>
                <w:b/>
                <w:bCs/>
                <w:sz w:val="18"/>
                <w:lang w:val="en-GB"/>
              </w:rPr>
              <w:t>15</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0C4E2F3C" w14:textId="0BB64F2D" w:rsidR="00680B31" w:rsidRDefault="00680B31" w:rsidP="002E2633">
            <w:pPr>
              <w:jc w:val="center"/>
              <w:rPr>
                <w:b/>
                <w:bCs/>
                <w:sz w:val="18"/>
                <w:lang w:val="en-GB"/>
              </w:rPr>
            </w:pPr>
            <w:r>
              <w:rPr>
                <w:b/>
                <w:bCs/>
                <w:sz w:val="18"/>
                <w:lang w:val="en-GB"/>
              </w:rPr>
              <w:t>18</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E76D62F" w14:textId="143F83E9" w:rsidR="00680B31" w:rsidRDefault="00680B31" w:rsidP="002E2633">
            <w:pPr>
              <w:jc w:val="center"/>
              <w:rPr>
                <w:b/>
                <w:bCs/>
                <w:sz w:val="18"/>
                <w:lang w:val="en-GB"/>
              </w:rPr>
            </w:pPr>
            <w:r>
              <w:rPr>
                <w:b/>
                <w:bCs/>
                <w:sz w:val="18"/>
                <w:lang w:val="en-GB"/>
              </w:rPr>
              <w:t>21</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0038432" w14:textId="42F9E4E0" w:rsidR="00680B31" w:rsidRDefault="00680B31" w:rsidP="002E2633">
            <w:pPr>
              <w:jc w:val="center"/>
              <w:rPr>
                <w:b/>
                <w:bCs/>
                <w:sz w:val="18"/>
                <w:lang w:val="en-GB"/>
              </w:rPr>
            </w:pPr>
            <w:r>
              <w:rPr>
                <w:b/>
                <w:bCs/>
                <w:sz w:val="18"/>
                <w:lang w:val="en-GB"/>
              </w:rPr>
              <w:t>24</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1F331B4" w14:textId="7B440B2C" w:rsidR="00680B31" w:rsidRDefault="00680B31" w:rsidP="002E2633">
            <w:pPr>
              <w:jc w:val="center"/>
              <w:rPr>
                <w:b/>
                <w:bCs/>
                <w:sz w:val="18"/>
                <w:lang w:val="en-GB"/>
              </w:rPr>
            </w:pPr>
            <w:r>
              <w:rPr>
                <w:b/>
                <w:bCs/>
                <w:sz w:val="18"/>
                <w:lang w:val="en-GB"/>
              </w:rPr>
              <w:t>27</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29C6A16E" w14:textId="35210985" w:rsidR="00680B31" w:rsidRDefault="00680B31" w:rsidP="002E2633">
            <w:pPr>
              <w:jc w:val="center"/>
              <w:rPr>
                <w:b/>
                <w:bCs/>
                <w:sz w:val="18"/>
                <w:lang w:val="en-GB"/>
              </w:rPr>
            </w:pPr>
            <w:r>
              <w:rPr>
                <w:b/>
                <w:bCs/>
                <w:sz w:val="18"/>
                <w:lang w:val="en-GB"/>
              </w:rPr>
              <w:t>30</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442BC709" w14:textId="60F67140" w:rsidR="00680B31" w:rsidRDefault="00680B31" w:rsidP="002E2633">
            <w:pPr>
              <w:jc w:val="center"/>
              <w:rPr>
                <w:b/>
                <w:bCs/>
                <w:sz w:val="18"/>
                <w:lang w:val="en-GB"/>
              </w:rPr>
            </w:pPr>
            <w:r>
              <w:rPr>
                <w:b/>
                <w:bCs/>
                <w:sz w:val="18"/>
                <w:lang w:val="en-GB"/>
              </w:rPr>
              <w:t>33</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center"/>
          </w:tcPr>
          <w:p w14:paraId="5E7F8872" w14:textId="5A5C6C8E" w:rsidR="00680B31" w:rsidRDefault="00680B31" w:rsidP="002E2633">
            <w:pPr>
              <w:jc w:val="center"/>
              <w:rPr>
                <w:b/>
                <w:bCs/>
                <w:sz w:val="18"/>
                <w:lang w:val="en-GB"/>
              </w:rPr>
            </w:pPr>
            <w:r>
              <w:rPr>
                <w:b/>
                <w:bCs/>
                <w:sz w:val="18"/>
                <w:lang w:val="en-GB"/>
              </w:rPr>
              <w:t>36</w:t>
            </w:r>
          </w:p>
        </w:tc>
      </w:tr>
      <w:tr w:rsidR="00680B31" w14:paraId="0D83BD2C" w14:textId="2D400BEE" w:rsidTr="002E2633">
        <w:trPr>
          <w:cantSplit/>
          <w:trHeight w:val="2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4A754" w14:textId="77777777" w:rsidR="00680B31" w:rsidRDefault="00680B31" w:rsidP="00E04D30">
            <w:pPr>
              <w:jc w:val="center"/>
              <w:rPr>
                <w:sz w:val="18"/>
                <w:lang w:val="en-GB"/>
              </w:rPr>
            </w:pPr>
            <w:r>
              <w:rPr>
                <w:sz w:val="18"/>
                <w:lang w:val="en-GB"/>
              </w:rPr>
              <w:t>A1)</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140F38" w14:textId="348EBB21" w:rsidR="00680B31" w:rsidRDefault="00680B31" w:rsidP="00E04D30">
            <w:pPr>
              <w:rPr>
                <w:b/>
                <w:bCs/>
                <w:i/>
                <w:iCs/>
                <w:sz w:val="18"/>
                <w:lang w:val="en-GB"/>
              </w:rPr>
            </w:pPr>
            <w:r>
              <w:rPr>
                <w:b/>
                <w:bCs/>
                <w:i/>
                <w:iCs/>
                <w:sz w:val="18"/>
                <w:lang w:val="en-GB"/>
              </w:rPr>
              <w:t xml:space="preserve">Context analysis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6B9898AE"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bottom w:w="28" w:type="dxa"/>
            </w:tcMar>
            <w:vAlign w:val="bottom"/>
          </w:tcPr>
          <w:p w14:paraId="58263409"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bottom w:w="28" w:type="dxa"/>
              <w:right w:w="0" w:type="dxa"/>
            </w:tcMar>
            <w:vAlign w:val="bottom"/>
          </w:tcPr>
          <w:p w14:paraId="4CA71B9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bottom w:w="28" w:type="dxa"/>
              <w:right w:w="0" w:type="dxa"/>
            </w:tcMar>
            <w:vAlign w:val="bottom"/>
          </w:tcPr>
          <w:p w14:paraId="41DAD716"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37A2F4D"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1755B51"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E3CEAB3"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2049850"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5541EC0"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72C7A46"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05BB70E"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98A75F1" w14:textId="77777777" w:rsidR="00680B31" w:rsidRDefault="00680B31" w:rsidP="00E04D30">
            <w:pPr>
              <w:snapToGrid w:val="0"/>
              <w:rPr>
                <w:rFonts w:eastAsia="Arial Unicode MS"/>
                <w:sz w:val="18"/>
                <w:lang w:val="en-GB"/>
              </w:rPr>
            </w:pPr>
          </w:p>
        </w:tc>
      </w:tr>
      <w:tr w:rsidR="00680B31" w14:paraId="45D4B076" w14:textId="30EF1E38" w:rsidTr="002E2633">
        <w:trPr>
          <w:cantSplit/>
          <w:trHeight w:val="23"/>
        </w:trPr>
        <w:tc>
          <w:tcPr>
            <w:tcW w:w="474" w:type="dxa"/>
            <w:tcBorders>
              <w:top w:val="single" w:sz="4" w:space="0" w:color="000000"/>
              <w:left w:val="single" w:sz="4" w:space="0" w:color="000000"/>
              <w:right w:val="single" w:sz="4" w:space="0" w:color="000000"/>
            </w:tcBorders>
            <w:shd w:val="clear" w:color="auto" w:fill="auto"/>
            <w:vAlign w:val="bottom"/>
          </w:tcPr>
          <w:p w14:paraId="11FD09F8"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33741F6C" w14:textId="3A6B8527" w:rsidR="00680B31" w:rsidRDefault="00680B31" w:rsidP="00E04D30">
            <w:r>
              <w:rPr>
                <w:sz w:val="18"/>
                <w:lang w:val="en-GB"/>
              </w:rPr>
              <w:t>1) Literature review</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08E65225" w14:textId="77777777" w:rsidR="00680B31" w:rsidRDefault="00680B31" w:rsidP="00E04D30">
            <w:pPr>
              <w:rPr>
                <w:sz w:val="18"/>
                <w:lang w:val="en-GB"/>
              </w:rPr>
            </w:pPr>
            <w:r>
              <w:rPr>
                <w:sz w:val="18"/>
                <w:lang w:val="en-GB"/>
              </w:rPr>
              <w:t> </w:t>
            </w:r>
          </w:p>
        </w:tc>
        <w:tc>
          <w:tcPr>
            <w:tcW w:w="340" w:type="dxa"/>
            <w:tcBorders>
              <w:top w:val="single" w:sz="4" w:space="0" w:color="000000"/>
              <w:bottom w:val="single" w:sz="4" w:space="0" w:color="000000"/>
              <w:right w:val="single" w:sz="4" w:space="0" w:color="000000"/>
            </w:tcBorders>
            <w:shd w:val="clear" w:color="auto" w:fill="AEAAAA" w:themeFill="background2" w:themeFillShade="BF"/>
            <w:vAlign w:val="bottom"/>
          </w:tcPr>
          <w:p w14:paraId="06EA1C1A"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44CFEF"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E9F066"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9B83418"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AB38205" w14:textId="77777777" w:rsidR="00680B31" w:rsidRDefault="00680B31" w:rsidP="00E04D30">
            <w:pPr>
              <w:pStyle w:val="Intestazione"/>
              <w:tabs>
                <w:tab w:val="clear" w:pos="4819"/>
                <w:tab w:val="clear" w:pos="9638"/>
              </w:tabs>
              <w:snapToGrid w:val="0"/>
              <w:spacing w:line="240" w:lineRule="auto"/>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8FB2B0"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AC6DE9A"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A56C3E4"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A5C4BE"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B79685E"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BA5B299" w14:textId="77777777" w:rsidR="00680B31" w:rsidRDefault="00680B31" w:rsidP="00E04D30">
            <w:pPr>
              <w:snapToGrid w:val="0"/>
              <w:rPr>
                <w:rFonts w:eastAsia="Arial Unicode MS"/>
                <w:sz w:val="18"/>
                <w:lang w:val="en-GB"/>
              </w:rPr>
            </w:pPr>
          </w:p>
        </w:tc>
      </w:tr>
      <w:tr w:rsidR="00680B31" w14:paraId="2A66D092" w14:textId="6FF3C008" w:rsidTr="002E2633">
        <w:trPr>
          <w:cantSplit/>
          <w:trHeight w:val="23"/>
        </w:trPr>
        <w:tc>
          <w:tcPr>
            <w:tcW w:w="474" w:type="dxa"/>
            <w:tcBorders>
              <w:left w:val="single" w:sz="4" w:space="0" w:color="000000"/>
              <w:right w:val="single" w:sz="4" w:space="0" w:color="000000"/>
            </w:tcBorders>
            <w:shd w:val="clear" w:color="auto" w:fill="auto"/>
            <w:vAlign w:val="bottom"/>
          </w:tcPr>
          <w:p w14:paraId="0B8278EF"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2766290A" w14:textId="1E88EE7C" w:rsidR="00680B31" w:rsidRDefault="00680B31" w:rsidP="00E04D30">
            <w:pPr>
              <w:rPr>
                <w:sz w:val="18"/>
                <w:lang w:val="en-GB"/>
              </w:rPr>
            </w:pPr>
            <w:r>
              <w:rPr>
                <w:sz w:val="18"/>
                <w:lang w:val="en-GB"/>
              </w:rPr>
              <w:t>2) Identification of case study</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54131A9" w14:textId="77777777" w:rsidR="00680B31" w:rsidRDefault="00680B31" w:rsidP="00E04D30">
            <w:pPr>
              <w:rPr>
                <w:sz w:val="18"/>
                <w:lang w:val="en-GB"/>
              </w:rPr>
            </w:pPr>
            <w:r>
              <w:rPr>
                <w:sz w:val="18"/>
                <w:lang w:val="en-GB"/>
              </w:rPr>
              <w:t> </w:t>
            </w:r>
          </w:p>
        </w:tc>
        <w:tc>
          <w:tcPr>
            <w:tcW w:w="340" w:type="dxa"/>
            <w:tcBorders>
              <w:top w:val="single" w:sz="4" w:space="0" w:color="000000"/>
              <w:bottom w:val="single" w:sz="4" w:space="0" w:color="000000"/>
              <w:right w:val="single" w:sz="4" w:space="0" w:color="000000"/>
            </w:tcBorders>
            <w:shd w:val="clear" w:color="auto" w:fill="AEAAAA" w:themeFill="background2" w:themeFillShade="BF"/>
            <w:vAlign w:val="bottom"/>
          </w:tcPr>
          <w:p w14:paraId="011AEFBF"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16C3394"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F03694B"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EB2DE3"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94C1B2B"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B1D93"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06A3D36"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6BB0BE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C52545"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3374F3"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F1A608D" w14:textId="77777777" w:rsidR="00680B31" w:rsidRDefault="00680B31" w:rsidP="00E04D30">
            <w:pPr>
              <w:snapToGrid w:val="0"/>
              <w:rPr>
                <w:rFonts w:eastAsia="Arial Unicode MS"/>
                <w:sz w:val="18"/>
                <w:lang w:val="en-GB"/>
              </w:rPr>
            </w:pPr>
          </w:p>
        </w:tc>
      </w:tr>
      <w:tr w:rsidR="00680B31" w14:paraId="26FC7A2B" w14:textId="2554F1DA" w:rsidTr="002E2633">
        <w:trPr>
          <w:cantSplit/>
          <w:trHeight w:val="2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5C3F6A" w14:textId="77777777" w:rsidR="00680B31" w:rsidRDefault="00680B31" w:rsidP="00E04D30">
            <w:pPr>
              <w:jc w:val="center"/>
              <w:rPr>
                <w:sz w:val="18"/>
                <w:lang w:val="en-GB"/>
              </w:rPr>
            </w:pPr>
            <w:r>
              <w:rPr>
                <w:sz w:val="18"/>
                <w:lang w:val="en-GB"/>
              </w:rPr>
              <w:t>A2)</w:t>
            </w:r>
          </w:p>
        </w:tc>
        <w:tc>
          <w:tcPr>
            <w:tcW w:w="4513" w:type="dxa"/>
            <w:tcBorders>
              <w:top w:val="single" w:sz="4" w:space="0" w:color="000000"/>
              <w:left w:val="single" w:sz="4" w:space="0" w:color="000000"/>
              <w:bottom w:val="single" w:sz="4" w:space="0" w:color="000000"/>
            </w:tcBorders>
            <w:shd w:val="clear" w:color="auto" w:fill="auto"/>
            <w:vAlign w:val="bottom"/>
          </w:tcPr>
          <w:p w14:paraId="7EF99F32" w14:textId="3F4BF687" w:rsidR="00680B31" w:rsidRDefault="00680B31" w:rsidP="00E04D30">
            <w:pPr>
              <w:rPr>
                <w:b/>
                <w:bCs/>
                <w:i/>
                <w:iCs/>
                <w:sz w:val="18"/>
                <w:lang w:val="en-GB"/>
              </w:rPr>
            </w:pPr>
            <w:r>
              <w:rPr>
                <w:b/>
                <w:bCs/>
                <w:i/>
                <w:iCs/>
                <w:sz w:val="18"/>
                <w:lang w:val="en-GB"/>
              </w:rPr>
              <w:t xml:space="preserve"> Data collection</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5D2B43"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bottom"/>
          </w:tcPr>
          <w:p w14:paraId="16518AF9"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14D3FEF"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B9A869F"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22B5097"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BF67A1"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3F75CDD"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63B247CD"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979622F"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0B86F54"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E93C394"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5C2EB58" w14:textId="77777777" w:rsidR="00680B31" w:rsidRDefault="00680B31" w:rsidP="00E04D30">
            <w:pPr>
              <w:snapToGrid w:val="0"/>
              <w:rPr>
                <w:rFonts w:eastAsia="Arial Unicode MS"/>
                <w:sz w:val="18"/>
                <w:lang w:val="en-GB"/>
              </w:rPr>
            </w:pPr>
          </w:p>
        </w:tc>
      </w:tr>
      <w:tr w:rsidR="00680B31" w14:paraId="2A2A421F" w14:textId="0B78F40E" w:rsidTr="002E2633">
        <w:trPr>
          <w:cantSplit/>
          <w:trHeight w:val="23"/>
        </w:trPr>
        <w:tc>
          <w:tcPr>
            <w:tcW w:w="474" w:type="dxa"/>
            <w:tcBorders>
              <w:top w:val="single" w:sz="4" w:space="0" w:color="000000"/>
              <w:left w:val="single" w:sz="4" w:space="0" w:color="000000"/>
              <w:right w:val="single" w:sz="4" w:space="0" w:color="000000"/>
            </w:tcBorders>
            <w:shd w:val="clear" w:color="auto" w:fill="auto"/>
            <w:vAlign w:val="bottom"/>
          </w:tcPr>
          <w:p w14:paraId="3EE79AFD"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5631ADCE" w14:textId="429D0D36" w:rsidR="00680B31" w:rsidRDefault="00680B31" w:rsidP="00E04D30">
            <w:r>
              <w:rPr>
                <w:sz w:val="18"/>
                <w:lang w:val="en-GB"/>
              </w:rPr>
              <w:t xml:space="preserve">1) Farms data collection </w:t>
            </w:r>
            <w:r>
              <w:rPr>
                <w:sz w:val="18"/>
                <w:szCs w:val="22"/>
                <w:lang w:val="en-GB"/>
              </w:rPr>
              <w:t xml:space="preserv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AE5A621"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bottom"/>
          </w:tcPr>
          <w:p w14:paraId="67232836"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ACA92D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870C355"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90283AB"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082379F"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E9CBC62"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DF3CB8C"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CD4B2C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6DBF62E" w14:textId="77777777" w:rsidR="00680B31" w:rsidRDefault="00680B31" w:rsidP="00E04D30">
            <w:pPr>
              <w:snapToGrid w:val="0"/>
              <w:rPr>
                <w:rFonts w:eastAsia="Arial Unicode MS"/>
                <w:sz w:val="18"/>
                <w:lang w:val="en-GB"/>
              </w:rPr>
            </w:pPr>
          </w:p>
        </w:tc>
        <w:tc>
          <w:tcPr>
            <w:tcW w:w="340"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7F8013C8" w14:textId="77777777" w:rsidR="00680B31" w:rsidRDefault="00680B31" w:rsidP="00E04D30">
            <w:pPr>
              <w:snapToGrid w:val="0"/>
              <w:rPr>
                <w:rFonts w:eastAsia="Arial Unicode MS"/>
                <w:sz w:val="18"/>
                <w:lang w:val="en-GB"/>
              </w:rPr>
            </w:pPr>
          </w:p>
        </w:tc>
        <w:tc>
          <w:tcPr>
            <w:tcW w:w="340" w:type="dxa"/>
            <w:tcBorders>
              <w:top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6F83CE06" w14:textId="77777777" w:rsidR="00680B31" w:rsidRDefault="00680B31" w:rsidP="00E04D30">
            <w:pPr>
              <w:snapToGrid w:val="0"/>
              <w:rPr>
                <w:rFonts w:eastAsia="Arial Unicode MS"/>
                <w:sz w:val="18"/>
                <w:lang w:val="en-GB"/>
              </w:rPr>
            </w:pPr>
          </w:p>
        </w:tc>
      </w:tr>
      <w:tr w:rsidR="00680B31" w14:paraId="087E1CA0" w14:textId="7E41BAD3" w:rsidTr="002E2633">
        <w:trPr>
          <w:cantSplit/>
          <w:trHeight w:val="48"/>
        </w:trPr>
        <w:tc>
          <w:tcPr>
            <w:tcW w:w="474" w:type="dxa"/>
            <w:tcBorders>
              <w:left w:val="single" w:sz="4" w:space="0" w:color="000000"/>
              <w:right w:val="single" w:sz="4" w:space="0" w:color="000000"/>
            </w:tcBorders>
            <w:shd w:val="clear" w:color="auto" w:fill="auto"/>
            <w:vAlign w:val="bottom"/>
          </w:tcPr>
          <w:p w14:paraId="323761A6"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11A9F499" w14:textId="714BF5D4" w:rsidR="00680B31" w:rsidRDefault="00680B31" w:rsidP="00E04D30">
            <w:r>
              <w:rPr>
                <w:sz w:val="18"/>
                <w:lang w:val="en-GB"/>
              </w:rPr>
              <w:t xml:space="preserve">2) Stable panel identification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5C83"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FED9A5"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6F0506D"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7C4A5C5B"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BC60B84"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4958F"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5DA30D1"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8F9FAA"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6ECF927"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1F1014"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EB8B0FA"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E6A14E6" w14:textId="77777777" w:rsidR="00680B31" w:rsidRDefault="00680B31" w:rsidP="00E04D30">
            <w:pPr>
              <w:snapToGrid w:val="0"/>
              <w:rPr>
                <w:rFonts w:eastAsia="Arial Unicode MS"/>
                <w:sz w:val="18"/>
                <w:lang w:val="en-GB"/>
              </w:rPr>
            </w:pPr>
          </w:p>
        </w:tc>
      </w:tr>
      <w:tr w:rsidR="00680B31" w:rsidRPr="002E2633" w14:paraId="5EEE5AFB" w14:textId="77777777" w:rsidTr="002E2633">
        <w:trPr>
          <w:cantSplit/>
          <w:trHeight w:val="23"/>
        </w:trPr>
        <w:tc>
          <w:tcPr>
            <w:tcW w:w="474" w:type="dxa"/>
            <w:tcBorders>
              <w:left w:val="single" w:sz="4" w:space="0" w:color="000000"/>
              <w:right w:val="single" w:sz="4" w:space="0" w:color="000000"/>
            </w:tcBorders>
            <w:shd w:val="clear" w:color="auto" w:fill="auto"/>
            <w:vAlign w:val="bottom"/>
          </w:tcPr>
          <w:p w14:paraId="50BABA93"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26947CE9" w14:textId="1E61CA81" w:rsidR="00680B31" w:rsidRDefault="00680B31" w:rsidP="00E04D30">
            <w:pPr>
              <w:rPr>
                <w:sz w:val="18"/>
                <w:lang w:val="en-GB"/>
              </w:rPr>
            </w:pPr>
            <w:r>
              <w:rPr>
                <w:sz w:val="18"/>
                <w:lang w:val="en-GB"/>
              </w:rPr>
              <w:t>3) Provide tools useful to assess farms costs and benefits</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8B284" w14:textId="77777777" w:rsidR="00680B31" w:rsidRDefault="00680B31"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52A72"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EAA55F8" w14:textId="77777777" w:rsidR="00680B31" w:rsidRDefault="00680B31"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7B0DCFE"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271AC435"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8E5E71E"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6E036C7"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2A231B4" w14:textId="77777777" w:rsidR="00680B31" w:rsidRDefault="00680B31"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359B62F" w14:textId="77777777" w:rsidR="00680B31" w:rsidRDefault="00680B31"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3AF0337"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1B1C2A"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7144029" w14:textId="77777777" w:rsidR="00680B31" w:rsidRDefault="00680B31" w:rsidP="00E04D30">
            <w:pPr>
              <w:snapToGrid w:val="0"/>
              <w:rPr>
                <w:rFonts w:eastAsia="Arial Unicode MS"/>
                <w:sz w:val="18"/>
                <w:lang w:val="en-GB"/>
              </w:rPr>
            </w:pPr>
          </w:p>
        </w:tc>
      </w:tr>
      <w:tr w:rsidR="00680B31" w:rsidRPr="00566FD3" w14:paraId="696437F9" w14:textId="047CB913" w:rsidTr="002E2633">
        <w:trPr>
          <w:cantSplit/>
          <w:trHeight w:val="2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CD8A0" w14:textId="77777777" w:rsidR="00680B31" w:rsidRDefault="00680B31" w:rsidP="00E04D30">
            <w:pPr>
              <w:jc w:val="center"/>
              <w:rPr>
                <w:sz w:val="18"/>
                <w:lang w:val="en-GB"/>
              </w:rPr>
            </w:pPr>
            <w:r>
              <w:rPr>
                <w:sz w:val="18"/>
                <w:lang w:val="en-GB"/>
              </w:rPr>
              <w:t>A3)</w:t>
            </w:r>
          </w:p>
        </w:tc>
        <w:tc>
          <w:tcPr>
            <w:tcW w:w="4513" w:type="dxa"/>
            <w:tcBorders>
              <w:top w:val="single" w:sz="4" w:space="0" w:color="000000"/>
              <w:left w:val="single" w:sz="4" w:space="0" w:color="000000"/>
              <w:bottom w:val="single" w:sz="4" w:space="0" w:color="000000"/>
            </w:tcBorders>
            <w:shd w:val="clear" w:color="auto" w:fill="auto"/>
            <w:vAlign w:val="bottom"/>
          </w:tcPr>
          <w:p w14:paraId="12AF5C4D" w14:textId="47504B4D" w:rsidR="00680B31" w:rsidRDefault="00680B31" w:rsidP="00E04D30">
            <w:pPr>
              <w:rPr>
                <w:b/>
                <w:bCs/>
                <w:i/>
                <w:iCs/>
                <w:sz w:val="18"/>
                <w:lang w:val="en-GB"/>
              </w:rPr>
            </w:pPr>
            <w:r>
              <w:rPr>
                <w:b/>
                <w:bCs/>
                <w:i/>
                <w:iCs/>
                <w:sz w:val="18"/>
                <w:lang w:val="en-GB"/>
              </w:rPr>
              <w:t xml:space="preserve">Methodology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4B835"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BB8F9"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83FBB4"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05BFAAA"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3AC102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AF5153F"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773CBA45"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FC2E598"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2EEF43A"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41C2039"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60D0BA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D85543F" w14:textId="77777777" w:rsidR="00680B31" w:rsidRDefault="00680B31" w:rsidP="00E04D30">
            <w:pPr>
              <w:rPr>
                <w:sz w:val="18"/>
                <w:lang w:val="en-GB"/>
              </w:rPr>
            </w:pPr>
            <w:r>
              <w:rPr>
                <w:sz w:val="18"/>
                <w:lang w:val="en-GB"/>
              </w:rPr>
              <w:t> </w:t>
            </w:r>
          </w:p>
        </w:tc>
      </w:tr>
      <w:tr w:rsidR="00680B31" w:rsidRPr="002E2633" w14:paraId="294E02CF" w14:textId="5D62368F" w:rsidTr="002E2633">
        <w:trPr>
          <w:cantSplit/>
          <w:trHeight w:val="23"/>
        </w:trPr>
        <w:tc>
          <w:tcPr>
            <w:tcW w:w="474" w:type="dxa"/>
            <w:tcBorders>
              <w:top w:val="single" w:sz="4" w:space="0" w:color="000000"/>
              <w:left w:val="single" w:sz="4" w:space="0" w:color="000000"/>
              <w:right w:val="single" w:sz="4" w:space="0" w:color="000000"/>
            </w:tcBorders>
            <w:shd w:val="clear" w:color="auto" w:fill="auto"/>
            <w:vAlign w:val="bottom"/>
          </w:tcPr>
          <w:p w14:paraId="44C44212"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3827749F" w14:textId="5FEBEA0A" w:rsidR="00680B31" w:rsidRPr="00680B31" w:rsidRDefault="00680B31" w:rsidP="00E04D30">
            <w:pPr>
              <w:rPr>
                <w:lang w:val="en-GB"/>
              </w:rPr>
            </w:pPr>
            <w:r>
              <w:rPr>
                <w:sz w:val="18"/>
                <w:lang w:val="en-GB"/>
              </w:rPr>
              <w:t>1) Advance courses on econometrics techniques</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1C78F"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1A3F3"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103B6371"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162A870"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0E4A7FA"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F0D131C"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3A30B96"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100616C"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6A61D3E"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DBC7F0F"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36335E1"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16C19C" w14:textId="77777777" w:rsidR="00680B31" w:rsidRDefault="00680B31" w:rsidP="00E04D30">
            <w:pPr>
              <w:snapToGrid w:val="0"/>
              <w:rPr>
                <w:rFonts w:eastAsia="Arial Unicode MS"/>
                <w:sz w:val="18"/>
                <w:lang w:val="en-GB"/>
              </w:rPr>
            </w:pPr>
          </w:p>
        </w:tc>
      </w:tr>
      <w:tr w:rsidR="00680B31" w:rsidRPr="002E2633" w14:paraId="54EB68A8" w14:textId="2DB58A71" w:rsidTr="002E2633">
        <w:trPr>
          <w:cantSplit/>
          <w:trHeight w:val="23"/>
        </w:trPr>
        <w:tc>
          <w:tcPr>
            <w:tcW w:w="474" w:type="dxa"/>
            <w:tcBorders>
              <w:left w:val="single" w:sz="4" w:space="0" w:color="000000"/>
              <w:bottom w:val="single" w:sz="4" w:space="0" w:color="000000"/>
              <w:right w:val="single" w:sz="4" w:space="0" w:color="000000"/>
            </w:tcBorders>
            <w:shd w:val="clear" w:color="auto" w:fill="auto"/>
            <w:vAlign w:val="bottom"/>
          </w:tcPr>
          <w:p w14:paraId="30CE7CA4" w14:textId="77777777" w:rsidR="00680B31" w:rsidRDefault="00680B31" w:rsidP="00E04D30">
            <w:pPr>
              <w:snapToGrid w:val="0"/>
              <w:jc w:val="center"/>
              <w:rPr>
                <w:rFonts w:eastAsia="Arial Unicode MS"/>
                <w:sz w:val="18"/>
                <w:szCs w:val="24"/>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7C907751" w14:textId="01B20C04" w:rsidR="00680B31" w:rsidRPr="00680B31" w:rsidRDefault="00680B31" w:rsidP="00E04D30">
            <w:pPr>
              <w:rPr>
                <w:lang w:val="en-GB"/>
              </w:rPr>
            </w:pPr>
            <w:r>
              <w:rPr>
                <w:sz w:val="18"/>
                <w:lang w:val="en-GB"/>
              </w:rPr>
              <w:t>2) Development and test of the methodology</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E532A"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94C18"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5EB92CC1"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F6C1A8"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56FFFD5"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4B651E5"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6170700E"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187B193"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DB42686"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4336BF84"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265E06D1"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0384DEE" w14:textId="77777777" w:rsidR="00680B31" w:rsidRDefault="00680B31" w:rsidP="00E04D30">
            <w:pPr>
              <w:rPr>
                <w:sz w:val="18"/>
                <w:lang w:val="en-GB"/>
              </w:rPr>
            </w:pPr>
            <w:r>
              <w:rPr>
                <w:sz w:val="18"/>
                <w:lang w:val="en-GB"/>
              </w:rPr>
              <w:t> </w:t>
            </w:r>
          </w:p>
        </w:tc>
      </w:tr>
      <w:tr w:rsidR="00680B31" w14:paraId="50DF159D" w14:textId="3D9846FB" w:rsidTr="002E2633">
        <w:trPr>
          <w:cantSplit/>
          <w:trHeight w:val="2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1AD636" w14:textId="77777777" w:rsidR="00680B31" w:rsidRDefault="00680B31" w:rsidP="00E04D30">
            <w:pPr>
              <w:jc w:val="center"/>
              <w:rPr>
                <w:sz w:val="18"/>
                <w:lang w:val="en-GB"/>
              </w:rPr>
            </w:pPr>
            <w:r>
              <w:rPr>
                <w:sz w:val="18"/>
                <w:lang w:val="en-GB"/>
              </w:rPr>
              <w:t>A4)</w:t>
            </w:r>
          </w:p>
        </w:tc>
        <w:tc>
          <w:tcPr>
            <w:tcW w:w="4513" w:type="dxa"/>
            <w:tcBorders>
              <w:top w:val="single" w:sz="4" w:space="0" w:color="000000"/>
              <w:left w:val="single" w:sz="4" w:space="0" w:color="000000"/>
              <w:bottom w:val="single" w:sz="4" w:space="0" w:color="000000"/>
            </w:tcBorders>
            <w:shd w:val="clear" w:color="auto" w:fill="auto"/>
            <w:vAlign w:val="bottom"/>
          </w:tcPr>
          <w:p w14:paraId="2E98C603" w14:textId="27528D19" w:rsidR="00680B31" w:rsidRDefault="00680B31" w:rsidP="00E04D30">
            <w:pPr>
              <w:rPr>
                <w:b/>
                <w:bCs/>
                <w:i/>
                <w:iCs/>
                <w:sz w:val="18"/>
                <w:lang w:val="en-GB"/>
              </w:rPr>
            </w:pPr>
            <w:r>
              <w:rPr>
                <w:b/>
                <w:bCs/>
                <w:i/>
                <w:iCs/>
                <w:sz w:val="18"/>
                <w:lang w:val="en-GB"/>
              </w:rPr>
              <w:t>Development of analysis</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12640"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531D3"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2655DEC"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05D0DA5D"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right w:w="0" w:type="dxa"/>
            </w:tcMar>
            <w:vAlign w:val="bottom"/>
          </w:tcPr>
          <w:p w14:paraId="3855DB09"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0C0AA0C"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0A486B59"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74AF8C5"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2366353"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6B8D451C"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25A13AD6" w14:textId="77777777" w:rsidR="00680B31" w:rsidRDefault="00680B31"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55ADA5E" w14:textId="77777777" w:rsidR="00680B31" w:rsidRDefault="00680B31" w:rsidP="00E04D30">
            <w:pPr>
              <w:rPr>
                <w:sz w:val="18"/>
                <w:lang w:val="en-GB"/>
              </w:rPr>
            </w:pPr>
            <w:r>
              <w:rPr>
                <w:sz w:val="18"/>
                <w:lang w:val="en-GB"/>
              </w:rPr>
              <w:t> </w:t>
            </w:r>
          </w:p>
        </w:tc>
      </w:tr>
      <w:tr w:rsidR="00EE19E8" w14:paraId="6A1F7080" w14:textId="7A0DE296" w:rsidTr="002E2633">
        <w:trPr>
          <w:cantSplit/>
          <w:trHeight w:val="23"/>
        </w:trPr>
        <w:tc>
          <w:tcPr>
            <w:tcW w:w="474" w:type="dxa"/>
            <w:vMerge w:val="restart"/>
            <w:tcBorders>
              <w:top w:val="single" w:sz="4" w:space="0" w:color="000000"/>
              <w:left w:val="single" w:sz="4" w:space="0" w:color="000000"/>
              <w:right w:val="single" w:sz="4" w:space="0" w:color="000000"/>
            </w:tcBorders>
            <w:shd w:val="clear" w:color="auto" w:fill="auto"/>
            <w:vAlign w:val="center"/>
          </w:tcPr>
          <w:p w14:paraId="194D0972" w14:textId="77777777" w:rsidR="00EE19E8" w:rsidRDefault="00EE19E8" w:rsidP="00EE19E8">
            <w:pPr>
              <w:snapToGrid w:val="0"/>
              <w:jc w:val="center"/>
              <w:rPr>
                <w:rFonts w:eastAsia="Arial Unicode MS"/>
                <w:sz w:val="18"/>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3B7012FC" w14:textId="4D018EFB" w:rsidR="00EE19E8" w:rsidRDefault="00EE19E8" w:rsidP="00E04D30">
            <w:r>
              <w:rPr>
                <w:sz w:val="18"/>
                <w:lang w:val="en-GB"/>
              </w:rPr>
              <w:t>1) Adoption scenarios characterization</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5952CB4"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56E0E974"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68EED8"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D9F96EF"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E6E06B9"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E04AE04"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4949BE2"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442CEB11"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A42CD56"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3FCC0DC5"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2391AE2"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3C8FB30" w14:textId="77777777" w:rsidR="00EE19E8" w:rsidRDefault="00EE19E8" w:rsidP="00E04D30">
            <w:pPr>
              <w:rPr>
                <w:sz w:val="18"/>
                <w:lang w:val="en-GB"/>
              </w:rPr>
            </w:pPr>
            <w:r>
              <w:rPr>
                <w:sz w:val="18"/>
                <w:lang w:val="en-GB"/>
              </w:rPr>
              <w:t> </w:t>
            </w:r>
          </w:p>
        </w:tc>
      </w:tr>
      <w:tr w:rsidR="00EE19E8" w:rsidRPr="002E2633" w14:paraId="1C8D27EA" w14:textId="6A410C84" w:rsidTr="002E2633">
        <w:trPr>
          <w:cantSplit/>
          <w:trHeight w:val="23"/>
        </w:trPr>
        <w:tc>
          <w:tcPr>
            <w:tcW w:w="474" w:type="dxa"/>
            <w:vMerge/>
            <w:tcBorders>
              <w:left w:val="single" w:sz="4" w:space="0" w:color="000000"/>
              <w:right w:val="single" w:sz="4" w:space="0" w:color="000000"/>
            </w:tcBorders>
            <w:shd w:val="clear" w:color="auto" w:fill="auto"/>
            <w:vAlign w:val="bottom"/>
          </w:tcPr>
          <w:p w14:paraId="532BD93B" w14:textId="77777777" w:rsidR="00EE19E8" w:rsidRDefault="00EE19E8" w:rsidP="00E04D30">
            <w:pPr>
              <w:snapToGrid w:val="0"/>
              <w:jc w:val="center"/>
              <w:rPr>
                <w:rFonts w:eastAsia="Arial Unicode MS"/>
                <w:sz w:val="18"/>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54399A81" w14:textId="08D68154" w:rsidR="00EE19E8" w:rsidRPr="00EE19E8" w:rsidRDefault="00EE19E8" w:rsidP="00E04D30">
            <w:pPr>
              <w:rPr>
                <w:lang w:val="en-GB"/>
              </w:rPr>
            </w:pPr>
            <w:r>
              <w:rPr>
                <w:sz w:val="18"/>
                <w:lang w:val="en-GB"/>
              </w:rPr>
              <w:t>2) Impact assessment of public policies and private initiatives</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0E91A2F"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99E5650"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5A6221B7"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1B43D7B"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AA73C8C"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CCAAEC9"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6A04365"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D461C3C"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15B5F986" w14:textId="77777777" w:rsidR="00EE19E8" w:rsidRDefault="00EE19E8"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132475A"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0E7E79E"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5BAD5A69" w14:textId="77777777" w:rsidR="00EE19E8" w:rsidRDefault="00EE19E8" w:rsidP="00E04D30">
            <w:pPr>
              <w:snapToGrid w:val="0"/>
              <w:rPr>
                <w:rFonts w:eastAsia="Arial Unicode MS"/>
                <w:sz w:val="18"/>
                <w:lang w:val="en-GB"/>
              </w:rPr>
            </w:pPr>
          </w:p>
        </w:tc>
      </w:tr>
      <w:tr w:rsidR="00EE19E8" w:rsidRPr="00EE19E8" w14:paraId="59D9640F" w14:textId="77777777" w:rsidTr="002E2633">
        <w:trPr>
          <w:cantSplit/>
          <w:trHeight w:val="23"/>
        </w:trPr>
        <w:tc>
          <w:tcPr>
            <w:tcW w:w="474" w:type="dxa"/>
            <w:vMerge/>
            <w:tcBorders>
              <w:left w:val="single" w:sz="4" w:space="0" w:color="000000"/>
              <w:bottom w:val="single" w:sz="4" w:space="0" w:color="000000"/>
              <w:right w:val="single" w:sz="4" w:space="0" w:color="000000"/>
            </w:tcBorders>
            <w:shd w:val="clear" w:color="auto" w:fill="auto"/>
            <w:vAlign w:val="bottom"/>
          </w:tcPr>
          <w:p w14:paraId="04220042" w14:textId="77777777" w:rsidR="00EE19E8" w:rsidRDefault="00EE19E8" w:rsidP="00E04D30">
            <w:pPr>
              <w:snapToGrid w:val="0"/>
              <w:jc w:val="center"/>
              <w:rPr>
                <w:rFonts w:eastAsia="Arial Unicode MS"/>
                <w:sz w:val="18"/>
                <w:lang w:val="en-GB"/>
              </w:rPr>
            </w:pPr>
          </w:p>
        </w:tc>
        <w:tc>
          <w:tcPr>
            <w:tcW w:w="4513" w:type="dxa"/>
            <w:tcBorders>
              <w:top w:val="single" w:sz="4" w:space="0" w:color="000000"/>
              <w:left w:val="single" w:sz="4" w:space="0" w:color="000000"/>
              <w:bottom w:val="single" w:sz="4" w:space="0" w:color="000000"/>
            </w:tcBorders>
            <w:shd w:val="clear" w:color="auto" w:fill="auto"/>
            <w:vAlign w:val="bottom"/>
          </w:tcPr>
          <w:p w14:paraId="27708579" w14:textId="337CE161" w:rsidR="00EE19E8" w:rsidRDefault="00EE19E8" w:rsidP="00E04D30">
            <w:pPr>
              <w:rPr>
                <w:sz w:val="18"/>
                <w:lang w:val="en-GB"/>
              </w:rPr>
            </w:pPr>
            <w:r>
              <w:rPr>
                <w:sz w:val="18"/>
                <w:lang w:val="en-GB"/>
              </w:rPr>
              <w:t xml:space="preserve">3) Results analysis and </w:t>
            </w:r>
            <w:r w:rsidR="001507DB">
              <w:rPr>
                <w:sz w:val="18"/>
                <w:lang w:val="en-GB"/>
              </w:rPr>
              <w:t>valorisation</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22BD2DDA" w14:textId="77777777" w:rsidR="00EE19E8" w:rsidRDefault="00EE19E8"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E94D531"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EC3A034" w14:textId="77777777" w:rsidR="00EE19E8" w:rsidRDefault="00EE19E8"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1E5B7D7"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4CAA1DA"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3CAFEDA8"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443D081E"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746D48AD" w14:textId="77777777" w:rsidR="00EE19E8" w:rsidRDefault="00EE19E8"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1F8A16A0" w14:textId="77777777" w:rsidR="00EE19E8" w:rsidRDefault="00EE19E8" w:rsidP="00E04D30">
            <w:pPr>
              <w:rPr>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0F92C2AF"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C435CCA" w14:textId="77777777" w:rsidR="00EE19E8" w:rsidRDefault="00EE19E8" w:rsidP="00E04D30">
            <w:pPr>
              <w:snapToGrid w:val="0"/>
              <w:rPr>
                <w:rFonts w:eastAsia="Arial Unicode MS"/>
                <w:sz w:val="18"/>
                <w:lang w:val="en-GB"/>
              </w:rPr>
            </w:pPr>
          </w:p>
        </w:tc>
        <w:tc>
          <w:tcPr>
            <w:tcW w:w="340"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0" w:type="dxa"/>
              <w:right w:w="0" w:type="dxa"/>
            </w:tcMar>
            <w:vAlign w:val="bottom"/>
          </w:tcPr>
          <w:p w14:paraId="0F4B611E" w14:textId="77777777" w:rsidR="00EE19E8" w:rsidRDefault="00EE19E8" w:rsidP="00E04D30">
            <w:pPr>
              <w:snapToGrid w:val="0"/>
              <w:rPr>
                <w:rFonts w:eastAsia="Arial Unicode MS"/>
                <w:sz w:val="18"/>
                <w:lang w:val="en-GB"/>
              </w:rPr>
            </w:pPr>
          </w:p>
        </w:tc>
      </w:tr>
      <w:tr w:rsidR="00680B31" w14:paraId="598A0ABF" w14:textId="365E4BF6" w:rsidTr="002E2633">
        <w:trPr>
          <w:cantSplit/>
          <w:trHeight w:val="23"/>
        </w:trPr>
        <w:tc>
          <w:tcPr>
            <w:tcW w:w="474" w:type="dxa"/>
            <w:tcBorders>
              <w:top w:val="single" w:sz="4" w:space="0" w:color="000000"/>
              <w:left w:val="single" w:sz="4" w:space="0" w:color="000000"/>
              <w:bottom w:val="single" w:sz="4" w:space="0" w:color="000000"/>
              <w:right w:val="single" w:sz="4" w:space="0" w:color="000000"/>
            </w:tcBorders>
            <w:shd w:val="clear" w:color="auto" w:fill="auto"/>
          </w:tcPr>
          <w:p w14:paraId="6E40F434" w14:textId="77777777" w:rsidR="00680B31" w:rsidRDefault="00680B31" w:rsidP="00E04D30">
            <w:pPr>
              <w:jc w:val="center"/>
              <w:rPr>
                <w:sz w:val="18"/>
                <w:lang w:val="en-GB"/>
              </w:rPr>
            </w:pPr>
            <w:r>
              <w:rPr>
                <w:sz w:val="18"/>
                <w:lang w:val="en-GB"/>
              </w:rPr>
              <w:t>A5)</w:t>
            </w:r>
          </w:p>
        </w:tc>
        <w:tc>
          <w:tcPr>
            <w:tcW w:w="4513" w:type="dxa"/>
            <w:tcBorders>
              <w:top w:val="single" w:sz="4" w:space="0" w:color="000000"/>
              <w:left w:val="single" w:sz="4" w:space="0" w:color="000000"/>
              <w:bottom w:val="single" w:sz="4" w:space="0" w:color="000000"/>
            </w:tcBorders>
            <w:shd w:val="clear" w:color="auto" w:fill="auto"/>
          </w:tcPr>
          <w:p w14:paraId="4CE55192" w14:textId="77777777" w:rsidR="00680B31" w:rsidRDefault="00680B31" w:rsidP="00E04D30">
            <w:pPr>
              <w:rPr>
                <w:b/>
                <w:bCs/>
                <w:i/>
                <w:iCs/>
                <w:sz w:val="18"/>
                <w:lang w:val="en-GB"/>
              </w:rPr>
            </w:pPr>
            <w:r>
              <w:rPr>
                <w:b/>
                <w:bCs/>
                <w:i/>
                <w:iCs/>
                <w:sz w:val="18"/>
                <w:lang w:val="en-GB"/>
              </w:rPr>
              <w:t>Thesis and Paper Preparation</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1477306C"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B8965AB"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0" w:type="dxa"/>
              <w:right w:w="0" w:type="dxa"/>
            </w:tcMar>
            <w:vAlign w:val="bottom"/>
          </w:tcPr>
          <w:p w14:paraId="210E2112"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617821C"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EE74C75"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A6CE7A4"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EFF4ED3"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337FE319"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4C3805E1"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C4673BD"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55D2DBD2" w14:textId="77777777" w:rsidR="00680B31" w:rsidRDefault="00680B31" w:rsidP="00E04D30">
            <w:pPr>
              <w:rPr>
                <w:sz w:val="18"/>
                <w:lang w:val="en-GB"/>
              </w:rPr>
            </w:pPr>
            <w:r>
              <w:rPr>
                <w:sz w:val="18"/>
                <w:lang w:val="en-GB"/>
              </w:rPr>
              <w:t> </w:t>
            </w:r>
          </w:p>
        </w:tc>
        <w:tc>
          <w:tcPr>
            <w:tcW w:w="34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0" w:type="dxa"/>
              <w:right w:w="0" w:type="dxa"/>
            </w:tcMar>
            <w:vAlign w:val="bottom"/>
          </w:tcPr>
          <w:p w14:paraId="1547F00B" w14:textId="77777777" w:rsidR="00680B31" w:rsidRDefault="00680B31" w:rsidP="00E04D30">
            <w:pPr>
              <w:rPr>
                <w:sz w:val="18"/>
                <w:lang w:val="en-GB"/>
              </w:rPr>
            </w:pPr>
            <w:r>
              <w:rPr>
                <w:sz w:val="18"/>
                <w:lang w:val="en-GB"/>
              </w:rPr>
              <w:t> </w:t>
            </w:r>
          </w:p>
        </w:tc>
      </w:tr>
    </w:tbl>
    <w:p w14:paraId="1FCB330E" w14:textId="77777777" w:rsidR="00081E79" w:rsidRDefault="00081E79" w:rsidP="00081E79">
      <w:pPr>
        <w:pStyle w:val="Titolo1"/>
        <w:spacing w:before="240" w:after="120"/>
        <w:ind w:right="0"/>
        <w:jc w:val="left"/>
        <w:rPr>
          <w:b/>
          <w:color w:val="000000"/>
          <w:sz w:val="24"/>
        </w:rPr>
      </w:pPr>
      <w:r>
        <w:rPr>
          <w:b/>
          <w:color w:val="000000"/>
          <w:sz w:val="24"/>
        </w:rPr>
        <w:t>3. Selected References</w:t>
      </w:r>
    </w:p>
    <w:p w14:paraId="5172689E" w14:textId="250B930E" w:rsidR="00081E79" w:rsidRPr="00432AC7" w:rsidRDefault="00EE19E8" w:rsidP="00081E79">
      <w:pPr>
        <w:ind w:left="425" w:hanging="425"/>
        <w:jc w:val="both"/>
        <w:rPr>
          <w:lang w:val="en-US"/>
        </w:rPr>
      </w:pPr>
      <w:r>
        <w:rPr>
          <w:sz w:val="18"/>
          <w:szCs w:val="18"/>
          <w:lang w:val="en-GB"/>
        </w:rPr>
        <w:t xml:space="preserve">Banterle A., </w:t>
      </w:r>
      <w:proofErr w:type="spellStart"/>
      <w:r>
        <w:rPr>
          <w:sz w:val="18"/>
          <w:szCs w:val="18"/>
          <w:lang w:val="en-GB"/>
        </w:rPr>
        <w:t>Stranieri</w:t>
      </w:r>
      <w:proofErr w:type="spellEnd"/>
      <w:r>
        <w:rPr>
          <w:sz w:val="18"/>
          <w:szCs w:val="18"/>
          <w:lang w:val="en-GB"/>
        </w:rPr>
        <w:t xml:space="preserve"> </w:t>
      </w:r>
      <w:r w:rsidR="00F235D2">
        <w:rPr>
          <w:sz w:val="18"/>
          <w:szCs w:val="18"/>
          <w:lang w:val="en-GB"/>
        </w:rPr>
        <w:t xml:space="preserve">S. (2013) Sustainability standards and the reorganization of private label supply chains a transaction cost perspective, </w:t>
      </w:r>
      <w:r w:rsidR="00F235D2" w:rsidRPr="00F235D2">
        <w:rPr>
          <w:i/>
          <w:iCs/>
          <w:sz w:val="18"/>
          <w:szCs w:val="18"/>
          <w:lang w:val="en-GB"/>
        </w:rPr>
        <w:t>Sustain</w:t>
      </w:r>
      <w:r w:rsidR="00F235D2">
        <w:rPr>
          <w:sz w:val="18"/>
          <w:szCs w:val="18"/>
          <w:lang w:val="en-GB"/>
        </w:rPr>
        <w:t>.</w:t>
      </w:r>
      <w:r w:rsidR="004A38EF">
        <w:rPr>
          <w:sz w:val="18"/>
          <w:szCs w:val="18"/>
          <w:lang w:val="en-GB"/>
        </w:rPr>
        <w:t>,</w:t>
      </w:r>
      <w:r w:rsidR="00F235D2">
        <w:rPr>
          <w:sz w:val="18"/>
          <w:szCs w:val="18"/>
          <w:lang w:val="en-GB"/>
        </w:rPr>
        <w:t xml:space="preserve"> 5(12), </w:t>
      </w:r>
      <w:r w:rsidR="000E20A1">
        <w:rPr>
          <w:sz w:val="18"/>
          <w:szCs w:val="18"/>
          <w:lang w:val="en-GB"/>
        </w:rPr>
        <w:t xml:space="preserve">pp. </w:t>
      </w:r>
      <w:r w:rsidR="00F235D2">
        <w:rPr>
          <w:sz w:val="18"/>
          <w:szCs w:val="18"/>
          <w:lang w:val="en-GB"/>
        </w:rPr>
        <w:t>5272-5288.</w:t>
      </w:r>
    </w:p>
    <w:p w14:paraId="2D2448A5" w14:textId="0FAE1941" w:rsidR="00081E79" w:rsidRDefault="00F235D2" w:rsidP="00081E79">
      <w:pPr>
        <w:ind w:left="425" w:hanging="425"/>
        <w:jc w:val="both"/>
        <w:rPr>
          <w:i/>
          <w:iCs/>
          <w:sz w:val="18"/>
          <w:szCs w:val="18"/>
          <w:lang w:val="fr-FR"/>
        </w:rPr>
      </w:pPr>
      <w:proofErr w:type="spellStart"/>
      <w:r>
        <w:rPr>
          <w:sz w:val="18"/>
          <w:szCs w:val="18"/>
          <w:lang w:val="fr-FR"/>
        </w:rPr>
        <w:t>Bonke</w:t>
      </w:r>
      <w:proofErr w:type="spellEnd"/>
      <w:r>
        <w:rPr>
          <w:sz w:val="18"/>
          <w:szCs w:val="18"/>
          <w:lang w:val="fr-FR"/>
        </w:rPr>
        <w:t xml:space="preserve"> V., </w:t>
      </w:r>
      <w:proofErr w:type="spellStart"/>
      <w:r>
        <w:rPr>
          <w:sz w:val="18"/>
          <w:szCs w:val="18"/>
          <w:lang w:val="fr-FR"/>
        </w:rPr>
        <w:t>Musshoff</w:t>
      </w:r>
      <w:proofErr w:type="spellEnd"/>
      <w:r>
        <w:rPr>
          <w:sz w:val="18"/>
          <w:szCs w:val="18"/>
          <w:lang w:val="fr-FR"/>
        </w:rPr>
        <w:t xml:space="preserve"> O. (2020) </w:t>
      </w:r>
      <w:proofErr w:type="spellStart"/>
      <w:r>
        <w:rPr>
          <w:sz w:val="18"/>
          <w:szCs w:val="18"/>
          <w:lang w:val="fr-FR"/>
        </w:rPr>
        <w:t>Understanding</w:t>
      </w:r>
      <w:proofErr w:type="spellEnd"/>
      <w:r>
        <w:rPr>
          <w:sz w:val="18"/>
          <w:szCs w:val="18"/>
          <w:lang w:val="fr-FR"/>
        </w:rPr>
        <w:t xml:space="preserve"> German </w:t>
      </w:r>
      <w:proofErr w:type="spellStart"/>
      <w:r>
        <w:rPr>
          <w:sz w:val="18"/>
          <w:szCs w:val="18"/>
          <w:lang w:val="fr-FR"/>
        </w:rPr>
        <w:t>farmer’s</w:t>
      </w:r>
      <w:proofErr w:type="spellEnd"/>
      <w:r>
        <w:rPr>
          <w:sz w:val="18"/>
          <w:szCs w:val="18"/>
          <w:lang w:val="fr-FR"/>
        </w:rPr>
        <w:t xml:space="preserve"> intention to </w:t>
      </w:r>
      <w:proofErr w:type="spellStart"/>
      <w:r>
        <w:rPr>
          <w:sz w:val="18"/>
          <w:szCs w:val="18"/>
          <w:lang w:val="fr-FR"/>
        </w:rPr>
        <w:t>adopt</w:t>
      </w:r>
      <w:proofErr w:type="spellEnd"/>
      <w:r>
        <w:rPr>
          <w:sz w:val="18"/>
          <w:szCs w:val="18"/>
          <w:lang w:val="fr-FR"/>
        </w:rPr>
        <w:t xml:space="preserve"> mixed </w:t>
      </w:r>
      <w:proofErr w:type="spellStart"/>
      <w:r>
        <w:rPr>
          <w:sz w:val="18"/>
          <w:szCs w:val="18"/>
          <w:lang w:val="fr-FR"/>
        </w:rPr>
        <w:t>cropping</w:t>
      </w:r>
      <w:proofErr w:type="spellEnd"/>
      <w:r>
        <w:rPr>
          <w:sz w:val="18"/>
          <w:szCs w:val="18"/>
          <w:lang w:val="fr-FR"/>
        </w:rPr>
        <w:t xml:space="preserve"> </w:t>
      </w:r>
      <w:proofErr w:type="spellStart"/>
      <w:r>
        <w:rPr>
          <w:sz w:val="18"/>
          <w:szCs w:val="18"/>
          <w:lang w:val="fr-FR"/>
        </w:rPr>
        <w:t>using</w:t>
      </w:r>
      <w:proofErr w:type="spellEnd"/>
      <w:r>
        <w:rPr>
          <w:sz w:val="18"/>
          <w:szCs w:val="18"/>
          <w:lang w:val="fr-FR"/>
        </w:rPr>
        <w:t xml:space="preserve"> the </w:t>
      </w:r>
      <w:proofErr w:type="spellStart"/>
      <w:r>
        <w:rPr>
          <w:sz w:val="18"/>
          <w:szCs w:val="18"/>
          <w:lang w:val="fr-FR"/>
        </w:rPr>
        <w:t>theory</w:t>
      </w:r>
      <w:proofErr w:type="spellEnd"/>
      <w:r>
        <w:rPr>
          <w:sz w:val="18"/>
          <w:szCs w:val="18"/>
          <w:lang w:val="fr-FR"/>
        </w:rPr>
        <w:t xml:space="preserve"> of </w:t>
      </w:r>
      <w:proofErr w:type="spellStart"/>
      <w:r>
        <w:rPr>
          <w:sz w:val="18"/>
          <w:szCs w:val="18"/>
          <w:lang w:val="fr-FR"/>
        </w:rPr>
        <w:t>planned</w:t>
      </w:r>
      <w:proofErr w:type="spellEnd"/>
      <w:r>
        <w:rPr>
          <w:sz w:val="18"/>
          <w:szCs w:val="18"/>
          <w:lang w:val="fr-FR"/>
        </w:rPr>
        <w:t xml:space="preserve"> </w:t>
      </w:r>
      <w:proofErr w:type="spellStart"/>
      <w:r>
        <w:rPr>
          <w:sz w:val="18"/>
          <w:szCs w:val="18"/>
          <w:lang w:val="fr-FR"/>
        </w:rPr>
        <w:t>behaviour</w:t>
      </w:r>
      <w:proofErr w:type="spellEnd"/>
      <w:r>
        <w:rPr>
          <w:sz w:val="18"/>
          <w:szCs w:val="18"/>
          <w:lang w:val="fr-FR"/>
        </w:rPr>
        <w:t xml:space="preserve">, </w:t>
      </w:r>
      <w:proofErr w:type="spellStart"/>
      <w:r w:rsidR="004F1610">
        <w:rPr>
          <w:i/>
          <w:iCs/>
          <w:sz w:val="18"/>
          <w:szCs w:val="18"/>
          <w:lang w:val="fr-FR"/>
        </w:rPr>
        <w:t>Agron</w:t>
      </w:r>
      <w:proofErr w:type="spellEnd"/>
      <w:r w:rsidR="004F1610">
        <w:rPr>
          <w:i/>
          <w:iCs/>
          <w:sz w:val="18"/>
          <w:szCs w:val="18"/>
          <w:lang w:val="fr-FR"/>
        </w:rPr>
        <w:t xml:space="preserve">. </w:t>
      </w:r>
      <w:proofErr w:type="spellStart"/>
      <w:r w:rsidR="004F1610">
        <w:rPr>
          <w:i/>
          <w:iCs/>
          <w:sz w:val="18"/>
          <w:szCs w:val="18"/>
          <w:lang w:val="fr-FR"/>
        </w:rPr>
        <w:t>Sustain</w:t>
      </w:r>
      <w:proofErr w:type="spellEnd"/>
      <w:r w:rsidR="004F1610">
        <w:rPr>
          <w:i/>
          <w:iCs/>
          <w:sz w:val="18"/>
          <w:szCs w:val="18"/>
          <w:lang w:val="fr-FR"/>
        </w:rPr>
        <w:t>. Dev</w:t>
      </w:r>
      <w:r w:rsidR="004F1610" w:rsidRPr="006423F1">
        <w:rPr>
          <w:i/>
          <w:iCs/>
          <w:sz w:val="18"/>
          <w:szCs w:val="18"/>
          <w:lang w:val="fr-FR"/>
        </w:rPr>
        <w:t>.</w:t>
      </w:r>
      <w:r w:rsidR="004A38EF">
        <w:rPr>
          <w:i/>
          <w:iCs/>
          <w:sz w:val="18"/>
          <w:szCs w:val="18"/>
          <w:lang w:val="fr-FR"/>
        </w:rPr>
        <w:t>,</w:t>
      </w:r>
      <w:r w:rsidR="004F1610" w:rsidRPr="006423F1">
        <w:rPr>
          <w:i/>
          <w:iCs/>
          <w:sz w:val="18"/>
          <w:szCs w:val="18"/>
          <w:lang w:val="fr-FR"/>
        </w:rPr>
        <w:t xml:space="preserve"> </w:t>
      </w:r>
      <w:r w:rsidR="004F1610" w:rsidRPr="001507DB">
        <w:rPr>
          <w:b/>
          <w:bCs/>
          <w:sz w:val="18"/>
          <w:szCs w:val="18"/>
          <w:lang w:val="fr-FR"/>
        </w:rPr>
        <w:t>40</w:t>
      </w:r>
      <w:r w:rsidR="004F1610" w:rsidRPr="006423F1">
        <w:rPr>
          <w:sz w:val="18"/>
          <w:szCs w:val="18"/>
          <w:lang w:val="fr-FR"/>
        </w:rPr>
        <w:t>,</w:t>
      </w:r>
      <w:r w:rsidR="004F1610" w:rsidRPr="004F1610">
        <w:rPr>
          <w:sz w:val="18"/>
          <w:szCs w:val="18"/>
          <w:lang w:val="fr-FR"/>
        </w:rPr>
        <w:t xml:space="preserve"> 48</w:t>
      </w:r>
      <w:r>
        <w:rPr>
          <w:i/>
          <w:iCs/>
          <w:sz w:val="18"/>
          <w:szCs w:val="18"/>
          <w:lang w:val="fr-FR"/>
        </w:rPr>
        <w:t>.</w:t>
      </w:r>
    </w:p>
    <w:p w14:paraId="49CD599A" w14:textId="548BBBBD" w:rsidR="006423F1" w:rsidRPr="006423F1" w:rsidRDefault="006423F1" w:rsidP="00081E79">
      <w:pPr>
        <w:ind w:left="425" w:hanging="425"/>
        <w:jc w:val="both"/>
        <w:rPr>
          <w:lang w:val="fr-FR"/>
        </w:rPr>
      </w:pPr>
      <w:proofErr w:type="spellStart"/>
      <w:r w:rsidRPr="006423F1">
        <w:rPr>
          <w:sz w:val="18"/>
          <w:szCs w:val="18"/>
          <w:lang w:val="fr-FR"/>
        </w:rPr>
        <w:t>Kleijn</w:t>
      </w:r>
      <w:proofErr w:type="spellEnd"/>
      <w:r w:rsidRPr="006423F1">
        <w:rPr>
          <w:sz w:val="18"/>
          <w:szCs w:val="18"/>
          <w:lang w:val="fr-FR"/>
        </w:rPr>
        <w:t xml:space="preserve"> D., </w:t>
      </w:r>
      <w:proofErr w:type="spellStart"/>
      <w:r w:rsidRPr="006423F1">
        <w:rPr>
          <w:sz w:val="18"/>
          <w:szCs w:val="18"/>
          <w:lang w:val="fr-FR"/>
        </w:rPr>
        <w:t>Bommarco</w:t>
      </w:r>
      <w:proofErr w:type="spellEnd"/>
      <w:r w:rsidRPr="006423F1">
        <w:rPr>
          <w:sz w:val="18"/>
          <w:szCs w:val="18"/>
          <w:lang w:val="fr-FR"/>
        </w:rPr>
        <w:t xml:space="preserve"> R., </w:t>
      </w:r>
      <w:proofErr w:type="spellStart"/>
      <w:r w:rsidRPr="006423F1">
        <w:rPr>
          <w:sz w:val="18"/>
          <w:szCs w:val="18"/>
          <w:lang w:val="fr-FR"/>
        </w:rPr>
        <w:t>Fijen</w:t>
      </w:r>
      <w:proofErr w:type="spellEnd"/>
      <w:r w:rsidRPr="006423F1">
        <w:rPr>
          <w:sz w:val="18"/>
          <w:szCs w:val="18"/>
          <w:lang w:val="fr-FR"/>
        </w:rPr>
        <w:t xml:space="preserve"> T.P.M., Garibaldi L.A., Potts S.G., van der Putten W.H. (2019) </w:t>
      </w:r>
      <w:proofErr w:type="spellStart"/>
      <w:r w:rsidRPr="006423F1">
        <w:rPr>
          <w:sz w:val="18"/>
          <w:szCs w:val="18"/>
          <w:lang w:val="fr-FR"/>
        </w:rPr>
        <w:t>Ecological</w:t>
      </w:r>
      <w:proofErr w:type="spellEnd"/>
      <w:r w:rsidRPr="006423F1">
        <w:rPr>
          <w:sz w:val="18"/>
          <w:szCs w:val="18"/>
          <w:lang w:val="fr-FR"/>
        </w:rPr>
        <w:t xml:space="preserve"> intensification : bridging the gap </w:t>
      </w:r>
      <w:proofErr w:type="spellStart"/>
      <w:r w:rsidRPr="006423F1">
        <w:rPr>
          <w:sz w:val="18"/>
          <w:szCs w:val="18"/>
          <w:lang w:val="fr-FR"/>
        </w:rPr>
        <w:t>between</w:t>
      </w:r>
      <w:proofErr w:type="spellEnd"/>
      <w:r w:rsidRPr="006423F1">
        <w:rPr>
          <w:sz w:val="18"/>
          <w:szCs w:val="18"/>
          <w:lang w:val="fr-FR"/>
        </w:rPr>
        <w:t xml:space="preserve"> science and practice</w:t>
      </w:r>
      <w:r>
        <w:rPr>
          <w:i/>
          <w:iCs/>
          <w:sz w:val="18"/>
          <w:szCs w:val="18"/>
          <w:lang w:val="fr-FR"/>
        </w:rPr>
        <w:t xml:space="preserve">, Trends </w:t>
      </w:r>
      <w:proofErr w:type="spellStart"/>
      <w:r>
        <w:rPr>
          <w:i/>
          <w:iCs/>
          <w:sz w:val="18"/>
          <w:szCs w:val="18"/>
          <w:lang w:val="fr-FR"/>
        </w:rPr>
        <w:t>Ecol</w:t>
      </w:r>
      <w:proofErr w:type="spellEnd"/>
      <w:r>
        <w:rPr>
          <w:i/>
          <w:iCs/>
          <w:sz w:val="18"/>
          <w:szCs w:val="18"/>
          <w:lang w:val="fr-FR"/>
        </w:rPr>
        <w:t>. Evol.</w:t>
      </w:r>
      <w:r w:rsidR="004A38EF">
        <w:rPr>
          <w:i/>
          <w:iCs/>
          <w:sz w:val="18"/>
          <w:szCs w:val="18"/>
          <w:lang w:val="fr-FR"/>
        </w:rPr>
        <w:t>,</w:t>
      </w:r>
      <w:r>
        <w:rPr>
          <w:i/>
          <w:iCs/>
          <w:sz w:val="18"/>
          <w:szCs w:val="18"/>
          <w:lang w:val="fr-FR"/>
        </w:rPr>
        <w:t xml:space="preserve"> </w:t>
      </w:r>
      <w:r>
        <w:rPr>
          <w:sz w:val="18"/>
          <w:szCs w:val="18"/>
          <w:lang w:val="fr-FR"/>
        </w:rPr>
        <w:t xml:space="preserve">34, pp. 154-166. </w:t>
      </w:r>
      <w:r>
        <w:rPr>
          <w:i/>
          <w:iCs/>
          <w:sz w:val="18"/>
          <w:szCs w:val="18"/>
          <w:lang w:val="fr-FR"/>
        </w:rPr>
        <w:t xml:space="preserve"> </w:t>
      </w:r>
    </w:p>
    <w:p w14:paraId="3ACDD7A7" w14:textId="068918DE" w:rsidR="006423F1" w:rsidRPr="006423F1" w:rsidRDefault="006423F1" w:rsidP="00081E79">
      <w:pPr>
        <w:ind w:left="425" w:hanging="425"/>
        <w:jc w:val="both"/>
        <w:rPr>
          <w:i/>
          <w:iCs/>
          <w:sz w:val="18"/>
          <w:szCs w:val="18"/>
          <w:lang w:val="en-GB"/>
        </w:rPr>
      </w:pPr>
      <w:r>
        <w:rPr>
          <w:sz w:val="18"/>
          <w:szCs w:val="18"/>
          <w:lang w:val="en-GB"/>
        </w:rPr>
        <w:t xml:space="preserve">Kumar A., Roy D., Tripathi G., Joshi P.K., Adhikari R.P. (2018) Does contract farming improve profits and food safety? Evidence from tomato cultivation in Nepal, </w:t>
      </w:r>
      <w:r>
        <w:rPr>
          <w:i/>
          <w:iCs/>
          <w:sz w:val="18"/>
          <w:szCs w:val="18"/>
          <w:lang w:val="en-GB"/>
        </w:rPr>
        <w:t>J</w:t>
      </w:r>
      <w:r w:rsidR="004A38EF">
        <w:rPr>
          <w:i/>
          <w:iCs/>
          <w:sz w:val="18"/>
          <w:szCs w:val="18"/>
          <w:lang w:val="en-GB"/>
        </w:rPr>
        <w:t xml:space="preserve">. </w:t>
      </w:r>
      <w:proofErr w:type="spellStart"/>
      <w:r w:rsidR="004A38EF">
        <w:rPr>
          <w:i/>
          <w:iCs/>
          <w:sz w:val="18"/>
          <w:szCs w:val="18"/>
          <w:lang w:val="en-GB"/>
        </w:rPr>
        <w:t>Agribus</w:t>
      </w:r>
      <w:proofErr w:type="spellEnd"/>
      <w:r w:rsidR="004A38EF">
        <w:rPr>
          <w:i/>
          <w:iCs/>
          <w:sz w:val="18"/>
          <w:szCs w:val="18"/>
          <w:lang w:val="en-GB"/>
        </w:rPr>
        <w:t xml:space="preserve">. Dev. </w:t>
      </w:r>
      <w:proofErr w:type="spellStart"/>
      <w:r w:rsidR="004A38EF">
        <w:rPr>
          <w:i/>
          <w:iCs/>
          <w:sz w:val="18"/>
          <w:szCs w:val="18"/>
          <w:lang w:val="en-GB"/>
        </w:rPr>
        <w:t>Emerg</w:t>
      </w:r>
      <w:proofErr w:type="spellEnd"/>
      <w:r w:rsidR="004A38EF">
        <w:rPr>
          <w:i/>
          <w:iCs/>
          <w:sz w:val="18"/>
          <w:szCs w:val="18"/>
          <w:lang w:val="en-GB"/>
        </w:rPr>
        <w:t xml:space="preserve">. Econ., </w:t>
      </w:r>
      <w:r w:rsidR="004A38EF" w:rsidRPr="004A38EF">
        <w:rPr>
          <w:sz w:val="18"/>
          <w:szCs w:val="18"/>
          <w:lang w:val="en-GB"/>
        </w:rPr>
        <w:t>8(3), pp. 603-624</w:t>
      </w:r>
    </w:p>
    <w:p w14:paraId="33B14B4B" w14:textId="39D6F531" w:rsidR="004A38EF" w:rsidRPr="009E7ADC" w:rsidRDefault="004A38EF" w:rsidP="00081E79">
      <w:pPr>
        <w:ind w:left="425" w:hanging="425"/>
        <w:jc w:val="both"/>
        <w:rPr>
          <w:sz w:val="18"/>
          <w:szCs w:val="18"/>
          <w:lang w:val="en-GB"/>
        </w:rPr>
      </w:pPr>
      <w:proofErr w:type="spellStart"/>
      <w:r>
        <w:rPr>
          <w:sz w:val="18"/>
          <w:szCs w:val="18"/>
          <w:lang w:val="en-GB"/>
        </w:rPr>
        <w:t>Meynard</w:t>
      </w:r>
      <w:proofErr w:type="spellEnd"/>
      <w:r>
        <w:rPr>
          <w:sz w:val="18"/>
          <w:szCs w:val="18"/>
          <w:lang w:val="en-GB"/>
        </w:rPr>
        <w:t xml:space="preserve"> J.M., </w:t>
      </w:r>
      <w:proofErr w:type="spellStart"/>
      <w:r>
        <w:rPr>
          <w:sz w:val="18"/>
          <w:szCs w:val="18"/>
          <w:lang w:val="en-GB"/>
        </w:rPr>
        <w:t>Jeuffroy</w:t>
      </w:r>
      <w:proofErr w:type="spellEnd"/>
      <w:r>
        <w:rPr>
          <w:sz w:val="18"/>
          <w:szCs w:val="18"/>
          <w:lang w:val="en-GB"/>
        </w:rPr>
        <w:t xml:space="preserve"> M.H., Le Bail M., Lefevre A., Magrini M.B., Michon C. (2017) Designing coupled innovations for the sustainability transition of agrifood systems, </w:t>
      </w:r>
      <w:r>
        <w:rPr>
          <w:i/>
          <w:iCs/>
          <w:sz w:val="18"/>
          <w:szCs w:val="18"/>
          <w:lang w:val="en-GB"/>
        </w:rPr>
        <w:t xml:space="preserve">Agric. </w:t>
      </w:r>
      <w:r w:rsidRPr="009E7ADC">
        <w:rPr>
          <w:i/>
          <w:iCs/>
          <w:sz w:val="18"/>
          <w:szCs w:val="18"/>
          <w:lang w:val="en-GB"/>
        </w:rPr>
        <w:t xml:space="preserve">Syst., </w:t>
      </w:r>
      <w:r w:rsidRPr="009E7ADC">
        <w:rPr>
          <w:sz w:val="18"/>
          <w:szCs w:val="18"/>
          <w:lang w:val="en-GB"/>
        </w:rPr>
        <w:t>157, pp. 330-339.</w:t>
      </w:r>
      <w:r w:rsidRPr="009E7ADC">
        <w:rPr>
          <w:i/>
          <w:iCs/>
          <w:sz w:val="18"/>
          <w:szCs w:val="18"/>
          <w:lang w:val="en-GB"/>
        </w:rPr>
        <w:t xml:space="preserve"> </w:t>
      </w:r>
      <w:r w:rsidRPr="009E7ADC">
        <w:rPr>
          <w:sz w:val="18"/>
          <w:szCs w:val="18"/>
          <w:lang w:val="en-GB"/>
        </w:rPr>
        <w:t xml:space="preserve"> </w:t>
      </w:r>
    </w:p>
    <w:p w14:paraId="719E5F04" w14:textId="4C15C5F0" w:rsidR="004A38EF" w:rsidRPr="004A38EF" w:rsidRDefault="004A38EF" w:rsidP="00081E79">
      <w:pPr>
        <w:ind w:left="425" w:hanging="425"/>
        <w:jc w:val="both"/>
        <w:rPr>
          <w:sz w:val="18"/>
          <w:szCs w:val="18"/>
          <w:lang w:val="en-GB"/>
        </w:rPr>
      </w:pPr>
      <w:proofErr w:type="spellStart"/>
      <w:r w:rsidRPr="004A38EF">
        <w:rPr>
          <w:sz w:val="18"/>
          <w:szCs w:val="18"/>
          <w:lang w:val="en-GB"/>
        </w:rPr>
        <w:t>Pancino</w:t>
      </w:r>
      <w:proofErr w:type="spellEnd"/>
      <w:r w:rsidRPr="004A38EF">
        <w:rPr>
          <w:sz w:val="18"/>
          <w:szCs w:val="18"/>
          <w:lang w:val="en-GB"/>
        </w:rPr>
        <w:t xml:space="preserve"> B., Blasi E., </w:t>
      </w:r>
      <w:proofErr w:type="spellStart"/>
      <w:r w:rsidRPr="004A38EF">
        <w:rPr>
          <w:sz w:val="18"/>
          <w:szCs w:val="18"/>
          <w:lang w:val="en-GB"/>
        </w:rPr>
        <w:t>Rappoldt</w:t>
      </w:r>
      <w:proofErr w:type="spellEnd"/>
      <w:r w:rsidRPr="004A38EF">
        <w:rPr>
          <w:sz w:val="18"/>
          <w:szCs w:val="18"/>
          <w:lang w:val="en-GB"/>
        </w:rPr>
        <w:t xml:space="preserve"> A., </w:t>
      </w:r>
      <w:proofErr w:type="spellStart"/>
      <w:r w:rsidRPr="004A38EF">
        <w:rPr>
          <w:sz w:val="18"/>
          <w:szCs w:val="18"/>
          <w:lang w:val="en-GB"/>
        </w:rPr>
        <w:t>Pascucci</w:t>
      </w:r>
      <w:proofErr w:type="spellEnd"/>
      <w:r w:rsidRPr="004A38EF">
        <w:rPr>
          <w:sz w:val="18"/>
          <w:szCs w:val="18"/>
          <w:lang w:val="en-GB"/>
        </w:rPr>
        <w:t xml:space="preserve"> S., </w:t>
      </w:r>
      <w:proofErr w:type="spellStart"/>
      <w:r w:rsidRPr="004A38EF">
        <w:rPr>
          <w:sz w:val="18"/>
          <w:szCs w:val="18"/>
          <w:lang w:val="en-GB"/>
        </w:rPr>
        <w:t>Ruini</w:t>
      </w:r>
      <w:proofErr w:type="spellEnd"/>
      <w:r w:rsidRPr="004A38EF">
        <w:rPr>
          <w:sz w:val="18"/>
          <w:szCs w:val="18"/>
          <w:lang w:val="en-GB"/>
        </w:rPr>
        <w:t xml:space="preserve"> L., Ronchi C. (2019) Partnering for sustainability in agri-food supply chains: t</w:t>
      </w:r>
      <w:r>
        <w:rPr>
          <w:sz w:val="18"/>
          <w:szCs w:val="18"/>
          <w:lang w:val="en-GB"/>
        </w:rPr>
        <w:t xml:space="preserve">he case of Barilla Sustainable Farming in the Po Valley, </w:t>
      </w:r>
      <w:r>
        <w:rPr>
          <w:i/>
          <w:iCs/>
          <w:sz w:val="18"/>
          <w:szCs w:val="18"/>
          <w:lang w:val="en-GB"/>
        </w:rPr>
        <w:t xml:space="preserve">Agric. Food Econ., </w:t>
      </w:r>
      <w:r>
        <w:rPr>
          <w:sz w:val="18"/>
          <w:szCs w:val="18"/>
          <w:lang w:val="en-GB"/>
        </w:rPr>
        <w:t>7(1), pp. 1-10.</w:t>
      </w:r>
    </w:p>
    <w:p w14:paraId="6403B436" w14:textId="48153BA7" w:rsidR="00081E79" w:rsidRPr="00432AC7" w:rsidRDefault="000E20A1" w:rsidP="00081E79">
      <w:pPr>
        <w:ind w:left="425" w:hanging="425"/>
        <w:jc w:val="both"/>
        <w:rPr>
          <w:lang w:val="en-US"/>
        </w:rPr>
      </w:pPr>
      <w:r>
        <w:rPr>
          <w:sz w:val="18"/>
          <w:szCs w:val="18"/>
          <w:lang w:val="en-GB"/>
        </w:rPr>
        <w:t>Rosa-</w:t>
      </w:r>
      <w:proofErr w:type="spellStart"/>
      <w:r>
        <w:rPr>
          <w:sz w:val="18"/>
          <w:szCs w:val="18"/>
          <w:lang w:val="en-GB"/>
        </w:rPr>
        <w:t>Scheich</w:t>
      </w:r>
      <w:proofErr w:type="spellEnd"/>
      <w:r>
        <w:rPr>
          <w:sz w:val="18"/>
          <w:szCs w:val="18"/>
          <w:lang w:val="en-GB"/>
        </w:rPr>
        <w:t xml:space="preserve"> </w:t>
      </w:r>
      <w:proofErr w:type="spellStart"/>
      <w:proofErr w:type="gramStart"/>
      <w:r>
        <w:rPr>
          <w:sz w:val="18"/>
          <w:szCs w:val="18"/>
          <w:lang w:val="en-GB"/>
        </w:rPr>
        <w:t>J.,Loss</w:t>
      </w:r>
      <w:proofErr w:type="spellEnd"/>
      <w:proofErr w:type="gramEnd"/>
      <w:r>
        <w:rPr>
          <w:sz w:val="18"/>
          <w:szCs w:val="18"/>
          <w:lang w:val="en-GB"/>
        </w:rPr>
        <w:t xml:space="preserve"> J., </w:t>
      </w:r>
      <w:proofErr w:type="spellStart"/>
      <w:r>
        <w:rPr>
          <w:sz w:val="18"/>
          <w:szCs w:val="18"/>
          <w:lang w:val="en-GB"/>
        </w:rPr>
        <w:t>Mubhoff</w:t>
      </w:r>
      <w:proofErr w:type="spellEnd"/>
      <w:r>
        <w:rPr>
          <w:sz w:val="18"/>
          <w:szCs w:val="18"/>
          <w:lang w:val="en-GB"/>
        </w:rPr>
        <w:t xml:space="preserve"> O., </w:t>
      </w:r>
      <w:proofErr w:type="spellStart"/>
      <w:r>
        <w:rPr>
          <w:sz w:val="18"/>
          <w:szCs w:val="18"/>
          <w:lang w:val="en-GB"/>
        </w:rPr>
        <w:t>Tschamtke</w:t>
      </w:r>
      <w:proofErr w:type="spellEnd"/>
      <w:r>
        <w:rPr>
          <w:sz w:val="18"/>
          <w:szCs w:val="18"/>
          <w:lang w:val="en-GB"/>
        </w:rPr>
        <w:t xml:space="preserve"> T. (2019) Ecological–economic trade-offs of diversified farming systems – A review, </w:t>
      </w:r>
      <w:r w:rsidRPr="006423F1">
        <w:rPr>
          <w:i/>
          <w:iCs/>
          <w:sz w:val="18"/>
          <w:szCs w:val="18"/>
          <w:lang w:val="en-GB"/>
        </w:rPr>
        <w:t>Ecol. Econ</w:t>
      </w:r>
      <w:r>
        <w:rPr>
          <w:sz w:val="18"/>
          <w:szCs w:val="18"/>
          <w:lang w:val="en-GB"/>
        </w:rPr>
        <w:t>.</w:t>
      </w:r>
      <w:r w:rsidR="004A38EF">
        <w:rPr>
          <w:sz w:val="18"/>
          <w:szCs w:val="18"/>
          <w:lang w:val="en-GB"/>
        </w:rPr>
        <w:t>,</w:t>
      </w:r>
      <w:r>
        <w:rPr>
          <w:sz w:val="18"/>
          <w:szCs w:val="18"/>
          <w:lang w:val="en-GB"/>
        </w:rPr>
        <w:t xml:space="preserve"> </w:t>
      </w:r>
      <w:r w:rsidR="006423F1">
        <w:rPr>
          <w:sz w:val="18"/>
          <w:szCs w:val="18"/>
          <w:lang w:val="en-GB"/>
        </w:rPr>
        <w:t>160, pp. 251-263.</w:t>
      </w:r>
    </w:p>
    <w:p w14:paraId="1ED5DDF3" w14:textId="6553A112" w:rsidR="00081E79" w:rsidRPr="001507DB" w:rsidRDefault="004A38EF" w:rsidP="00081E79">
      <w:pPr>
        <w:ind w:left="425" w:hanging="425"/>
        <w:jc w:val="both"/>
        <w:rPr>
          <w:sz w:val="18"/>
          <w:szCs w:val="18"/>
          <w:lang w:val="en-GB"/>
        </w:rPr>
      </w:pPr>
      <w:proofErr w:type="spellStart"/>
      <w:r w:rsidRPr="004A38EF">
        <w:rPr>
          <w:sz w:val="18"/>
          <w:szCs w:val="18"/>
          <w:lang w:val="en-GB"/>
        </w:rPr>
        <w:t>Weituschat</w:t>
      </w:r>
      <w:proofErr w:type="spellEnd"/>
      <w:r w:rsidRPr="004A38EF">
        <w:rPr>
          <w:sz w:val="18"/>
          <w:szCs w:val="18"/>
          <w:lang w:val="en-GB"/>
        </w:rPr>
        <w:t xml:space="preserve"> C.S., </w:t>
      </w:r>
      <w:proofErr w:type="spellStart"/>
      <w:r w:rsidRPr="004A38EF">
        <w:rPr>
          <w:sz w:val="18"/>
          <w:szCs w:val="18"/>
          <w:lang w:val="en-GB"/>
        </w:rPr>
        <w:t>Pascucci</w:t>
      </w:r>
      <w:proofErr w:type="spellEnd"/>
      <w:r w:rsidRPr="004A38EF">
        <w:rPr>
          <w:sz w:val="18"/>
          <w:szCs w:val="18"/>
          <w:lang w:val="en-GB"/>
        </w:rPr>
        <w:t xml:space="preserve"> S., Materia V.C., Blasi E. (2023) Understanding t</w:t>
      </w:r>
      <w:r>
        <w:rPr>
          <w:sz w:val="18"/>
          <w:szCs w:val="18"/>
          <w:lang w:val="en-GB"/>
        </w:rPr>
        <w:t xml:space="preserve">he role of value chain formation in the scaling of crop diversification, </w:t>
      </w:r>
      <w:proofErr w:type="spellStart"/>
      <w:r w:rsidR="001507DB">
        <w:rPr>
          <w:i/>
          <w:iCs/>
          <w:sz w:val="18"/>
          <w:szCs w:val="18"/>
          <w:lang w:val="en-GB"/>
        </w:rPr>
        <w:t>Agron</w:t>
      </w:r>
      <w:proofErr w:type="spellEnd"/>
      <w:r w:rsidR="001507DB">
        <w:rPr>
          <w:i/>
          <w:iCs/>
          <w:sz w:val="18"/>
          <w:szCs w:val="18"/>
          <w:lang w:val="en-GB"/>
        </w:rPr>
        <w:t xml:space="preserve">. Sustain. Dev., </w:t>
      </w:r>
      <w:r w:rsidR="001507DB" w:rsidRPr="001507DB">
        <w:rPr>
          <w:b/>
          <w:bCs/>
          <w:sz w:val="18"/>
          <w:szCs w:val="18"/>
          <w:lang w:val="en-GB"/>
        </w:rPr>
        <w:t>43</w:t>
      </w:r>
      <w:r w:rsidR="001507DB">
        <w:rPr>
          <w:sz w:val="18"/>
          <w:szCs w:val="18"/>
          <w:lang w:val="en-GB"/>
        </w:rPr>
        <w:t>,25.</w:t>
      </w:r>
    </w:p>
    <w:p w14:paraId="3371CD62" w14:textId="77777777" w:rsidR="008604A1" w:rsidRPr="004A38EF" w:rsidRDefault="00000000">
      <w:pPr>
        <w:rPr>
          <w:lang w:val="en-GB"/>
        </w:rPr>
      </w:pPr>
    </w:p>
    <w:sectPr w:rsidR="008604A1" w:rsidRPr="004A38EF" w:rsidSect="001507D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50F"/>
    <w:multiLevelType w:val="hybridMultilevel"/>
    <w:tmpl w:val="54A8340A"/>
    <w:lvl w:ilvl="0" w:tplc="E710EAAA">
      <w:start w:val="1"/>
      <w:numFmt w:val="upperLetter"/>
      <w:lvlText w:val="%13)"/>
      <w:lvlJc w:val="righ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295B95"/>
    <w:multiLevelType w:val="hybridMultilevel"/>
    <w:tmpl w:val="604A91EE"/>
    <w:lvl w:ilvl="0" w:tplc="D1566DE6">
      <w:start w:val="1"/>
      <w:numFmt w:val="upperLetter"/>
      <w:lvlText w:val="%12)"/>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ED7784"/>
    <w:multiLevelType w:val="hybridMultilevel"/>
    <w:tmpl w:val="DCE60170"/>
    <w:lvl w:ilvl="0" w:tplc="BDD29534">
      <w:start w:val="1"/>
      <w:numFmt w:val="upperLetter"/>
      <w:lvlText w:val="%15)"/>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3623819"/>
    <w:multiLevelType w:val="multilevel"/>
    <w:tmpl w:val="AC5A85A8"/>
    <w:lvl w:ilvl="0">
      <w:start w:val="1"/>
      <w:numFmt w:val="upperLetter"/>
      <w:lvlText w:val="%1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6211817"/>
    <w:multiLevelType w:val="hybridMultilevel"/>
    <w:tmpl w:val="5B6A6E0C"/>
    <w:lvl w:ilvl="0" w:tplc="7E3C3E78">
      <w:start w:val="1"/>
      <w:numFmt w:val="upperLetter"/>
      <w:lvlText w:val="%14)"/>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8879498">
    <w:abstractNumId w:val="3"/>
  </w:num>
  <w:num w:numId="2" w16cid:durableId="2096241497">
    <w:abstractNumId w:val="1"/>
  </w:num>
  <w:num w:numId="3" w16cid:durableId="1273174503">
    <w:abstractNumId w:val="0"/>
  </w:num>
  <w:num w:numId="4" w16cid:durableId="2062973561">
    <w:abstractNumId w:val="4"/>
  </w:num>
  <w:num w:numId="5" w16cid:durableId="659383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79"/>
    <w:rsid w:val="000117EE"/>
    <w:rsid w:val="00042F76"/>
    <w:rsid w:val="00081E79"/>
    <w:rsid w:val="000E20A1"/>
    <w:rsid w:val="001507DB"/>
    <w:rsid w:val="001E6047"/>
    <w:rsid w:val="002E2633"/>
    <w:rsid w:val="0045293B"/>
    <w:rsid w:val="004A38EF"/>
    <w:rsid w:val="004F1610"/>
    <w:rsid w:val="00507E3B"/>
    <w:rsid w:val="00566FD3"/>
    <w:rsid w:val="00606853"/>
    <w:rsid w:val="006423F1"/>
    <w:rsid w:val="00645545"/>
    <w:rsid w:val="00680B31"/>
    <w:rsid w:val="00973087"/>
    <w:rsid w:val="009E7ADC"/>
    <w:rsid w:val="00E017E5"/>
    <w:rsid w:val="00EE19E8"/>
    <w:rsid w:val="00F235D2"/>
    <w:rsid w:val="00F96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2DFE"/>
  <w15:chartTrackingRefBased/>
  <w15:docId w15:val="{1ACF1CC6-E060-1A4E-BB32-AC9B5439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E7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081E7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081E7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81E7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081E7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081E7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081E79"/>
    <w:rPr>
      <w:rFonts w:ascii="Times New Roman" w:eastAsia="Times New Roman" w:hAnsi="Times New Roman" w:cs="Times New Roman"/>
      <w:b/>
      <w:kern w:val="2"/>
      <w:sz w:val="28"/>
      <w:szCs w:val="20"/>
      <w:lang w:val="nl-NL" w:eastAsia="zh-CN"/>
    </w:rPr>
  </w:style>
  <w:style w:type="paragraph" w:styleId="Corpotesto">
    <w:name w:val="Body Text"/>
    <w:basedOn w:val="Normale"/>
    <w:link w:val="CorpotestoCarattere"/>
    <w:rsid w:val="00081E79"/>
    <w:rPr>
      <w:i/>
      <w:iCs/>
      <w:sz w:val="32"/>
    </w:rPr>
  </w:style>
  <w:style w:type="character" w:customStyle="1" w:styleId="CorpotestoCarattere">
    <w:name w:val="Corpo testo Carattere"/>
    <w:basedOn w:val="Carpredefinitoparagrafo"/>
    <w:link w:val="Corpotesto"/>
    <w:rsid w:val="00081E79"/>
    <w:rPr>
      <w:rFonts w:ascii="Times New Roman" w:eastAsia="Times New Roman" w:hAnsi="Times New Roman" w:cs="Times New Roman"/>
      <w:i/>
      <w:iCs/>
      <w:sz w:val="32"/>
      <w:szCs w:val="20"/>
      <w:lang w:eastAsia="zh-CN"/>
    </w:rPr>
  </w:style>
  <w:style w:type="paragraph" w:styleId="Corpodeltesto2">
    <w:name w:val="Body Text 2"/>
    <w:basedOn w:val="Normale"/>
    <w:link w:val="Corpodeltesto2Carattere"/>
    <w:qFormat/>
    <w:rsid w:val="00081E79"/>
    <w:pPr>
      <w:shd w:val="clear" w:color="auto" w:fill="FFFFFF"/>
    </w:pPr>
    <w:rPr>
      <w:b/>
      <w:bCs/>
      <w:i/>
      <w:iCs/>
      <w:sz w:val="28"/>
    </w:rPr>
  </w:style>
  <w:style w:type="character" w:customStyle="1" w:styleId="Corpodeltesto2Carattere">
    <w:name w:val="Corpo del testo 2 Carattere"/>
    <w:basedOn w:val="Carpredefinitoparagrafo"/>
    <w:link w:val="Corpodeltesto2"/>
    <w:rsid w:val="00081E7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081E7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081E79"/>
    <w:rPr>
      <w:rFonts w:ascii="Times New Roman" w:eastAsia="Times New Roman" w:hAnsi="Times New Roman" w:cs="Times New Roman"/>
      <w:kern w:val="2"/>
      <w:sz w:val="20"/>
      <w:szCs w:val="20"/>
      <w:lang w:val="nl-NL" w:eastAsia="zh-CN"/>
    </w:rPr>
  </w:style>
  <w:style w:type="paragraph" w:customStyle="1" w:styleId="Titolo11">
    <w:name w:val="Titolo 11"/>
    <w:basedOn w:val="Normale"/>
    <w:rsid w:val="001E6047"/>
  </w:style>
  <w:style w:type="paragraph" w:styleId="Paragrafoelenco">
    <w:name w:val="List Paragraph"/>
    <w:basedOn w:val="Normale"/>
    <w:uiPriority w:val="34"/>
    <w:qFormat/>
    <w:rsid w:val="001E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D46D-C95E-4598-94E2-C7E5D255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1426</Words>
  <Characters>8131</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Maria Teresa Cappella</cp:lastModifiedBy>
  <cp:revision>2</cp:revision>
  <dcterms:created xsi:type="dcterms:W3CDTF">2023-06-29T15:43:00Z</dcterms:created>
  <dcterms:modified xsi:type="dcterms:W3CDTF">2023-06-29T15:43:00Z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fc37e5264fc8a707f39457fa0dcd9a32c21b5a7bb08f47a37d2f36ec4ee7816b</vt:lpwstr>
  </property>
</Properties>
</file>