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6D0FE6" w14:textId="11EE06D2" w:rsidR="00512D9B" w:rsidRPr="00C77942" w:rsidRDefault="006D3567">
      <w:pPr>
        <w:pStyle w:val="Titolo"/>
        <w:spacing w:before="600" w:line="240" w:lineRule="auto"/>
        <w:rPr>
          <w:lang w:val="en-GB"/>
        </w:rPr>
      </w:pPr>
      <w:r w:rsidRPr="00C77942">
        <w:rPr>
          <w:bCs/>
          <w:lang w:val="en-GB"/>
        </w:rPr>
        <w:t>By-products from agri-food industrial sector: resource or waste? An eco-friendly utilization to preserve the food</w:t>
      </w:r>
      <w:r w:rsidR="00BC6828" w:rsidRPr="00C77942">
        <w:rPr>
          <w:bCs/>
          <w:lang w:val="en-GB"/>
        </w:rPr>
        <w:t>’s</w:t>
      </w:r>
      <w:r w:rsidRPr="00C77942">
        <w:rPr>
          <w:bCs/>
          <w:lang w:val="en-GB"/>
        </w:rPr>
        <w:t xml:space="preserve"> quality</w:t>
      </w:r>
      <w:r w:rsidRPr="00C77942">
        <w:rPr>
          <w:lang w:val="en-GB"/>
        </w:rPr>
        <w:t xml:space="preserve"> </w:t>
      </w:r>
    </w:p>
    <w:p w14:paraId="3A432760" w14:textId="77777777" w:rsidR="002F10F5" w:rsidRPr="00C77942" w:rsidRDefault="002F10F5" w:rsidP="002F10F5">
      <w:pPr>
        <w:jc w:val="center"/>
        <w:rPr>
          <w:lang w:val="en-GB"/>
        </w:rPr>
      </w:pPr>
      <w:bookmarkStart w:id="0" w:name="_Hlk138505600"/>
      <w:r w:rsidRPr="00C77942">
        <w:rPr>
          <w:lang w:val="en-GB"/>
        </w:rPr>
        <w:t>Miriam Arianna Boninsegna (</w:t>
      </w:r>
      <w:hyperlink r:id="rId11" w:history="1">
        <w:r w:rsidRPr="00284314">
          <w:rPr>
            <w:rStyle w:val="Collegamentoipertestuale"/>
            <w:color w:val="000000" w:themeColor="text1"/>
            <w:u w:val="none"/>
            <w:lang w:val="en-GB"/>
          </w:rPr>
          <w:t>miriam.boninsegna@unirc.it</w:t>
        </w:r>
      </w:hyperlink>
      <w:r w:rsidRPr="00C77942">
        <w:rPr>
          <w:lang w:val="en-GB"/>
        </w:rPr>
        <w:t>)</w:t>
      </w:r>
    </w:p>
    <w:p w14:paraId="3D4A71AE" w14:textId="77777777" w:rsidR="002F10F5" w:rsidRPr="007C58A0" w:rsidRDefault="002F10F5" w:rsidP="002F10F5">
      <w:pPr>
        <w:jc w:val="center"/>
      </w:pPr>
      <w:r w:rsidRPr="007C58A0">
        <w:t xml:space="preserve">Agricultural Department of Mediterranea University of Reggio Calabria, Reggio Calabria, Italy </w:t>
      </w:r>
    </w:p>
    <w:p w14:paraId="6BF7F7F3" w14:textId="77777777" w:rsidR="002F10F5" w:rsidRPr="007C58A0" w:rsidRDefault="002F10F5" w:rsidP="002F10F5">
      <w:pPr>
        <w:jc w:val="center"/>
      </w:pPr>
      <w:r w:rsidRPr="007C58A0">
        <w:t>Tutor: Prof. Amalia Rosa Maria Piscopo</w:t>
      </w:r>
    </w:p>
    <w:p w14:paraId="22F01A05" w14:textId="77777777" w:rsidR="002F10F5" w:rsidRPr="007C58A0" w:rsidRDefault="002F10F5" w:rsidP="002F10F5">
      <w:pPr>
        <w:jc w:val="center"/>
      </w:pPr>
      <w:r w:rsidRPr="007C58A0">
        <w:t>Co-Tutor: Prof. Alessandra De Bruno</w:t>
      </w:r>
    </w:p>
    <w:bookmarkEnd w:id="0"/>
    <w:p w14:paraId="10CE74EB" w14:textId="77777777" w:rsidR="00C6350E" w:rsidRPr="007C58A0" w:rsidRDefault="00C6350E" w:rsidP="00C6350E">
      <w:pPr>
        <w:jc w:val="center"/>
      </w:pPr>
    </w:p>
    <w:p w14:paraId="5F74ACB6" w14:textId="0F7643D5" w:rsidR="00AA4C11" w:rsidRPr="00C77942" w:rsidRDefault="00D75748" w:rsidP="00AA4C11">
      <w:pPr>
        <w:tabs>
          <w:tab w:val="left" w:pos="0"/>
        </w:tabs>
        <w:jc w:val="both"/>
        <w:rPr>
          <w:lang w:val="en-GB"/>
        </w:rPr>
      </w:pPr>
      <w:r w:rsidRPr="00D75748">
        <w:rPr>
          <w:lang w:val="en-GB"/>
        </w:rPr>
        <w:t>Coffee silverskin, coffee roasting by-product, was characterised for its antioxidant properties. Different extraction parameters were tested to recover bioactive compounds. The best selected extract was used in the formulation of gummy candies at different concentrations and qualitative analysis were carried out up to 120 days of storage at 25°C. Higher quality, in terms of antioxidant activity, sensory and textural characteristics, was observed in candies formulated with 1% of coffee silverskin extract. This valorisation of coffee by-product could satisfy consumer’s demand for the use of eco-friendly resource to produce foods</w:t>
      </w:r>
      <w:r w:rsidR="007C58A0">
        <w:rPr>
          <w:lang w:val="en-GB"/>
        </w:rPr>
        <w:t xml:space="preserve"> and to preserve their quality</w:t>
      </w:r>
      <w:r w:rsidRPr="00D75748">
        <w:rPr>
          <w:lang w:val="en-GB"/>
        </w:rPr>
        <w:t>.</w:t>
      </w:r>
    </w:p>
    <w:p w14:paraId="2F438A06" w14:textId="641F0621" w:rsidR="00FA2901" w:rsidRPr="00F30578" w:rsidRDefault="00FA2901" w:rsidP="00501071">
      <w:pPr>
        <w:pStyle w:val="Titolo"/>
        <w:spacing w:before="240" w:line="240" w:lineRule="auto"/>
        <w:rPr>
          <w:bCs/>
          <w:sz w:val="24"/>
          <w:lang w:val="it-IT"/>
        </w:rPr>
      </w:pPr>
      <w:r w:rsidRPr="00F30578">
        <w:rPr>
          <w:bCs/>
          <w:sz w:val="24"/>
          <w:lang w:val="it-IT"/>
        </w:rPr>
        <w:t>Sottoprodotti del settore agroalimentare: rifiuti o risorse? U</w:t>
      </w:r>
      <w:r w:rsidR="00BB084B" w:rsidRPr="00F30578">
        <w:rPr>
          <w:bCs/>
          <w:sz w:val="24"/>
          <w:lang w:val="it-IT"/>
        </w:rPr>
        <w:t>n’u</w:t>
      </w:r>
      <w:r w:rsidRPr="00F30578">
        <w:rPr>
          <w:bCs/>
          <w:sz w:val="24"/>
          <w:lang w:val="it-IT"/>
        </w:rPr>
        <w:t>tilizzazione eco-sostenibile per preservare la qualità degli alimenti</w:t>
      </w:r>
    </w:p>
    <w:p w14:paraId="78AD4BD6" w14:textId="3AEABE6F" w:rsidR="00834454" w:rsidRPr="00C77942" w:rsidRDefault="001E4376" w:rsidP="00834454">
      <w:pPr>
        <w:tabs>
          <w:tab w:val="left" w:pos="0"/>
        </w:tabs>
        <w:jc w:val="both"/>
        <w:rPr>
          <w:iCs/>
        </w:rPr>
      </w:pPr>
      <w:r>
        <w:rPr>
          <w:iCs/>
        </w:rPr>
        <w:t xml:space="preserve">Coffee silverskin, sottoprodotto della </w:t>
      </w:r>
      <w:r w:rsidR="005826EC">
        <w:rPr>
          <w:iCs/>
        </w:rPr>
        <w:t>torrefazione</w:t>
      </w:r>
      <w:r>
        <w:rPr>
          <w:iCs/>
        </w:rPr>
        <w:t xml:space="preserve"> del caffè, è </w:t>
      </w:r>
      <w:r w:rsidR="005826EC">
        <w:rPr>
          <w:iCs/>
        </w:rPr>
        <w:t xml:space="preserve">stato caratterizzato </w:t>
      </w:r>
      <w:r w:rsidR="00475840">
        <w:rPr>
          <w:iCs/>
        </w:rPr>
        <w:t>per l</w:t>
      </w:r>
      <w:r w:rsidR="0051653F">
        <w:rPr>
          <w:iCs/>
        </w:rPr>
        <w:t xml:space="preserve">e sue proprietà antiossidanti.  Sono stati testati differenti parametri di estrazione al fine di recuperare </w:t>
      </w:r>
      <w:r w:rsidR="00941492">
        <w:rPr>
          <w:iCs/>
        </w:rPr>
        <w:t xml:space="preserve">composti bioattivi. Il miglior estratto è </w:t>
      </w:r>
      <w:r w:rsidR="009848D6">
        <w:rPr>
          <w:iCs/>
        </w:rPr>
        <w:t xml:space="preserve">stato </w:t>
      </w:r>
      <w:r w:rsidR="004B19C0">
        <w:rPr>
          <w:iCs/>
        </w:rPr>
        <w:t>utilizzato,</w:t>
      </w:r>
      <w:r w:rsidR="00BF223E">
        <w:rPr>
          <w:iCs/>
        </w:rPr>
        <w:t xml:space="preserve"> </w:t>
      </w:r>
      <w:r w:rsidR="001A4ED4">
        <w:rPr>
          <w:iCs/>
        </w:rPr>
        <w:t>a differenti concentrazioni</w:t>
      </w:r>
      <w:r w:rsidR="004B19C0">
        <w:rPr>
          <w:iCs/>
        </w:rPr>
        <w:t>,</w:t>
      </w:r>
      <w:r w:rsidR="00BF223E">
        <w:rPr>
          <w:iCs/>
        </w:rPr>
        <w:t xml:space="preserve"> </w:t>
      </w:r>
      <w:r w:rsidR="001A4ED4">
        <w:rPr>
          <w:iCs/>
        </w:rPr>
        <w:t>per la formulazione di caramelle gommose</w:t>
      </w:r>
      <w:r w:rsidR="005C603C">
        <w:rPr>
          <w:iCs/>
        </w:rPr>
        <w:t xml:space="preserve"> sulle quali so</w:t>
      </w:r>
      <w:r w:rsidR="00E712B5">
        <w:rPr>
          <w:iCs/>
        </w:rPr>
        <w:t>no state condotte analisi qualitative per 120 giorni di conservazione a 25 °C.</w:t>
      </w:r>
      <w:r w:rsidR="00EB5A88">
        <w:rPr>
          <w:iCs/>
        </w:rPr>
        <w:t xml:space="preserve"> </w:t>
      </w:r>
      <w:r w:rsidR="004C15B5">
        <w:rPr>
          <w:iCs/>
        </w:rPr>
        <w:t>L</w:t>
      </w:r>
      <w:r w:rsidR="00EB5A88">
        <w:rPr>
          <w:iCs/>
        </w:rPr>
        <w:t xml:space="preserve">e caramelle </w:t>
      </w:r>
      <w:r w:rsidR="009A4642">
        <w:rPr>
          <w:iCs/>
        </w:rPr>
        <w:t xml:space="preserve">con 1% di estratto hanno presentato una </w:t>
      </w:r>
      <w:r w:rsidR="004243C9">
        <w:rPr>
          <w:iCs/>
        </w:rPr>
        <w:t xml:space="preserve">spiccata qualità </w:t>
      </w:r>
      <w:r w:rsidR="00122E1E">
        <w:rPr>
          <w:iCs/>
        </w:rPr>
        <w:t>per attività antiossidante, caratteristiche s</w:t>
      </w:r>
      <w:r w:rsidR="004C15B5">
        <w:rPr>
          <w:iCs/>
        </w:rPr>
        <w:t>ensoriali e strutturali</w:t>
      </w:r>
      <w:r w:rsidR="001E6C56">
        <w:rPr>
          <w:iCs/>
        </w:rPr>
        <w:t xml:space="preserve">. </w:t>
      </w:r>
      <w:r w:rsidR="00245AD7" w:rsidRPr="00245AD7">
        <w:rPr>
          <w:iCs/>
        </w:rPr>
        <w:t>Questa valorizzazione de</w:t>
      </w:r>
      <w:r w:rsidR="007C58A0">
        <w:rPr>
          <w:iCs/>
        </w:rPr>
        <w:t>l</w:t>
      </w:r>
      <w:r w:rsidR="00245AD7" w:rsidRPr="00245AD7">
        <w:rPr>
          <w:iCs/>
        </w:rPr>
        <w:t xml:space="preserve"> sottoprodott</w:t>
      </w:r>
      <w:r w:rsidR="007C58A0">
        <w:rPr>
          <w:iCs/>
        </w:rPr>
        <w:t>o</w:t>
      </w:r>
      <w:r w:rsidR="00245AD7" w:rsidRPr="00245AD7">
        <w:rPr>
          <w:iCs/>
        </w:rPr>
        <w:t xml:space="preserve"> del caffè potrebbe soddisfare la domanda dei consumatori </w:t>
      </w:r>
      <w:r w:rsidR="00CB36C9">
        <w:rPr>
          <w:iCs/>
        </w:rPr>
        <w:t xml:space="preserve">riguardo l’utilizzazione di </w:t>
      </w:r>
      <w:r w:rsidR="00245AD7" w:rsidRPr="00245AD7">
        <w:rPr>
          <w:iCs/>
        </w:rPr>
        <w:t>risorse eco</w:t>
      </w:r>
      <w:r w:rsidR="00CB36C9">
        <w:rPr>
          <w:iCs/>
        </w:rPr>
        <w:t xml:space="preserve">-sostenibili </w:t>
      </w:r>
      <w:r w:rsidR="007C58A0" w:rsidRPr="007C58A0">
        <w:rPr>
          <w:iCs/>
        </w:rPr>
        <w:t>per produrre alimenti e preservarne la qualità</w:t>
      </w:r>
      <w:r w:rsidR="00245AD7" w:rsidRPr="00245AD7">
        <w:rPr>
          <w:iCs/>
        </w:rPr>
        <w:t>.</w:t>
      </w:r>
    </w:p>
    <w:p w14:paraId="73C1D670" w14:textId="77777777" w:rsidR="00512D9B" w:rsidRPr="00D75748" w:rsidRDefault="00512D9B">
      <w:pPr>
        <w:tabs>
          <w:tab w:val="left" w:pos="0"/>
        </w:tabs>
        <w:jc w:val="both"/>
      </w:pPr>
    </w:p>
    <w:p w14:paraId="6E4C6A6A" w14:textId="3D951FE0" w:rsidR="00512D9B" w:rsidRPr="00F30578" w:rsidRDefault="00FB589C">
      <w:pPr>
        <w:ind w:left="567" w:hanging="567"/>
        <w:jc w:val="both"/>
        <w:rPr>
          <w:lang w:val="en-GB"/>
        </w:rPr>
      </w:pPr>
      <w:r w:rsidRPr="00F30578">
        <w:rPr>
          <w:b/>
          <w:bCs/>
          <w:lang w:val="en-GB"/>
        </w:rPr>
        <w:t>Key words</w:t>
      </w:r>
      <w:r w:rsidRPr="00F30578">
        <w:rPr>
          <w:lang w:val="en-GB"/>
        </w:rPr>
        <w:t xml:space="preserve">: </w:t>
      </w:r>
      <w:r w:rsidR="004C2CDD" w:rsidRPr="00F30578">
        <w:rPr>
          <w:lang w:val="en-GB"/>
        </w:rPr>
        <w:t>Agri-food waste; coffee by-products;</w:t>
      </w:r>
      <w:r w:rsidR="007558C9" w:rsidRPr="00F30578">
        <w:rPr>
          <w:lang w:val="en-GB"/>
        </w:rPr>
        <w:t xml:space="preserve"> bioactive compounds, fortified food, gummy candies.</w:t>
      </w:r>
    </w:p>
    <w:p w14:paraId="049B5BB9" w14:textId="77777777" w:rsidR="00512D9B" w:rsidRPr="00C77942" w:rsidRDefault="00FB589C">
      <w:pPr>
        <w:pStyle w:val="Titolo1"/>
        <w:spacing w:before="240" w:after="120"/>
        <w:ind w:right="0"/>
        <w:jc w:val="both"/>
        <w:rPr>
          <w:b/>
          <w:bCs/>
          <w:color w:val="000000"/>
          <w:sz w:val="24"/>
          <w:lang w:val="en-GB"/>
        </w:rPr>
      </w:pPr>
      <w:r w:rsidRPr="00C77942">
        <w:rPr>
          <w:b/>
          <w:bCs/>
          <w:color w:val="000000"/>
          <w:sz w:val="24"/>
          <w:lang w:val="en-GB"/>
        </w:rPr>
        <w:t>1. Introduction</w:t>
      </w:r>
    </w:p>
    <w:p w14:paraId="77D59ED7" w14:textId="77777777" w:rsidR="00F34FD7" w:rsidRPr="00C77942" w:rsidRDefault="00F34FD7" w:rsidP="00F34FD7">
      <w:pPr>
        <w:jc w:val="both"/>
        <w:rPr>
          <w:lang w:val="en-GB"/>
        </w:rPr>
      </w:pPr>
      <w:r w:rsidRPr="00C77942">
        <w:rPr>
          <w:lang w:val="en-GB"/>
        </w:rPr>
        <w:t xml:space="preserve">In accordance with the PhD thesis project, this poster reports the main results of the following activities: </w:t>
      </w:r>
    </w:p>
    <w:p w14:paraId="593BA49A" w14:textId="624F8A51" w:rsidR="00F34FD7" w:rsidRPr="00C77942" w:rsidRDefault="00F34FD7" w:rsidP="00F34FD7">
      <w:pPr>
        <w:jc w:val="both"/>
        <w:rPr>
          <w:lang w:val="en-GB"/>
        </w:rPr>
      </w:pPr>
      <w:r w:rsidRPr="00C77942">
        <w:rPr>
          <w:lang w:val="en-GB"/>
        </w:rPr>
        <w:t xml:space="preserve">(A1) Extraction of </w:t>
      </w:r>
      <w:r w:rsidR="00111555">
        <w:rPr>
          <w:lang w:val="en-GB"/>
        </w:rPr>
        <w:t xml:space="preserve">bioactive compounds from </w:t>
      </w:r>
      <w:r w:rsidRPr="00C77942">
        <w:rPr>
          <w:lang w:val="en-GB"/>
        </w:rPr>
        <w:t>coffee silverskin and characterization of obtained extracts;</w:t>
      </w:r>
    </w:p>
    <w:p w14:paraId="60268395" w14:textId="2AEF74E1" w:rsidR="00F34FD7" w:rsidRPr="00C77942" w:rsidRDefault="00F34FD7" w:rsidP="00F34FD7">
      <w:pPr>
        <w:jc w:val="both"/>
        <w:rPr>
          <w:lang w:val="en-GB"/>
        </w:rPr>
      </w:pPr>
      <w:r w:rsidRPr="00C77942">
        <w:rPr>
          <w:lang w:val="en-GB"/>
        </w:rPr>
        <w:t xml:space="preserve">(A2) </w:t>
      </w:r>
      <w:r w:rsidR="009275C4" w:rsidRPr="00C77942">
        <w:rPr>
          <w:lang w:val="en-GB"/>
        </w:rPr>
        <w:t xml:space="preserve">Formulation </w:t>
      </w:r>
      <w:r w:rsidRPr="00C77942">
        <w:rPr>
          <w:lang w:val="en-GB"/>
        </w:rPr>
        <w:t>of gummy candies with selected coffee silverskin extract;</w:t>
      </w:r>
    </w:p>
    <w:p w14:paraId="4092CA96" w14:textId="342ADA0F" w:rsidR="00F34FD7" w:rsidRPr="00C77942" w:rsidRDefault="00F34FD7" w:rsidP="00F34FD7">
      <w:pPr>
        <w:jc w:val="both"/>
        <w:rPr>
          <w:lang w:val="en-GB"/>
        </w:rPr>
      </w:pPr>
      <w:r w:rsidRPr="00C77942">
        <w:rPr>
          <w:lang w:val="en-GB"/>
        </w:rPr>
        <w:t>(A3)</w:t>
      </w:r>
      <w:r w:rsidR="007D3F2D" w:rsidRPr="00C77942">
        <w:rPr>
          <w:lang w:val="en-GB"/>
        </w:rPr>
        <w:t xml:space="preserve"> </w:t>
      </w:r>
      <w:r w:rsidRPr="00C77942">
        <w:rPr>
          <w:lang w:val="en-GB"/>
        </w:rPr>
        <w:t xml:space="preserve">Determination of physical, chemical, sensory and microbiological characteristics of gummy candies over time. </w:t>
      </w:r>
    </w:p>
    <w:p w14:paraId="525E1D35" w14:textId="77777777" w:rsidR="00512D9B" w:rsidRPr="00C77942" w:rsidRDefault="00FB589C">
      <w:pPr>
        <w:pStyle w:val="Titolo1"/>
        <w:spacing w:before="240" w:after="120"/>
        <w:ind w:right="0"/>
        <w:jc w:val="both"/>
        <w:rPr>
          <w:b/>
          <w:bCs/>
          <w:color w:val="000000"/>
          <w:sz w:val="24"/>
          <w:lang w:val="en-GB"/>
        </w:rPr>
      </w:pPr>
      <w:r w:rsidRPr="00C77942">
        <w:rPr>
          <w:b/>
          <w:bCs/>
          <w:color w:val="000000"/>
          <w:sz w:val="24"/>
          <w:lang w:val="en-GB"/>
        </w:rPr>
        <w:t>2. Materials and Methods</w:t>
      </w:r>
    </w:p>
    <w:p w14:paraId="40E33DBC" w14:textId="68C4368D" w:rsidR="00936DD8" w:rsidRPr="00C77942" w:rsidRDefault="00DC4968" w:rsidP="00DC4968">
      <w:pPr>
        <w:jc w:val="both"/>
        <w:rPr>
          <w:lang w:val="en-GB"/>
        </w:rPr>
      </w:pPr>
      <w:r w:rsidRPr="00C77942">
        <w:rPr>
          <w:lang w:val="en-GB"/>
        </w:rPr>
        <w:t>Conventional (maceration</w:t>
      </w:r>
      <w:r w:rsidR="001B11F2" w:rsidRPr="00C77942">
        <w:rPr>
          <w:lang w:val="en-GB"/>
        </w:rPr>
        <w:t xml:space="preserve">, </w:t>
      </w:r>
      <w:r w:rsidR="006159E5" w:rsidRPr="00C77942">
        <w:rPr>
          <w:lang w:val="en-GB"/>
        </w:rPr>
        <w:t>ME</w:t>
      </w:r>
      <w:r w:rsidRPr="00C77942">
        <w:rPr>
          <w:lang w:val="en-GB"/>
        </w:rPr>
        <w:t>) and innovative (ultrasound assisted</w:t>
      </w:r>
      <w:r w:rsidR="001B11F2" w:rsidRPr="00C77942">
        <w:rPr>
          <w:lang w:val="en-GB"/>
        </w:rPr>
        <w:t>, UAE</w:t>
      </w:r>
      <w:r w:rsidRPr="00C77942">
        <w:rPr>
          <w:lang w:val="en-GB"/>
        </w:rPr>
        <w:t xml:space="preserve">) techniques as well as variables that affect the extraction </w:t>
      </w:r>
      <w:r w:rsidRPr="001C0CAE">
        <w:rPr>
          <w:lang w:val="en-GB"/>
        </w:rPr>
        <w:t>process (method, time, temperature and nature of the solvent</w:t>
      </w:r>
      <w:r w:rsidRPr="001C0CAE" w:rsidDel="00A17D3B">
        <w:rPr>
          <w:lang w:val="en-GB"/>
        </w:rPr>
        <w:t>)</w:t>
      </w:r>
      <w:r w:rsidRPr="001C0CAE">
        <w:rPr>
          <w:lang w:val="en-GB"/>
        </w:rPr>
        <w:t xml:space="preserve"> were tested in order to identify the best conditions to recover bioactive compounds from coffee silverskin (CS). All the extractions were tested by mixing 2 g of CS powder (moisture &lt; 10%) with 20 mL of food grade solvents (H</w:t>
      </w:r>
      <w:r w:rsidRPr="001C0CAE">
        <w:rPr>
          <w:vertAlign w:val="subscript"/>
          <w:lang w:val="en-GB"/>
        </w:rPr>
        <w:t>2</w:t>
      </w:r>
      <w:r w:rsidRPr="001C0CAE">
        <w:rPr>
          <w:lang w:val="en-GB"/>
        </w:rPr>
        <w:t>O and H</w:t>
      </w:r>
      <w:r w:rsidRPr="001C0CAE">
        <w:rPr>
          <w:vertAlign w:val="subscript"/>
          <w:lang w:val="en-GB"/>
        </w:rPr>
        <w:t>2</w:t>
      </w:r>
      <w:r w:rsidRPr="001C0CAE">
        <w:rPr>
          <w:lang w:val="en-GB"/>
        </w:rPr>
        <w:t>O/ EtOH</w:t>
      </w:r>
      <w:r w:rsidRPr="001C0CAE" w:rsidDel="003E39F9">
        <w:rPr>
          <w:lang w:val="en-GB"/>
        </w:rPr>
        <w:t xml:space="preserve"> </w:t>
      </w:r>
      <w:r w:rsidRPr="001C0CAE">
        <w:rPr>
          <w:lang w:val="en-GB"/>
        </w:rPr>
        <w:t>90/10, 80/20, 70/30, 50/50 and 20/80) at different temperatures (40 °C, 50 °C, 60 °C and 70 °C) and times (30, 60, 90 and 120 minutes). Frequency of 59 kHz was used for UAE. All obtained extracts were evaluated for total phenolics content (TPC), antioxidant activity (DPPH</w:t>
      </w:r>
      <w:r w:rsidR="00000307" w:rsidRPr="001C0CAE">
        <w:rPr>
          <w:lang w:val="en-GB"/>
        </w:rPr>
        <w:t xml:space="preserve"> and</w:t>
      </w:r>
      <w:r w:rsidRPr="001C0CAE">
        <w:rPr>
          <w:lang w:val="en-GB"/>
        </w:rPr>
        <w:t xml:space="preserve"> ABTS</w:t>
      </w:r>
      <w:r w:rsidR="00111555" w:rsidRPr="001C0CAE">
        <w:rPr>
          <w:lang w:val="en-GB"/>
        </w:rPr>
        <w:t xml:space="preserve"> assays</w:t>
      </w:r>
      <w:r w:rsidR="00981169" w:rsidRPr="001C0CAE">
        <w:rPr>
          <w:lang w:val="en-GB"/>
        </w:rPr>
        <w:t>)</w:t>
      </w:r>
      <w:r w:rsidR="00000307" w:rsidRPr="001C0CAE">
        <w:rPr>
          <w:lang w:val="en-GB"/>
        </w:rPr>
        <w:t xml:space="preserve"> </w:t>
      </w:r>
      <w:r w:rsidRPr="001C0CAE">
        <w:rPr>
          <w:lang w:val="en-GB"/>
        </w:rPr>
        <w:t xml:space="preserve">(Costa </w:t>
      </w:r>
      <w:r w:rsidRPr="001C0CAE">
        <w:rPr>
          <w:i/>
          <w:iCs/>
          <w:lang w:val="en-GB"/>
        </w:rPr>
        <w:t>et al.</w:t>
      </w:r>
      <w:r w:rsidRPr="001C0CAE">
        <w:rPr>
          <w:lang w:val="en-GB"/>
        </w:rPr>
        <w:t>, 2014</w:t>
      </w:r>
      <w:r w:rsidR="00772C44" w:rsidRPr="001C0CAE">
        <w:rPr>
          <w:lang w:val="en-GB"/>
        </w:rPr>
        <w:t xml:space="preserve">) </w:t>
      </w:r>
      <w:r w:rsidRPr="001C0CAE">
        <w:rPr>
          <w:lang w:val="en-GB"/>
        </w:rPr>
        <w:t xml:space="preserve">and microbial count. Subsequently, the best extract (CSE) was selected for bioactive content and tested on chemical, physical (Cedeño-Pinos </w:t>
      </w:r>
      <w:r w:rsidRPr="001C0CAE">
        <w:rPr>
          <w:i/>
          <w:iCs/>
          <w:lang w:val="en-GB"/>
        </w:rPr>
        <w:t>et al</w:t>
      </w:r>
      <w:r w:rsidRPr="001C0CAE">
        <w:rPr>
          <w:lang w:val="en-GB"/>
        </w:rPr>
        <w:t xml:space="preserve">., 2020), microbiological (Teixeira-Lemos </w:t>
      </w:r>
      <w:r w:rsidRPr="001C0CAE">
        <w:rPr>
          <w:i/>
          <w:iCs/>
          <w:lang w:val="en-GB"/>
        </w:rPr>
        <w:t>et al</w:t>
      </w:r>
      <w:r w:rsidRPr="001C0CAE">
        <w:rPr>
          <w:lang w:val="en-GB"/>
        </w:rPr>
        <w:t xml:space="preserve">., 2021) and sensory characteristics of the fruit gummy candies. Control Candies (CTR) were formulated with 31% of sucrose, 28% of </w:t>
      </w:r>
      <w:r w:rsidR="00111555" w:rsidRPr="001C0CAE">
        <w:rPr>
          <w:lang w:val="en-GB"/>
        </w:rPr>
        <w:t>g</w:t>
      </w:r>
      <w:r w:rsidRPr="001C0CAE">
        <w:rPr>
          <w:lang w:val="en-GB"/>
        </w:rPr>
        <w:t xml:space="preserve">lucose syrup, 22% of </w:t>
      </w:r>
      <w:r w:rsidR="00111555" w:rsidRPr="001C0CAE">
        <w:rPr>
          <w:lang w:val="en-GB"/>
        </w:rPr>
        <w:t>a</w:t>
      </w:r>
      <w:r w:rsidRPr="001C0CAE">
        <w:rPr>
          <w:lang w:val="en-GB"/>
        </w:rPr>
        <w:t xml:space="preserve">pricot juice, 8% of </w:t>
      </w:r>
      <w:r w:rsidR="00111555" w:rsidRPr="001C0CAE">
        <w:rPr>
          <w:lang w:val="en-GB"/>
        </w:rPr>
        <w:t>p</w:t>
      </w:r>
      <w:r w:rsidRPr="001C0CAE">
        <w:rPr>
          <w:lang w:val="en-GB"/>
        </w:rPr>
        <w:t xml:space="preserve">ork gelatine, 1% of citric acid and 10% of water. The fortified gummy candies were formulated partially substituting water with 1% (CS1), 2% (CS2) and 4% (CS3) of CS extract. </w:t>
      </w:r>
      <w:r w:rsidR="00C356B0" w:rsidRPr="001C0CAE">
        <w:rPr>
          <w:lang w:val="en-GB"/>
        </w:rPr>
        <w:t xml:space="preserve">The candies were stored for 120 days at 25 °C. </w:t>
      </w:r>
      <w:r w:rsidRPr="001C0CAE">
        <w:rPr>
          <w:lang w:val="en-GB"/>
        </w:rPr>
        <w:t>Statistical analysis was performed by one-way analysis of variance and Tukey’s comparison test.</w:t>
      </w:r>
    </w:p>
    <w:p w14:paraId="1FCF1DE2" w14:textId="797BC0BD" w:rsidR="00B67D77" w:rsidRPr="003D01AC" w:rsidRDefault="00FB589C" w:rsidP="003D01AC">
      <w:pPr>
        <w:pStyle w:val="Titolo1"/>
        <w:spacing w:before="240" w:after="120"/>
        <w:ind w:right="0"/>
        <w:jc w:val="both"/>
        <w:rPr>
          <w:b/>
          <w:bCs/>
          <w:color w:val="000000"/>
          <w:sz w:val="24"/>
          <w:lang w:val="en-GB"/>
        </w:rPr>
      </w:pPr>
      <w:r w:rsidRPr="00C77942">
        <w:rPr>
          <w:b/>
          <w:bCs/>
          <w:color w:val="000000"/>
          <w:sz w:val="24"/>
          <w:lang w:val="en-GB"/>
        </w:rPr>
        <w:t>3. Results and Discussion</w:t>
      </w:r>
    </w:p>
    <w:p w14:paraId="7B7F4BDD" w14:textId="6C960C02" w:rsidR="00512D9B" w:rsidRPr="00C77942" w:rsidRDefault="00FB589C">
      <w:pPr>
        <w:pStyle w:val="Titolo2"/>
        <w:jc w:val="both"/>
        <w:rPr>
          <w:b/>
          <w:bCs/>
          <w:sz w:val="20"/>
          <w:lang w:val="en-GB"/>
        </w:rPr>
      </w:pPr>
      <w:r w:rsidRPr="00C77942">
        <w:rPr>
          <w:b/>
          <w:bCs/>
          <w:sz w:val="20"/>
          <w:lang w:val="en-GB"/>
        </w:rPr>
        <w:t xml:space="preserve">3.1 </w:t>
      </w:r>
      <w:r w:rsidR="00A4715D" w:rsidRPr="00C77942">
        <w:rPr>
          <w:b/>
          <w:bCs/>
          <w:sz w:val="20"/>
          <w:lang w:val="en-GB"/>
        </w:rPr>
        <w:t>Characterization coffee silverskin extracts (CS</w:t>
      </w:r>
      <w:r w:rsidR="00A155E6" w:rsidRPr="00C77942">
        <w:rPr>
          <w:b/>
          <w:bCs/>
          <w:sz w:val="20"/>
          <w:lang w:val="en-GB"/>
        </w:rPr>
        <w:t>E</w:t>
      </w:r>
      <w:r w:rsidR="00A4715D" w:rsidRPr="00C77942">
        <w:rPr>
          <w:b/>
          <w:bCs/>
          <w:sz w:val="20"/>
          <w:lang w:val="en-GB"/>
        </w:rPr>
        <w:t>)</w:t>
      </w:r>
    </w:p>
    <w:p w14:paraId="6A02EA67" w14:textId="7065799E" w:rsidR="007E1A6E" w:rsidRPr="00C77942" w:rsidRDefault="001C0CAE" w:rsidP="00F978BD">
      <w:pPr>
        <w:jc w:val="both"/>
        <w:rPr>
          <w:lang w:val="en-GB"/>
        </w:rPr>
      </w:pPr>
      <w:r w:rsidRPr="00732EF8">
        <w:rPr>
          <w:lang w:val="en-GB"/>
        </w:rPr>
        <w:t>The best extract was obtained by ME at 60 ºC for 60 minutes using the hydroalcoholic mixture EtOH 30%</w:t>
      </w:r>
      <w:r w:rsidR="00732EF8" w:rsidRPr="00732EF8">
        <w:rPr>
          <w:lang w:val="en-GB"/>
        </w:rPr>
        <w:t>, which showed</w:t>
      </w:r>
      <w:r w:rsidRPr="00732EF8">
        <w:rPr>
          <w:lang w:val="en-GB"/>
        </w:rPr>
        <w:t xml:space="preserve"> </w:t>
      </w:r>
      <w:r w:rsidR="00732EF8" w:rsidRPr="00732EF8">
        <w:rPr>
          <w:lang w:val="en-GB"/>
        </w:rPr>
        <w:t xml:space="preserve">a TPC of </w:t>
      </w:r>
      <w:r w:rsidRPr="00732EF8">
        <w:rPr>
          <w:lang w:val="en-GB"/>
        </w:rPr>
        <w:t>1955 μg GAE mL</w:t>
      </w:r>
      <w:r w:rsidRPr="00732EF8">
        <w:rPr>
          <w:vertAlign w:val="superscript"/>
          <w:lang w:val="en-GB"/>
        </w:rPr>
        <w:t>-1</w:t>
      </w:r>
      <w:r w:rsidRPr="00732EF8">
        <w:rPr>
          <w:lang w:val="en-GB"/>
        </w:rPr>
        <w:t>, 10.74</w:t>
      </w:r>
      <w:r w:rsidR="00732EF8" w:rsidRPr="00732EF8">
        <w:rPr>
          <w:lang w:val="en-GB"/>
        </w:rPr>
        <w:t xml:space="preserve"> and 3.67</w:t>
      </w:r>
      <w:r w:rsidRPr="00732EF8">
        <w:rPr>
          <w:lang w:val="en-GB"/>
        </w:rPr>
        <w:t xml:space="preserve"> μmol Trolox mL</w:t>
      </w:r>
      <w:r w:rsidRPr="00732EF8">
        <w:rPr>
          <w:vertAlign w:val="superscript"/>
          <w:lang w:val="en-GB"/>
        </w:rPr>
        <w:t>-1</w:t>
      </w:r>
      <w:r w:rsidRPr="00732EF8">
        <w:rPr>
          <w:lang w:val="en-GB"/>
        </w:rPr>
        <w:t xml:space="preserve"> </w:t>
      </w:r>
      <w:r w:rsidR="00732EF8" w:rsidRPr="00732EF8">
        <w:rPr>
          <w:lang w:val="en-GB"/>
        </w:rPr>
        <w:t>respectively for</w:t>
      </w:r>
      <w:r w:rsidRPr="00732EF8">
        <w:rPr>
          <w:lang w:val="en-GB"/>
        </w:rPr>
        <w:t xml:space="preserve"> ABTS </w:t>
      </w:r>
      <w:r w:rsidR="00732EF8" w:rsidRPr="00732EF8">
        <w:rPr>
          <w:lang w:val="en-GB"/>
        </w:rPr>
        <w:t xml:space="preserve">and DPPH </w:t>
      </w:r>
      <w:r w:rsidRPr="00732EF8">
        <w:rPr>
          <w:lang w:val="en-GB"/>
        </w:rPr>
        <w:t xml:space="preserve">assay. </w:t>
      </w:r>
      <w:r w:rsidR="00EC68D9" w:rsidRPr="00732EF8">
        <w:rPr>
          <w:lang w:val="en-GB"/>
        </w:rPr>
        <w:t xml:space="preserve">Temperatures </w:t>
      </w:r>
      <w:r w:rsidR="00936DD8" w:rsidRPr="00732EF8">
        <w:rPr>
          <w:lang w:val="en-GB"/>
        </w:rPr>
        <w:t>high</w:t>
      </w:r>
      <w:r w:rsidR="00EC68D9" w:rsidRPr="00732EF8">
        <w:rPr>
          <w:lang w:val="en-GB"/>
        </w:rPr>
        <w:t xml:space="preserve">er </w:t>
      </w:r>
      <w:r w:rsidR="00660D85" w:rsidRPr="00732EF8">
        <w:rPr>
          <w:lang w:val="en-GB"/>
        </w:rPr>
        <w:t xml:space="preserve">or </w:t>
      </w:r>
      <w:r w:rsidR="00EC68D9" w:rsidRPr="00732EF8">
        <w:rPr>
          <w:lang w:val="en-GB"/>
        </w:rPr>
        <w:t>l</w:t>
      </w:r>
      <w:r w:rsidR="00936DD8" w:rsidRPr="00732EF8">
        <w:rPr>
          <w:lang w:val="en-GB"/>
        </w:rPr>
        <w:t>ow</w:t>
      </w:r>
      <w:r w:rsidR="00660D85" w:rsidRPr="00732EF8">
        <w:rPr>
          <w:lang w:val="en-GB"/>
        </w:rPr>
        <w:t>er</w:t>
      </w:r>
      <w:r w:rsidR="00EC68D9" w:rsidRPr="00732EF8">
        <w:rPr>
          <w:lang w:val="en-GB"/>
        </w:rPr>
        <w:t xml:space="preserve"> 60 ºC, solvents with ethanol above 50% and below 20% and times</w:t>
      </w:r>
      <w:r w:rsidR="00EC68D9" w:rsidRPr="00C77942">
        <w:rPr>
          <w:lang w:val="en-GB"/>
        </w:rPr>
        <w:t xml:space="preserve"> </w:t>
      </w:r>
      <w:r w:rsidR="00910678" w:rsidRPr="00C77942">
        <w:rPr>
          <w:lang w:val="en-GB"/>
        </w:rPr>
        <w:t>higher or lower</w:t>
      </w:r>
      <w:r w:rsidR="00D44F98" w:rsidRPr="00C77942">
        <w:rPr>
          <w:lang w:val="en-GB"/>
        </w:rPr>
        <w:t xml:space="preserve"> </w:t>
      </w:r>
      <w:r w:rsidR="00EC68D9" w:rsidRPr="00C77942">
        <w:rPr>
          <w:lang w:val="en-GB"/>
        </w:rPr>
        <w:t xml:space="preserve">60 minutes significantly worsen the efficiency of extraction due to lower diffusion rate and solubility of compounds in solvents. Also, lower bioactive yield (about -75%) was observed in all samples extracted by UAE. Previous </w:t>
      </w:r>
      <w:r w:rsidR="00EC68D9" w:rsidRPr="001C0CAE">
        <w:rPr>
          <w:lang w:val="en-GB"/>
        </w:rPr>
        <w:t xml:space="preserve">studies indicated that </w:t>
      </w:r>
      <w:r w:rsidR="005B3123" w:rsidRPr="001C0CAE">
        <w:rPr>
          <w:lang w:val="en-GB"/>
        </w:rPr>
        <w:t xml:space="preserve">use of </w:t>
      </w:r>
      <w:r w:rsidR="00EC68D9" w:rsidRPr="001C0CAE">
        <w:rPr>
          <w:lang w:val="en-GB"/>
        </w:rPr>
        <w:t xml:space="preserve">frequencies &gt; 40 kHz during UAE can favour the occurrence of inertial </w:t>
      </w:r>
      <w:r w:rsidR="00EC68D9" w:rsidRPr="001C0CAE">
        <w:rPr>
          <w:lang w:val="en-GB"/>
        </w:rPr>
        <w:lastRenderedPageBreak/>
        <w:t xml:space="preserve">cavitation phenomena leading to the formation of free radicals and a consequent decrease in substances subject to oxidation (Masuda </w:t>
      </w:r>
      <w:r w:rsidR="00EC68D9" w:rsidRPr="001C0CAE">
        <w:rPr>
          <w:i/>
          <w:iCs/>
          <w:lang w:val="en-GB"/>
        </w:rPr>
        <w:t>et al.</w:t>
      </w:r>
      <w:r w:rsidR="00EC68D9" w:rsidRPr="001C0CAE">
        <w:rPr>
          <w:lang w:val="en-GB"/>
        </w:rPr>
        <w:t xml:space="preserve">, 2015). Extraction tests revealed that solvents play a key role in the recovery of bioactive compounds. Among the various tested solvents, only the 20, 30 and 50% hydroalcoholic mixtures favoured the recovery of compounds with a more marked antioxidant activity. The lower qualitative yield obtained with the other tested solvents could be caused by the presence in CS of different compounds with different chemical structure and polarity whose recovery is strongly influenced by the affinity with the composition of the mixture (Murthy </w:t>
      </w:r>
      <w:r w:rsidR="00EC68D9" w:rsidRPr="001C0CAE">
        <w:rPr>
          <w:i/>
          <w:iCs/>
          <w:lang w:val="en-GB"/>
        </w:rPr>
        <w:t>et al.</w:t>
      </w:r>
      <w:r w:rsidR="00EC68D9" w:rsidRPr="001C0CAE">
        <w:rPr>
          <w:lang w:val="en-GB"/>
        </w:rPr>
        <w:t xml:space="preserve">, 2012). </w:t>
      </w:r>
    </w:p>
    <w:p w14:paraId="72A8FD4D" w14:textId="590CB6F1" w:rsidR="00512D9B" w:rsidRPr="00C77942" w:rsidRDefault="00FB589C" w:rsidP="009E11E1">
      <w:pPr>
        <w:pStyle w:val="Titolo2"/>
        <w:spacing w:before="240"/>
        <w:rPr>
          <w:b/>
          <w:bCs/>
          <w:i/>
          <w:iCs/>
          <w:sz w:val="20"/>
          <w:szCs w:val="16"/>
          <w:lang w:val="en-GB"/>
        </w:rPr>
      </w:pPr>
      <w:r w:rsidRPr="00C77942">
        <w:rPr>
          <w:b/>
          <w:bCs/>
          <w:sz w:val="20"/>
          <w:szCs w:val="16"/>
          <w:lang w:val="en-GB"/>
        </w:rPr>
        <w:t xml:space="preserve">3.2 </w:t>
      </w:r>
      <w:r w:rsidR="0096751D" w:rsidRPr="00C77942">
        <w:rPr>
          <w:b/>
          <w:bCs/>
          <w:sz w:val="20"/>
          <w:szCs w:val="16"/>
          <w:lang w:val="en-GB"/>
        </w:rPr>
        <w:t xml:space="preserve">Physical-chemical and sensory characteristic of gummy candies </w:t>
      </w:r>
    </w:p>
    <w:p w14:paraId="2AC5C6E0" w14:textId="3F6DFC7B" w:rsidR="0085156F" w:rsidRPr="00C77942" w:rsidRDefault="0085156F" w:rsidP="0085156F">
      <w:pPr>
        <w:jc w:val="both"/>
        <w:rPr>
          <w:lang w:val="en-GB"/>
        </w:rPr>
      </w:pPr>
      <w:r w:rsidRPr="00C77942">
        <w:rPr>
          <w:lang w:val="en-GB"/>
        </w:rPr>
        <w:t xml:space="preserve">The obtained results (Table 1) suggested that the TPC and antioxidant activity were dose-dependent because a significant increase was found after the addition with </w:t>
      </w:r>
      <w:r w:rsidR="001C0CAE">
        <w:rPr>
          <w:lang w:val="en-GB"/>
        </w:rPr>
        <w:t>increasing</w:t>
      </w:r>
      <w:r w:rsidRPr="00C77942">
        <w:rPr>
          <w:lang w:val="en-GB"/>
        </w:rPr>
        <w:t xml:space="preserve"> percentages of CSE. In fact, after the formulation, CS1, CS2 and CS3 showed TPC (273-317 μg GAE g</w:t>
      </w:r>
      <w:r w:rsidRPr="00C77942">
        <w:rPr>
          <w:vertAlign w:val="superscript"/>
          <w:lang w:val="en-GB"/>
        </w:rPr>
        <w:t>-1</w:t>
      </w:r>
      <w:r w:rsidRPr="00C77942">
        <w:rPr>
          <w:lang w:val="en-GB"/>
        </w:rPr>
        <w:t>) and antioxidant activity (39-46 μmol Trolox g</w:t>
      </w:r>
      <w:r w:rsidRPr="00C77942">
        <w:rPr>
          <w:vertAlign w:val="superscript"/>
          <w:lang w:val="en-GB"/>
        </w:rPr>
        <w:t>-1</w:t>
      </w:r>
      <w:r w:rsidRPr="00C77942">
        <w:rPr>
          <w:lang w:val="en-GB"/>
        </w:rPr>
        <w:t>)</w:t>
      </w:r>
      <w:r w:rsidRPr="00C77942">
        <w:rPr>
          <w:vertAlign w:val="superscript"/>
          <w:lang w:val="en-GB"/>
        </w:rPr>
        <w:t xml:space="preserve"> </w:t>
      </w:r>
      <w:r w:rsidRPr="00C77942">
        <w:rPr>
          <w:lang w:val="en-GB"/>
        </w:rPr>
        <w:t>significantly higher than CTR (265 μg GAE g</w:t>
      </w:r>
      <w:r w:rsidRPr="00C77942">
        <w:rPr>
          <w:vertAlign w:val="superscript"/>
          <w:lang w:val="en-GB"/>
        </w:rPr>
        <w:t>-1</w:t>
      </w:r>
      <w:r w:rsidRPr="00C77942">
        <w:rPr>
          <w:lang w:val="en-GB"/>
        </w:rPr>
        <w:t xml:space="preserve"> and 24.43 μmol Trolox g</w:t>
      </w:r>
      <w:r w:rsidRPr="00C77942">
        <w:rPr>
          <w:vertAlign w:val="superscript"/>
          <w:lang w:val="en-GB"/>
        </w:rPr>
        <w:t>-1</w:t>
      </w:r>
      <w:r w:rsidRPr="00C77942">
        <w:rPr>
          <w:lang w:val="en-GB"/>
        </w:rPr>
        <w:t xml:space="preserve">, respectively) and this trend was generally </w:t>
      </w:r>
      <w:r w:rsidRPr="001C0CAE">
        <w:rPr>
          <w:lang w:val="en-GB"/>
        </w:rPr>
        <w:t xml:space="preserve">maintained during the storage. The observed results of antioxidant activity despite the evident reduction of TPC during time (about 50%) reveal the possible presence of other chemical compounds with radical scavenging properties, such as melanoidins generated during the coffee roasting process, as also confirmed by previous studies (Tores de la Cruz </w:t>
      </w:r>
      <w:r w:rsidRPr="001C0CAE">
        <w:rPr>
          <w:i/>
          <w:iCs/>
          <w:lang w:val="en-GB"/>
        </w:rPr>
        <w:t>et al.</w:t>
      </w:r>
      <w:r w:rsidRPr="001C0CAE">
        <w:rPr>
          <w:lang w:val="en-GB"/>
        </w:rPr>
        <w:t xml:space="preserve">, 2019). </w:t>
      </w:r>
      <w:r w:rsidRPr="001D4599">
        <w:rPr>
          <w:lang w:val="en-GB"/>
        </w:rPr>
        <w:t xml:space="preserve">The addition of CSE has also </w:t>
      </w:r>
      <w:r w:rsidR="00120462" w:rsidRPr="001D4599">
        <w:rPr>
          <w:lang w:val="en-GB"/>
        </w:rPr>
        <w:t xml:space="preserve">affected the </w:t>
      </w:r>
      <w:r w:rsidRPr="001D4599">
        <w:rPr>
          <w:lang w:val="en-GB"/>
        </w:rPr>
        <w:t>variation of other physical and chemical parameters (water activity, solid soluble content, moisture, pH). However, previous studies have reported that maintaining a</w:t>
      </w:r>
      <w:r w:rsidRPr="001D4599">
        <w:rPr>
          <w:vertAlign w:val="subscript"/>
          <w:lang w:val="en-GB"/>
        </w:rPr>
        <w:t>w</w:t>
      </w:r>
      <w:r w:rsidRPr="001D4599">
        <w:rPr>
          <w:lang w:val="en-GB"/>
        </w:rPr>
        <w:t xml:space="preserve"> between 0.55 and 0.75 and moisture between 8% and 22% allow to preserve the quality characteristics of the gummy candies over time (Ergun </w:t>
      </w:r>
      <w:r w:rsidRPr="003D01AC">
        <w:rPr>
          <w:i/>
          <w:iCs/>
          <w:lang w:val="en-GB"/>
        </w:rPr>
        <w:t>et al</w:t>
      </w:r>
      <w:r w:rsidRPr="001D4599">
        <w:rPr>
          <w:lang w:val="en-GB"/>
        </w:rPr>
        <w:t xml:space="preserve">., 2010). </w:t>
      </w:r>
      <w:r w:rsidR="001D4599" w:rsidRPr="001D4599">
        <w:rPr>
          <w:lang w:val="en-GB"/>
        </w:rPr>
        <w:t>Our</w:t>
      </w:r>
      <w:r w:rsidRPr="001D4599">
        <w:rPr>
          <w:lang w:val="en-GB"/>
        </w:rPr>
        <w:t xml:space="preserve"> observed results denoted a conformity in these ranges.</w:t>
      </w:r>
      <w:r w:rsidRPr="001C0CAE">
        <w:rPr>
          <w:lang w:val="en-GB"/>
        </w:rPr>
        <w:t xml:space="preserve"> About other physical parameters, increasing concentration</w:t>
      </w:r>
      <w:r w:rsidRPr="00C77942">
        <w:rPr>
          <w:lang w:val="en-GB"/>
        </w:rPr>
        <w:t xml:space="preserve"> of CSE has significantly affected the colour of the candies, resulting in a gradual change in colour from yellow-orange to orange-brown (data not shown) and the mechanical properties, with gradual increase of gumminess. Nevertheless, the results obtained from the sensory analysis indicated that the proposed products were appreciated for all the sensory attributes tested (appearance, olfactory, t</w:t>
      </w:r>
      <w:r w:rsidR="003D01AC">
        <w:rPr>
          <w:lang w:val="en-GB"/>
        </w:rPr>
        <w:t>a</w:t>
      </w:r>
      <w:r w:rsidRPr="00C77942">
        <w:rPr>
          <w:lang w:val="en-GB"/>
        </w:rPr>
        <w:t xml:space="preserve">ste and texture sensations). Specifically, CS1 obtained a higher score (7.7) than the other ones (6.2-7.2) correlated with a greater perception of the fruity. Finally, a microbial quality was confirmed by the absence of moulds and yeasts contamination in all tested </w:t>
      </w:r>
      <w:r w:rsidR="001D4599">
        <w:rPr>
          <w:lang w:val="en-GB"/>
        </w:rPr>
        <w:t xml:space="preserve">enriched </w:t>
      </w:r>
      <w:r w:rsidRPr="00C77942">
        <w:rPr>
          <w:lang w:val="en-GB"/>
        </w:rPr>
        <w:t>gummy candies. The results up to 120 days of storage revealed the higher quality in CS1 gummy candies not only for their bioactive content and antioxidant activity but also for their sensory and structural characteristics. Th</w:t>
      </w:r>
      <w:r w:rsidR="001D4599">
        <w:rPr>
          <w:lang w:val="en-GB"/>
        </w:rPr>
        <w:t>e</w:t>
      </w:r>
      <w:r w:rsidRPr="00C77942">
        <w:rPr>
          <w:lang w:val="en-GB"/>
        </w:rPr>
        <w:t>s</w:t>
      </w:r>
      <w:r w:rsidR="001D4599">
        <w:rPr>
          <w:lang w:val="en-GB"/>
        </w:rPr>
        <w:t>e findings</w:t>
      </w:r>
      <w:r w:rsidRPr="00C77942">
        <w:rPr>
          <w:lang w:val="en-GB"/>
        </w:rPr>
        <w:t xml:space="preserve"> suggest</w:t>
      </w:r>
      <w:r w:rsidR="003D01AC">
        <w:rPr>
          <w:lang w:val="en-GB"/>
        </w:rPr>
        <w:t>ed</w:t>
      </w:r>
      <w:r w:rsidRPr="00C77942">
        <w:rPr>
          <w:lang w:val="en-GB"/>
        </w:rPr>
        <w:t xml:space="preserve"> that coffee silverskin can be used as ingredient for preserving the confectionery product quality and increasing their functional properties. </w:t>
      </w:r>
    </w:p>
    <w:tbl>
      <w:tblPr>
        <w:tblpPr w:leftFromText="141" w:rightFromText="141" w:vertAnchor="text" w:horzAnchor="margin" w:tblpY="466"/>
        <w:tblW w:w="9133" w:type="dxa"/>
        <w:tblCellMar>
          <w:left w:w="70" w:type="dxa"/>
          <w:right w:w="70" w:type="dxa"/>
        </w:tblCellMar>
        <w:tblLook w:val="04A0" w:firstRow="1" w:lastRow="0" w:firstColumn="1" w:lastColumn="0" w:noHBand="0" w:noVBand="1"/>
      </w:tblPr>
      <w:tblGrid>
        <w:gridCol w:w="1696"/>
        <w:gridCol w:w="1418"/>
        <w:gridCol w:w="1202"/>
        <w:gridCol w:w="1202"/>
        <w:gridCol w:w="1202"/>
        <w:gridCol w:w="1204"/>
        <w:gridCol w:w="1209"/>
      </w:tblGrid>
      <w:tr w:rsidR="00A56DBC" w:rsidRPr="00F30578" w14:paraId="67DF3C1A" w14:textId="77777777" w:rsidTr="001D4599">
        <w:trPr>
          <w:trHeight w:val="122"/>
        </w:trPr>
        <w:tc>
          <w:tcPr>
            <w:tcW w:w="1696" w:type="dxa"/>
            <w:tcBorders>
              <w:top w:val="single" w:sz="4" w:space="0" w:color="auto"/>
              <w:left w:val="single" w:sz="4" w:space="0" w:color="000000" w:themeColor="text1"/>
              <w:bottom w:val="single" w:sz="4" w:space="0" w:color="auto"/>
              <w:right w:val="single" w:sz="4" w:space="0" w:color="auto"/>
            </w:tcBorders>
            <w:shd w:val="clear" w:color="auto" w:fill="auto"/>
            <w:vAlign w:val="center"/>
          </w:tcPr>
          <w:p w14:paraId="4428E704" w14:textId="77777777" w:rsidR="00A56DBC" w:rsidRPr="00C77942" w:rsidRDefault="00A56DBC" w:rsidP="00A56DBC">
            <w:pPr>
              <w:jc w:val="center"/>
              <w:rPr>
                <w:color w:val="000000"/>
                <w:sz w:val="18"/>
                <w:szCs w:val="18"/>
                <w:lang w:val="en-GB"/>
              </w:rPr>
            </w:pPr>
            <w:r w:rsidRPr="00C77942">
              <w:rPr>
                <w:rFonts w:eastAsiaTheme="minorHAnsi"/>
                <w:b/>
                <w:bCs/>
                <w:color w:val="000000"/>
                <w:sz w:val="18"/>
                <w:szCs w:val="18"/>
                <w:lang w:val="en-GB" w:eastAsia="en-US"/>
              </w:rPr>
              <w:t>Parameters</w:t>
            </w:r>
          </w:p>
        </w:tc>
        <w:tc>
          <w:tcPr>
            <w:tcW w:w="1418" w:type="dxa"/>
            <w:tcBorders>
              <w:top w:val="single" w:sz="4" w:space="0" w:color="auto"/>
              <w:left w:val="single" w:sz="4" w:space="0" w:color="000000" w:themeColor="text1"/>
              <w:bottom w:val="single" w:sz="4" w:space="0" w:color="auto"/>
              <w:right w:val="single" w:sz="4" w:space="0" w:color="auto"/>
            </w:tcBorders>
            <w:shd w:val="clear" w:color="auto" w:fill="auto"/>
            <w:vAlign w:val="center"/>
          </w:tcPr>
          <w:p w14:paraId="70336F86" w14:textId="77777777" w:rsidR="00A56DBC" w:rsidRPr="00C77942" w:rsidRDefault="00A56DBC" w:rsidP="001D4599">
            <w:pPr>
              <w:jc w:val="center"/>
              <w:rPr>
                <w:color w:val="000000"/>
                <w:sz w:val="18"/>
                <w:szCs w:val="18"/>
                <w:lang w:val="en-GB"/>
              </w:rPr>
            </w:pPr>
            <w:r w:rsidRPr="00F30578">
              <w:rPr>
                <w:b/>
                <w:bCs/>
                <w:color w:val="000000"/>
                <w:sz w:val="18"/>
                <w:szCs w:val="18"/>
                <w:lang w:val="en-GB"/>
              </w:rPr>
              <w:t>Days</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004A572D" w14:textId="77777777" w:rsidR="00A56DBC" w:rsidRPr="00F30578" w:rsidRDefault="00A56DBC" w:rsidP="00A56DBC">
            <w:pPr>
              <w:jc w:val="center"/>
              <w:rPr>
                <w:b/>
                <w:bCs/>
                <w:color w:val="000000"/>
                <w:sz w:val="18"/>
                <w:szCs w:val="18"/>
                <w:lang w:val="en-GB"/>
              </w:rPr>
            </w:pPr>
            <w:r w:rsidRPr="00C77942">
              <w:rPr>
                <w:b/>
                <w:bCs/>
                <w:color w:val="000000"/>
                <w:sz w:val="18"/>
                <w:szCs w:val="18"/>
                <w:lang w:val="en-GB"/>
              </w:rPr>
              <w:t>CTRL</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3EFF179D" w14:textId="77777777" w:rsidR="00A56DBC" w:rsidRPr="00F30578" w:rsidRDefault="00A56DBC" w:rsidP="00A56DBC">
            <w:pPr>
              <w:jc w:val="center"/>
              <w:rPr>
                <w:b/>
                <w:bCs/>
                <w:color w:val="000000"/>
                <w:sz w:val="18"/>
                <w:szCs w:val="18"/>
                <w:lang w:val="en-GB"/>
              </w:rPr>
            </w:pPr>
            <w:r w:rsidRPr="00C77942">
              <w:rPr>
                <w:b/>
                <w:bCs/>
                <w:color w:val="000000"/>
                <w:sz w:val="18"/>
                <w:szCs w:val="18"/>
                <w:lang w:val="en-GB"/>
              </w:rPr>
              <w:t>CS 1</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5B39B9B4" w14:textId="77777777" w:rsidR="00A56DBC" w:rsidRPr="00F30578" w:rsidRDefault="00A56DBC" w:rsidP="00A56DBC">
            <w:pPr>
              <w:jc w:val="center"/>
              <w:rPr>
                <w:b/>
                <w:bCs/>
                <w:color w:val="000000"/>
                <w:sz w:val="18"/>
                <w:szCs w:val="18"/>
                <w:lang w:val="en-GB"/>
              </w:rPr>
            </w:pPr>
            <w:r w:rsidRPr="00C77942">
              <w:rPr>
                <w:b/>
                <w:bCs/>
                <w:color w:val="000000"/>
                <w:sz w:val="18"/>
                <w:szCs w:val="18"/>
                <w:lang w:val="en-GB"/>
              </w:rPr>
              <w:t>CS 2</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5096042F" w14:textId="77777777" w:rsidR="00A56DBC" w:rsidRPr="00F30578" w:rsidRDefault="00A56DBC" w:rsidP="00A56DBC">
            <w:pPr>
              <w:jc w:val="center"/>
              <w:rPr>
                <w:b/>
                <w:bCs/>
                <w:color w:val="000000"/>
                <w:sz w:val="18"/>
                <w:szCs w:val="18"/>
                <w:lang w:val="en-GB"/>
              </w:rPr>
            </w:pPr>
            <w:r w:rsidRPr="00C77942">
              <w:rPr>
                <w:b/>
                <w:bCs/>
                <w:color w:val="000000"/>
                <w:sz w:val="18"/>
                <w:szCs w:val="18"/>
                <w:lang w:val="en-GB"/>
              </w:rPr>
              <w:t>CS 3</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62B5817" w14:textId="77777777" w:rsidR="00A56DBC" w:rsidRPr="00F30578" w:rsidRDefault="00A56DBC" w:rsidP="00A56DBC">
            <w:pPr>
              <w:jc w:val="center"/>
              <w:rPr>
                <w:b/>
                <w:bCs/>
                <w:color w:val="000000"/>
                <w:sz w:val="18"/>
                <w:szCs w:val="18"/>
                <w:lang w:val="en-GB"/>
              </w:rPr>
            </w:pPr>
            <w:r w:rsidRPr="00C77942">
              <w:rPr>
                <w:b/>
                <w:bCs/>
                <w:color w:val="000000"/>
                <w:sz w:val="18"/>
                <w:szCs w:val="18"/>
                <w:lang w:val="en-GB"/>
              </w:rPr>
              <w:t>Sign</w:t>
            </w:r>
          </w:p>
        </w:tc>
      </w:tr>
      <w:tr w:rsidR="00A56DBC" w:rsidRPr="00F30578" w14:paraId="632DA1AE" w14:textId="77777777" w:rsidTr="001D4599">
        <w:trPr>
          <w:trHeight w:val="122"/>
        </w:trPr>
        <w:tc>
          <w:tcPr>
            <w:tcW w:w="1696" w:type="dxa"/>
            <w:vMerge w:val="restart"/>
            <w:tcBorders>
              <w:top w:val="single" w:sz="4" w:space="0" w:color="auto"/>
              <w:left w:val="single" w:sz="4" w:space="0" w:color="000000" w:themeColor="text1"/>
              <w:bottom w:val="single" w:sz="4" w:space="0" w:color="000000"/>
              <w:right w:val="nil"/>
            </w:tcBorders>
            <w:shd w:val="clear" w:color="auto" w:fill="auto"/>
            <w:vAlign w:val="center"/>
            <w:hideMark/>
          </w:tcPr>
          <w:p w14:paraId="7A1191CD" w14:textId="77777777" w:rsidR="00A56DBC" w:rsidRPr="00C77942" w:rsidRDefault="00A56DBC" w:rsidP="00A56DBC">
            <w:pPr>
              <w:jc w:val="center"/>
              <w:rPr>
                <w:sz w:val="18"/>
                <w:szCs w:val="18"/>
                <w:lang w:val="en-GB"/>
              </w:rPr>
            </w:pPr>
            <w:r w:rsidRPr="00C77942">
              <w:rPr>
                <w:color w:val="000000"/>
                <w:sz w:val="18"/>
                <w:szCs w:val="18"/>
                <w:lang w:val="en-GB"/>
              </w:rPr>
              <w:t>TPC</w:t>
            </w:r>
          </w:p>
          <w:p w14:paraId="0F1355F1" w14:textId="4913BCD6" w:rsidR="00A56DBC" w:rsidRPr="00C77942" w:rsidRDefault="00A56DBC" w:rsidP="00A56DBC">
            <w:pPr>
              <w:jc w:val="center"/>
              <w:rPr>
                <w:color w:val="000000"/>
                <w:sz w:val="18"/>
                <w:szCs w:val="18"/>
                <w:lang w:val="en-GB"/>
              </w:rPr>
            </w:pPr>
            <w:r w:rsidRPr="00C77942">
              <w:rPr>
                <w:color w:val="000000"/>
                <w:sz w:val="18"/>
                <w:szCs w:val="18"/>
                <w:lang w:val="en-GB"/>
              </w:rPr>
              <w:t>(μg GAE g</w:t>
            </w:r>
            <w:r w:rsidRPr="00C77942">
              <w:rPr>
                <w:color w:val="000000"/>
                <w:sz w:val="18"/>
                <w:szCs w:val="18"/>
                <w:vertAlign w:val="superscript"/>
                <w:lang w:val="en-GB"/>
              </w:rPr>
              <w:t>-1</w:t>
            </w:r>
            <w:r w:rsidRPr="00C77942">
              <w:rPr>
                <w:color w:val="000000"/>
                <w:sz w:val="18"/>
                <w:szCs w:val="18"/>
                <w:lang w:val="en-GB"/>
              </w:rPr>
              <w:t>)</w:t>
            </w:r>
          </w:p>
        </w:tc>
        <w:tc>
          <w:tcPr>
            <w:tcW w:w="1418" w:type="dxa"/>
            <w:tcBorders>
              <w:top w:val="single" w:sz="4" w:space="0" w:color="auto"/>
              <w:left w:val="nil"/>
              <w:bottom w:val="nil"/>
              <w:right w:val="nil"/>
            </w:tcBorders>
            <w:shd w:val="clear" w:color="auto" w:fill="auto"/>
            <w:noWrap/>
            <w:vAlign w:val="bottom"/>
            <w:hideMark/>
          </w:tcPr>
          <w:p w14:paraId="73D4CAC0" w14:textId="77777777" w:rsidR="00A56DBC" w:rsidRPr="00F30578" w:rsidRDefault="00A56DBC" w:rsidP="001D4599">
            <w:pPr>
              <w:jc w:val="center"/>
              <w:rPr>
                <w:color w:val="000000"/>
                <w:sz w:val="18"/>
                <w:szCs w:val="18"/>
                <w:lang w:val="en-GB"/>
              </w:rPr>
            </w:pPr>
            <w:r w:rsidRPr="00F30578">
              <w:rPr>
                <w:color w:val="000000"/>
                <w:sz w:val="18"/>
                <w:szCs w:val="18"/>
                <w:lang w:val="en-GB"/>
              </w:rPr>
              <w:t>0</w:t>
            </w:r>
          </w:p>
        </w:tc>
        <w:tc>
          <w:tcPr>
            <w:tcW w:w="1202" w:type="dxa"/>
            <w:tcBorders>
              <w:top w:val="single" w:sz="4" w:space="0" w:color="auto"/>
              <w:left w:val="nil"/>
              <w:bottom w:val="nil"/>
              <w:right w:val="nil"/>
            </w:tcBorders>
            <w:shd w:val="clear" w:color="auto" w:fill="auto"/>
            <w:vAlign w:val="center"/>
            <w:hideMark/>
          </w:tcPr>
          <w:p w14:paraId="45731D8A" w14:textId="77777777" w:rsidR="00A56DBC" w:rsidRPr="00F30578" w:rsidRDefault="00A56DBC" w:rsidP="00A56DBC">
            <w:pPr>
              <w:jc w:val="center"/>
              <w:rPr>
                <w:color w:val="000000"/>
                <w:sz w:val="18"/>
                <w:szCs w:val="18"/>
                <w:lang w:val="en-GB"/>
              </w:rPr>
            </w:pPr>
            <w:r w:rsidRPr="00F30578">
              <w:rPr>
                <w:color w:val="000000"/>
                <w:sz w:val="18"/>
                <w:szCs w:val="18"/>
                <w:lang w:val="en-GB"/>
              </w:rPr>
              <w:t xml:space="preserve">265.1 </w:t>
            </w:r>
            <w:r w:rsidRPr="00F30578">
              <w:rPr>
                <w:color w:val="000000"/>
                <w:sz w:val="18"/>
                <w:szCs w:val="18"/>
                <w:vertAlign w:val="superscript"/>
                <w:lang w:val="en-GB"/>
              </w:rPr>
              <w:t>c</w:t>
            </w:r>
          </w:p>
        </w:tc>
        <w:tc>
          <w:tcPr>
            <w:tcW w:w="1202" w:type="dxa"/>
            <w:tcBorders>
              <w:top w:val="single" w:sz="4" w:space="0" w:color="auto"/>
              <w:left w:val="nil"/>
              <w:bottom w:val="nil"/>
              <w:right w:val="nil"/>
            </w:tcBorders>
            <w:shd w:val="clear" w:color="auto" w:fill="auto"/>
            <w:vAlign w:val="center"/>
            <w:hideMark/>
          </w:tcPr>
          <w:p w14:paraId="6C40FF49" w14:textId="77777777" w:rsidR="00A56DBC" w:rsidRPr="00F30578" w:rsidRDefault="00A56DBC" w:rsidP="00A56DBC">
            <w:pPr>
              <w:jc w:val="center"/>
              <w:rPr>
                <w:color w:val="000000"/>
                <w:sz w:val="18"/>
                <w:szCs w:val="18"/>
                <w:lang w:val="en-GB"/>
              </w:rPr>
            </w:pPr>
            <w:r w:rsidRPr="00F30578">
              <w:rPr>
                <w:color w:val="000000"/>
                <w:sz w:val="18"/>
                <w:szCs w:val="18"/>
                <w:lang w:val="en-GB"/>
              </w:rPr>
              <w:t xml:space="preserve">272.7 </w:t>
            </w:r>
            <w:r w:rsidRPr="00F30578">
              <w:rPr>
                <w:color w:val="000000"/>
                <w:sz w:val="18"/>
                <w:szCs w:val="18"/>
                <w:vertAlign w:val="superscript"/>
                <w:lang w:val="en-GB"/>
              </w:rPr>
              <w:t>bc</w:t>
            </w:r>
          </w:p>
        </w:tc>
        <w:tc>
          <w:tcPr>
            <w:tcW w:w="1202" w:type="dxa"/>
            <w:tcBorders>
              <w:top w:val="single" w:sz="4" w:space="0" w:color="auto"/>
              <w:left w:val="nil"/>
              <w:bottom w:val="nil"/>
              <w:right w:val="nil"/>
            </w:tcBorders>
            <w:shd w:val="clear" w:color="auto" w:fill="auto"/>
            <w:vAlign w:val="center"/>
            <w:hideMark/>
          </w:tcPr>
          <w:p w14:paraId="148E90A7" w14:textId="77777777" w:rsidR="00A56DBC" w:rsidRPr="00F30578" w:rsidRDefault="00A56DBC" w:rsidP="00A56DBC">
            <w:pPr>
              <w:jc w:val="center"/>
              <w:rPr>
                <w:color w:val="000000"/>
                <w:sz w:val="18"/>
                <w:szCs w:val="18"/>
                <w:lang w:val="en-GB"/>
              </w:rPr>
            </w:pPr>
            <w:r w:rsidRPr="00F30578">
              <w:rPr>
                <w:color w:val="000000"/>
                <w:sz w:val="18"/>
                <w:szCs w:val="18"/>
                <w:lang w:val="en-GB"/>
              </w:rPr>
              <w:t xml:space="preserve">282.3 </w:t>
            </w:r>
            <w:r w:rsidRPr="00F30578">
              <w:rPr>
                <w:color w:val="000000"/>
                <w:sz w:val="18"/>
                <w:szCs w:val="18"/>
                <w:vertAlign w:val="superscript"/>
                <w:lang w:val="en-GB"/>
              </w:rPr>
              <w:t>b</w:t>
            </w:r>
          </w:p>
        </w:tc>
        <w:tc>
          <w:tcPr>
            <w:tcW w:w="1204" w:type="dxa"/>
            <w:tcBorders>
              <w:top w:val="single" w:sz="4" w:space="0" w:color="auto"/>
              <w:left w:val="nil"/>
              <w:bottom w:val="nil"/>
              <w:right w:val="nil"/>
            </w:tcBorders>
            <w:shd w:val="clear" w:color="auto" w:fill="auto"/>
            <w:vAlign w:val="center"/>
            <w:hideMark/>
          </w:tcPr>
          <w:p w14:paraId="3C501755" w14:textId="77777777" w:rsidR="00A56DBC" w:rsidRPr="00F30578" w:rsidRDefault="00A56DBC" w:rsidP="00A56DBC">
            <w:pPr>
              <w:jc w:val="center"/>
              <w:rPr>
                <w:color w:val="000000"/>
                <w:sz w:val="18"/>
                <w:szCs w:val="18"/>
                <w:lang w:val="en-GB"/>
              </w:rPr>
            </w:pPr>
            <w:r w:rsidRPr="00F30578">
              <w:rPr>
                <w:color w:val="000000"/>
                <w:sz w:val="18"/>
                <w:szCs w:val="18"/>
                <w:lang w:val="en-GB"/>
              </w:rPr>
              <w:t xml:space="preserve">317.1 </w:t>
            </w:r>
            <w:r w:rsidRPr="00F30578">
              <w:rPr>
                <w:color w:val="000000"/>
                <w:sz w:val="18"/>
                <w:szCs w:val="18"/>
                <w:vertAlign w:val="superscript"/>
                <w:lang w:val="en-GB"/>
              </w:rPr>
              <w:t>a</w:t>
            </w:r>
          </w:p>
        </w:tc>
        <w:tc>
          <w:tcPr>
            <w:tcW w:w="1209" w:type="dxa"/>
            <w:tcBorders>
              <w:top w:val="single" w:sz="4" w:space="0" w:color="auto"/>
              <w:left w:val="nil"/>
              <w:bottom w:val="nil"/>
              <w:right w:val="single" w:sz="4" w:space="0" w:color="auto"/>
            </w:tcBorders>
            <w:shd w:val="clear" w:color="auto" w:fill="auto"/>
            <w:vAlign w:val="center"/>
            <w:hideMark/>
          </w:tcPr>
          <w:p w14:paraId="679BE85A" w14:textId="77777777" w:rsidR="00A56DBC" w:rsidRPr="00F30578" w:rsidRDefault="00A56DBC" w:rsidP="00A56DBC">
            <w:pPr>
              <w:jc w:val="center"/>
              <w:rPr>
                <w:color w:val="000000"/>
                <w:sz w:val="18"/>
                <w:szCs w:val="18"/>
                <w:lang w:val="en-GB"/>
              </w:rPr>
            </w:pPr>
            <w:r w:rsidRPr="00F30578">
              <w:rPr>
                <w:color w:val="000000"/>
                <w:sz w:val="18"/>
                <w:szCs w:val="18"/>
                <w:lang w:val="en-GB"/>
              </w:rPr>
              <w:t>**</w:t>
            </w:r>
          </w:p>
        </w:tc>
      </w:tr>
      <w:tr w:rsidR="00A56DBC" w:rsidRPr="00F30578" w14:paraId="692C469D" w14:textId="77777777" w:rsidTr="001D4599">
        <w:trPr>
          <w:trHeight w:val="122"/>
        </w:trPr>
        <w:tc>
          <w:tcPr>
            <w:tcW w:w="1696" w:type="dxa"/>
            <w:vMerge/>
            <w:tcBorders>
              <w:top w:val="nil"/>
              <w:left w:val="single" w:sz="4" w:space="0" w:color="000000" w:themeColor="text1"/>
              <w:bottom w:val="single" w:sz="4" w:space="0" w:color="000000"/>
              <w:right w:val="nil"/>
            </w:tcBorders>
            <w:vAlign w:val="center"/>
            <w:hideMark/>
          </w:tcPr>
          <w:p w14:paraId="68A07A02" w14:textId="77777777" w:rsidR="00A56DBC" w:rsidRPr="00F30578" w:rsidRDefault="00A56DBC" w:rsidP="00A56DBC">
            <w:pPr>
              <w:rPr>
                <w:color w:val="000000"/>
                <w:sz w:val="18"/>
                <w:szCs w:val="18"/>
                <w:lang w:val="en-GB"/>
              </w:rPr>
            </w:pPr>
          </w:p>
        </w:tc>
        <w:tc>
          <w:tcPr>
            <w:tcW w:w="1418" w:type="dxa"/>
            <w:tcBorders>
              <w:top w:val="nil"/>
              <w:left w:val="nil"/>
              <w:bottom w:val="single" w:sz="4" w:space="0" w:color="000000"/>
              <w:right w:val="nil"/>
            </w:tcBorders>
            <w:shd w:val="clear" w:color="auto" w:fill="auto"/>
            <w:vAlign w:val="center"/>
            <w:hideMark/>
          </w:tcPr>
          <w:p w14:paraId="6F758AD8" w14:textId="77777777" w:rsidR="00A56DBC" w:rsidRPr="00F30578" w:rsidRDefault="00A56DBC" w:rsidP="001D4599">
            <w:pPr>
              <w:jc w:val="center"/>
              <w:rPr>
                <w:color w:val="000000"/>
                <w:sz w:val="18"/>
                <w:szCs w:val="18"/>
                <w:lang w:val="en-GB"/>
              </w:rPr>
            </w:pPr>
            <w:r w:rsidRPr="00F30578">
              <w:rPr>
                <w:color w:val="000000"/>
                <w:sz w:val="18"/>
                <w:szCs w:val="18"/>
                <w:lang w:val="en-GB"/>
              </w:rPr>
              <w:t>120</w:t>
            </w:r>
          </w:p>
        </w:tc>
        <w:tc>
          <w:tcPr>
            <w:tcW w:w="1202" w:type="dxa"/>
            <w:tcBorders>
              <w:top w:val="nil"/>
              <w:left w:val="nil"/>
              <w:bottom w:val="single" w:sz="4" w:space="0" w:color="000000"/>
              <w:right w:val="nil"/>
            </w:tcBorders>
            <w:shd w:val="clear" w:color="auto" w:fill="auto"/>
            <w:vAlign w:val="center"/>
            <w:hideMark/>
          </w:tcPr>
          <w:p w14:paraId="0B5C84CC" w14:textId="77777777" w:rsidR="00A56DBC" w:rsidRPr="00F30578" w:rsidRDefault="00A56DBC" w:rsidP="00A56DBC">
            <w:pPr>
              <w:jc w:val="center"/>
              <w:rPr>
                <w:color w:val="000000"/>
                <w:sz w:val="18"/>
                <w:szCs w:val="18"/>
                <w:lang w:val="en-GB"/>
              </w:rPr>
            </w:pPr>
            <w:r w:rsidRPr="00F30578">
              <w:rPr>
                <w:color w:val="000000"/>
                <w:sz w:val="18"/>
                <w:szCs w:val="18"/>
                <w:lang w:val="en-GB"/>
              </w:rPr>
              <w:t xml:space="preserve">131.4 </w:t>
            </w:r>
            <w:r w:rsidRPr="00F30578">
              <w:rPr>
                <w:color w:val="000000"/>
                <w:sz w:val="18"/>
                <w:szCs w:val="18"/>
                <w:vertAlign w:val="superscript"/>
                <w:lang w:val="en-GB"/>
              </w:rPr>
              <w:t>bc</w:t>
            </w:r>
          </w:p>
        </w:tc>
        <w:tc>
          <w:tcPr>
            <w:tcW w:w="1202" w:type="dxa"/>
            <w:tcBorders>
              <w:top w:val="nil"/>
              <w:left w:val="nil"/>
              <w:bottom w:val="single" w:sz="4" w:space="0" w:color="000000"/>
              <w:right w:val="nil"/>
            </w:tcBorders>
            <w:shd w:val="clear" w:color="auto" w:fill="auto"/>
            <w:vAlign w:val="center"/>
            <w:hideMark/>
          </w:tcPr>
          <w:p w14:paraId="775F3131" w14:textId="77777777" w:rsidR="00A56DBC" w:rsidRPr="00F30578" w:rsidRDefault="00A56DBC" w:rsidP="00A56DBC">
            <w:pPr>
              <w:jc w:val="center"/>
              <w:rPr>
                <w:color w:val="000000"/>
                <w:sz w:val="18"/>
                <w:szCs w:val="18"/>
                <w:lang w:val="en-GB"/>
              </w:rPr>
            </w:pPr>
            <w:r w:rsidRPr="00F30578">
              <w:rPr>
                <w:color w:val="000000"/>
                <w:sz w:val="18"/>
                <w:szCs w:val="18"/>
                <w:lang w:val="en-GB"/>
              </w:rPr>
              <w:t xml:space="preserve">161.1 </w:t>
            </w:r>
            <w:r w:rsidRPr="00F30578">
              <w:rPr>
                <w:color w:val="000000"/>
                <w:sz w:val="18"/>
                <w:szCs w:val="18"/>
                <w:vertAlign w:val="superscript"/>
                <w:lang w:val="en-GB"/>
              </w:rPr>
              <w:t>a</w:t>
            </w:r>
          </w:p>
        </w:tc>
        <w:tc>
          <w:tcPr>
            <w:tcW w:w="1202" w:type="dxa"/>
            <w:tcBorders>
              <w:top w:val="nil"/>
              <w:left w:val="nil"/>
              <w:bottom w:val="single" w:sz="4" w:space="0" w:color="000000"/>
              <w:right w:val="nil"/>
            </w:tcBorders>
            <w:shd w:val="clear" w:color="auto" w:fill="auto"/>
            <w:vAlign w:val="center"/>
            <w:hideMark/>
          </w:tcPr>
          <w:p w14:paraId="19EF0FA7" w14:textId="77777777" w:rsidR="00A56DBC" w:rsidRPr="00F30578" w:rsidRDefault="00A56DBC" w:rsidP="00A56DBC">
            <w:pPr>
              <w:jc w:val="center"/>
              <w:rPr>
                <w:color w:val="000000"/>
                <w:sz w:val="18"/>
                <w:szCs w:val="18"/>
                <w:lang w:val="en-GB"/>
              </w:rPr>
            </w:pPr>
            <w:r w:rsidRPr="00F30578">
              <w:rPr>
                <w:color w:val="000000"/>
                <w:sz w:val="18"/>
                <w:szCs w:val="18"/>
                <w:lang w:val="en-GB"/>
              </w:rPr>
              <w:t xml:space="preserve">128.0 </w:t>
            </w:r>
            <w:r w:rsidRPr="00F30578">
              <w:rPr>
                <w:color w:val="000000"/>
                <w:sz w:val="18"/>
                <w:szCs w:val="18"/>
                <w:vertAlign w:val="superscript"/>
                <w:lang w:val="en-GB"/>
              </w:rPr>
              <w:t>c</w:t>
            </w:r>
          </w:p>
        </w:tc>
        <w:tc>
          <w:tcPr>
            <w:tcW w:w="1204" w:type="dxa"/>
            <w:tcBorders>
              <w:top w:val="nil"/>
              <w:left w:val="nil"/>
              <w:bottom w:val="single" w:sz="4" w:space="0" w:color="000000"/>
              <w:right w:val="nil"/>
            </w:tcBorders>
            <w:shd w:val="clear" w:color="auto" w:fill="auto"/>
            <w:vAlign w:val="center"/>
            <w:hideMark/>
          </w:tcPr>
          <w:p w14:paraId="03382E0C" w14:textId="77777777" w:rsidR="00A56DBC" w:rsidRPr="00F30578" w:rsidRDefault="00A56DBC" w:rsidP="00A56DBC">
            <w:pPr>
              <w:jc w:val="center"/>
              <w:rPr>
                <w:color w:val="000000"/>
                <w:sz w:val="18"/>
                <w:szCs w:val="18"/>
                <w:lang w:val="en-GB"/>
              </w:rPr>
            </w:pPr>
            <w:r w:rsidRPr="00F30578">
              <w:rPr>
                <w:color w:val="000000"/>
                <w:sz w:val="18"/>
                <w:szCs w:val="18"/>
                <w:lang w:val="en-GB"/>
              </w:rPr>
              <w:t xml:space="preserve">147.9 </w:t>
            </w:r>
            <w:r w:rsidRPr="00F30578">
              <w:rPr>
                <w:color w:val="000000"/>
                <w:sz w:val="18"/>
                <w:szCs w:val="18"/>
                <w:vertAlign w:val="superscript"/>
                <w:lang w:val="en-GB"/>
              </w:rPr>
              <w:t>ab</w:t>
            </w:r>
          </w:p>
        </w:tc>
        <w:tc>
          <w:tcPr>
            <w:tcW w:w="1209" w:type="dxa"/>
            <w:tcBorders>
              <w:top w:val="nil"/>
              <w:left w:val="nil"/>
              <w:bottom w:val="nil"/>
              <w:right w:val="single" w:sz="4" w:space="0" w:color="000000"/>
            </w:tcBorders>
            <w:shd w:val="clear" w:color="auto" w:fill="auto"/>
            <w:vAlign w:val="center"/>
            <w:hideMark/>
          </w:tcPr>
          <w:p w14:paraId="1D4B3490" w14:textId="77777777" w:rsidR="00A56DBC" w:rsidRPr="00F30578" w:rsidRDefault="00A56DBC" w:rsidP="00A56DBC">
            <w:pPr>
              <w:jc w:val="center"/>
              <w:rPr>
                <w:color w:val="000000"/>
                <w:sz w:val="18"/>
                <w:szCs w:val="18"/>
                <w:lang w:val="en-GB"/>
              </w:rPr>
            </w:pPr>
            <w:r w:rsidRPr="00F30578">
              <w:rPr>
                <w:color w:val="000000"/>
                <w:sz w:val="18"/>
                <w:szCs w:val="18"/>
                <w:lang w:val="en-GB"/>
              </w:rPr>
              <w:t>**</w:t>
            </w:r>
          </w:p>
        </w:tc>
      </w:tr>
      <w:tr w:rsidR="00A56DBC" w:rsidRPr="00F30578" w14:paraId="52A80C62" w14:textId="77777777" w:rsidTr="001D4599">
        <w:trPr>
          <w:trHeight w:val="122"/>
        </w:trPr>
        <w:tc>
          <w:tcPr>
            <w:tcW w:w="1696" w:type="dxa"/>
            <w:vMerge w:val="restart"/>
            <w:tcBorders>
              <w:top w:val="nil"/>
              <w:left w:val="single" w:sz="4" w:space="0" w:color="000000" w:themeColor="text1"/>
              <w:right w:val="nil"/>
            </w:tcBorders>
            <w:shd w:val="clear" w:color="auto" w:fill="auto"/>
            <w:vAlign w:val="center"/>
            <w:hideMark/>
          </w:tcPr>
          <w:p w14:paraId="629DDEC2" w14:textId="77777777" w:rsidR="00A56DBC" w:rsidRPr="00C77942" w:rsidRDefault="00A56DBC" w:rsidP="00A56DBC">
            <w:pPr>
              <w:jc w:val="center"/>
              <w:rPr>
                <w:color w:val="000000"/>
                <w:sz w:val="18"/>
                <w:szCs w:val="18"/>
                <w:lang w:val="en-GB"/>
              </w:rPr>
            </w:pPr>
            <w:r w:rsidRPr="00C77942">
              <w:rPr>
                <w:color w:val="000000"/>
                <w:sz w:val="18"/>
                <w:szCs w:val="18"/>
                <w:lang w:val="en-GB"/>
              </w:rPr>
              <w:t>ABTS assay</w:t>
            </w:r>
          </w:p>
          <w:p w14:paraId="5D779DA1" w14:textId="41068CC1" w:rsidR="00A56DBC" w:rsidRPr="00C77942" w:rsidRDefault="00A56DBC" w:rsidP="00A56DBC">
            <w:pPr>
              <w:jc w:val="center"/>
              <w:rPr>
                <w:color w:val="000000"/>
                <w:sz w:val="18"/>
                <w:szCs w:val="18"/>
                <w:lang w:val="en-GB"/>
              </w:rPr>
            </w:pPr>
            <w:r w:rsidRPr="00C77942">
              <w:rPr>
                <w:color w:val="000000"/>
                <w:sz w:val="18"/>
                <w:szCs w:val="18"/>
                <w:lang w:val="en-GB"/>
              </w:rPr>
              <w:t>(</w:t>
            </w:r>
            <w:r w:rsidRPr="00C77942">
              <w:rPr>
                <w:sz w:val="18"/>
                <w:szCs w:val="18"/>
                <w:lang w:val="en-GB"/>
              </w:rPr>
              <w:t>μmol Trolox</w:t>
            </w:r>
            <w:r w:rsidRPr="00C77942">
              <w:rPr>
                <w:color w:val="000000"/>
                <w:sz w:val="18"/>
                <w:szCs w:val="18"/>
                <w:lang w:val="en-GB"/>
              </w:rPr>
              <w:t xml:space="preserve"> g</w:t>
            </w:r>
            <w:r w:rsidRPr="00C77942">
              <w:rPr>
                <w:color w:val="000000"/>
                <w:sz w:val="18"/>
                <w:szCs w:val="18"/>
                <w:vertAlign w:val="superscript"/>
                <w:lang w:val="en-GB"/>
              </w:rPr>
              <w:t>-1</w:t>
            </w:r>
            <w:r w:rsidRPr="00C77942">
              <w:rPr>
                <w:color w:val="000000"/>
                <w:sz w:val="18"/>
                <w:szCs w:val="18"/>
                <w:lang w:val="en-GB"/>
              </w:rPr>
              <w:t>)</w:t>
            </w:r>
          </w:p>
        </w:tc>
        <w:tc>
          <w:tcPr>
            <w:tcW w:w="1418" w:type="dxa"/>
            <w:tcBorders>
              <w:top w:val="nil"/>
              <w:left w:val="nil"/>
              <w:bottom w:val="nil"/>
              <w:right w:val="nil"/>
            </w:tcBorders>
            <w:shd w:val="clear" w:color="auto" w:fill="auto"/>
            <w:vAlign w:val="center"/>
            <w:hideMark/>
          </w:tcPr>
          <w:p w14:paraId="50E70B92" w14:textId="77777777" w:rsidR="00A56DBC" w:rsidRPr="00F30578" w:rsidRDefault="00A56DBC" w:rsidP="001D4599">
            <w:pPr>
              <w:jc w:val="center"/>
              <w:rPr>
                <w:color w:val="000000"/>
                <w:sz w:val="18"/>
                <w:szCs w:val="18"/>
                <w:lang w:val="en-GB"/>
              </w:rPr>
            </w:pPr>
            <w:r w:rsidRPr="00F30578">
              <w:rPr>
                <w:color w:val="000000"/>
                <w:sz w:val="18"/>
                <w:szCs w:val="18"/>
                <w:lang w:val="en-GB"/>
              </w:rPr>
              <w:t>0</w:t>
            </w:r>
          </w:p>
        </w:tc>
        <w:tc>
          <w:tcPr>
            <w:tcW w:w="1202" w:type="dxa"/>
            <w:tcBorders>
              <w:top w:val="nil"/>
              <w:left w:val="nil"/>
              <w:bottom w:val="nil"/>
              <w:right w:val="nil"/>
            </w:tcBorders>
            <w:shd w:val="clear" w:color="auto" w:fill="auto"/>
            <w:vAlign w:val="center"/>
            <w:hideMark/>
          </w:tcPr>
          <w:p w14:paraId="4AB3B0F6" w14:textId="77777777" w:rsidR="00A56DBC" w:rsidRPr="00F30578" w:rsidRDefault="00A56DBC" w:rsidP="00A56DBC">
            <w:pPr>
              <w:jc w:val="center"/>
              <w:rPr>
                <w:color w:val="000000"/>
                <w:sz w:val="18"/>
                <w:szCs w:val="18"/>
                <w:lang w:val="en-GB"/>
              </w:rPr>
            </w:pPr>
            <w:r w:rsidRPr="00F30578">
              <w:rPr>
                <w:color w:val="000000"/>
                <w:sz w:val="18"/>
                <w:szCs w:val="18"/>
                <w:lang w:val="en-GB"/>
              </w:rPr>
              <w:t xml:space="preserve">24.43 </w:t>
            </w:r>
            <w:r w:rsidRPr="00F30578">
              <w:rPr>
                <w:color w:val="000000"/>
                <w:sz w:val="18"/>
                <w:szCs w:val="18"/>
                <w:vertAlign w:val="superscript"/>
                <w:lang w:val="en-GB"/>
              </w:rPr>
              <w:t>c</w:t>
            </w:r>
          </w:p>
        </w:tc>
        <w:tc>
          <w:tcPr>
            <w:tcW w:w="1202" w:type="dxa"/>
            <w:tcBorders>
              <w:top w:val="nil"/>
              <w:left w:val="nil"/>
              <w:bottom w:val="nil"/>
              <w:right w:val="nil"/>
            </w:tcBorders>
            <w:shd w:val="clear" w:color="auto" w:fill="auto"/>
            <w:vAlign w:val="center"/>
            <w:hideMark/>
          </w:tcPr>
          <w:p w14:paraId="6A98ADCC" w14:textId="77777777" w:rsidR="00A56DBC" w:rsidRPr="00F30578" w:rsidRDefault="00A56DBC" w:rsidP="00A56DBC">
            <w:pPr>
              <w:jc w:val="center"/>
              <w:rPr>
                <w:color w:val="000000"/>
                <w:sz w:val="18"/>
                <w:szCs w:val="18"/>
                <w:lang w:val="en-GB"/>
              </w:rPr>
            </w:pPr>
            <w:r w:rsidRPr="00F30578">
              <w:rPr>
                <w:color w:val="000000"/>
                <w:sz w:val="18"/>
                <w:szCs w:val="18"/>
                <w:lang w:val="en-GB"/>
              </w:rPr>
              <w:t xml:space="preserve">38.65 </w:t>
            </w:r>
            <w:r w:rsidRPr="00F30578">
              <w:rPr>
                <w:color w:val="000000"/>
                <w:sz w:val="18"/>
                <w:szCs w:val="18"/>
                <w:vertAlign w:val="superscript"/>
                <w:lang w:val="en-GB"/>
              </w:rPr>
              <w:t>b</w:t>
            </w:r>
          </w:p>
        </w:tc>
        <w:tc>
          <w:tcPr>
            <w:tcW w:w="1202" w:type="dxa"/>
            <w:tcBorders>
              <w:top w:val="nil"/>
              <w:left w:val="nil"/>
              <w:bottom w:val="nil"/>
              <w:right w:val="nil"/>
            </w:tcBorders>
            <w:shd w:val="clear" w:color="auto" w:fill="auto"/>
            <w:vAlign w:val="center"/>
            <w:hideMark/>
          </w:tcPr>
          <w:p w14:paraId="7E50628B" w14:textId="77777777" w:rsidR="00A56DBC" w:rsidRPr="00F30578" w:rsidRDefault="00A56DBC" w:rsidP="00A56DBC">
            <w:pPr>
              <w:jc w:val="center"/>
              <w:rPr>
                <w:color w:val="000000"/>
                <w:sz w:val="18"/>
                <w:szCs w:val="18"/>
                <w:lang w:val="en-GB"/>
              </w:rPr>
            </w:pPr>
            <w:r w:rsidRPr="00F30578">
              <w:rPr>
                <w:color w:val="000000"/>
                <w:sz w:val="18"/>
                <w:szCs w:val="18"/>
                <w:lang w:val="en-GB"/>
              </w:rPr>
              <w:t xml:space="preserve">42.81 </w:t>
            </w:r>
            <w:r w:rsidRPr="00F30578">
              <w:rPr>
                <w:color w:val="000000"/>
                <w:sz w:val="18"/>
                <w:szCs w:val="18"/>
                <w:vertAlign w:val="superscript"/>
                <w:lang w:val="en-GB"/>
              </w:rPr>
              <w:t>a</w:t>
            </w:r>
          </w:p>
        </w:tc>
        <w:tc>
          <w:tcPr>
            <w:tcW w:w="1204" w:type="dxa"/>
            <w:tcBorders>
              <w:top w:val="nil"/>
              <w:left w:val="nil"/>
              <w:bottom w:val="nil"/>
              <w:right w:val="nil"/>
            </w:tcBorders>
            <w:shd w:val="clear" w:color="auto" w:fill="auto"/>
            <w:vAlign w:val="center"/>
            <w:hideMark/>
          </w:tcPr>
          <w:p w14:paraId="6CE15CDD" w14:textId="77777777" w:rsidR="00A56DBC" w:rsidRPr="00F30578" w:rsidRDefault="00A56DBC" w:rsidP="00A56DBC">
            <w:pPr>
              <w:jc w:val="center"/>
              <w:rPr>
                <w:color w:val="000000"/>
                <w:sz w:val="18"/>
                <w:szCs w:val="18"/>
                <w:lang w:val="en-GB"/>
              </w:rPr>
            </w:pPr>
            <w:r w:rsidRPr="00F30578">
              <w:rPr>
                <w:color w:val="000000"/>
                <w:sz w:val="18"/>
                <w:szCs w:val="18"/>
                <w:lang w:val="en-GB"/>
              </w:rPr>
              <w:t xml:space="preserve">45.75 </w:t>
            </w:r>
            <w:r w:rsidRPr="00F30578">
              <w:rPr>
                <w:color w:val="000000"/>
                <w:sz w:val="18"/>
                <w:szCs w:val="18"/>
                <w:vertAlign w:val="superscript"/>
                <w:lang w:val="en-GB"/>
              </w:rPr>
              <w:t>a</w:t>
            </w:r>
          </w:p>
        </w:tc>
        <w:tc>
          <w:tcPr>
            <w:tcW w:w="1209" w:type="dxa"/>
            <w:tcBorders>
              <w:top w:val="single" w:sz="4" w:space="0" w:color="000000"/>
              <w:left w:val="nil"/>
              <w:bottom w:val="nil"/>
              <w:right w:val="single" w:sz="4" w:space="0" w:color="000000"/>
            </w:tcBorders>
            <w:shd w:val="clear" w:color="auto" w:fill="auto"/>
            <w:vAlign w:val="center"/>
            <w:hideMark/>
          </w:tcPr>
          <w:p w14:paraId="1CB4798E" w14:textId="77777777" w:rsidR="00A56DBC" w:rsidRPr="00F30578" w:rsidRDefault="00A56DBC" w:rsidP="00A56DBC">
            <w:pPr>
              <w:jc w:val="center"/>
              <w:rPr>
                <w:color w:val="000000"/>
                <w:sz w:val="18"/>
                <w:szCs w:val="18"/>
                <w:lang w:val="en-GB"/>
              </w:rPr>
            </w:pPr>
            <w:r w:rsidRPr="00F30578">
              <w:rPr>
                <w:color w:val="000000"/>
                <w:sz w:val="18"/>
                <w:szCs w:val="18"/>
                <w:lang w:val="en-GB"/>
              </w:rPr>
              <w:t>**</w:t>
            </w:r>
          </w:p>
        </w:tc>
      </w:tr>
      <w:tr w:rsidR="00A56DBC" w:rsidRPr="00F30578" w14:paraId="09EB0905" w14:textId="77777777" w:rsidTr="001D4599">
        <w:trPr>
          <w:trHeight w:val="122"/>
        </w:trPr>
        <w:tc>
          <w:tcPr>
            <w:tcW w:w="1696" w:type="dxa"/>
            <w:vMerge/>
            <w:tcBorders>
              <w:left w:val="single" w:sz="4" w:space="0" w:color="000000" w:themeColor="text1"/>
              <w:bottom w:val="single" w:sz="4" w:space="0" w:color="000000"/>
              <w:right w:val="nil"/>
            </w:tcBorders>
            <w:shd w:val="clear" w:color="auto" w:fill="auto"/>
            <w:noWrap/>
            <w:vAlign w:val="bottom"/>
            <w:hideMark/>
          </w:tcPr>
          <w:p w14:paraId="13EFF69A" w14:textId="77777777" w:rsidR="00A56DBC" w:rsidRPr="00F30578" w:rsidRDefault="00A56DBC" w:rsidP="00A56DBC">
            <w:pPr>
              <w:jc w:val="center"/>
              <w:rPr>
                <w:color w:val="000000"/>
                <w:sz w:val="18"/>
                <w:szCs w:val="18"/>
                <w:lang w:val="en-GB"/>
              </w:rPr>
            </w:pPr>
          </w:p>
        </w:tc>
        <w:tc>
          <w:tcPr>
            <w:tcW w:w="1418" w:type="dxa"/>
            <w:tcBorders>
              <w:top w:val="nil"/>
              <w:left w:val="nil"/>
              <w:bottom w:val="single" w:sz="4" w:space="0" w:color="000000"/>
              <w:right w:val="nil"/>
            </w:tcBorders>
            <w:shd w:val="clear" w:color="auto" w:fill="auto"/>
            <w:noWrap/>
            <w:vAlign w:val="bottom"/>
            <w:hideMark/>
          </w:tcPr>
          <w:p w14:paraId="77D4341B" w14:textId="77777777" w:rsidR="00A56DBC" w:rsidRPr="00F30578" w:rsidRDefault="00A56DBC" w:rsidP="001D4599">
            <w:pPr>
              <w:jc w:val="center"/>
              <w:rPr>
                <w:color w:val="000000"/>
                <w:sz w:val="18"/>
                <w:szCs w:val="18"/>
                <w:lang w:val="en-GB"/>
              </w:rPr>
            </w:pPr>
            <w:r w:rsidRPr="00F30578">
              <w:rPr>
                <w:color w:val="000000"/>
                <w:sz w:val="18"/>
                <w:szCs w:val="18"/>
                <w:lang w:val="en-GB"/>
              </w:rPr>
              <w:t>120</w:t>
            </w:r>
          </w:p>
        </w:tc>
        <w:tc>
          <w:tcPr>
            <w:tcW w:w="1202" w:type="dxa"/>
            <w:tcBorders>
              <w:top w:val="nil"/>
              <w:left w:val="nil"/>
              <w:bottom w:val="single" w:sz="4" w:space="0" w:color="000000"/>
              <w:right w:val="nil"/>
            </w:tcBorders>
            <w:shd w:val="clear" w:color="auto" w:fill="auto"/>
            <w:vAlign w:val="center"/>
            <w:hideMark/>
          </w:tcPr>
          <w:p w14:paraId="22DFD88F" w14:textId="77777777" w:rsidR="00A56DBC" w:rsidRPr="00F30578" w:rsidRDefault="00A56DBC" w:rsidP="00A56DBC">
            <w:pPr>
              <w:jc w:val="center"/>
              <w:rPr>
                <w:color w:val="000000"/>
                <w:sz w:val="18"/>
                <w:szCs w:val="18"/>
                <w:lang w:val="en-GB"/>
              </w:rPr>
            </w:pPr>
            <w:r w:rsidRPr="00F30578">
              <w:rPr>
                <w:color w:val="000000"/>
                <w:sz w:val="18"/>
                <w:szCs w:val="18"/>
                <w:lang w:val="en-GB"/>
              </w:rPr>
              <w:t xml:space="preserve">15.06 </w:t>
            </w:r>
            <w:r w:rsidRPr="00F30578">
              <w:rPr>
                <w:color w:val="000000"/>
                <w:sz w:val="18"/>
                <w:szCs w:val="18"/>
                <w:vertAlign w:val="superscript"/>
                <w:lang w:val="en-GB"/>
              </w:rPr>
              <w:t>b</w:t>
            </w:r>
          </w:p>
        </w:tc>
        <w:tc>
          <w:tcPr>
            <w:tcW w:w="1202" w:type="dxa"/>
            <w:tcBorders>
              <w:top w:val="nil"/>
              <w:left w:val="nil"/>
              <w:bottom w:val="single" w:sz="4" w:space="0" w:color="000000"/>
              <w:right w:val="nil"/>
            </w:tcBorders>
            <w:shd w:val="clear" w:color="auto" w:fill="auto"/>
            <w:vAlign w:val="center"/>
            <w:hideMark/>
          </w:tcPr>
          <w:p w14:paraId="0083BD65" w14:textId="77777777" w:rsidR="00A56DBC" w:rsidRPr="00F30578" w:rsidRDefault="00A56DBC" w:rsidP="00A56DBC">
            <w:pPr>
              <w:jc w:val="center"/>
              <w:rPr>
                <w:color w:val="000000"/>
                <w:sz w:val="18"/>
                <w:szCs w:val="18"/>
                <w:lang w:val="en-GB"/>
              </w:rPr>
            </w:pPr>
            <w:r w:rsidRPr="00F30578">
              <w:rPr>
                <w:color w:val="000000"/>
                <w:sz w:val="18"/>
                <w:szCs w:val="18"/>
                <w:lang w:val="en-GB"/>
              </w:rPr>
              <w:t xml:space="preserve">31.49 </w:t>
            </w:r>
            <w:r w:rsidRPr="00F30578">
              <w:rPr>
                <w:color w:val="000000"/>
                <w:sz w:val="18"/>
                <w:szCs w:val="18"/>
                <w:vertAlign w:val="superscript"/>
                <w:lang w:val="en-GB"/>
              </w:rPr>
              <w:t>a</w:t>
            </w:r>
            <w:r w:rsidRPr="00F30578">
              <w:rPr>
                <w:color w:val="000000"/>
                <w:sz w:val="18"/>
                <w:szCs w:val="18"/>
                <w:lang w:val="en-GB"/>
              </w:rPr>
              <w:t xml:space="preserve"> </w:t>
            </w:r>
          </w:p>
        </w:tc>
        <w:tc>
          <w:tcPr>
            <w:tcW w:w="1202" w:type="dxa"/>
            <w:tcBorders>
              <w:top w:val="nil"/>
              <w:left w:val="nil"/>
              <w:bottom w:val="single" w:sz="4" w:space="0" w:color="000000"/>
              <w:right w:val="nil"/>
            </w:tcBorders>
            <w:shd w:val="clear" w:color="auto" w:fill="auto"/>
            <w:vAlign w:val="center"/>
            <w:hideMark/>
          </w:tcPr>
          <w:p w14:paraId="59057E31" w14:textId="77777777" w:rsidR="00A56DBC" w:rsidRPr="00F30578" w:rsidRDefault="00A56DBC" w:rsidP="00A56DBC">
            <w:pPr>
              <w:jc w:val="center"/>
              <w:rPr>
                <w:color w:val="000000"/>
                <w:sz w:val="18"/>
                <w:szCs w:val="18"/>
                <w:lang w:val="en-GB"/>
              </w:rPr>
            </w:pPr>
            <w:r w:rsidRPr="00F30578">
              <w:rPr>
                <w:color w:val="000000"/>
                <w:sz w:val="18"/>
                <w:szCs w:val="18"/>
                <w:lang w:val="en-GB"/>
              </w:rPr>
              <w:t xml:space="preserve">30.25 </w:t>
            </w:r>
            <w:r w:rsidRPr="00F30578">
              <w:rPr>
                <w:color w:val="000000"/>
                <w:sz w:val="18"/>
                <w:szCs w:val="18"/>
                <w:vertAlign w:val="superscript"/>
                <w:lang w:val="en-GB"/>
              </w:rPr>
              <w:t>a</w:t>
            </w:r>
          </w:p>
        </w:tc>
        <w:tc>
          <w:tcPr>
            <w:tcW w:w="1204" w:type="dxa"/>
            <w:tcBorders>
              <w:top w:val="nil"/>
              <w:left w:val="nil"/>
              <w:bottom w:val="single" w:sz="4" w:space="0" w:color="000000"/>
              <w:right w:val="nil"/>
            </w:tcBorders>
            <w:shd w:val="clear" w:color="auto" w:fill="auto"/>
            <w:vAlign w:val="center"/>
            <w:hideMark/>
          </w:tcPr>
          <w:p w14:paraId="42C707FA" w14:textId="77777777" w:rsidR="00A56DBC" w:rsidRPr="00F30578" w:rsidRDefault="00A56DBC" w:rsidP="00A56DBC">
            <w:pPr>
              <w:jc w:val="center"/>
              <w:rPr>
                <w:color w:val="000000"/>
                <w:sz w:val="18"/>
                <w:szCs w:val="18"/>
                <w:lang w:val="en-GB"/>
              </w:rPr>
            </w:pPr>
            <w:r w:rsidRPr="00F30578">
              <w:rPr>
                <w:color w:val="000000"/>
                <w:sz w:val="18"/>
                <w:szCs w:val="18"/>
                <w:lang w:val="en-GB"/>
              </w:rPr>
              <w:t xml:space="preserve">28.20 </w:t>
            </w:r>
            <w:r w:rsidRPr="00F30578">
              <w:rPr>
                <w:color w:val="000000"/>
                <w:sz w:val="18"/>
                <w:szCs w:val="18"/>
                <w:vertAlign w:val="superscript"/>
                <w:lang w:val="en-GB"/>
              </w:rPr>
              <w:t>a</w:t>
            </w:r>
          </w:p>
        </w:tc>
        <w:tc>
          <w:tcPr>
            <w:tcW w:w="1209" w:type="dxa"/>
            <w:tcBorders>
              <w:top w:val="nil"/>
              <w:left w:val="nil"/>
              <w:bottom w:val="single" w:sz="4" w:space="0" w:color="000000"/>
              <w:right w:val="single" w:sz="4" w:space="0" w:color="000000"/>
            </w:tcBorders>
            <w:shd w:val="clear" w:color="auto" w:fill="auto"/>
            <w:vAlign w:val="center"/>
            <w:hideMark/>
          </w:tcPr>
          <w:p w14:paraId="6889CF85" w14:textId="77777777" w:rsidR="00A56DBC" w:rsidRPr="00F30578" w:rsidRDefault="00A56DBC" w:rsidP="00A56DBC">
            <w:pPr>
              <w:jc w:val="center"/>
              <w:rPr>
                <w:color w:val="000000"/>
                <w:sz w:val="18"/>
                <w:szCs w:val="18"/>
                <w:lang w:val="en-GB"/>
              </w:rPr>
            </w:pPr>
            <w:r w:rsidRPr="00F30578">
              <w:rPr>
                <w:color w:val="000000"/>
                <w:sz w:val="18"/>
                <w:szCs w:val="18"/>
                <w:lang w:val="en-GB"/>
              </w:rPr>
              <w:t>**</w:t>
            </w:r>
          </w:p>
        </w:tc>
      </w:tr>
      <w:tr w:rsidR="00A56DBC" w:rsidRPr="00F30578" w14:paraId="3967608C" w14:textId="77777777" w:rsidTr="001D4599">
        <w:trPr>
          <w:trHeight w:val="122"/>
        </w:trPr>
        <w:tc>
          <w:tcPr>
            <w:tcW w:w="1696" w:type="dxa"/>
            <w:tcBorders>
              <w:top w:val="nil"/>
              <w:left w:val="single" w:sz="4" w:space="0" w:color="000000" w:themeColor="text1"/>
              <w:bottom w:val="nil"/>
              <w:right w:val="nil"/>
            </w:tcBorders>
            <w:shd w:val="clear" w:color="auto" w:fill="auto"/>
            <w:vAlign w:val="center"/>
            <w:hideMark/>
          </w:tcPr>
          <w:p w14:paraId="18C5C748" w14:textId="77777777" w:rsidR="00A56DBC" w:rsidRPr="00F30578" w:rsidRDefault="00A56DBC" w:rsidP="00A56DBC">
            <w:pPr>
              <w:jc w:val="center"/>
              <w:rPr>
                <w:color w:val="000000"/>
                <w:sz w:val="18"/>
                <w:szCs w:val="18"/>
                <w:lang w:val="en-GB"/>
              </w:rPr>
            </w:pPr>
            <w:r w:rsidRPr="00C77942">
              <w:rPr>
                <w:color w:val="000000"/>
                <w:sz w:val="18"/>
                <w:szCs w:val="18"/>
                <w:lang w:val="en-GB"/>
              </w:rPr>
              <w:t xml:space="preserve">Moisture </w:t>
            </w:r>
          </w:p>
        </w:tc>
        <w:tc>
          <w:tcPr>
            <w:tcW w:w="1418" w:type="dxa"/>
            <w:tcBorders>
              <w:top w:val="nil"/>
              <w:left w:val="nil"/>
              <w:bottom w:val="nil"/>
              <w:right w:val="nil"/>
            </w:tcBorders>
            <w:shd w:val="clear" w:color="auto" w:fill="auto"/>
            <w:noWrap/>
            <w:vAlign w:val="bottom"/>
            <w:hideMark/>
          </w:tcPr>
          <w:p w14:paraId="767ACD0D" w14:textId="77777777" w:rsidR="00A56DBC" w:rsidRPr="00F30578" w:rsidRDefault="00A56DBC" w:rsidP="001D4599">
            <w:pPr>
              <w:jc w:val="center"/>
              <w:rPr>
                <w:color w:val="000000"/>
                <w:sz w:val="18"/>
                <w:szCs w:val="18"/>
                <w:lang w:val="en-GB"/>
              </w:rPr>
            </w:pPr>
            <w:r w:rsidRPr="00F30578">
              <w:rPr>
                <w:color w:val="000000"/>
                <w:sz w:val="18"/>
                <w:szCs w:val="18"/>
                <w:lang w:val="en-GB"/>
              </w:rPr>
              <w:t>0</w:t>
            </w:r>
          </w:p>
        </w:tc>
        <w:tc>
          <w:tcPr>
            <w:tcW w:w="1202" w:type="dxa"/>
            <w:tcBorders>
              <w:top w:val="nil"/>
              <w:left w:val="nil"/>
              <w:bottom w:val="nil"/>
              <w:right w:val="nil"/>
            </w:tcBorders>
            <w:shd w:val="clear" w:color="auto" w:fill="auto"/>
            <w:noWrap/>
            <w:vAlign w:val="bottom"/>
            <w:hideMark/>
          </w:tcPr>
          <w:p w14:paraId="601958E4" w14:textId="77777777" w:rsidR="00A56DBC" w:rsidRPr="00F30578" w:rsidRDefault="00A56DBC" w:rsidP="00A56DBC">
            <w:pPr>
              <w:jc w:val="center"/>
              <w:rPr>
                <w:color w:val="000000"/>
                <w:sz w:val="18"/>
                <w:szCs w:val="18"/>
                <w:lang w:val="en-GB"/>
              </w:rPr>
            </w:pPr>
            <w:r w:rsidRPr="00F30578">
              <w:rPr>
                <w:color w:val="000000"/>
                <w:sz w:val="18"/>
                <w:szCs w:val="18"/>
                <w:lang w:val="en-GB"/>
              </w:rPr>
              <w:t xml:space="preserve">19.87 </w:t>
            </w:r>
            <w:r w:rsidRPr="00F30578">
              <w:rPr>
                <w:color w:val="000000"/>
                <w:sz w:val="18"/>
                <w:szCs w:val="18"/>
                <w:vertAlign w:val="superscript"/>
                <w:lang w:val="en-GB"/>
              </w:rPr>
              <w:t>a</w:t>
            </w:r>
          </w:p>
        </w:tc>
        <w:tc>
          <w:tcPr>
            <w:tcW w:w="1202" w:type="dxa"/>
            <w:tcBorders>
              <w:top w:val="nil"/>
              <w:left w:val="nil"/>
              <w:bottom w:val="nil"/>
              <w:right w:val="nil"/>
            </w:tcBorders>
            <w:shd w:val="clear" w:color="auto" w:fill="auto"/>
            <w:noWrap/>
            <w:vAlign w:val="bottom"/>
            <w:hideMark/>
          </w:tcPr>
          <w:p w14:paraId="477415B1" w14:textId="77777777" w:rsidR="00A56DBC" w:rsidRPr="00F30578" w:rsidRDefault="00A56DBC" w:rsidP="00A56DBC">
            <w:pPr>
              <w:jc w:val="center"/>
              <w:rPr>
                <w:color w:val="000000"/>
                <w:sz w:val="18"/>
                <w:szCs w:val="18"/>
                <w:lang w:val="en-GB"/>
              </w:rPr>
            </w:pPr>
            <w:r w:rsidRPr="00F30578">
              <w:rPr>
                <w:color w:val="000000"/>
                <w:sz w:val="18"/>
                <w:szCs w:val="18"/>
                <w:lang w:val="en-GB"/>
              </w:rPr>
              <w:t xml:space="preserve">19.97 </w:t>
            </w:r>
            <w:r w:rsidRPr="00F30578">
              <w:rPr>
                <w:color w:val="000000"/>
                <w:sz w:val="18"/>
                <w:szCs w:val="18"/>
                <w:vertAlign w:val="superscript"/>
                <w:lang w:val="en-GB"/>
              </w:rPr>
              <w:t>a</w:t>
            </w:r>
          </w:p>
        </w:tc>
        <w:tc>
          <w:tcPr>
            <w:tcW w:w="1202" w:type="dxa"/>
            <w:tcBorders>
              <w:top w:val="nil"/>
              <w:left w:val="nil"/>
              <w:bottom w:val="nil"/>
              <w:right w:val="nil"/>
            </w:tcBorders>
            <w:shd w:val="clear" w:color="auto" w:fill="auto"/>
            <w:noWrap/>
            <w:vAlign w:val="bottom"/>
            <w:hideMark/>
          </w:tcPr>
          <w:p w14:paraId="4B711299" w14:textId="77777777" w:rsidR="00A56DBC" w:rsidRPr="00F30578" w:rsidRDefault="00A56DBC" w:rsidP="00A56DBC">
            <w:pPr>
              <w:jc w:val="center"/>
              <w:rPr>
                <w:color w:val="000000"/>
                <w:sz w:val="18"/>
                <w:szCs w:val="18"/>
                <w:lang w:val="en-GB"/>
              </w:rPr>
            </w:pPr>
            <w:r w:rsidRPr="00F30578">
              <w:rPr>
                <w:color w:val="000000"/>
                <w:sz w:val="18"/>
                <w:szCs w:val="18"/>
                <w:lang w:val="en-GB"/>
              </w:rPr>
              <w:t xml:space="preserve">18.5 </w:t>
            </w:r>
            <w:r w:rsidRPr="00F30578">
              <w:rPr>
                <w:color w:val="000000"/>
                <w:sz w:val="18"/>
                <w:szCs w:val="18"/>
                <w:vertAlign w:val="superscript"/>
                <w:lang w:val="en-GB"/>
              </w:rPr>
              <w:t>b</w:t>
            </w:r>
          </w:p>
        </w:tc>
        <w:tc>
          <w:tcPr>
            <w:tcW w:w="1204" w:type="dxa"/>
            <w:tcBorders>
              <w:top w:val="nil"/>
              <w:left w:val="nil"/>
              <w:bottom w:val="nil"/>
              <w:right w:val="nil"/>
            </w:tcBorders>
            <w:shd w:val="clear" w:color="auto" w:fill="auto"/>
            <w:noWrap/>
            <w:vAlign w:val="bottom"/>
            <w:hideMark/>
          </w:tcPr>
          <w:p w14:paraId="4BE3559E" w14:textId="77777777" w:rsidR="00A56DBC" w:rsidRPr="00F30578" w:rsidRDefault="00A56DBC" w:rsidP="00A56DBC">
            <w:pPr>
              <w:jc w:val="center"/>
              <w:rPr>
                <w:color w:val="000000"/>
                <w:sz w:val="18"/>
                <w:szCs w:val="18"/>
                <w:lang w:val="en-GB"/>
              </w:rPr>
            </w:pPr>
            <w:r w:rsidRPr="00F30578">
              <w:rPr>
                <w:color w:val="000000"/>
                <w:sz w:val="18"/>
                <w:szCs w:val="18"/>
                <w:lang w:val="en-GB"/>
              </w:rPr>
              <w:t xml:space="preserve">18.3 </w:t>
            </w:r>
            <w:r w:rsidRPr="00F30578">
              <w:rPr>
                <w:color w:val="000000"/>
                <w:sz w:val="18"/>
                <w:szCs w:val="18"/>
                <w:vertAlign w:val="superscript"/>
                <w:lang w:val="en-GB"/>
              </w:rPr>
              <w:t>b</w:t>
            </w:r>
          </w:p>
        </w:tc>
        <w:tc>
          <w:tcPr>
            <w:tcW w:w="1209" w:type="dxa"/>
            <w:tcBorders>
              <w:top w:val="nil"/>
              <w:left w:val="nil"/>
              <w:bottom w:val="nil"/>
              <w:right w:val="single" w:sz="4" w:space="0" w:color="000000"/>
            </w:tcBorders>
            <w:shd w:val="clear" w:color="auto" w:fill="auto"/>
            <w:vAlign w:val="center"/>
            <w:hideMark/>
          </w:tcPr>
          <w:p w14:paraId="6B5866A9" w14:textId="77777777" w:rsidR="00A56DBC" w:rsidRPr="00F30578" w:rsidRDefault="00A56DBC" w:rsidP="00A56DBC">
            <w:pPr>
              <w:jc w:val="center"/>
              <w:rPr>
                <w:color w:val="000000"/>
                <w:sz w:val="18"/>
                <w:szCs w:val="18"/>
                <w:lang w:val="en-GB"/>
              </w:rPr>
            </w:pPr>
            <w:r w:rsidRPr="00F30578">
              <w:rPr>
                <w:color w:val="000000"/>
                <w:sz w:val="18"/>
                <w:szCs w:val="18"/>
                <w:lang w:val="en-GB"/>
              </w:rPr>
              <w:t>**</w:t>
            </w:r>
          </w:p>
        </w:tc>
      </w:tr>
      <w:tr w:rsidR="00A56DBC" w:rsidRPr="00F30578" w14:paraId="67D670A3" w14:textId="77777777" w:rsidTr="001D4599">
        <w:trPr>
          <w:trHeight w:val="122"/>
        </w:trPr>
        <w:tc>
          <w:tcPr>
            <w:tcW w:w="1696" w:type="dxa"/>
            <w:tcBorders>
              <w:top w:val="nil"/>
              <w:left w:val="single" w:sz="4" w:space="0" w:color="000000" w:themeColor="text1"/>
              <w:bottom w:val="single" w:sz="4" w:space="0" w:color="000000"/>
              <w:right w:val="nil"/>
            </w:tcBorders>
            <w:shd w:val="clear" w:color="auto" w:fill="auto"/>
            <w:noWrap/>
            <w:vAlign w:val="bottom"/>
            <w:hideMark/>
          </w:tcPr>
          <w:p w14:paraId="4DEFBE24" w14:textId="77777777" w:rsidR="00A56DBC" w:rsidRPr="00F30578" w:rsidRDefault="00A56DBC" w:rsidP="00A56DBC">
            <w:pPr>
              <w:jc w:val="center"/>
              <w:rPr>
                <w:color w:val="000000"/>
                <w:sz w:val="18"/>
                <w:szCs w:val="18"/>
                <w:lang w:val="en-GB"/>
              </w:rPr>
            </w:pPr>
            <w:r w:rsidRPr="00C77942">
              <w:rPr>
                <w:color w:val="000000"/>
                <w:sz w:val="18"/>
                <w:szCs w:val="18"/>
                <w:lang w:val="en-GB"/>
              </w:rPr>
              <w:t>(g/100 g)</w:t>
            </w:r>
          </w:p>
        </w:tc>
        <w:tc>
          <w:tcPr>
            <w:tcW w:w="1418" w:type="dxa"/>
            <w:tcBorders>
              <w:top w:val="nil"/>
              <w:left w:val="nil"/>
              <w:bottom w:val="single" w:sz="4" w:space="0" w:color="000000"/>
              <w:right w:val="nil"/>
            </w:tcBorders>
            <w:shd w:val="clear" w:color="auto" w:fill="auto"/>
            <w:noWrap/>
            <w:vAlign w:val="bottom"/>
            <w:hideMark/>
          </w:tcPr>
          <w:p w14:paraId="015E3869" w14:textId="77777777" w:rsidR="00A56DBC" w:rsidRPr="00F30578" w:rsidRDefault="00A56DBC" w:rsidP="00A56DBC">
            <w:pPr>
              <w:jc w:val="center"/>
              <w:rPr>
                <w:color w:val="000000"/>
                <w:sz w:val="18"/>
                <w:szCs w:val="18"/>
                <w:lang w:val="en-GB"/>
              </w:rPr>
            </w:pPr>
            <w:r w:rsidRPr="00F30578">
              <w:rPr>
                <w:color w:val="000000"/>
                <w:sz w:val="18"/>
                <w:szCs w:val="18"/>
                <w:lang w:val="en-GB"/>
              </w:rPr>
              <w:t>120</w:t>
            </w:r>
          </w:p>
        </w:tc>
        <w:tc>
          <w:tcPr>
            <w:tcW w:w="1202" w:type="dxa"/>
            <w:tcBorders>
              <w:top w:val="nil"/>
              <w:left w:val="nil"/>
              <w:bottom w:val="single" w:sz="4" w:space="0" w:color="000000"/>
              <w:right w:val="nil"/>
            </w:tcBorders>
            <w:shd w:val="clear" w:color="auto" w:fill="auto"/>
            <w:noWrap/>
            <w:vAlign w:val="bottom"/>
            <w:hideMark/>
          </w:tcPr>
          <w:p w14:paraId="16A6B2A5" w14:textId="77777777" w:rsidR="00A56DBC" w:rsidRPr="00F30578" w:rsidRDefault="00A56DBC" w:rsidP="00A56DBC">
            <w:pPr>
              <w:jc w:val="center"/>
              <w:rPr>
                <w:color w:val="000000"/>
                <w:sz w:val="18"/>
                <w:szCs w:val="18"/>
                <w:lang w:val="en-GB"/>
              </w:rPr>
            </w:pPr>
            <w:r w:rsidRPr="00F30578">
              <w:rPr>
                <w:color w:val="000000"/>
                <w:sz w:val="18"/>
                <w:szCs w:val="18"/>
                <w:lang w:val="en-GB"/>
              </w:rPr>
              <w:t xml:space="preserve">17.8 </w:t>
            </w:r>
            <w:r w:rsidRPr="00F30578">
              <w:rPr>
                <w:color w:val="000000"/>
                <w:sz w:val="18"/>
                <w:szCs w:val="18"/>
                <w:vertAlign w:val="superscript"/>
                <w:lang w:val="en-GB"/>
              </w:rPr>
              <w:t>a</w:t>
            </w:r>
          </w:p>
        </w:tc>
        <w:tc>
          <w:tcPr>
            <w:tcW w:w="1202" w:type="dxa"/>
            <w:tcBorders>
              <w:top w:val="nil"/>
              <w:left w:val="nil"/>
              <w:bottom w:val="single" w:sz="4" w:space="0" w:color="000000"/>
              <w:right w:val="nil"/>
            </w:tcBorders>
            <w:shd w:val="clear" w:color="auto" w:fill="auto"/>
            <w:noWrap/>
            <w:vAlign w:val="bottom"/>
            <w:hideMark/>
          </w:tcPr>
          <w:p w14:paraId="142014A6" w14:textId="77777777" w:rsidR="00A56DBC" w:rsidRPr="00F30578" w:rsidRDefault="00A56DBC" w:rsidP="00A56DBC">
            <w:pPr>
              <w:jc w:val="center"/>
              <w:rPr>
                <w:color w:val="000000"/>
                <w:sz w:val="18"/>
                <w:szCs w:val="18"/>
                <w:lang w:val="en-GB"/>
              </w:rPr>
            </w:pPr>
            <w:r w:rsidRPr="00F30578">
              <w:rPr>
                <w:color w:val="000000"/>
                <w:sz w:val="18"/>
                <w:szCs w:val="18"/>
                <w:lang w:val="en-GB"/>
              </w:rPr>
              <w:t xml:space="preserve">16.8 </w:t>
            </w:r>
            <w:r w:rsidRPr="00F30578">
              <w:rPr>
                <w:color w:val="000000"/>
                <w:sz w:val="18"/>
                <w:szCs w:val="18"/>
                <w:vertAlign w:val="superscript"/>
                <w:lang w:val="en-GB"/>
              </w:rPr>
              <w:t>b</w:t>
            </w:r>
          </w:p>
        </w:tc>
        <w:tc>
          <w:tcPr>
            <w:tcW w:w="1202" w:type="dxa"/>
            <w:tcBorders>
              <w:top w:val="nil"/>
              <w:left w:val="nil"/>
              <w:bottom w:val="single" w:sz="4" w:space="0" w:color="000000"/>
              <w:right w:val="nil"/>
            </w:tcBorders>
            <w:shd w:val="clear" w:color="auto" w:fill="auto"/>
            <w:noWrap/>
            <w:vAlign w:val="bottom"/>
            <w:hideMark/>
          </w:tcPr>
          <w:p w14:paraId="2DC4E5D5" w14:textId="77777777" w:rsidR="00A56DBC" w:rsidRPr="00F30578" w:rsidRDefault="00A56DBC" w:rsidP="00A56DBC">
            <w:pPr>
              <w:jc w:val="center"/>
              <w:rPr>
                <w:color w:val="000000"/>
                <w:sz w:val="18"/>
                <w:szCs w:val="18"/>
                <w:lang w:val="en-GB"/>
              </w:rPr>
            </w:pPr>
            <w:r w:rsidRPr="00F30578">
              <w:rPr>
                <w:color w:val="000000"/>
                <w:sz w:val="18"/>
                <w:szCs w:val="18"/>
                <w:lang w:val="en-GB"/>
              </w:rPr>
              <w:t xml:space="preserve">16.5 </w:t>
            </w:r>
            <w:r w:rsidRPr="00F30578">
              <w:rPr>
                <w:color w:val="000000"/>
                <w:sz w:val="18"/>
                <w:szCs w:val="18"/>
                <w:vertAlign w:val="superscript"/>
                <w:lang w:val="en-GB"/>
              </w:rPr>
              <w:t>b</w:t>
            </w:r>
          </w:p>
        </w:tc>
        <w:tc>
          <w:tcPr>
            <w:tcW w:w="1204" w:type="dxa"/>
            <w:tcBorders>
              <w:top w:val="nil"/>
              <w:left w:val="nil"/>
              <w:bottom w:val="single" w:sz="4" w:space="0" w:color="000000"/>
              <w:right w:val="nil"/>
            </w:tcBorders>
            <w:shd w:val="clear" w:color="auto" w:fill="auto"/>
            <w:noWrap/>
            <w:vAlign w:val="bottom"/>
            <w:hideMark/>
          </w:tcPr>
          <w:p w14:paraId="75B1DD14" w14:textId="77777777" w:rsidR="00A56DBC" w:rsidRPr="00F30578" w:rsidRDefault="00A56DBC" w:rsidP="00A56DBC">
            <w:pPr>
              <w:jc w:val="center"/>
              <w:rPr>
                <w:color w:val="000000"/>
                <w:sz w:val="18"/>
                <w:szCs w:val="18"/>
                <w:lang w:val="en-GB"/>
              </w:rPr>
            </w:pPr>
            <w:r w:rsidRPr="00F30578">
              <w:rPr>
                <w:color w:val="000000"/>
                <w:sz w:val="18"/>
                <w:szCs w:val="18"/>
                <w:lang w:val="en-GB"/>
              </w:rPr>
              <w:t xml:space="preserve">13.5 </w:t>
            </w:r>
            <w:r w:rsidRPr="00F30578">
              <w:rPr>
                <w:color w:val="000000"/>
                <w:sz w:val="18"/>
                <w:szCs w:val="18"/>
                <w:vertAlign w:val="superscript"/>
                <w:lang w:val="en-GB"/>
              </w:rPr>
              <w:t>c</w:t>
            </w:r>
          </w:p>
        </w:tc>
        <w:tc>
          <w:tcPr>
            <w:tcW w:w="1209" w:type="dxa"/>
            <w:tcBorders>
              <w:top w:val="nil"/>
              <w:left w:val="nil"/>
              <w:bottom w:val="nil"/>
              <w:right w:val="single" w:sz="4" w:space="0" w:color="000000"/>
            </w:tcBorders>
            <w:shd w:val="clear" w:color="auto" w:fill="auto"/>
            <w:vAlign w:val="center"/>
            <w:hideMark/>
          </w:tcPr>
          <w:p w14:paraId="437B2F68" w14:textId="77777777" w:rsidR="00A56DBC" w:rsidRPr="00F30578" w:rsidRDefault="00A56DBC" w:rsidP="00A56DBC">
            <w:pPr>
              <w:jc w:val="center"/>
              <w:rPr>
                <w:color w:val="000000"/>
                <w:sz w:val="18"/>
                <w:szCs w:val="18"/>
                <w:lang w:val="en-GB"/>
              </w:rPr>
            </w:pPr>
            <w:r w:rsidRPr="00F30578">
              <w:rPr>
                <w:color w:val="000000"/>
                <w:sz w:val="18"/>
                <w:szCs w:val="18"/>
                <w:lang w:val="en-GB"/>
              </w:rPr>
              <w:t>**</w:t>
            </w:r>
          </w:p>
        </w:tc>
      </w:tr>
      <w:tr w:rsidR="00A56DBC" w:rsidRPr="00F30578" w14:paraId="2310A996" w14:textId="77777777" w:rsidTr="00725D84">
        <w:trPr>
          <w:trHeight w:val="122"/>
        </w:trPr>
        <w:tc>
          <w:tcPr>
            <w:tcW w:w="1696" w:type="dxa"/>
            <w:vMerge w:val="restart"/>
            <w:tcBorders>
              <w:top w:val="nil"/>
              <w:left w:val="single" w:sz="4" w:space="0" w:color="000000" w:themeColor="text1"/>
              <w:right w:val="nil"/>
            </w:tcBorders>
            <w:shd w:val="clear" w:color="auto" w:fill="auto"/>
            <w:noWrap/>
            <w:vAlign w:val="center"/>
            <w:hideMark/>
          </w:tcPr>
          <w:p w14:paraId="694E38F4" w14:textId="335295E4" w:rsidR="00A56DBC" w:rsidRPr="00F30578" w:rsidRDefault="00A56DBC" w:rsidP="00725D84">
            <w:pPr>
              <w:jc w:val="center"/>
              <w:rPr>
                <w:color w:val="000000"/>
                <w:sz w:val="18"/>
                <w:szCs w:val="18"/>
                <w:lang w:val="en-GB"/>
              </w:rPr>
            </w:pPr>
            <w:r w:rsidRPr="00F30578">
              <w:rPr>
                <w:color w:val="000000"/>
                <w:sz w:val="18"/>
                <w:szCs w:val="18"/>
                <w:lang w:val="en-GB"/>
              </w:rPr>
              <w:t>aw</w:t>
            </w:r>
          </w:p>
        </w:tc>
        <w:tc>
          <w:tcPr>
            <w:tcW w:w="1418" w:type="dxa"/>
            <w:tcBorders>
              <w:top w:val="nil"/>
              <w:left w:val="nil"/>
              <w:bottom w:val="nil"/>
              <w:right w:val="nil"/>
            </w:tcBorders>
            <w:shd w:val="clear" w:color="auto" w:fill="auto"/>
            <w:noWrap/>
            <w:vAlign w:val="bottom"/>
            <w:hideMark/>
          </w:tcPr>
          <w:p w14:paraId="78EBD00A" w14:textId="77777777" w:rsidR="00A56DBC" w:rsidRPr="00F30578" w:rsidRDefault="00A56DBC" w:rsidP="00A56DBC">
            <w:pPr>
              <w:jc w:val="center"/>
              <w:rPr>
                <w:color w:val="000000"/>
                <w:sz w:val="18"/>
                <w:szCs w:val="18"/>
                <w:lang w:val="en-GB"/>
              </w:rPr>
            </w:pPr>
            <w:r w:rsidRPr="00F30578">
              <w:rPr>
                <w:color w:val="000000"/>
                <w:sz w:val="18"/>
                <w:szCs w:val="18"/>
                <w:lang w:val="en-GB"/>
              </w:rPr>
              <w:t>0</w:t>
            </w:r>
          </w:p>
        </w:tc>
        <w:tc>
          <w:tcPr>
            <w:tcW w:w="1202" w:type="dxa"/>
            <w:tcBorders>
              <w:top w:val="nil"/>
              <w:left w:val="nil"/>
              <w:bottom w:val="nil"/>
              <w:right w:val="nil"/>
            </w:tcBorders>
            <w:shd w:val="clear" w:color="auto" w:fill="auto"/>
            <w:vAlign w:val="center"/>
            <w:hideMark/>
          </w:tcPr>
          <w:p w14:paraId="099902F3" w14:textId="77777777" w:rsidR="00A56DBC" w:rsidRPr="00F30578" w:rsidRDefault="00A56DBC" w:rsidP="00A56DBC">
            <w:pPr>
              <w:jc w:val="center"/>
              <w:rPr>
                <w:color w:val="000000"/>
                <w:sz w:val="18"/>
                <w:szCs w:val="18"/>
                <w:lang w:val="en-GB"/>
              </w:rPr>
            </w:pPr>
            <w:r w:rsidRPr="00F30578">
              <w:rPr>
                <w:color w:val="000000"/>
                <w:sz w:val="18"/>
                <w:szCs w:val="18"/>
                <w:lang w:val="en-GB"/>
              </w:rPr>
              <w:t xml:space="preserve">0.65 </w:t>
            </w:r>
            <w:r w:rsidRPr="00F30578">
              <w:rPr>
                <w:color w:val="000000"/>
                <w:sz w:val="18"/>
                <w:szCs w:val="18"/>
                <w:vertAlign w:val="superscript"/>
                <w:lang w:val="en-GB"/>
              </w:rPr>
              <w:t>b</w:t>
            </w:r>
          </w:p>
        </w:tc>
        <w:tc>
          <w:tcPr>
            <w:tcW w:w="1202" w:type="dxa"/>
            <w:tcBorders>
              <w:top w:val="nil"/>
              <w:left w:val="nil"/>
              <w:bottom w:val="nil"/>
              <w:right w:val="nil"/>
            </w:tcBorders>
            <w:shd w:val="clear" w:color="auto" w:fill="auto"/>
            <w:vAlign w:val="center"/>
            <w:hideMark/>
          </w:tcPr>
          <w:p w14:paraId="4E12ECBC" w14:textId="77777777" w:rsidR="00A56DBC" w:rsidRPr="00F30578" w:rsidRDefault="00A56DBC" w:rsidP="00A56DBC">
            <w:pPr>
              <w:jc w:val="center"/>
              <w:rPr>
                <w:color w:val="000000"/>
                <w:sz w:val="18"/>
                <w:szCs w:val="18"/>
                <w:lang w:val="en-GB"/>
              </w:rPr>
            </w:pPr>
            <w:r w:rsidRPr="00F30578">
              <w:rPr>
                <w:color w:val="000000"/>
                <w:sz w:val="18"/>
                <w:szCs w:val="18"/>
                <w:lang w:val="en-GB"/>
              </w:rPr>
              <w:t xml:space="preserve">0.66 </w:t>
            </w:r>
            <w:r w:rsidRPr="00F30578">
              <w:rPr>
                <w:color w:val="000000"/>
                <w:sz w:val="18"/>
                <w:szCs w:val="18"/>
                <w:vertAlign w:val="superscript"/>
                <w:lang w:val="en-GB"/>
              </w:rPr>
              <w:t>a</w:t>
            </w:r>
          </w:p>
        </w:tc>
        <w:tc>
          <w:tcPr>
            <w:tcW w:w="1202" w:type="dxa"/>
            <w:tcBorders>
              <w:top w:val="nil"/>
              <w:left w:val="nil"/>
              <w:bottom w:val="nil"/>
              <w:right w:val="nil"/>
            </w:tcBorders>
            <w:shd w:val="clear" w:color="auto" w:fill="auto"/>
            <w:vAlign w:val="center"/>
            <w:hideMark/>
          </w:tcPr>
          <w:p w14:paraId="4710B493" w14:textId="77777777" w:rsidR="00A56DBC" w:rsidRPr="00F30578" w:rsidRDefault="00A56DBC" w:rsidP="00A56DBC">
            <w:pPr>
              <w:jc w:val="center"/>
              <w:rPr>
                <w:color w:val="000000"/>
                <w:sz w:val="18"/>
                <w:szCs w:val="18"/>
                <w:lang w:val="en-GB"/>
              </w:rPr>
            </w:pPr>
            <w:r w:rsidRPr="00F30578">
              <w:rPr>
                <w:color w:val="000000"/>
                <w:sz w:val="18"/>
                <w:szCs w:val="18"/>
                <w:lang w:val="en-GB"/>
              </w:rPr>
              <w:t xml:space="preserve">0.65 </w:t>
            </w:r>
            <w:r w:rsidRPr="00F30578">
              <w:rPr>
                <w:color w:val="000000"/>
                <w:sz w:val="18"/>
                <w:szCs w:val="18"/>
                <w:vertAlign w:val="superscript"/>
                <w:lang w:val="en-GB"/>
              </w:rPr>
              <w:t>c</w:t>
            </w:r>
          </w:p>
        </w:tc>
        <w:tc>
          <w:tcPr>
            <w:tcW w:w="1204" w:type="dxa"/>
            <w:tcBorders>
              <w:top w:val="nil"/>
              <w:left w:val="nil"/>
              <w:bottom w:val="nil"/>
              <w:right w:val="nil"/>
            </w:tcBorders>
            <w:shd w:val="clear" w:color="auto" w:fill="auto"/>
            <w:vAlign w:val="center"/>
            <w:hideMark/>
          </w:tcPr>
          <w:p w14:paraId="66EC41CB" w14:textId="77777777" w:rsidR="00A56DBC" w:rsidRPr="00F30578" w:rsidRDefault="00A56DBC" w:rsidP="00A56DBC">
            <w:pPr>
              <w:jc w:val="center"/>
              <w:rPr>
                <w:color w:val="000000"/>
                <w:sz w:val="18"/>
                <w:szCs w:val="18"/>
                <w:lang w:val="en-GB"/>
              </w:rPr>
            </w:pPr>
            <w:r w:rsidRPr="00F30578">
              <w:rPr>
                <w:color w:val="000000"/>
                <w:sz w:val="18"/>
                <w:szCs w:val="18"/>
                <w:lang w:val="en-GB"/>
              </w:rPr>
              <w:t xml:space="preserve">0.60 </w:t>
            </w:r>
            <w:r w:rsidRPr="00F30578">
              <w:rPr>
                <w:color w:val="000000"/>
                <w:sz w:val="18"/>
                <w:szCs w:val="18"/>
                <w:vertAlign w:val="superscript"/>
                <w:lang w:val="en-GB"/>
              </w:rPr>
              <w:t>d</w:t>
            </w:r>
          </w:p>
        </w:tc>
        <w:tc>
          <w:tcPr>
            <w:tcW w:w="1209" w:type="dxa"/>
            <w:tcBorders>
              <w:top w:val="single" w:sz="4" w:space="0" w:color="000000"/>
              <w:left w:val="nil"/>
              <w:bottom w:val="nil"/>
              <w:right w:val="single" w:sz="4" w:space="0" w:color="000000"/>
            </w:tcBorders>
            <w:shd w:val="clear" w:color="auto" w:fill="auto"/>
            <w:noWrap/>
            <w:vAlign w:val="bottom"/>
            <w:hideMark/>
          </w:tcPr>
          <w:p w14:paraId="10A4F326" w14:textId="77777777" w:rsidR="00A56DBC" w:rsidRPr="00F30578" w:rsidRDefault="00A56DBC" w:rsidP="00A56DBC">
            <w:pPr>
              <w:jc w:val="center"/>
              <w:rPr>
                <w:color w:val="000000"/>
                <w:sz w:val="18"/>
                <w:szCs w:val="18"/>
                <w:lang w:val="en-GB"/>
              </w:rPr>
            </w:pPr>
            <w:r w:rsidRPr="00F30578">
              <w:rPr>
                <w:color w:val="000000"/>
                <w:sz w:val="18"/>
                <w:szCs w:val="18"/>
                <w:lang w:val="en-GB"/>
              </w:rPr>
              <w:t xml:space="preserve">** </w:t>
            </w:r>
          </w:p>
        </w:tc>
      </w:tr>
      <w:tr w:rsidR="00A56DBC" w:rsidRPr="00F30578" w14:paraId="2E6E4714" w14:textId="77777777" w:rsidTr="001D4599">
        <w:trPr>
          <w:trHeight w:val="122"/>
        </w:trPr>
        <w:tc>
          <w:tcPr>
            <w:tcW w:w="1696" w:type="dxa"/>
            <w:vMerge/>
            <w:tcBorders>
              <w:left w:val="single" w:sz="4" w:space="0" w:color="000000" w:themeColor="text1"/>
              <w:bottom w:val="single" w:sz="4" w:space="0" w:color="000000"/>
              <w:right w:val="nil"/>
            </w:tcBorders>
            <w:shd w:val="clear" w:color="auto" w:fill="auto"/>
            <w:noWrap/>
            <w:vAlign w:val="center"/>
            <w:hideMark/>
          </w:tcPr>
          <w:p w14:paraId="51469C7C" w14:textId="77777777" w:rsidR="00A56DBC" w:rsidRPr="00F30578" w:rsidRDefault="00A56DBC" w:rsidP="001D4599">
            <w:pPr>
              <w:jc w:val="center"/>
              <w:rPr>
                <w:color w:val="000000"/>
                <w:sz w:val="18"/>
                <w:szCs w:val="18"/>
                <w:lang w:val="en-GB"/>
              </w:rPr>
            </w:pPr>
          </w:p>
        </w:tc>
        <w:tc>
          <w:tcPr>
            <w:tcW w:w="1418" w:type="dxa"/>
            <w:tcBorders>
              <w:top w:val="nil"/>
              <w:left w:val="nil"/>
              <w:bottom w:val="single" w:sz="4" w:space="0" w:color="000000"/>
              <w:right w:val="nil"/>
            </w:tcBorders>
            <w:shd w:val="clear" w:color="auto" w:fill="auto"/>
            <w:noWrap/>
            <w:vAlign w:val="bottom"/>
            <w:hideMark/>
          </w:tcPr>
          <w:p w14:paraId="1CEE1558" w14:textId="77777777" w:rsidR="00A56DBC" w:rsidRPr="00F30578" w:rsidRDefault="00A56DBC" w:rsidP="00A56DBC">
            <w:pPr>
              <w:jc w:val="center"/>
              <w:rPr>
                <w:color w:val="000000"/>
                <w:sz w:val="18"/>
                <w:szCs w:val="18"/>
                <w:lang w:val="en-GB"/>
              </w:rPr>
            </w:pPr>
            <w:r w:rsidRPr="00F30578">
              <w:rPr>
                <w:color w:val="000000"/>
                <w:sz w:val="18"/>
                <w:szCs w:val="18"/>
                <w:lang w:val="en-GB"/>
              </w:rPr>
              <w:t>120</w:t>
            </w:r>
          </w:p>
        </w:tc>
        <w:tc>
          <w:tcPr>
            <w:tcW w:w="1202" w:type="dxa"/>
            <w:tcBorders>
              <w:top w:val="nil"/>
              <w:left w:val="nil"/>
              <w:bottom w:val="single" w:sz="4" w:space="0" w:color="000000"/>
              <w:right w:val="nil"/>
            </w:tcBorders>
            <w:shd w:val="clear" w:color="auto" w:fill="auto"/>
            <w:vAlign w:val="center"/>
            <w:hideMark/>
          </w:tcPr>
          <w:p w14:paraId="74B591B4" w14:textId="77777777" w:rsidR="00A56DBC" w:rsidRPr="00F30578" w:rsidRDefault="00A56DBC" w:rsidP="00A56DBC">
            <w:pPr>
              <w:jc w:val="center"/>
              <w:rPr>
                <w:color w:val="000000"/>
                <w:sz w:val="18"/>
                <w:szCs w:val="18"/>
                <w:lang w:val="en-GB"/>
              </w:rPr>
            </w:pPr>
            <w:r w:rsidRPr="00F30578">
              <w:rPr>
                <w:color w:val="000000"/>
                <w:sz w:val="18"/>
                <w:szCs w:val="18"/>
                <w:lang w:val="en-GB"/>
              </w:rPr>
              <w:t xml:space="preserve">0.58 </w:t>
            </w:r>
            <w:r w:rsidRPr="00F30578">
              <w:rPr>
                <w:color w:val="000000"/>
                <w:sz w:val="18"/>
                <w:szCs w:val="18"/>
                <w:vertAlign w:val="superscript"/>
                <w:lang w:val="en-GB"/>
              </w:rPr>
              <w:t>c</w:t>
            </w:r>
          </w:p>
        </w:tc>
        <w:tc>
          <w:tcPr>
            <w:tcW w:w="1202" w:type="dxa"/>
            <w:tcBorders>
              <w:top w:val="nil"/>
              <w:left w:val="nil"/>
              <w:bottom w:val="single" w:sz="4" w:space="0" w:color="000000"/>
              <w:right w:val="nil"/>
            </w:tcBorders>
            <w:shd w:val="clear" w:color="auto" w:fill="auto"/>
            <w:vAlign w:val="center"/>
            <w:hideMark/>
          </w:tcPr>
          <w:p w14:paraId="74A3A431" w14:textId="77777777" w:rsidR="00A56DBC" w:rsidRPr="00F30578" w:rsidRDefault="00A56DBC" w:rsidP="00A56DBC">
            <w:pPr>
              <w:jc w:val="center"/>
              <w:rPr>
                <w:color w:val="000000"/>
                <w:sz w:val="18"/>
                <w:szCs w:val="18"/>
                <w:lang w:val="en-GB"/>
              </w:rPr>
            </w:pPr>
            <w:r w:rsidRPr="00F30578">
              <w:rPr>
                <w:color w:val="000000"/>
                <w:sz w:val="18"/>
                <w:szCs w:val="18"/>
                <w:lang w:val="en-GB"/>
              </w:rPr>
              <w:t xml:space="preserve">0.55 </w:t>
            </w:r>
            <w:r w:rsidRPr="00F30578">
              <w:rPr>
                <w:color w:val="000000"/>
                <w:sz w:val="18"/>
                <w:szCs w:val="18"/>
                <w:vertAlign w:val="superscript"/>
                <w:lang w:val="en-GB"/>
              </w:rPr>
              <w:t>d</w:t>
            </w:r>
          </w:p>
        </w:tc>
        <w:tc>
          <w:tcPr>
            <w:tcW w:w="1202" w:type="dxa"/>
            <w:tcBorders>
              <w:top w:val="nil"/>
              <w:left w:val="nil"/>
              <w:bottom w:val="single" w:sz="4" w:space="0" w:color="000000"/>
              <w:right w:val="nil"/>
            </w:tcBorders>
            <w:shd w:val="clear" w:color="auto" w:fill="auto"/>
            <w:vAlign w:val="center"/>
            <w:hideMark/>
          </w:tcPr>
          <w:p w14:paraId="44DEEB1B" w14:textId="77777777" w:rsidR="00A56DBC" w:rsidRPr="00F30578" w:rsidRDefault="00A56DBC" w:rsidP="00A56DBC">
            <w:pPr>
              <w:jc w:val="center"/>
              <w:rPr>
                <w:color w:val="000000"/>
                <w:sz w:val="18"/>
                <w:szCs w:val="18"/>
                <w:lang w:val="en-GB"/>
              </w:rPr>
            </w:pPr>
            <w:r w:rsidRPr="00F30578">
              <w:rPr>
                <w:color w:val="000000"/>
                <w:sz w:val="18"/>
                <w:szCs w:val="18"/>
                <w:lang w:val="en-GB"/>
              </w:rPr>
              <w:t xml:space="preserve">0.64 </w:t>
            </w:r>
            <w:r w:rsidRPr="00F30578">
              <w:rPr>
                <w:color w:val="000000"/>
                <w:sz w:val="18"/>
                <w:szCs w:val="18"/>
                <w:vertAlign w:val="superscript"/>
                <w:lang w:val="en-GB"/>
              </w:rPr>
              <w:t>a</w:t>
            </w:r>
          </w:p>
        </w:tc>
        <w:tc>
          <w:tcPr>
            <w:tcW w:w="1204" w:type="dxa"/>
            <w:tcBorders>
              <w:top w:val="nil"/>
              <w:left w:val="nil"/>
              <w:bottom w:val="single" w:sz="4" w:space="0" w:color="000000"/>
              <w:right w:val="nil"/>
            </w:tcBorders>
            <w:shd w:val="clear" w:color="auto" w:fill="auto"/>
            <w:vAlign w:val="center"/>
            <w:hideMark/>
          </w:tcPr>
          <w:p w14:paraId="36EE35AA" w14:textId="77777777" w:rsidR="00A56DBC" w:rsidRPr="00F30578" w:rsidRDefault="00A56DBC" w:rsidP="00A56DBC">
            <w:pPr>
              <w:jc w:val="center"/>
              <w:rPr>
                <w:color w:val="000000"/>
                <w:sz w:val="18"/>
                <w:szCs w:val="18"/>
                <w:lang w:val="en-GB"/>
              </w:rPr>
            </w:pPr>
            <w:r w:rsidRPr="00F30578">
              <w:rPr>
                <w:color w:val="000000"/>
                <w:sz w:val="18"/>
                <w:szCs w:val="18"/>
                <w:lang w:val="en-GB"/>
              </w:rPr>
              <w:t xml:space="preserve">0.60 </w:t>
            </w:r>
            <w:r w:rsidRPr="00F30578">
              <w:rPr>
                <w:color w:val="000000"/>
                <w:sz w:val="18"/>
                <w:szCs w:val="18"/>
                <w:vertAlign w:val="superscript"/>
                <w:lang w:val="en-GB"/>
              </w:rPr>
              <w:t>b</w:t>
            </w:r>
          </w:p>
        </w:tc>
        <w:tc>
          <w:tcPr>
            <w:tcW w:w="1209" w:type="dxa"/>
            <w:tcBorders>
              <w:top w:val="nil"/>
              <w:left w:val="nil"/>
              <w:bottom w:val="single" w:sz="4" w:space="0" w:color="000000"/>
              <w:right w:val="single" w:sz="4" w:space="0" w:color="000000"/>
            </w:tcBorders>
            <w:shd w:val="clear" w:color="auto" w:fill="auto"/>
            <w:noWrap/>
            <w:vAlign w:val="bottom"/>
            <w:hideMark/>
          </w:tcPr>
          <w:p w14:paraId="6B8D7FD7" w14:textId="77777777" w:rsidR="00A56DBC" w:rsidRPr="00F30578" w:rsidRDefault="00A56DBC" w:rsidP="00A56DBC">
            <w:pPr>
              <w:jc w:val="center"/>
              <w:rPr>
                <w:color w:val="000000"/>
                <w:sz w:val="18"/>
                <w:szCs w:val="18"/>
                <w:lang w:val="en-GB"/>
              </w:rPr>
            </w:pPr>
            <w:r w:rsidRPr="00F30578">
              <w:rPr>
                <w:color w:val="000000"/>
                <w:sz w:val="18"/>
                <w:szCs w:val="18"/>
                <w:lang w:val="en-GB"/>
              </w:rPr>
              <w:t>**</w:t>
            </w:r>
          </w:p>
        </w:tc>
      </w:tr>
      <w:tr w:rsidR="00A56DBC" w:rsidRPr="00F30578" w14:paraId="154F9283" w14:textId="77777777" w:rsidTr="001D4599">
        <w:trPr>
          <w:trHeight w:val="122"/>
        </w:trPr>
        <w:tc>
          <w:tcPr>
            <w:tcW w:w="1696" w:type="dxa"/>
            <w:vMerge w:val="restart"/>
            <w:tcBorders>
              <w:top w:val="nil"/>
              <w:left w:val="single" w:sz="4" w:space="0" w:color="000000" w:themeColor="text1"/>
              <w:right w:val="nil"/>
            </w:tcBorders>
            <w:shd w:val="clear" w:color="auto" w:fill="auto"/>
            <w:noWrap/>
            <w:vAlign w:val="center"/>
          </w:tcPr>
          <w:p w14:paraId="57A99A5D" w14:textId="77777777" w:rsidR="00A56DBC" w:rsidRPr="00F30578" w:rsidRDefault="00A56DBC" w:rsidP="001D4599">
            <w:pPr>
              <w:jc w:val="center"/>
              <w:rPr>
                <w:color w:val="000000"/>
                <w:sz w:val="18"/>
                <w:szCs w:val="18"/>
                <w:lang w:val="en-GB"/>
              </w:rPr>
            </w:pPr>
            <w:r w:rsidRPr="00F30578">
              <w:rPr>
                <w:color w:val="000000"/>
                <w:sz w:val="18"/>
                <w:szCs w:val="18"/>
                <w:lang w:val="en-GB"/>
              </w:rPr>
              <w:t>pH</w:t>
            </w:r>
          </w:p>
        </w:tc>
        <w:tc>
          <w:tcPr>
            <w:tcW w:w="1418" w:type="dxa"/>
            <w:tcBorders>
              <w:top w:val="nil"/>
              <w:left w:val="nil"/>
              <w:bottom w:val="single" w:sz="4" w:space="0" w:color="FFFFFF" w:themeColor="background1"/>
              <w:right w:val="nil"/>
            </w:tcBorders>
            <w:shd w:val="clear" w:color="auto" w:fill="auto"/>
            <w:noWrap/>
            <w:vAlign w:val="bottom"/>
          </w:tcPr>
          <w:p w14:paraId="2093C24C" w14:textId="77777777" w:rsidR="00A56DBC" w:rsidRPr="00F30578" w:rsidRDefault="00A56DBC" w:rsidP="00A56DBC">
            <w:pPr>
              <w:jc w:val="center"/>
              <w:rPr>
                <w:color w:val="000000"/>
                <w:sz w:val="18"/>
                <w:szCs w:val="18"/>
                <w:lang w:val="en-GB"/>
              </w:rPr>
            </w:pPr>
            <w:r w:rsidRPr="00F30578">
              <w:rPr>
                <w:color w:val="000000"/>
                <w:sz w:val="18"/>
                <w:szCs w:val="18"/>
                <w:lang w:val="en-GB"/>
              </w:rPr>
              <w:t>0</w:t>
            </w:r>
          </w:p>
        </w:tc>
        <w:tc>
          <w:tcPr>
            <w:tcW w:w="1202" w:type="dxa"/>
            <w:tcBorders>
              <w:top w:val="nil"/>
              <w:left w:val="nil"/>
              <w:bottom w:val="nil"/>
              <w:right w:val="nil"/>
            </w:tcBorders>
            <w:shd w:val="clear" w:color="auto" w:fill="auto"/>
            <w:vAlign w:val="center"/>
          </w:tcPr>
          <w:p w14:paraId="5F918F49" w14:textId="77777777" w:rsidR="00A56DBC" w:rsidRPr="00F30578" w:rsidRDefault="00A56DBC" w:rsidP="00A56DBC">
            <w:pPr>
              <w:jc w:val="center"/>
              <w:rPr>
                <w:color w:val="000000"/>
                <w:sz w:val="18"/>
                <w:szCs w:val="18"/>
                <w:lang w:val="en-GB"/>
              </w:rPr>
            </w:pPr>
            <w:r w:rsidRPr="00F30578">
              <w:rPr>
                <w:color w:val="000000"/>
                <w:sz w:val="18"/>
                <w:szCs w:val="18"/>
                <w:lang w:val="en-GB"/>
              </w:rPr>
              <w:t xml:space="preserve">3.86 </w:t>
            </w:r>
            <w:r w:rsidRPr="00F30578">
              <w:rPr>
                <w:color w:val="000000"/>
                <w:sz w:val="18"/>
                <w:szCs w:val="18"/>
                <w:vertAlign w:val="superscript"/>
                <w:lang w:val="en-GB"/>
              </w:rPr>
              <w:t>b</w:t>
            </w:r>
          </w:p>
        </w:tc>
        <w:tc>
          <w:tcPr>
            <w:tcW w:w="1202" w:type="dxa"/>
            <w:tcBorders>
              <w:top w:val="nil"/>
              <w:left w:val="nil"/>
              <w:bottom w:val="nil"/>
              <w:right w:val="nil"/>
            </w:tcBorders>
            <w:shd w:val="clear" w:color="auto" w:fill="auto"/>
            <w:vAlign w:val="center"/>
          </w:tcPr>
          <w:p w14:paraId="6E32CDC4" w14:textId="77777777" w:rsidR="00A56DBC" w:rsidRPr="00F30578" w:rsidRDefault="00A56DBC" w:rsidP="00A56DBC">
            <w:pPr>
              <w:jc w:val="center"/>
              <w:rPr>
                <w:color w:val="000000"/>
                <w:sz w:val="18"/>
                <w:szCs w:val="18"/>
                <w:lang w:val="en-GB"/>
              </w:rPr>
            </w:pPr>
            <w:r w:rsidRPr="00F30578">
              <w:rPr>
                <w:color w:val="000000"/>
                <w:sz w:val="18"/>
                <w:szCs w:val="18"/>
                <w:lang w:val="en-GB"/>
              </w:rPr>
              <w:t xml:space="preserve">3.85 </w:t>
            </w:r>
            <w:r w:rsidRPr="00F30578">
              <w:rPr>
                <w:color w:val="000000"/>
                <w:sz w:val="18"/>
                <w:szCs w:val="18"/>
                <w:vertAlign w:val="superscript"/>
                <w:lang w:val="en-GB"/>
              </w:rPr>
              <w:t>b</w:t>
            </w:r>
          </w:p>
        </w:tc>
        <w:tc>
          <w:tcPr>
            <w:tcW w:w="1202" w:type="dxa"/>
            <w:tcBorders>
              <w:top w:val="nil"/>
              <w:left w:val="nil"/>
              <w:bottom w:val="nil"/>
              <w:right w:val="nil"/>
            </w:tcBorders>
            <w:shd w:val="clear" w:color="auto" w:fill="auto"/>
            <w:vAlign w:val="center"/>
          </w:tcPr>
          <w:p w14:paraId="2E0CC7C6" w14:textId="77777777" w:rsidR="00A56DBC" w:rsidRPr="00F30578" w:rsidRDefault="00A56DBC" w:rsidP="00A56DBC">
            <w:pPr>
              <w:jc w:val="center"/>
              <w:rPr>
                <w:color w:val="000000"/>
                <w:sz w:val="18"/>
                <w:szCs w:val="18"/>
                <w:lang w:val="en-GB"/>
              </w:rPr>
            </w:pPr>
            <w:r w:rsidRPr="00F30578">
              <w:rPr>
                <w:color w:val="000000"/>
                <w:sz w:val="18"/>
                <w:szCs w:val="18"/>
                <w:lang w:val="en-GB"/>
              </w:rPr>
              <w:t xml:space="preserve">3.93 </w:t>
            </w:r>
            <w:r w:rsidRPr="00F30578">
              <w:rPr>
                <w:color w:val="000000"/>
                <w:sz w:val="18"/>
                <w:szCs w:val="18"/>
                <w:vertAlign w:val="superscript"/>
                <w:lang w:val="en-GB"/>
              </w:rPr>
              <w:t>a</w:t>
            </w:r>
          </w:p>
        </w:tc>
        <w:tc>
          <w:tcPr>
            <w:tcW w:w="1204" w:type="dxa"/>
            <w:tcBorders>
              <w:top w:val="nil"/>
              <w:left w:val="nil"/>
              <w:bottom w:val="nil"/>
              <w:right w:val="nil"/>
            </w:tcBorders>
            <w:shd w:val="clear" w:color="auto" w:fill="auto"/>
            <w:vAlign w:val="center"/>
          </w:tcPr>
          <w:p w14:paraId="3B58BC3D" w14:textId="77777777" w:rsidR="00A56DBC" w:rsidRPr="00F30578" w:rsidRDefault="00A56DBC" w:rsidP="00A56DBC">
            <w:pPr>
              <w:jc w:val="center"/>
              <w:rPr>
                <w:color w:val="000000"/>
                <w:sz w:val="18"/>
                <w:szCs w:val="18"/>
                <w:lang w:val="en-GB"/>
              </w:rPr>
            </w:pPr>
            <w:r w:rsidRPr="00F30578">
              <w:rPr>
                <w:color w:val="000000"/>
                <w:sz w:val="18"/>
                <w:szCs w:val="18"/>
                <w:lang w:val="en-GB"/>
              </w:rPr>
              <w:t xml:space="preserve">3.94 </w:t>
            </w:r>
            <w:r w:rsidRPr="00F30578">
              <w:rPr>
                <w:color w:val="000000"/>
                <w:sz w:val="18"/>
                <w:szCs w:val="18"/>
                <w:vertAlign w:val="superscript"/>
                <w:lang w:val="en-GB"/>
              </w:rPr>
              <w:t>a</w:t>
            </w:r>
          </w:p>
        </w:tc>
        <w:tc>
          <w:tcPr>
            <w:tcW w:w="1209" w:type="dxa"/>
            <w:tcBorders>
              <w:top w:val="nil"/>
              <w:left w:val="nil"/>
              <w:bottom w:val="single" w:sz="4" w:space="0" w:color="FFFFFF" w:themeColor="background1"/>
              <w:right w:val="single" w:sz="4" w:space="0" w:color="000000"/>
            </w:tcBorders>
            <w:shd w:val="clear" w:color="auto" w:fill="auto"/>
            <w:noWrap/>
            <w:vAlign w:val="bottom"/>
          </w:tcPr>
          <w:p w14:paraId="563A4AAC" w14:textId="77777777" w:rsidR="00A56DBC" w:rsidRPr="00F30578" w:rsidRDefault="00A56DBC" w:rsidP="00A56DBC">
            <w:pPr>
              <w:jc w:val="center"/>
              <w:rPr>
                <w:color w:val="000000"/>
                <w:sz w:val="18"/>
                <w:szCs w:val="18"/>
                <w:lang w:val="en-GB"/>
              </w:rPr>
            </w:pPr>
            <w:r w:rsidRPr="00F30578">
              <w:rPr>
                <w:color w:val="000000"/>
                <w:sz w:val="18"/>
                <w:szCs w:val="18"/>
                <w:lang w:val="en-GB"/>
              </w:rPr>
              <w:t>**</w:t>
            </w:r>
          </w:p>
        </w:tc>
      </w:tr>
      <w:tr w:rsidR="00A56DBC" w:rsidRPr="00F30578" w14:paraId="588AF728" w14:textId="77777777" w:rsidTr="001D4599">
        <w:trPr>
          <w:trHeight w:val="122"/>
        </w:trPr>
        <w:tc>
          <w:tcPr>
            <w:tcW w:w="1696" w:type="dxa"/>
            <w:vMerge/>
            <w:tcBorders>
              <w:left w:val="single" w:sz="4" w:space="0" w:color="000000" w:themeColor="text1"/>
              <w:bottom w:val="single" w:sz="4" w:space="0" w:color="000000"/>
              <w:right w:val="nil"/>
            </w:tcBorders>
            <w:shd w:val="clear" w:color="auto" w:fill="auto"/>
            <w:noWrap/>
            <w:vAlign w:val="center"/>
          </w:tcPr>
          <w:p w14:paraId="28B45FE4" w14:textId="77777777" w:rsidR="00A56DBC" w:rsidRPr="00F30578" w:rsidRDefault="00A56DBC" w:rsidP="001D4599">
            <w:pPr>
              <w:jc w:val="center"/>
              <w:rPr>
                <w:color w:val="000000"/>
                <w:sz w:val="18"/>
                <w:szCs w:val="18"/>
                <w:lang w:val="en-GB"/>
              </w:rPr>
            </w:pPr>
          </w:p>
        </w:tc>
        <w:tc>
          <w:tcPr>
            <w:tcW w:w="1418" w:type="dxa"/>
            <w:tcBorders>
              <w:top w:val="single" w:sz="4" w:space="0" w:color="FFFFFF" w:themeColor="background1"/>
              <w:left w:val="nil"/>
              <w:bottom w:val="single" w:sz="4" w:space="0" w:color="000000"/>
              <w:right w:val="nil"/>
            </w:tcBorders>
            <w:shd w:val="clear" w:color="auto" w:fill="auto"/>
            <w:noWrap/>
            <w:vAlign w:val="bottom"/>
          </w:tcPr>
          <w:p w14:paraId="2ACF7F6D" w14:textId="77777777" w:rsidR="00A56DBC" w:rsidRPr="00F30578" w:rsidRDefault="00A56DBC" w:rsidP="00A56DBC">
            <w:pPr>
              <w:jc w:val="center"/>
              <w:rPr>
                <w:color w:val="000000"/>
                <w:sz w:val="18"/>
                <w:szCs w:val="18"/>
                <w:lang w:val="en-GB"/>
              </w:rPr>
            </w:pPr>
            <w:r w:rsidRPr="00F30578">
              <w:rPr>
                <w:color w:val="000000"/>
                <w:sz w:val="18"/>
                <w:szCs w:val="18"/>
                <w:lang w:val="en-GB"/>
              </w:rPr>
              <w:t>120</w:t>
            </w:r>
          </w:p>
        </w:tc>
        <w:tc>
          <w:tcPr>
            <w:tcW w:w="1202" w:type="dxa"/>
            <w:tcBorders>
              <w:top w:val="nil"/>
              <w:left w:val="nil"/>
              <w:bottom w:val="single" w:sz="4" w:space="0" w:color="auto"/>
              <w:right w:val="nil"/>
            </w:tcBorders>
            <w:shd w:val="clear" w:color="auto" w:fill="auto"/>
            <w:vAlign w:val="center"/>
          </w:tcPr>
          <w:p w14:paraId="75584B04" w14:textId="77777777" w:rsidR="00A56DBC" w:rsidRPr="00F30578" w:rsidRDefault="00A56DBC" w:rsidP="00A56DBC">
            <w:pPr>
              <w:jc w:val="center"/>
              <w:rPr>
                <w:color w:val="000000"/>
                <w:sz w:val="18"/>
                <w:szCs w:val="18"/>
                <w:lang w:val="en-GB"/>
              </w:rPr>
            </w:pPr>
            <w:r w:rsidRPr="00F30578">
              <w:rPr>
                <w:color w:val="000000"/>
                <w:sz w:val="18"/>
                <w:szCs w:val="18"/>
                <w:lang w:val="en-GB"/>
              </w:rPr>
              <w:t xml:space="preserve">3.90 </w:t>
            </w:r>
            <w:r w:rsidRPr="00F30578">
              <w:rPr>
                <w:color w:val="000000"/>
                <w:sz w:val="18"/>
                <w:szCs w:val="18"/>
                <w:vertAlign w:val="superscript"/>
                <w:lang w:val="en-GB"/>
              </w:rPr>
              <w:t>c</w:t>
            </w:r>
          </w:p>
        </w:tc>
        <w:tc>
          <w:tcPr>
            <w:tcW w:w="1202" w:type="dxa"/>
            <w:tcBorders>
              <w:top w:val="nil"/>
              <w:left w:val="nil"/>
              <w:bottom w:val="single" w:sz="4" w:space="0" w:color="auto"/>
              <w:right w:val="nil"/>
            </w:tcBorders>
            <w:shd w:val="clear" w:color="auto" w:fill="auto"/>
            <w:vAlign w:val="center"/>
          </w:tcPr>
          <w:p w14:paraId="5742D129" w14:textId="77777777" w:rsidR="00A56DBC" w:rsidRPr="00F30578" w:rsidRDefault="00A56DBC" w:rsidP="00A56DBC">
            <w:pPr>
              <w:jc w:val="center"/>
              <w:rPr>
                <w:color w:val="000000"/>
                <w:sz w:val="18"/>
                <w:szCs w:val="18"/>
                <w:lang w:val="en-GB"/>
              </w:rPr>
            </w:pPr>
            <w:r w:rsidRPr="00F30578">
              <w:rPr>
                <w:color w:val="000000"/>
                <w:sz w:val="18"/>
                <w:szCs w:val="18"/>
                <w:lang w:val="en-GB"/>
              </w:rPr>
              <w:t xml:space="preserve">3.90 </w:t>
            </w:r>
            <w:r w:rsidRPr="00F30578">
              <w:rPr>
                <w:color w:val="000000"/>
                <w:sz w:val="18"/>
                <w:szCs w:val="18"/>
                <w:vertAlign w:val="superscript"/>
                <w:lang w:val="en-GB"/>
              </w:rPr>
              <w:t>c</w:t>
            </w:r>
          </w:p>
        </w:tc>
        <w:tc>
          <w:tcPr>
            <w:tcW w:w="1202" w:type="dxa"/>
            <w:tcBorders>
              <w:top w:val="nil"/>
              <w:left w:val="nil"/>
              <w:bottom w:val="single" w:sz="4" w:space="0" w:color="auto"/>
              <w:right w:val="nil"/>
            </w:tcBorders>
            <w:shd w:val="clear" w:color="auto" w:fill="auto"/>
            <w:vAlign w:val="center"/>
          </w:tcPr>
          <w:p w14:paraId="395F03B6" w14:textId="77777777" w:rsidR="00A56DBC" w:rsidRPr="00F30578" w:rsidRDefault="00A56DBC" w:rsidP="00A56DBC">
            <w:pPr>
              <w:jc w:val="center"/>
              <w:rPr>
                <w:color w:val="000000"/>
                <w:sz w:val="18"/>
                <w:szCs w:val="18"/>
                <w:lang w:val="en-GB"/>
              </w:rPr>
            </w:pPr>
            <w:r w:rsidRPr="00F30578">
              <w:rPr>
                <w:color w:val="000000"/>
                <w:sz w:val="18"/>
                <w:szCs w:val="18"/>
                <w:lang w:val="en-GB"/>
              </w:rPr>
              <w:t xml:space="preserve">4.00 </w:t>
            </w:r>
            <w:r w:rsidRPr="00F30578">
              <w:rPr>
                <w:color w:val="000000"/>
                <w:sz w:val="18"/>
                <w:szCs w:val="18"/>
                <w:vertAlign w:val="superscript"/>
                <w:lang w:val="en-GB"/>
              </w:rPr>
              <w:t>b</w:t>
            </w:r>
          </w:p>
        </w:tc>
        <w:tc>
          <w:tcPr>
            <w:tcW w:w="1204" w:type="dxa"/>
            <w:tcBorders>
              <w:top w:val="nil"/>
              <w:left w:val="nil"/>
              <w:bottom w:val="single" w:sz="4" w:space="0" w:color="auto"/>
              <w:right w:val="nil"/>
            </w:tcBorders>
            <w:shd w:val="clear" w:color="auto" w:fill="auto"/>
            <w:vAlign w:val="center"/>
          </w:tcPr>
          <w:p w14:paraId="0D1E3396" w14:textId="77777777" w:rsidR="00A56DBC" w:rsidRPr="00F30578" w:rsidRDefault="00A56DBC" w:rsidP="00A56DBC">
            <w:pPr>
              <w:jc w:val="center"/>
              <w:rPr>
                <w:color w:val="000000"/>
                <w:sz w:val="18"/>
                <w:szCs w:val="18"/>
                <w:lang w:val="en-GB"/>
              </w:rPr>
            </w:pPr>
            <w:r w:rsidRPr="00F30578">
              <w:rPr>
                <w:color w:val="000000"/>
                <w:sz w:val="18"/>
                <w:szCs w:val="18"/>
                <w:lang w:val="en-GB"/>
              </w:rPr>
              <w:t xml:space="preserve">3.99 </w:t>
            </w:r>
            <w:r w:rsidRPr="00F30578">
              <w:rPr>
                <w:color w:val="000000"/>
                <w:sz w:val="18"/>
                <w:szCs w:val="18"/>
                <w:vertAlign w:val="superscript"/>
                <w:lang w:val="en-GB"/>
              </w:rPr>
              <w:t>a</w:t>
            </w:r>
          </w:p>
        </w:tc>
        <w:tc>
          <w:tcPr>
            <w:tcW w:w="1209" w:type="dxa"/>
            <w:tcBorders>
              <w:top w:val="single" w:sz="4" w:space="0" w:color="FFFFFF" w:themeColor="background1"/>
              <w:left w:val="nil"/>
              <w:bottom w:val="single" w:sz="4" w:space="0" w:color="auto"/>
              <w:right w:val="single" w:sz="4" w:space="0" w:color="000000"/>
            </w:tcBorders>
            <w:shd w:val="clear" w:color="auto" w:fill="auto"/>
            <w:noWrap/>
            <w:vAlign w:val="bottom"/>
          </w:tcPr>
          <w:p w14:paraId="5AADCC7E" w14:textId="77777777" w:rsidR="00A56DBC" w:rsidRPr="00F30578" w:rsidRDefault="00A56DBC" w:rsidP="00A56DBC">
            <w:pPr>
              <w:jc w:val="center"/>
              <w:rPr>
                <w:color w:val="000000"/>
                <w:sz w:val="18"/>
                <w:szCs w:val="18"/>
                <w:lang w:val="en-GB"/>
              </w:rPr>
            </w:pPr>
            <w:r w:rsidRPr="00F30578">
              <w:rPr>
                <w:color w:val="000000"/>
                <w:sz w:val="18"/>
                <w:szCs w:val="18"/>
                <w:lang w:val="en-GB"/>
              </w:rPr>
              <w:t>**</w:t>
            </w:r>
          </w:p>
        </w:tc>
      </w:tr>
      <w:tr w:rsidR="001D4599" w:rsidRPr="00F30578" w14:paraId="4CA3BF0C" w14:textId="77777777" w:rsidTr="00725D84">
        <w:trPr>
          <w:trHeight w:val="122"/>
        </w:trPr>
        <w:tc>
          <w:tcPr>
            <w:tcW w:w="1696" w:type="dxa"/>
            <w:vMerge w:val="restart"/>
            <w:tcBorders>
              <w:top w:val="nil"/>
              <w:left w:val="single" w:sz="4" w:space="0" w:color="000000" w:themeColor="text1"/>
              <w:right w:val="nil"/>
            </w:tcBorders>
            <w:shd w:val="clear" w:color="auto" w:fill="auto"/>
            <w:noWrap/>
            <w:vAlign w:val="center"/>
            <w:hideMark/>
          </w:tcPr>
          <w:p w14:paraId="66389D42" w14:textId="024D1423" w:rsidR="001D4599" w:rsidRPr="00F30578" w:rsidRDefault="001D4599" w:rsidP="00725D84">
            <w:pPr>
              <w:jc w:val="center"/>
              <w:rPr>
                <w:color w:val="000000"/>
                <w:sz w:val="18"/>
                <w:szCs w:val="18"/>
                <w:lang w:val="en-GB"/>
              </w:rPr>
            </w:pPr>
            <w:r w:rsidRPr="00F30578">
              <w:rPr>
                <w:color w:val="000000"/>
                <w:sz w:val="18"/>
                <w:szCs w:val="18"/>
                <w:lang w:val="en-GB"/>
              </w:rPr>
              <w:t>Gumminess (N)</w:t>
            </w:r>
          </w:p>
        </w:tc>
        <w:tc>
          <w:tcPr>
            <w:tcW w:w="1418" w:type="dxa"/>
            <w:tcBorders>
              <w:top w:val="nil"/>
              <w:left w:val="nil"/>
              <w:bottom w:val="nil"/>
              <w:right w:val="nil"/>
            </w:tcBorders>
            <w:shd w:val="clear" w:color="auto" w:fill="auto"/>
            <w:noWrap/>
            <w:vAlign w:val="bottom"/>
            <w:hideMark/>
          </w:tcPr>
          <w:p w14:paraId="24F5E41D" w14:textId="77777777" w:rsidR="001D4599" w:rsidRPr="00F30578" w:rsidRDefault="001D4599" w:rsidP="00A56DBC">
            <w:pPr>
              <w:jc w:val="center"/>
              <w:rPr>
                <w:color w:val="000000"/>
                <w:sz w:val="18"/>
                <w:szCs w:val="18"/>
                <w:lang w:val="en-GB"/>
              </w:rPr>
            </w:pPr>
            <w:r w:rsidRPr="00F30578">
              <w:rPr>
                <w:color w:val="000000"/>
                <w:sz w:val="18"/>
                <w:szCs w:val="18"/>
                <w:lang w:val="en-GB"/>
              </w:rPr>
              <w:t>0</w:t>
            </w:r>
          </w:p>
        </w:tc>
        <w:tc>
          <w:tcPr>
            <w:tcW w:w="1202" w:type="dxa"/>
            <w:tcBorders>
              <w:top w:val="nil"/>
              <w:left w:val="nil"/>
              <w:bottom w:val="nil"/>
              <w:right w:val="nil"/>
            </w:tcBorders>
            <w:shd w:val="clear" w:color="auto" w:fill="auto"/>
            <w:vAlign w:val="center"/>
            <w:hideMark/>
          </w:tcPr>
          <w:p w14:paraId="083CFF09" w14:textId="77777777" w:rsidR="001D4599" w:rsidRPr="00F30578" w:rsidRDefault="001D4599" w:rsidP="00A56DBC">
            <w:pPr>
              <w:jc w:val="center"/>
              <w:rPr>
                <w:color w:val="000000"/>
                <w:sz w:val="18"/>
                <w:szCs w:val="18"/>
                <w:lang w:val="en-GB"/>
              </w:rPr>
            </w:pPr>
            <w:r w:rsidRPr="00F30578">
              <w:rPr>
                <w:color w:val="000000"/>
                <w:sz w:val="18"/>
                <w:szCs w:val="18"/>
                <w:lang w:val="en-GB"/>
              </w:rPr>
              <w:t xml:space="preserve">9.44 </w:t>
            </w:r>
            <w:r w:rsidRPr="00F30578">
              <w:rPr>
                <w:color w:val="000000"/>
                <w:sz w:val="18"/>
                <w:szCs w:val="18"/>
                <w:vertAlign w:val="superscript"/>
                <w:lang w:val="en-GB"/>
              </w:rPr>
              <w:t>c</w:t>
            </w:r>
          </w:p>
        </w:tc>
        <w:tc>
          <w:tcPr>
            <w:tcW w:w="1202" w:type="dxa"/>
            <w:tcBorders>
              <w:top w:val="nil"/>
              <w:left w:val="nil"/>
              <w:bottom w:val="nil"/>
              <w:right w:val="nil"/>
            </w:tcBorders>
            <w:shd w:val="clear" w:color="auto" w:fill="auto"/>
            <w:vAlign w:val="center"/>
            <w:hideMark/>
          </w:tcPr>
          <w:p w14:paraId="2710AF39" w14:textId="77777777" w:rsidR="001D4599" w:rsidRPr="00F30578" w:rsidRDefault="001D4599" w:rsidP="00A56DBC">
            <w:pPr>
              <w:jc w:val="center"/>
              <w:rPr>
                <w:color w:val="000000"/>
                <w:sz w:val="18"/>
                <w:szCs w:val="18"/>
                <w:lang w:val="en-GB"/>
              </w:rPr>
            </w:pPr>
            <w:r w:rsidRPr="00F30578">
              <w:rPr>
                <w:color w:val="000000"/>
                <w:sz w:val="18"/>
                <w:szCs w:val="18"/>
                <w:lang w:val="en-GB"/>
              </w:rPr>
              <w:t xml:space="preserve">9.66 </w:t>
            </w:r>
            <w:r w:rsidRPr="00F30578">
              <w:rPr>
                <w:color w:val="000000"/>
                <w:sz w:val="18"/>
                <w:szCs w:val="18"/>
                <w:vertAlign w:val="superscript"/>
                <w:lang w:val="en-GB"/>
              </w:rPr>
              <w:t>c</w:t>
            </w:r>
          </w:p>
        </w:tc>
        <w:tc>
          <w:tcPr>
            <w:tcW w:w="1202" w:type="dxa"/>
            <w:tcBorders>
              <w:top w:val="nil"/>
              <w:left w:val="nil"/>
              <w:bottom w:val="nil"/>
              <w:right w:val="nil"/>
            </w:tcBorders>
            <w:shd w:val="clear" w:color="auto" w:fill="auto"/>
            <w:vAlign w:val="center"/>
            <w:hideMark/>
          </w:tcPr>
          <w:p w14:paraId="461EE4F7" w14:textId="77777777" w:rsidR="001D4599" w:rsidRPr="00F30578" w:rsidRDefault="001D4599" w:rsidP="00A56DBC">
            <w:pPr>
              <w:jc w:val="center"/>
              <w:rPr>
                <w:color w:val="000000"/>
                <w:sz w:val="18"/>
                <w:szCs w:val="18"/>
                <w:lang w:val="en-GB"/>
              </w:rPr>
            </w:pPr>
            <w:r w:rsidRPr="00F30578">
              <w:rPr>
                <w:color w:val="000000"/>
                <w:sz w:val="18"/>
                <w:szCs w:val="18"/>
                <w:lang w:val="en-GB"/>
              </w:rPr>
              <w:t xml:space="preserve">12.88 </w:t>
            </w:r>
            <w:r w:rsidRPr="00F30578">
              <w:rPr>
                <w:color w:val="000000"/>
                <w:sz w:val="18"/>
                <w:szCs w:val="18"/>
                <w:vertAlign w:val="superscript"/>
                <w:lang w:val="en-GB"/>
              </w:rPr>
              <w:t>a</w:t>
            </w:r>
          </w:p>
        </w:tc>
        <w:tc>
          <w:tcPr>
            <w:tcW w:w="1204" w:type="dxa"/>
            <w:tcBorders>
              <w:top w:val="nil"/>
              <w:left w:val="nil"/>
              <w:bottom w:val="nil"/>
              <w:right w:val="nil"/>
            </w:tcBorders>
            <w:shd w:val="clear" w:color="auto" w:fill="auto"/>
            <w:vAlign w:val="center"/>
            <w:hideMark/>
          </w:tcPr>
          <w:p w14:paraId="2A42A79B" w14:textId="77777777" w:rsidR="001D4599" w:rsidRPr="00F30578" w:rsidRDefault="001D4599" w:rsidP="00A56DBC">
            <w:pPr>
              <w:jc w:val="center"/>
              <w:rPr>
                <w:color w:val="000000"/>
                <w:sz w:val="18"/>
                <w:szCs w:val="18"/>
                <w:lang w:val="en-GB"/>
              </w:rPr>
            </w:pPr>
            <w:r w:rsidRPr="00F30578">
              <w:rPr>
                <w:color w:val="000000"/>
                <w:sz w:val="18"/>
                <w:szCs w:val="18"/>
                <w:lang w:val="en-GB"/>
              </w:rPr>
              <w:t xml:space="preserve">11.22 </w:t>
            </w:r>
            <w:r w:rsidRPr="00F30578">
              <w:rPr>
                <w:color w:val="000000"/>
                <w:sz w:val="18"/>
                <w:szCs w:val="18"/>
                <w:vertAlign w:val="superscript"/>
                <w:lang w:val="en-GB"/>
              </w:rPr>
              <w:t>b</w:t>
            </w:r>
          </w:p>
        </w:tc>
        <w:tc>
          <w:tcPr>
            <w:tcW w:w="1209" w:type="dxa"/>
            <w:tcBorders>
              <w:top w:val="single" w:sz="4" w:space="0" w:color="000000"/>
              <w:left w:val="nil"/>
              <w:bottom w:val="nil"/>
              <w:right w:val="single" w:sz="4" w:space="0" w:color="000000"/>
            </w:tcBorders>
            <w:shd w:val="clear" w:color="auto" w:fill="auto"/>
            <w:noWrap/>
            <w:vAlign w:val="bottom"/>
            <w:hideMark/>
          </w:tcPr>
          <w:p w14:paraId="5A24B0E9" w14:textId="77777777" w:rsidR="001D4599" w:rsidRPr="00F30578" w:rsidRDefault="001D4599" w:rsidP="00A56DBC">
            <w:pPr>
              <w:jc w:val="center"/>
              <w:rPr>
                <w:color w:val="000000"/>
                <w:sz w:val="18"/>
                <w:szCs w:val="18"/>
                <w:lang w:val="en-GB"/>
              </w:rPr>
            </w:pPr>
            <w:r w:rsidRPr="00F30578">
              <w:rPr>
                <w:color w:val="000000"/>
                <w:sz w:val="18"/>
                <w:szCs w:val="18"/>
                <w:lang w:val="en-GB"/>
              </w:rPr>
              <w:t>**</w:t>
            </w:r>
          </w:p>
        </w:tc>
      </w:tr>
      <w:tr w:rsidR="001D4599" w:rsidRPr="00F30578" w14:paraId="6F8E77E6" w14:textId="77777777" w:rsidTr="001D4599">
        <w:trPr>
          <w:trHeight w:val="122"/>
        </w:trPr>
        <w:tc>
          <w:tcPr>
            <w:tcW w:w="1696" w:type="dxa"/>
            <w:vMerge/>
            <w:tcBorders>
              <w:left w:val="single" w:sz="4" w:space="0" w:color="000000" w:themeColor="text1"/>
              <w:bottom w:val="single" w:sz="4" w:space="0" w:color="000000"/>
              <w:right w:val="nil"/>
            </w:tcBorders>
            <w:shd w:val="clear" w:color="auto" w:fill="auto"/>
            <w:noWrap/>
            <w:vAlign w:val="center"/>
            <w:hideMark/>
          </w:tcPr>
          <w:p w14:paraId="40E5187C" w14:textId="6DF8BA6A" w:rsidR="001D4599" w:rsidRPr="00F30578" w:rsidRDefault="001D4599" w:rsidP="001D4599">
            <w:pPr>
              <w:jc w:val="center"/>
              <w:rPr>
                <w:color w:val="000000"/>
                <w:sz w:val="18"/>
                <w:szCs w:val="18"/>
                <w:lang w:val="en-GB"/>
              </w:rPr>
            </w:pPr>
          </w:p>
        </w:tc>
        <w:tc>
          <w:tcPr>
            <w:tcW w:w="1418" w:type="dxa"/>
            <w:tcBorders>
              <w:top w:val="nil"/>
              <w:left w:val="nil"/>
              <w:bottom w:val="single" w:sz="4" w:space="0" w:color="000000"/>
              <w:right w:val="nil"/>
            </w:tcBorders>
            <w:shd w:val="clear" w:color="auto" w:fill="auto"/>
            <w:noWrap/>
            <w:vAlign w:val="bottom"/>
            <w:hideMark/>
          </w:tcPr>
          <w:p w14:paraId="2FE920D1" w14:textId="77777777" w:rsidR="001D4599" w:rsidRPr="00F30578" w:rsidRDefault="001D4599" w:rsidP="00A56DBC">
            <w:pPr>
              <w:jc w:val="center"/>
              <w:rPr>
                <w:color w:val="000000"/>
                <w:sz w:val="18"/>
                <w:szCs w:val="18"/>
                <w:lang w:val="en-GB"/>
              </w:rPr>
            </w:pPr>
            <w:r w:rsidRPr="00F30578">
              <w:rPr>
                <w:color w:val="000000"/>
                <w:sz w:val="18"/>
                <w:szCs w:val="18"/>
                <w:lang w:val="en-GB"/>
              </w:rPr>
              <w:t>120</w:t>
            </w:r>
          </w:p>
        </w:tc>
        <w:tc>
          <w:tcPr>
            <w:tcW w:w="1202" w:type="dxa"/>
            <w:tcBorders>
              <w:top w:val="nil"/>
              <w:left w:val="nil"/>
              <w:bottom w:val="single" w:sz="4" w:space="0" w:color="000000"/>
              <w:right w:val="nil"/>
            </w:tcBorders>
            <w:shd w:val="clear" w:color="auto" w:fill="auto"/>
            <w:vAlign w:val="center"/>
            <w:hideMark/>
          </w:tcPr>
          <w:p w14:paraId="1D9CCE9D" w14:textId="77777777" w:rsidR="001D4599" w:rsidRPr="00F30578" w:rsidRDefault="001D4599" w:rsidP="00A56DBC">
            <w:pPr>
              <w:jc w:val="center"/>
              <w:rPr>
                <w:color w:val="000000"/>
                <w:sz w:val="18"/>
                <w:szCs w:val="18"/>
                <w:lang w:val="en-GB"/>
              </w:rPr>
            </w:pPr>
            <w:r w:rsidRPr="00F30578">
              <w:rPr>
                <w:color w:val="000000"/>
                <w:sz w:val="18"/>
                <w:szCs w:val="18"/>
                <w:lang w:val="en-GB"/>
              </w:rPr>
              <w:t xml:space="preserve">61.37 </w:t>
            </w:r>
            <w:r w:rsidRPr="00F30578">
              <w:rPr>
                <w:color w:val="000000"/>
                <w:sz w:val="18"/>
                <w:szCs w:val="18"/>
                <w:vertAlign w:val="superscript"/>
                <w:lang w:val="en-GB"/>
              </w:rPr>
              <w:t>b</w:t>
            </w:r>
          </w:p>
        </w:tc>
        <w:tc>
          <w:tcPr>
            <w:tcW w:w="1202" w:type="dxa"/>
            <w:tcBorders>
              <w:top w:val="nil"/>
              <w:left w:val="nil"/>
              <w:bottom w:val="single" w:sz="4" w:space="0" w:color="000000"/>
              <w:right w:val="nil"/>
            </w:tcBorders>
            <w:shd w:val="clear" w:color="auto" w:fill="auto"/>
            <w:vAlign w:val="center"/>
            <w:hideMark/>
          </w:tcPr>
          <w:p w14:paraId="23AF2AF6" w14:textId="77777777" w:rsidR="001D4599" w:rsidRPr="00F30578" w:rsidRDefault="001D4599" w:rsidP="00A56DBC">
            <w:pPr>
              <w:jc w:val="center"/>
              <w:rPr>
                <w:color w:val="000000"/>
                <w:sz w:val="18"/>
                <w:szCs w:val="18"/>
                <w:lang w:val="en-GB"/>
              </w:rPr>
            </w:pPr>
            <w:r w:rsidRPr="00F30578">
              <w:rPr>
                <w:color w:val="000000"/>
                <w:sz w:val="18"/>
                <w:szCs w:val="18"/>
                <w:lang w:val="en-GB"/>
              </w:rPr>
              <w:t xml:space="preserve">63.58 </w:t>
            </w:r>
            <w:r w:rsidRPr="00F30578">
              <w:rPr>
                <w:color w:val="000000"/>
                <w:sz w:val="18"/>
                <w:szCs w:val="18"/>
                <w:vertAlign w:val="superscript"/>
                <w:lang w:val="en-GB"/>
              </w:rPr>
              <w:t>b</w:t>
            </w:r>
          </w:p>
        </w:tc>
        <w:tc>
          <w:tcPr>
            <w:tcW w:w="1202" w:type="dxa"/>
            <w:tcBorders>
              <w:top w:val="nil"/>
              <w:left w:val="nil"/>
              <w:bottom w:val="single" w:sz="4" w:space="0" w:color="000000"/>
              <w:right w:val="nil"/>
            </w:tcBorders>
            <w:shd w:val="clear" w:color="auto" w:fill="auto"/>
            <w:vAlign w:val="center"/>
            <w:hideMark/>
          </w:tcPr>
          <w:p w14:paraId="120FF59D" w14:textId="77777777" w:rsidR="001D4599" w:rsidRPr="00F30578" w:rsidRDefault="001D4599" w:rsidP="00A56DBC">
            <w:pPr>
              <w:jc w:val="center"/>
              <w:rPr>
                <w:color w:val="000000"/>
                <w:sz w:val="18"/>
                <w:szCs w:val="18"/>
                <w:lang w:val="en-GB"/>
              </w:rPr>
            </w:pPr>
            <w:r w:rsidRPr="00F30578">
              <w:rPr>
                <w:color w:val="000000"/>
                <w:sz w:val="18"/>
                <w:szCs w:val="18"/>
                <w:lang w:val="en-GB"/>
              </w:rPr>
              <w:t xml:space="preserve">68.20 </w:t>
            </w:r>
            <w:r w:rsidRPr="00F30578">
              <w:rPr>
                <w:color w:val="000000"/>
                <w:sz w:val="18"/>
                <w:szCs w:val="18"/>
                <w:vertAlign w:val="superscript"/>
                <w:lang w:val="en-GB"/>
              </w:rPr>
              <w:t>ab</w:t>
            </w:r>
          </w:p>
        </w:tc>
        <w:tc>
          <w:tcPr>
            <w:tcW w:w="1204" w:type="dxa"/>
            <w:tcBorders>
              <w:top w:val="nil"/>
              <w:left w:val="nil"/>
              <w:bottom w:val="single" w:sz="4" w:space="0" w:color="000000"/>
              <w:right w:val="nil"/>
            </w:tcBorders>
            <w:shd w:val="clear" w:color="auto" w:fill="auto"/>
            <w:vAlign w:val="center"/>
            <w:hideMark/>
          </w:tcPr>
          <w:p w14:paraId="094E3E23" w14:textId="77777777" w:rsidR="001D4599" w:rsidRPr="00F30578" w:rsidRDefault="001D4599" w:rsidP="00A56DBC">
            <w:pPr>
              <w:jc w:val="center"/>
              <w:rPr>
                <w:color w:val="000000"/>
                <w:sz w:val="18"/>
                <w:szCs w:val="18"/>
                <w:lang w:val="en-GB"/>
              </w:rPr>
            </w:pPr>
            <w:r w:rsidRPr="00F30578">
              <w:rPr>
                <w:color w:val="000000"/>
                <w:sz w:val="18"/>
                <w:szCs w:val="18"/>
                <w:lang w:val="en-GB"/>
              </w:rPr>
              <w:t xml:space="preserve">75.83 </w:t>
            </w:r>
            <w:r w:rsidRPr="00F30578">
              <w:rPr>
                <w:color w:val="000000"/>
                <w:sz w:val="18"/>
                <w:szCs w:val="18"/>
                <w:vertAlign w:val="superscript"/>
                <w:lang w:val="en-GB"/>
              </w:rPr>
              <w:t>a</w:t>
            </w:r>
          </w:p>
        </w:tc>
        <w:tc>
          <w:tcPr>
            <w:tcW w:w="1209" w:type="dxa"/>
            <w:tcBorders>
              <w:top w:val="nil"/>
              <w:left w:val="nil"/>
              <w:bottom w:val="single" w:sz="4" w:space="0" w:color="000000"/>
              <w:right w:val="single" w:sz="4" w:space="0" w:color="000000"/>
            </w:tcBorders>
            <w:shd w:val="clear" w:color="auto" w:fill="auto"/>
            <w:noWrap/>
            <w:vAlign w:val="bottom"/>
            <w:hideMark/>
          </w:tcPr>
          <w:p w14:paraId="19B27DBD" w14:textId="77777777" w:rsidR="001D4599" w:rsidRPr="00F30578" w:rsidRDefault="001D4599" w:rsidP="00A56DBC">
            <w:pPr>
              <w:jc w:val="center"/>
              <w:rPr>
                <w:color w:val="000000"/>
                <w:sz w:val="18"/>
                <w:szCs w:val="18"/>
                <w:lang w:val="en-GB"/>
              </w:rPr>
            </w:pPr>
            <w:r w:rsidRPr="00F30578">
              <w:rPr>
                <w:color w:val="000000"/>
                <w:sz w:val="18"/>
                <w:szCs w:val="18"/>
                <w:lang w:val="en-GB"/>
              </w:rPr>
              <w:t>**</w:t>
            </w:r>
          </w:p>
        </w:tc>
      </w:tr>
      <w:tr w:rsidR="001D4599" w:rsidRPr="00F30578" w14:paraId="4218F7F0" w14:textId="77777777" w:rsidTr="001D4599">
        <w:trPr>
          <w:trHeight w:val="122"/>
        </w:trPr>
        <w:tc>
          <w:tcPr>
            <w:tcW w:w="1696" w:type="dxa"/>
            <w:vMerge w:val="restart"/>
            <w:tcBorders>
              <w:top w:val="nil"/>
              <w:left w:val="single" w:sz="4" w:space="0" w:color="000000" w:themeColor="text1"/>
              <w:right w:val="nil"/>
            </w:tcBorders>
            <w:shd w:val="clear" w:color="auto" w:fill="auto"/>
            <w:noWrap/>
            <w:vAlign w:val="center"/>
            <w:hideMark/>
          </w:tcPr>
          <w:p w14:paraId="479AB441" w14:textId="620A410E" w:rsidR="001D4599" w:rsidRPr="00F30578" w:rsidRDefault="001D4599" w:rsidP="00725D84">
            <w:pPr>
              <w:jc w:val="center"/>
              <w:rPr>
                <w:color w:val="000000"/>
                <w:sz w:val="18"/>
                <w:szCs w:val="18"/>
                <w:lang w:val="en-GB"/>
              </w:rPr>
            </w:pPr>
            <w:r w:rsidRPr="00C77942">
              <w:rPr>
                <w:color w:val="000000"/>
                <w:sz w:val="18"/>
                <w:szCs w:val="18"/>
                <w:lang w:val="en-GB"/>
              </w:rPr>
              <w:t>Total acceptability</w:t>
            </w:r>
          </w:p>
        </w:tc>
        <w:tc>
          <w:tcPr>
            <w:tcW w:w="1418" w:type="dxa"/>
            <w:tcBorders>
              <w:top w:val="nil"/>
              <w:left w:val="nil"/>
              <w:bottom w:val="nil"/>
              <w:right w:val="nil"/>
            </w:tcBorders>
            <w:shd w:val="clear" w:color="auto" w:fill="auto"/>
            <w:noWrap/>
            <w:vAlign w:val="bottom"/>
            <w:hideMark/>
          </w:tcPr>
          <w:p w14:paraId="15020BA4" w14:textId="77777777" w:rsidR="001D4599" w:rsidRPr="00F30578" w:rsidRDefault="001D4599" w:rsidP="00A56DBC">
            <w:pPr>
              <w:jc w:val="center"/>
              <w:rPr>
                <w:color w:val="000000"/>
                <w:sz w:val="18"/>
                <w:szCs w:val="18"/>
                <w:lang w:val="en-GB"/>
              </w:rPr>
            </w:pPr>
            <w:r w:rsidRPr="00F30578">
              <w:rPr>
                <w:color w:val="000000"/>
                <w:sz w:val="18"/>
                <w:szCs w:val="18"/>
                <w:lang w:val="en-GB"/>
              </w:rPr>
              <w:t>0</w:t>
            </w:r>
          </w:p>
        </w:tc>
        <w:tc>
          <w:tcPr>
            <w:tcW w:w="1202" w:type="dxa"/>
            <w:tcBorders>
              <w:top w:val="nil"/>
              <w:left w:val="nil"/>
              <w:bottom w:val="nil"/>
              <w:right w:val="nil"/>
            </w:tcBorders>
            <w:shd w:val="clear" w:color="auto" w:fill="auto"/>
            <w:vAlign w:val="center"/>
            <w:hideMark/>
          </w:tcPr>
          <w:p w14:paraId="0A8546E2" w14:textId="77777777" w:rsidR="001D4599" w:rsidRPr="00F30578" w:rsidRDefault="001D4599" w:rsidP="00A56DBC">
            <w:pPr>
              <w:jc w:val="center"/>
              <w:rPr>
                <w:color w:val="000000"/>
                <w:sz w:val="18"/>
                <w:szCs w:val="18"/>
                <w:lang w:val="en-GB"/>
              </w:rPr>
            </w:pPr>
            <w:r w:rsidRPr="00F30578">
              <w:rPr>
                <w:color w:val="000000"/>
                <w:sz w:val="18"/>
                <w:szCs w:val="18"/>
                <w:lang w:val="en-GB"/>
              </w:rPr>
              <w:t>7.2</w:t>
            </w:r>
            <w:r w:rsidRPr="00F30578">
              <w:rPr>
                <w:color w:val="000000"/>
                <w:sz w:val="18"/>
                <w:szCs w:val="18"/>
                <w:vertAlign w:val="superscript"/>
                <w:lang w:val="en-GB"/>
              </w:rPr>
              <w:t>b</w:t>
            </w:r>
          </w:p>
        </w:tc>
        <w:tc>
          <w:tcPr>
            <w:tcW w:w="1202" w:type="dxa"/>
            <w:tcBorders>
              <w:top w:val="nil"/>
              <w:left w:val="nil"/>
              <w:bottom w:val="nil"/>
              <w:right w:val="nil"/>
            </w:tcBorders>
            <w:shd w:val="clear" w:color="auto" w:fill="auto"/>
            <w:vAlign w:val="center"/>
            <w:hideMark/>
          </w:tcPr>
          <w:p w14:paraId="35FCF756" w14:textId="77777777" w:rsidR="001D4599" w:rsidRPr="00F30578" w:rsidRDefault="001D4599" w:rsidP="00A56DBC">
            <w:pPr>
              <w:jc w:val="center"/>
              <w:rPr>
                <w:color w:val="000000"/>
                <w:sz w:val="18"/>
                <w:szCs w:val="18"/>
                <w:lang w:val="en-GB"/>
              </w:rPr>
            </w:pPr>
            <w:r w:rsidRPr="00F30578">
              <w:rPr>
                <w:color w:val="000000"/>
                <w:sz w:val="18"/>
                <w:szCs w:val="18"/>
                <w:lang w:val="en-GB"/>
              </w:rPr>
              <w:t>7.7</w:t>
            </w:r>
            <w:r w:rsidRPr="00F30578">
              <w:rPr>
                <w:color w:val="000000"/>
                <w:sz w:val="18"/>
                <w:szCs w:val="18"/>
                <w:vertAlign w:val="superscript"/>
                <w:lang w:val="en-GB"/>
              </w:rPr>
              <w:t>a</w:t>
            </w:r>
            <w:r w:rsidRPr="00F30578">
              <w:rPr>
                <w:color w:val="000000"/>
                <w:sz w:val="18"/>
                <w:szCs w:val="18"/>
                <w:lang w:val="en-GB"/>
              </w:rPr>
              <w:t xml:space="preserve"> </w:t>
            </w:r>
          </w:p>
        </w:tc>
        <w:tc>
          <w:tcPr>
            <w:tcW w:w="1202" w:type="dxa"/>
            <w:tcBorders>
              <w:top w:val="nil"/>
              <w:left w:val="nil"/>
              <w:bottom w:val="nil"/>
              <w:right w:val="nil"/>
            </w:tcBorders>
            <w:shd w:val="clear" w:color="auto" w:fill="auto"/>
            <w:vAlign w:val="center"/>
            <w:hideMark/>
          </w:tcPr>
          <w:p w14:paraId="44A970AA" w14:textId="77777777" w:rsidR="001D4599" w:rsidRPr="00F30578" w:rsidRDefault="001D4599" w:rsidP="00A56DBC">
            <w:pPr>
              <w:jc w:val="center"/>
              <w:rPr>
                <w:color w:val="000000"/>
                <w:sz w:val="18"/>
                <w:szCs w:val="18"/>
                <w:lang w:val="en-GB"/>
              </w:rPr>
            </w:pPr>
            <w:r w:rsidRPr="00F30578">
              <w:rPr>
                <w:color w:val="000000"/>
                <w:sz w:val="18"/>
                <w:szCs w:val="18"/>
                <w:lang w:val="en-GB"/>
              </w:rPr>
              <w:t>7.2</w:t>
            </w:r>
            <w:r w:rsidRPr="00F30578">
              <w:rPr>
                <w:color w:val="000000"/>
                <w:sz w:val="18"/>
                <w:szCs w:val="18"/>
                <w:vertAlign w:val="superscript"/>
                <w:lang w:val="en-GB"/>
              </w:rPr>
              <w:t>b</w:t>
            </w:r>
          </w:p>
        </w:tc>
        <w:tc>
          <w:tcPr>
            <w:tcW w:w="1204" w:type="dxa"/>
            <w:tcBorders>
              <w:top w:val="nil"/>
              <w:left w:val="nil"/>
              <w:bottom w:val="nil"/>
              <w:right w:val="nil"/>
            </w:tcBorders>
            <w:shd w:val="clear" w:color="auto" w:fill="auto"/>
            <w:vAlign w:val="center"/>
            <w:hideMark/>
          </w:tcPr>
          <w:p w14:paraId="3353FC1B" w14:textId="77777777" w:rsidR="001D4599" w:rsidRPr="00F30578" w:rsidRDefault="001D4599" w:rsidP="00A56DBC">
            <w:pPr>
              <w:jc w:val="center"/>
              <w:rPr>
                <w:color w:val="000000"/>
                <w:sz w:val="18"/>
                <w:szCs w:val="18"/>
                <w:lang w:val="en-GB"/>
              </w:rPr>
            </w:pPr>
            <w:r w:rsidRPr="00F30578">
              <w:rPr>
                <w:color w:val="000000"/>
                <w:sz w:val="18"/>
                <w:szCs w:val="18"/>
                <w:lang w:val="en-GB"/>
              </w:rPr>
              <w:t xml:space="preserve">6.8 </w:t>
            </w:r>
            <w:r w:rsidRPr="00F30578">
              <w:rPr>
                <w:color w:val="000000"/>
                <w:sz w:val="18"/>
                <w:szCs w:val="18"/>
                <w:vertAlign w:val="superscript"/>
                <w:lang w:val="en-GB"/>
              </w:rPr>
              <w:t>c</w:t>
            </w:r>
          </w:p>
        </w:tc>
        <w:tc>
          <w:tcPr>
            <w:tcW w:w="1209" w:type="dxa"/>
            <w:tcBorders>
              <w:top w:val="nil"/>
              <w:left w:val="nil"/>
              <w:bottom w:val="nil"/>
              <w:right w:val="single" w:sz="4" w:space="0" w:color="000000"/>
            </w:tcBorders>
            <w:shd w:val="clear" w:color="auto" w:fill="auto"/>
            <w:noWrap/>
            <w:vAlign w:val="bottom"/>
            <w:hideMark/>
          </w:tcPr>
          <w:p w14:paraId="37FB6330" w14:textId="77777777" w:rsidR="001D4599" w:rsidRPr="00F30578" w:rsidRDefault="001D4599" w:rsidP="00A56DBC">
            <w:pPr>
              <w:jc w:val="center"/>
              <w:rPr>
                <w:color w:val="000000"/>
                <w:sz w:val="18"/>
                <w:szCs w:val="18"/>
                <w:lang w:val="en-GB"/>
              </w:rPr>
            </w:pPr>
            <w:r w:rsidRPr="00F30578">
              <w:rPr>
                <w:color w:val="000000"/>
                <w:sz w:val="18"/>
                <w:szCs w:val="18"/>
                <w:lang w:val="en-GB"/>
              </w:rPr>
              <w:t> **</w:t>
            </w:r>
          </w:p>
        </w:tc>
      </w:tr>
      <w:tr w:rsidR="001D4599" w:rsidRPr="00F30578" w14:paraId="5B4F1AD8" w14:textId="77777777" w:rsidTr="00A33745">
        <w:trPr>
          <w:trHeight w:val="122"/>
        </w:trPr>
        <w:tc>
          <w:tcPr>
            <w:tcW w:w="1696" w:type="dxa"/>
            <w:vMerge/>
            <w:tcBorders>
              <w:left w:val="single" w:sz="4" w:space="0" w:color="000000" w:themeColor="text1"/>
              <w:bottom w:val="single" w:sz="4" w:space="0" w:color="000000"/>
              <w:right w:val="nil"/>
            </w:tcBorders>
            <w:shd w:val="clear" w:color="auto" w:fill="auto"/>
            <w:noWrap/>
            <w:vAlign w:val="bottom"/>
            <w:hideMark/>
          </w:tcPr>
          <w:p w14:paraId="52EC8150" w14:textId="62859D8A" w:rsidR="001D4599" w:rsidRPr="00F30578" w:rsidRDefault="001D4599" w:rsidP="00A56DBC">
            <w:pPr>
              <w:jc w:val="center"/>
              <w:rPr>
                <w:color w:val="000000"/>
                <w:sz w:val="18"/>
                <w:szCs w:val="18"/>
                <w:lang w:val="en-GB"/>
              </w:rPr>
            </w:pPr>
          </w:p>
        </w:tc>
        <w:tc>
          <w:tcPr>
            <w:tcW w:w="1418" w:type="dxa"/>
            <w:tcBorders>
              <w:top w:val="nil"/>
              <w:left w:val="nil"/>
              <w:bottom w:val="single" w:sz="4" w:space="0" w:color="000000"/>
              <w:right w:val="nil"/>
            </w:tcBorders>
            <w:shd w:val="clear" w:color="auto" w:fill="auto"/>
            <w:noWrap/>
            <w:vAlign w:val="bottom"/>
            <w:hideMark/>
          </w:tcPr>
          <w:p w14:paraId="5629ACB5" w14:textId="77777777" w:rsidR="001D4599" w:rsidRPr="00F30578" w:rsidRDefault="001D4599" w:rsidP="00A56DBC">
            <w:pPr>
              <w:jc w:val="center"/>
              <w:rPr>
                <w:color w:val="000000"/>
                <w:sz w:val="18"/>
                <w:szCs w:val="18"/>
                <w:lang w:val="en-GB"/>
              </w:rPr>
            </w:pPr>
            <w:r w:rsidRPr="00F30578">
              <w:rPr>
                <w:color w:val="000000"/>
                <w:sz w:val="18"/>
                <w:szCs w:val="18"/>
                <w:lang w:val="en-GB"/>
              </w:rPr>
              <w:t>120</w:t>
            </w:r>
          </w:p>
        </w:tc>
        <w:tc>
          <w:tcPr>
            <w:tcW w:w="1202" w:type="dxa"/>
            <w:tcBorders>
              <w:top w:val="nil"/>
              <w:left w:val="nil"/>
              <w:bottom w:val="single" w:sz="4" w:space="0" w:color="000000"/>
              <w:right w:val="nil"/>
            </w:tcBorders>
            <w:shd w:val="clear" w:color="auto" w:fill="auto"/>
            <w:vAlign w:val="center"/>
            <w:hideMark/>
          </w:tcPr>
          <w:p w14:paraId="17D38302" w14:textId="77777777" w:rsidR="001D4599" w:rsidRPr="00F30578" w:rsidRDefault="001D4599" w:rsidP="00A56DBC">
            <w:pPr>
              <w:jc w:val="center"/>
              <w:rPr>
                <w:color w:val="000000"/>
                <w:sz w:val="18"/>
                <w:szCs w:val="18"/>
                <w:lang w:val="en-GB"/>
              </w:rPr>
            </w:pPr>
            <w:r w:rsidRPr="00F30578">
              <w:rPr>
                <w:color w:val="000000"/>
                <w:sz w:val="18"/>
                <w:szCs w:val="18"/>
                <w:lang w:val="en-GB"/>
              </w:rPr>
              <w:t>6.5</w:t>
            </w:r>
            <w:r w:rsidRPr="00F30578">
              <w:rPr>
                <w:color w:val="000000"/>
                <w:sz w:val="18"/>
                <w:szCs w:val="18"/>
                <w:vertAlign w:val="superscript"/>
                <w:lang w:val="en-GB"/>
              </w:rPr>
              <w:t>b</w:t>
            </w:r>
          </w:p>
        </w:tc>
        <w:tc>
          <w:tcPr>
            <w:tcW w:w="1202" w:type="dxa"/>
            <w:tcBorders>
              <w:top w:val="nil"/>
              <w:left w:val="nil"/>
              <w:bottom w:val="single" w:sz="4" w:space="0" w:color="000000"/>
              <w:right w:val="nil"/>
            </w:tcBorders>
            <w:shd w:val="clear" w:color="auto" w:fill="auto"/>
            <w:vAlign w:val="center"/>
            <w:hideMark/>
          </w:tcPr>
          <w:p w14:paraId="2855A2BE" w14:textId="77777777" w:rsidR="001D4599" w:rsidRPr="00F30578" w:rsidRDefault="001D4599" w:rsidP="00A56DBC">
            <w:pPr>
              <w:jc w:val="center"/>
              <w:rPr>
                <w:color w:val="000000"/>
                <w:sz w:val="18"/>
                <w:szCs w:val="18"/>
                <w:lang w:val="en-GB"/>
              </w:rPr>
            </w:pPr>
            <w:r w:rsidRPr="00F30578">
              <w:rPr>
                <w:color w:val="000000"/>
                <w:sz w:val="18"/>
                <w:szCs w:val="18"/>
                <w:lang w:val="en-GB"/>
              </w:rPr>
              <w:t>7.3</w:t>
            </w:r>
            <w:r w:rsidRPr="00F30578">
              <w:rPr>
                <w:color w:val="000000"/>
                <w:sz w:val="18"/>
                <w:szCs w:val="18"/>
                <w:vertAlign w:val="superscript"/>
                <w:lang w:val="en-GB"/>
              </w:rPr>
              <w:t>a</w:t>
            </w:r>
            <w:r w:rsidRPr="00F30578">
              <w:rPr>
                <w:color w:val="000000"/>
                <w:sz w:val="18"/>
                <w:szCs w:val="18"/>
                <w:lang w:val="en-GB"/>
              </w:rPr>
              <w:t xml:space="preserve"> </w:t>
            </w:r>
          </w:p>
        </w:tc>
        <w:tc>
          <w:tcPr>
            <w:tcW w:w="1202" w:type="dxa"/>
            <w:tcBorders>
              <w:top w:val="nil"/>
              <w:left w:val="nil"/>
              <w:bottom w:val="single" w:sz="4" w:space="0" w:color="000000"/>
              <w:right w:val="nil"/>
            </w:tcBorders>
            <w:shd w:val="clear" w:color="auto" w:fill="auto"/>
            <w:vAlign w:val="center"/>
            <w:hideMark/>
          </w:tcPr>
          <w:p w14:paraId="785123A5" w14:textId="77777777" w:rsidR="001D4599" w:rsidRPr="00F30578" w:rsidRDefault="001D4599" w:rsidP="00A56DBC">
            <w:pPr>
              <w:jc w:val="center"/>
              <w:rPr>
                <w:color w:val="000000"/>
                <w:sz w:val="18"/>
                <w:szCs w:val="18"/>
                <w:lang w:val="en-GB"/>
              </w:rPr>
            </w:pPr>
            <w:r w:rsidRPr="00F30578">
              <w:rPr>
                <w:color w:val="000000"/>
                <w:sz w:val="18"/>
                <w:szCs w:val="18"/>
                <w:lang w:val="en-GB"/>
              </w:rPr>
              <w:t>6.3</w:t>
            </w:r>
            <w:r w:rsidRPr="00F30578">
              <w:rPr>
                <w:color w:val="000000"/>
                <w:sz w:val="18"/>
                <w:szCs w:val="18"/>
                <w:vertAlign w:val="superscript"/>
                <w:lang w:val="en-GB"/>
              </w:rPr>
              <w:t>b</w:t>
            </w:r>
          </w:p>
        </w:tc>
        <w:tc>
          <w:tcPr>
            <w:tcW w:w="1204" w:type="dxa"/>
            <w:tcBorders>
              <w:top w:val="nil"/>
              <w:left w:val="nil"/>
              <w:bottom w:val="single" w:sz="4" w:space="0" w:color="000000"/>
              <w:right w:val="nil"/>
            </w:tcBorders>
            <w:shd w:val="clear" w:color="auto" w:fill="auto"/>
            <w:vAlign w:val="center"/>
            <w:hideMark/>
          </w:tcPr>
          <w:p w14:paraId="5BD15BDD" w14:textId="77777777" w:rsidR="001D4599" w:rsidRPr="00F30578" w:rsidRDefault="001D4599" w:rsidP="00A56DBC">
            <w:pPr>
              <w:jc w:val="center"/>
              <w:rPr>
                <w:color w:val="000000"/>
                <w:sz w:val="18"/>
                <w:szCs w:val="18"/>
                <w:lang w:val="en-GB"/>
              </w:rPr>
            </w:pPr>
            <w:r w:rsidRPr="00F30578">
              <w:rPr>
                <w:color w:val="000000"/>
                <w:sz w:val="18"/>
                <w:szCs w:val="18"/>
                <w:lang w:val="en-GB"/>
              </w:rPr>
              <w:t xml:space="preserve">6.0 </w:t>
            </w:r>
            <w:r w:rsidRPr="00F30578">
              <w:rPr>
                <w:color w:val="000000"/>
                <w:sz w:val="18"/>
                <w:szCs w:val="18"/>
                <w:vertAlign w:val="superscript"/>
                <w:lang w:val="en-GB"/>
              </w:rPr>
              <w:t>c</w:t>
            </w:r>
          </w:p>
        </w:tc>
        <w:tc>
          <w:tcPr>
            <w:tcW w:w="1209" w:type="dxa"/>
            <w:tcBorders>
              <w:top w:val="nil"/>
              <w:left w:val="nil"/>
              <w:bottom w:val="single" w:sz="4" w:space="0" w:color="000000"/>
              <w:right w:val="single" w:sz="4" w:space="0" w:color="000000"/>
            </w:tcBorders>
            <w:shd w:val="clear" w:color="auto" w:fill="auto"/>
            <w:noWrap/>
            <w:vAlign w:val="bottom"/>
            <w:hideMark/>
          </w:tcPr>
          <w:p w14:paraId="09BE0EEC" w14:textId="77777777" w:rsidR="001D4599" w:rsidRPr="00F30578" w:rsidRDefault="001D4599" w:rsidP="00A56DBC">
            <w:pPr>
              <w:jc w:val="center"/>
              <w:rPr>
                <w:color w:val="000000"/>
                <w:sz w:val="18"/>
                <w:szCs w:val="18"/>
                <w:lang w:val="en-GB"/>
              </w:rPr>
            </w:pPr>
            <w:r w:rsidRPr="00F30578">
              <w:rPr>
                <w:color w:val="000000"/>
                <w:sz w:val="18"/>
                <w:szCs w:val="18"/>
                <w:lang w:val="en-GB"/>
              </w:rPr>
              <w:t> **</w:t>
            </w:r>
          </w:p>
        </w:tc>
      </w:tr>
    </w:tbl>
    <w:p w14:paraId="183C1914" w14:textId="2613D7EE" w:rsidR="00F978BD" w:rsidRPr="00C77942" w:rsidRDefault="00F978BD" w:rsidP="00EA7267">
      <w:pPr>
        <w:tabs>
          <w:tab w:val="left" w:pos="1134"/>
        </w:tabs>
        <w:spacing w:before="240"/>
        <w:ind w:left="1134" w:hanging="1134"/>
        <w:jc w:val="both"/>
        <w:rPr>
          <w:i/>
          <w:sz w:val="18"/>
          <w:lang w:val="en-GB"/>
        </w:rPr>
      </w:pPr>
      <w:r w:rsidRPr="001D4599">
        <w:rPr>
          <w:b/>
          <w:iCs/>
          <w:sz w:val="18"/>
          <w:lang w:val="en-GB"/>
        </w:rPr>
        <w:t>Table 1</w:t>
      </w:r>
      <w:r w:rsidRPr="00C77942">
        <w:rPr>
          <w:i/>
          <w:sz w:val="18"/>
          <w:lang w:val="en-GB"/>
        </w:rPr>
        <w:tab/>
      </w:r>
      <w:r w:rsidR="00F4775A" w:rsidRPr="00C77942">
        <w:rPr>
          <w:i/>
          <w:sz w:val="18"/>
          <w:lang w:val="en-GB"/>
        </w:rPr>
        <w:t xml:space="preserve">Qualitative parameters of fruit gummy candy samples </w:t>
      </w:r>
      <w:r w:rsidR="00B157A9" w:rsidRPr="00C77942">
        <w:rPr>
          <w:i/>
          <w:sz w:val="18"/>
          <w:lang w:val="en-GB"/>
        </w:rPr>
        <w:t>during the storage</w:t>
      </w:r>
      <w:r w:rsidR="00BD38C5">
        <w:rPr>
          <w:i/>
          <w:sz w:val="18"/>
          <w:lang w:val="en-GB"/>
        </w:rPr>
        <w:t>.</w:t>
      </w:r>
      <w:r w:rsidR="00F4775A" w:rsidRPr="00C77942">
        <w:rPr>
          <w:i/>
          <w:sz w:val="18"/>
          <w:lang w:val="en-GB"/>
        </w:rPr>
        <w:t xml:space="preserve">  </w:t>
      </w:r>
    </w:p>
    <w:p w14:paraId="4A28FD62" w14:textId="77777777" w:rsidR="00512D9B" w:rsidRPr="00C77942" w:rsidRDefault="00FB589C">
      <w:pPr>
        <w:pStyle w:val="Titolo1"/>
        <w:spacing w:before="240" w:after="120"/>
        <w:ind w:right="0"/>
        <w:jc w:val="both"/>
        <w:rPr>
          <w:b/>
          <w:bCs/>
          <w:color w:val="000000"/>
          <w:sz w:val="24"/>
          <w:lang w:val="en-GB"/>
        </w:rPr>
      </w:pPr>
      <w:r w:rsidRPr="00C77942">
        <w:rPr>
          <w:b/>
          <w:bCs/>
          <w:color w:val="000000"/>
          <w:sz w:val="24"/>
          <w:lang w:val="en-GB"/>
        </w:rPr>
        <w:t>4. References</w:t>
      </w:r>
    </w:p>
    <w:p w14:paraId="5806D235" w14:textId="77777777" w:rsidR="00EA7267" w:rsidRPr="00C77942" w:rsidRDefault="00EA7267" w:rsidP="00EA7267">
      <w:pPr>
        <w:ind w:left="425" w:hanging="425"/>
        <w:jc w:val="both"/>
        <w:rPr>
          <w:sz w:val="18"/>
          <w:szCs w:val="18"/>
          <w:lang w:val="en-GB"/>
        </w:rPr>
      </w:pPr>
      <w:r w:rsidRPr="00C77942">
        <w:rPr>
          <w:sz w:val="18"/>
          <w:szCs w:val="18"/>
          <w:lang w:val="en-GB"/>
        </w:rPr>
        <w:t xml:space="preserve">Costa ASG, Alves RC, Vinha AF, Barreira SVP, Nunes MA, Cunha LM, Oliveira MBPP. (2014) Optimization of antioxidants extraction from coffee silverskin, a roasting by-product, having in view a sustainable process. </w:t>
      </w:r>
      <w:r w:rsidRPr="00C77942">
        <w:rPr>
          <w:i/>
          <w:iCs/>
          <w:sz w:val="18"/>
          <w:szCs w:val="18"/>
          <w:lang w:val="en-GB"/>
        </w:rPr>
        <w:t>Industrial Crops and Products</w:t>
      </w:r>
      <w:r w:rsidRPr="00C77942">
        <w:rPr>
          <w:sz w:val="18"/>
          <w:szCs w:val="18"/>
          <w:lang w:val="en-GB"/>
        </w:rPr>
        <w:t xml:space="preserve"> </w:t>
      </w:r>
      <w:r w:rsidRPr="00F30578">
        <w:rPr>
          <w:b/>
          <w:bCs/>
          <w:sz w:val="18"/>
          <w:szCs w:val="18"/>
          <w:lang w:val="en-GB"/>
        </w:rPr>
        <w:t>53</w:t>
      </w:r>
      <w:r w:rsidRPr="00C77942">
        <w:rPr>
          <w:sz w:val="18"/>
          <w:szCs w:val="18"/>
          <w:lang w:val="en-GB"/>
        </w:rPr>
        <w:t xml:space="preserve">: 350-357. </w:t>
      </w:r>
    </w:p>
    <w:p w14:paraId="18BB1326" w14:textId="77777777" w:rsidR="00EA7267" w:rsidRPr="00C77942" w:rsidRDefault="00EA7267" w:rsidP="00EA7267">
      <w:pPr>
        <w:ind w:left="425" w:hanging="425"/>
        <w:jc w:val="both"/>
        <w:rPr>
          <w:sz w:val="18"/>
          <w:szCs w:val="18"/>
          <w:lang w:val="en-GB"/>
        </w:rPr>
      </w:pPr>
      <w:r w:rsidRPr="00C77942">
        <w:rPr>
          <w:sz w:val="18"/>
          <w:szCs w:val="18"/>
          <w:lang w:val="en-GB"/>
        </w:rPr>
        <w:t xml:space="preserve">Cedeño-Pinos C, Martínez-Tomé M, Murcia MA, Jordán MJ, Bañón S. (2020) Assessment of Rosemary (Rosmarinus officinalis L.) Extract as Antioxidant in Jelly Candies Made with Fructan Fibres and Stevia. </w:t>
      </w:r>
      <w:r w:rsidRPr="00C77942">
        <w:rPr>
          <w:i/>
          <w:iCs/>
          <w:sz w:val="18"/>
          <w:szCs w:val="18"/>
          <w:lang w:val="en-GB"/>
        </w:rPr>
        <w:t>Antioxidants</w:t>
      </w:r>
      <w:r w:rsidRPr="00C77942">
        <w:rPr>
          <w:sz w:val="18"/>
          <w:szCs w:val="18"/>
          <w:lang w:val="en-GB"/>
        </w:rPr>
        <w:t xml:space="preserve">.  </w:t>
      </w:r>
      <w:r w:rsidRPr="00F30578">
        <w:rPr>
          <w:b/>
          <w:bCs/>
          <w:i/>
          <w:iCs/>
          <w:sz w:val="18"/>
          <w:szCs w:val="18"/>
          <w:lang w:val="en-GB"/>
        </w:rPr>
        <w:t>9</w:t>
      </w:r>
      <w:r w:rsidRPr="00C77942">
        <w:rPr>
          <w:sz w:val="18"/>
          <w:szCs w:val="18"/>
          <w:lang w:val="en-GB"/>
        </w:rPr>
        <w:t xml:space="preserve"> (12):1289.</w:t>
      </w:r>
    </w:p>
    <w:p w14:paraId="5BDA4EC0" w14:textId="1460357C" w:rsidR="00EA7267" w:rsidRPr="00284314" w:rsidRDefault="00EA7267" w:rsidP="00852FDE">
      <w:pPr>
        <w:ind w:left="425" w:hanging="425"/>
        <w:jc w:val="both"/>
        <w:rPr>
          <w:sz w:val="18"/>
          <w:szCs w:val="18"/>
          <w:lang w:val="en-GB"/>
        </w:rPr>
      </w:pPr>
      <w:r w:rsidRPr="00284314">
        <w:rPr>
          <w:sz w:val="18"/>
          <w:szCs w:val="18"/>
          <w:lang w:val="en-GB"/>
        </w:rPr>
        <w:t>Ergun R, Lietha R, Hartel RW. (2010) </w:t>
      </w:r>
      <w:r w:rsidR="005569C4" w:rsidRPr="00284314">
        <w:rPr>
          <w:color w:val="000000" w:themeColor="text1"/>
          <w:sz w:val="18"/>
          <w:szCs w:val="18"/>
          <w:lang w:val="en-GB"/>
        </w:rPr>
        <w:t>Ergun R, Lietha R, Hartel RW. (2010) Moisture and Shelf Life in Sugar Confections.</w:t>
      </w:r>
      <w:r w:rsidRPr="00284314">
        <w:rPr>
          <w:sz w:val="18"/>
          <w:szCs w:val="18"/>
          <w:lang w:val="en-GB"/>
        </w:rPr>
        <w:t> </w:t>
      </w:r>
      <w:r w:rsidRPr="00284314">
        <w:rPr>
          <w:i/>
          <w:iCs/>
          <w:sz w:val="18"/>
          <w:szCs w:val="18"/>
          <w:lang w:val="en-GB"/>
        </w:rPr>
        <w:t>Critical Reviews in Food Science and Nutrition</w:t>
      </w:r>
      <w:r w:rsidRPr="00284314">
        <w:rPr>
          <w:sz w:val="18"/>
          <w:szCs w:val="18"/>
          <w:lang w:val="en-GB"/>
        </w:rPr>
        <w:t> </w:t>
      </w:r>
      <w:r w:rsidRPr="00284314">
        <w:rPr>
          <w:b/>
          <w:bCs/>
          <w:sz w:val="18"/>
          <w:szCs w:val="18"/>
          <w:lang w:val="en-GB"/>
        </w:rPr>
        <w:t>50</w:t>
      </w:r>
      <w:r w:rsidRPr="00284314">
        <w:rPr>
          <w:sz w:val="18"/>
          <w:szCs w:val="18"/>
          <w:lang w:val="en-GB"/>
        </w:rPr>
        <w:t xml:space="preserve"> (2):162-192.</w:t>
      </w:r>
    </w:p>
    <w:p w14:paraId="27573FCC" w14:textId="77777777" w:rsidR="00EA7267" w:rsidRPr="00C77942" w:rsidRDefault="00EA7267" w:rsidP="00EA7267">
      <w:pPr>
        <w:ind w:left="425" w:hanging="425"/>
        <w:jc w:val="both"/>
        <w:rPr>
          <w:sz w:val="18"/>
          <w:szCs w:val="18"/>
          <w:lang w:val="en-GB"/>
        </w:rPr>
      </w:pPr>
      <w:r w:rsidRPr="00C77942">
        <w:rPr>
          <w:sz w:val="18"/>
          <w:szCs w:val="18"/>
          <w:lang w:val="en-GB"/>
        </w:rPr>
        <w:t>Masuda N, Maruyama A, Eguchi T, Hirakawa T, Murakami Y. (2015) Influence of microbubbles on free radical generation by ultrasound in aqueous solution: Dependence of ultrasound frequency. </w:t>
      </w:r>
      <w:r w:rsidRPr="00C77942">
        <w:rPr>
          <w:i/>
          <w:iCs/>
          <w:sz w:val="18"/>
          <w:szCs w:val="18"/>
          <w:lang w:val="en-GB"/>
        </w:rPr>
        <w:t xml:space="preserve">The Journal of Physical Chemistry B </w:t>
      </w:r>
      <w:r w:rsidRPr="00F30578">
        <w:rPr>
          <w:b/>
          <w:bCs/>
          <w:sz w:val="18"/>
          <w:szCs w:val="18"/>
          <w:lang w:val="en-GB"/>
        </w:rPr>
        <w:t>119</w:t>
      </w:r>
      <w:r w:rsidRPr="00C77942">
        <w:rPr>
          <w:sz w:val="18"/>
          <w:szCs w:val="18"/>
          <w:lang w:val="en-GB"/>
        </w:rPr>
        <w:t>: 12887–12893. </w:t>
      </w:r>
    </w:p>
    <w:p w14:paraId="59374FB2" w14:textId="77777777" w:rsidR="00EA7267" w:rsidRPr="00C77942" w:rsidRDefault="00EA7267" w:rsidP="00EA7267">
      <w:pPr>
        <w:ind w:left="425" w:hanging="425"/>
        <w:jc w:val="both"/>
        <w:rPr>
          <w:sz w:val="18"/>
          <w:szCs w:val="18"/>
          <w:lang w:val="en-GB"/>
        </w:rPr>
      </w:pPr>
      <w:r w:rsidRPr="00C77942">
        <w:rPr>
          <w:sz w:val="18"/>
          <w:szCs w:val="18"/>
          <w:lang w:val="en-GB"/>
        </w:rPr>
        <w:t xml:space="preserve">Murthy PS, Naidu MM. (2012) Recovery of Phenolic Antioxidants and Functional Compounds from Coffee Industry By-Products. </w:t>
      </w:r>
      <w:r w:rsidRPr="00C77942">
        <w:rPr>
          <w:i/>
          <w:iCs/>
          <w:sz w:val="18"/>
          <w:szCs w:val="18"/>
          <w:lang w:val="en-GB"/>
        </w:rPr>
        <w:t xml:space="preserve">Food and Bioprocess Technology </w:t>
      </w:r>
      <w:r w:rsidRPr="00F30578">
        <w:rPr>
          <w:b/>
          <w:bCs/>
          <w:sz w:val="18"/>
          <w:szCs w:val="18"/>
          <w:lang w:val="en-GB"/>
        </w:rPr>
        <w:t>5</w:t>
      </w:r>
      <w:r w:rsidRPr="00C77942">
        <w:rPr>
          <w:sz w:val="18"/>
          <w:szCs w:val="18"/>
          <w:lang w:val="en-GB"/>
        </w:rPr>
        <w:t xml:space="preserve">: 897–903. </w:t>
      </w:r>
    </w:p>
    <w:p w14:paraId="39F950A8" w14:textId="77777777" w:rsidR="00EA7267" w:rsidRPr="00C77942" w:rsidRDefault="00EA7267" w:rsidP="00EA7267">
      <w:pPr>
        <w:ind w:left="425" w:hanging="425"/>
        <w:jc w:val="both"/>
        <w:rPr>
          <w:sz w:val="18"/>
          <w:szCs w:val="18"/>
          <w:lang w:val="en-GB"/>
        </w:rPr>
      </w:pPr>
      <w:r w:rsidRPr="00C77942">
        <w:rPr>
          <w:sz w:val="18"/>
          <w:szCs w:val="18"/>
          <w:lang w:val="en-GB"/>
        </w:rPr>
        <w:t xml:space="preserve">Teixeira-Lemos E, Almeida AR, Vouga B, Morais C, Correia I, Pereira PG, Raquel PF. (2021) "Development and characterization of healthy gummy jellies containing natural fruits" </w:t>
      </w:r>
      <w:r w:rsidRPr="00C77942">
        <w:rPr>
          <w:i/>
          <w:iCs/>
          <w:sz w:val="18"/>
          <w:szCs w:val="18"/>
          <w:lang w:val="en-GB"/>
        </w:rPr>
        <w:t>Open Agriculture</w:t>
      </w:r>
      <w:r w:rsidRPr="00C77942">
        <w:rPr>
          <w:sz w:val="18"/>
          <w:szCs w:val="18"/>
          <w:lang w:val="en-GB"/>
        </w:rPr>
        <w:t xml:space="preserve"> </w:t>
      </w:r>
      <w:r w:rsidRPr="00F30578">
        <w:rPr>
          <w:b/>
          <w:bCs/>
          <w:sz w:val="18"/>
          <w:szCs w:val="18"/>
          <w:lang w:val="en-GB"/>
        </w:rPr>
        <w:t>6</w:t>
      </w:r>
      <w:r w:rsidRPr="00C77942">
        <w:rPr>
          <w:sz w:val="18"/>
          <w:szCs w:val="18"/>
          <w:lang w:val="en-GB"/>
        </w:rPr>
        <w:t xml:space="preserve"> (1): 466-478.</w:t>
      </w:r>
      <w:r w:rsidRPr="00C77942">
        <w:rPr>
          <w:sz w:val="18"/>
          <w:szCs w:val="18"/>
          <w:lang w:val="en-GB"/>
        </w:rPr>
        <w:tab/>
      </w:r>
    </w:p>
    <w:p w14:paraId="1E571C23" w14:textId="2CCD8477" w:rsidR="00512D9B" w:rsidRPr="00FA1B16" w:rsidRDefault="00EA7267" w:rsidP="00FA1B16">
      <w:pPr>
        <w:ind w:left="425" w:hanging="425"/>
        <w:jc w:val="both"/>
        <w:rPr>
          <w:sz w:val="18"/>
          <w:szCs w:val="18"/>
          <w:lang w:val="en-GB"/>
        </w:rPr>
      </w:pPr>
      <w:r w:rsidRPr="007C58A0">
        <w:rPr>
          <w:sz w:val="18"/>
          <w:szCs w:val="18"/>
        </w:rPr>
        <w:t xml:space="preserve">Tores de la Cruz S, Iriondo-DeHond A, Herrera T, Lopez-Tofiño, Y, Galvez-Robleño C, Prodanov M, Velazquez-Escobar F, Abalo R, Del Castillo MD. </w:t>
      </w:r>
      <w:r w:rsidRPr="00C77942">
        <w:rPr>
          <w:sz w:val="18"/>
          <w:szCs w:val="18"/>
          <w:lang w:val="en-GB"/>
        </w:rPr>
        <w:t>(2019) An Assessment of the Bioactivity of Coffee Silverskin Melanoidins. </w:t>
      </w:r>
      <w:r w:rsidRPr="00C77942">
        <w:rPr>
          <w:i/>
          <w:iCs/>
          <w:sz w:val="18"/>
          <w:szCs w:val="18"/>
          <w:lang w:val="en-GB"/>
        </w:rPr>
        <w:t>Foods</w:t>
      </w:r>
      <w:r w:rsidRPr="00C77942">
        <w:rPr>
          <w:sz w:val="18"/>
          <w:szCs w:val="18"/>
          <w:lang w:val="en-GB"/>
        </w:rPr>
        <w:t> </w:t>
      </w:r>
      <w:r w:rsidRPr="00F30578">
        <w:rPr>
          <w:b/>
          <w:bCs/>
          <w:sz w:val="18"/>
          <w:szCs w:val="18"/>
          <w:lang w:val="en-GB"/>
        </w:rPr>
        <w:t>8</w:t>
      </w:r>
      <w:r w:rsidRPr="00C77942">
        <w:rPr>
          <w:sz w:val="18"/>
          <w:szCs w:val="18"/>
          <w:lang w:val="en-GB"/>
        </w:rPr>
        <w:t>: 68.</w:t>
      </w:r>
    </w:p>
    <w:sectPr w:rsidR="00512D9B" w:rsidRPr="00FA1B16" w:rsidSect="006D3567">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4" w:right="1134"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AF2F5" w14:textId="77777777" w:rsidR="006D63D8" w:rsidRDefault="006D63D8">
      <w:r>
        <w:separator/>
      </w:r>
    </w:p>
  </w:endnote>
  <w:endnote w:type="continuationSeparator" w:id="0">
    <w:p w14:paraId="14AD1B7E" w14:textId="77777777" w:rsidR="006D63D8" w:rsidRDefault="006D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Bitstream Vera Sans">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CA9C" w14:textId="77777777" w:rsidR="00746B7D" w:rsidRDefault="00746B7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81B7" w14:textId="77777777" w:rsidR="00746B7D" w:rsidRDefault="00746B7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F658" w14:textId="77777777" w:rsidR="00746B7D" w:rsidRDefault="00746B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EC064" w14:textId="77777777" w:rsidR="006D63D8" w:rsidRDefault="006D63D8">
      <w:r>
        <w:separator/>
      </w:r>
    </w:p>
  </w:footnote>
  <w:footnote w:type="continuationSeparator" w:id="0">
    <w:p w14:paraId="4A11F3FD" w14:textId="77777777" w:rsidR="006D63D8" w:rsidRDefault="006D6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83EB" w14:textId="77777777" w:rsidR="00746B7D" w:rsidRDefault="00746B7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A4AC" w14:textId="77777777" w:rsidR="00746B7D" w:rsidRDefault="00746B7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AE75" w14:textId="77777777" w:rsidR="00746B7D" w:rsidRDefault="00746B7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76859"/>
    <w:multiLevelType w:val="multilevel"/>
    <w:tmpl w:val="DA849304"/>
    <w:lvl w:ilvl="0">
      <w:start w:val="1"/>
      <w:numFmt w:val="lowerLetter"/>
      <w:lvlText w:val="%1)"/>
      <w:lvlJc w:val="left"/>
      <w:pPr>
        <w:tabs>
          <w:tab w:val="num" w:pos="927"/>
        </w:tabs>
        <w:ind w:left="927"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6A17757"/>
    <w:multiLevelType w:val="multilevel"/>
    <w:tmpl w:val="16643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pStyle w:val="Titolo7"/>
      <w:lvlText w:val="%7"/>
      <w:lvlJc w:val="left"/>
      <w:pPr>
        <w:tabs>
          <w:tab w:val="num" w:pos="1296"/>
        </w:tabs>
        <w:ind w:left="1296" w:hanging="1296"/>
      </w:pPr>
    </w:lvl>
    <w:lvl w:ilvl="7">
      <w:start w:val="1"/>
      <w:numFmt w:val="decimal"/>
      <w:pStyle w:val="Titolo8"/>
      <w:lvlText w:val="%7.%8"/>
      <w:lvlJc w:val="left"/>
      <w:pPr>
        <w:tabs>
          <w:tab w:val="num" w:pos="1440"/>
        </w:tabs>
        <w:ind w:left="1440" w:hanging="1440"/>
      </w:pPr>
    </w:lvl>
    <w:lvl w:ilvl="8">
      <w:start w:val="1"/>
      <w:numFmt w:val="decimal"/>
      <w:pStyle w:val="Titolo9"/>
      <w:lvlText w:val="%7.%8.%9"/>
      <w:lvlJc w:val="left"/>
      <w:pPr>
        <w:tabs>
          <w:tab w:val="num" w:pos="1584"/>
        </w:tabs>
        <w:ind w:left="1584" w:hanging="1584"/>
      </w:pPr>
    </w:lvl>
  </w:abstractNum>
  <w:num w:numId="1" w16cid:durableId="122895004">
    <w:abstractNumId w:val="1"/>
  </w:num>
  <w:num w:numId="2" w16cid:durableId="1858348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trackedChanges" w:enforcement="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9B"/>
    <w:rsid w:val="00000307"/>
    <w:rsid w:val="00002A1B"/>
    <w:rsid w:val="000067C2"/>
    <w:rsid w:val="00014343"/>
    <w:rsid w:val="00015129"/>
    <w:rsid w:val="00023851"/>
    <w:rsid w:val="00054645"/>
    <w:rsid w:val="00072FC4"/>
    <w:rsid w:val="000738EC"/>
    <w:rsid w:val="00081977"/>
    <w:rsid w:val="000835CB"/>
    <w:rsid w:val="0009428F"/>
    <w:rsid w:val="000B57F1"/>
    <w:rsid w:val="000F1BA4"/>
    <w:rsid w:val="000F2C91"/>
    <w:rsid w:val="00111555"/>
    <w:rsid w:val="00111BBF"/>
    <w:rsid w:val="00120462"/>
    <w:rsid w:val="00122E1E"/>
    <w:rsid w:val="001260ED"/>
    <w:rsid w:val="001400FA"/>
    <w:rsid w:val="00145658"/>
    <w:rsid w:val="00152165"/>
    <w:rsid w:val="0016063F"/>
    <w:rsid w:val="00164060"/>
    <w:rsid w:val="00171846"/>
    <w:rsid w:val="0018349D"/>
    <w:rsid w:val="00194ABC"/>
    <w:rsid w:val="00194B78"/>
    <w:rsid w:val="001A4ED4"/>
    <w:rsid w:val="001B11F2"/>
    <w:rsid w:val="001B47CF"/>
    <w:rsid w:val="001C0CAE"/>
    <w:rsid w:val="001C13E9"/>
    <w:rsid w:val="001D02E4"/>
    <w:rsid w:val="001D4599"/>
    <w:rsid w:val="001D5AFD"/>
    <w:rsid w:val="001E2F2A"/>
    <w:rsid w:val="001E4376"/>
    <w:rsid w:val="001E6C56"/>
    <w:rsid w:val="002051EB"/>
    <w:rsid w:val="0021112A"/>
    <w:rsid w:val="002344D0"/>
    <w:rsid w:val="00234BA2"/>
    <w:rsid w:val="00245AD7"/>
    <w:rsid w:val="00250089"/>
    <w:rsid w:val="00284314"/>
    <w:rsid w:val="00295F02"/>
    <w:rsid w:val="002B1505"/>
    <w:rsid w:val="002B60D3"/>
    <w:rsid w:val="002E5631"/>
    <w:rsid w:val="002F0DBC"/>
    <w:rsid w:val="002F10F5"/>
    <w:rsid w:val="00326856"/>
    <w:rsid w:val="00327308"/>
    <w:rsid w:val="00337E74"/>
    <w:rsid w:val="00344493"/>
    <w:rsid w:val="0034474D"/>
    <w:rsid w:val="00345B6C"/>
    <w:rsid w:val="00356194"/>
    <w:rsid w:val="00356C3F"/>
    <w:rsid w:val="0035739D"/>
    <w:rsid w:val="003642F2"/>
    <w:rsid w:val="00370D1E"/>
    <w:rsid w:val="00383A2F"/>
    <w:rsid w:val="003926BE"/>
    <w:rsid w:val="003947EC"/>
    <w:rsid w:val="003A1C4D"/>
    <w:rsid w:val="003B6B2B"/>
    <w:rsid w:val="003D01AC"/>
    <w:rsid w:val="003E4D83"/>
    <w:rsid w:val="003E79B9"/>
    <w:rsid w:val="00401EBF"/>
    <w:rsid w:val="0040688F"/>
    <w:rsid w:val="00410B78"/>
    <w:rsid w:val="00423F0D"/>
    <w:rsid w:val="004243C9"/>
    <w:rsid w:val="00424B5C"/>
    <w:rsid w:val="00427C6B"/>
    <w:rsid w:val="00432AC7"/>
    <w:rsid w:val="00451999"/>
    <w:rsid w:val="0045280E"/>
    <w:rsid w:val="004542C2"/>
    <w:rsid w:val="004560E0"/>
    <w:rsid w:val="00457B61"/>
    <w:rsid w:val="004725A9"/>
    <w:rsid w:val="00475840"/>
    <w:rsid w:val="00480337"/>
    <w:rsid w:val="00480973"/>
    <w:rsid w:val="00497566"/>
    <w:rsid w:val="00497D88"/>
    <w:rsid w:val="004A02D6"/>
    <w:rsid w:val="004A35F6"/>
    <w:rsid w:val="004A51E6"/>
    <w:rsid w:val="004B108E"/>
    <w:rsid w:val="004B19C0"/>
    <w:rsid w:val="004C15B5"/>
    <w:rsid w:val="004C2CDD"/>
    <w:rsid w:val="004D0C19"/>
    <w:rsid w:val="004D40EA"/>
    <w:rsid w:val="004E5439"/>
    <w:rsid w:val="004F355C"/>
    <w:rsid w:val="00501071"/>
    <w:rsid w:val="0051195A"/>
    <w:rsid w:val="00512D9B"/>
    <w:rsid w:val="0051653F"/>
    <w:rsid w:val="0053113C"/>
    <w:rsid w:val="005350EC"/>
    <w:rsid w:val="0053720E"/>
    <w:rsid w:val="00542AC4"/>
    <w:rsid w:val="005569C4"/>
    <w:rsid w:val="00574A5E"/>
    <w:rsid w:val="005826EC"/>
    <w:rsid w:val="00583CE7"/>
    <w:rsid w:val="00595EB9"/>
    <w:rsid w:val="005A0217"/>
    <w:rsid w:val="005B3123"/>
    <w:rsid w:val="005C1731"/>
    <w:rsid w:val="005C4060"/>
    <w:rsid w:val="005C603C"/>
    <w:rsid w:val="005D127D"/>
    <w:rsid w:val="005E460B"/>
    <w:rsid w:val="005E76A5"/>
    <w:rsid w:val="005F6F3A"/>
    <w:rsid w:val="00600019"/>
    <w:rsid w:val="0061113D"/>
    <w:rsid w:val="006159E5"/>
    <w:rsid w:val="00634727"/>
    <w:rsid w:val="00637489"/>
    <w:rsid w:val="006427B1"/>
    <w:rsid w:val="00647D1E"/>
    <w:rsid w:val="00660D85"/>
    <w:rsid w:val="0066201A"/>
    <w:rsid w:val="00662B2A"/>
    <w:rsid w:val="00664209"/>
    <w:rsid w:val="00664D15"/>
    <w:rsid w:val="006740E4"/>
    <w:rsid w:val="006A09E6"/>
    <w:rsid w:val="006D314E"/>
    <w:rsid w:val="006D3567"/>
    <w:rsid w:val="006D63D8"/>
    <w:rsid w:val="00713993"/>
    <w:rsid w:val="007148A4"/>
    <w:rsid w:val="007215ED"/>
    <w:rsid w:val="0072240E"/>
    <w:rsid w:val="00725D84"/>
    <w:rsid w:val="00732EF8"/>
    <w:rsid w:val="00746B7D"/>
    <w:rsid w:val="007558C9"/>
    <w:rsid w:val="00757CDC"/>
    <w:rsid w:val="007634B3"/>
    <w:rsid w:val="00772C44"/>
    <w:rsid w:val="00781363"/>
    <w:rsid w:val="00791627"/>
    <w:rsid w:val="00792DC4"/>
    <w:rsid w:val="0079662A"/>
    <w:rsid w:val="007B2AF7"/>
    <w:rsid w:val="007C58A0"/>
    <w:rsid w:val="007D1C90"/>
    <w:rsid w:val="007D3F2D"/>
    <w:rsid w:val="007D6289"/>
    <w:rsid w:val="007D7C19"/>
    <w:rsid w:val="007E1A6E"/>
    <w:rsid w:val="007E21E0"/>
    <w:rsid w:val="007F2972"/>
    <w:rsid w:val="007F565E"/>
    <w:rsid w:val="008023DC"/>
    <w:rsid w:val="0080493B"/>
    <w:rsid w:val="00805861"/>
    <w:rsid w:val="00834454"/>
    <w:rsid w:val="0085156F"/>
    <w:rsid w:val="00852FDE"/>
    <w:rsid w:val="00853D56"/>
    <w:rsid w:val="008562BB"/>
    <w:rsid w:val="0086712D"/>
    <w:rsid w:val="00887C7A"/>
    <w:rsid w:val="00890A7E"/>
    <w:rsid w:val="00897087"/>
    <w:rsid w:val="008C6039"/>
    <w:rsid w:val="008D6C3A"/>
    <w:rsid w:val="008E3924"/>
    <w:rsid w:val="008E6727"/>
    <w:rsid w:val="008F0BB7"/>
    <w:rsid w:val="00910678"/>
    <w:rsid w:val="00910898"/>
    <w:rsid w:val="009275C4"/>
    <w:rsid w:val="00936DD8"/>
    <w:rsid w:val="00941492"/>
    <w:rsid w:val="00947B64"/>
    <w:rsid w:val="00966E39"/>
    <w:rsid w:val="0096751D"/>
    <w:rsid w:val="009741CE"/>
    <w:rsid w:val="009751A3"/>
    <w:rsid w:val="00976BEF"/>
    <w:rsid w:val="00981169"/>
    <w:rsid w:val="009848D6"/>
    <w:rsid w:val="009854CA"/>
    <w:rsid w:val="0099530A"/>
    <w:rsid w:val="009A0E86"/>
    <w:rsid w:val="009A4642"/>
    <w:rsid w:val="009B04C3"/>
    <w:rsid w:val="009B2892"/>
    <w:rsid w:val="009C0D32"/>
    <w:rsid w:val="009C2843"/>
    <w:rsid w:val="009C3DE2"/>
    <w:rsid w:val="009E11E1"/>
    <w:rsid w:val="00A02B01"/>
    <w:rsid w:val="00A079DC"/>
    <w:rsid w:val="00A155E6"/>
    <w:rsid w:val="00A15782"/>
    <w:rsid w:val="00A16C65"/>
    <w:rsid w:val="00A465C4"/>
    <w:rsid w:val="00A4715D"/>
    <w:rsid w:val="00A50A50"/>
    <w:rsid w:val="00A56DBC"/>
    <w:rsid w:val="00A64DD1"/>
    <w:rsid w:val="00A731AA"/>
    <w:rsid w:val="00AA4C11"/>
    <w:rsid w:val="00AD349A"/>
    <w:rsid w:val="00AE7785"/>
    <w:rsid w:val="00AF0267"/>
    <w:rsid w:val="00B0156E"/>
    <w:rsid w:val="00B01B6C"/>
    <w:rsid w:val="00B157A9"/>
    <w:rsid w:val="00B360FF"/>
    <w:rsid w:val="00B45FBE"/>
    <w:rsid w:val="00B57A40"/>
    <w:rsid w:val="00B67D77"/>
    <w:rsid w:val="00B87892"/>
    <w:rsid w:val="00B913C2"/>
    <w:rsid w:val="00BB084B"/>
    <w:rsid w:val="00BC6828"/>
    <w:rsid w:val="00BD38C5"/>
    <w:rsid w:val="00BE2469"/>
    <w:rsid w:val="00BF223E"/>
    <w:rsid w:val="00BF712C"/>
    <w:rsid w:val="00C04DD4"/>
    <w:rsid w:val="00C127A1"/>
    <w:rsid w:val="00C1288E"/>
    <w:rsid w:val="00C356B0"/>
    <w:rsid w:val="00C4271E"/>
    <w:rsid w:val="00C575B3"/>
    <w:rsid w:val="00C61527"/>
    <w:rsid w:val="00C6350E"/>
    <w:rsid w:val="00C7500F"/>
    <w:rsid w:val="00C77942"/>
    <w:rsid w:val="00C842D7"/>
    <w:rsid w:val="00C8497F"/>
    <w:rsid w:val="00C9442C"/>
    <w:rsid w:val="00CB36C9"/>
    <w:rsid w:val="00D03B6B"/>
    <w:rsid w:val="00D03C48"/>
    <w:rsid w:val="00D40E10"/>
    <w:rsid w:val="00D44F98"/>
    <w:rsid w:val="00D569F0"/>
    <w:rsid w:val="00D61CF9"/>
    <w:rsid w:val="00D75748"/>
    <w:rsid w:val="00D76006"/>
    <w:rsid w:val="00D8191D"/>
    <w:rsid w:val="00D822B5"/>
    <w:rsid w:val="00DB66C7"/>
    <w:rsid w:val="00DC4968"/>
    <w:rsid w:val="00DC5355"/>
    <w:rsid w:val="00DC7D5F"/>
    <w:rsid w:val="00DD22A4"/>
    <w:rsid w:val="00DD3823"/>
    <w:rsid w:val="00DF0938"/>
    <w:rsid w:val="00DF0C71"/>
    <w:rsid w:val="00DF31D6"/>
    <w:rsid w:val="00E00FFD"/>
    <w:rsid w:val="00E0261A"/>
    <w:rsid w:val="00E1301E"/>
    <w:rsid w:val="00E34F00"/>
    <w:rsid w:val="00E55D9B"/>
    <w:rsid w:val="00E712B5"/>
    <w:rsid w:val="00E716F6"/>
    <w:rsid w:val="00E7710E"/>
    <w:rsid w:val="00E968F7"/>
    <w:rsid w:val="00EA7267"/>
    <w:rsid w:val="00EB55E3"/>
    <w:rsid w:val="00EB5882"/>
    <w:rsid w:val="00EB5A88"/>
    <w:rsid w:val="00EB6316"/>
    <w:rsid w:val="00EC080B"/>
    <w:rsid w:val="00EC68D9"/>
    <w:rsid w:val="00EC6F3D"/>
    <w:rsid w:val="00ED495D"/>
    <w:rsid w:val="00EF6A8B"/>
    <w:rsid w:val="00F14DAA"/>
    <w:rsid w:val="00F1731B"/>
    <w:rsid w:val="00F2275D"/>
    <w:rsid w:val="00F30578"/>
    <w:rsid w:val="00F34FD7"/>
    <w:rsid w:val="00F40C07"/>
    <w:rsid w:val="00F4775A"/>
    <w:rsid w:val="00F61139"/>
    <w:rsid w:val="00F625BE"/>
    <w:rsid w:val="00F63978"/>
    <w:rsid w:val="00F72451"/>
    <w:rsid w:val="00F75A1C"/>
    <w:rsid w:val="00F978BD"/>
    <w:rsid w:val="00FA1B16"/>
    <w:rsid w:val="00FA2901"/>
    <w:rsid w:val="00FB589C"/>
    <w:rsid w:val="00FC493F"/>
    <w:rsid w:val="00FF11B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12F75"/>
  <w15:docId w15:val="{DF97F53B-F3A8-D34D-B2D7-A644FC2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Bitstream Vera Sans" w:hAnsi="Liberation Serif" w:cs="Free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ascii="Times New Roman" w:eastAsia="Times New Roman" w:hAnsi="Times New Roman" w:cs="Times New Roman"/>
      <w:sz w:val="20"/>
      <w:szCs w:val="20"/>
      <w:lang w:bidi="ar-SA"/>
    </w:rPr>
  </w:style>
  <w:style w:type="paragraph" w:styleId="Titolo1">
    <w:name w:val="heading 1"/>
    <w:basedOn w:val="Normale"/>
    <w:next w:val="Normale"/>
    <w:uiPriority w:val="9"/>
    <w:qFormat/>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uiPriority w:val="9"/>
    <w:unhideWhenUsed/>
    <w:qFormat/>
    <w:pPr>
      <w:keepNext/>
      <w:outlineLvl w:val="1"/>
    </w:pPr>
    <w:rPr>
      <w:sz w:val="32"/>
    </w:rPr>
  </w:style>
  <w:style w:type="paragraph" w:styleId="Titolo3">
    <w:name w:val="heading 3"/>
    <w:basedOn w:val="Normale"/>
    <w:next w:val="Normale"/>
    <w:uiPriority w:val="9"/>
    <w:unhideWhenUsed/>
    <w:qFormat/>
    <w:pPr>
      <w:keepNext/>
      <w:outlineLvl w:val="2"/>
    </w:pPr>
    <w:rPr>
      <w:sz w:val="28"/>
      <w:lang w:val="en-US"/>
    </w:rPr>
  </w:style>
  <w:style w:type="paragraph" w:styleId="Titolo4">
    <w:name w:val="heading 4"/>
    <w:basedOn w:val="Normale"/>
    <w:next w:val="Normale"/>
    <w:uiPriority w:val="9"/>
    <w:semiHidden/>
    <w:unhideWhenUsed/>
    <w:qFormat/>
    <w:pPr>
      <w:keepNext/>
      <w:widowControl/>
      <w:outlineLvl w:val="3"/>
    </w:pPr>
    <w:rPr>
      <w:color w:val="000000"/>
      <w:sz w:val="24"/>
    </w:rPr>
  </w:style>
  <w:style w:type="paragraph" w:styleId="Titolo5">
    <w:name w:val="heading 5"/>
    <w:basedOn w:val="Normale"/>
    <w:next w:val="Normale"/>
    <w:uiPriority w:val="9"/>
    <w:semiHidden/>
    <w:unhideWhenUsed/>
    <w:qFormat/>
    <w:pPr>
      <w:keepNext/>
      <w:spacing w:line="684" w:lineRule="exact"/>
      <w:textAlignment w:val="baseline"/>
      <w:outlineLvl w:val="4"/>
    </w:pPr>
    <w:rPr>
      <w:color w:val="000000"/>
      <w:sz w:val="72"/>
      <w:vertAlign w:val="subscript"/>
    </w:rPr>
  </w:style>
  <w:style w:type="paragraph" w:styleId="Titolo6">
    <w:name w:val="heading 6"/>
    <w:basedOn w:val="Normale"/>
    <w:next w:val="Normale"/>
    <w:uiPriority w:val="9"/>
    <w:semiHidden/>
    <w:unhideWhenUsed/>
    <w:qFormat/>
    <w:pPr>
      <w:keepNext/>
      <w:spacing w:line="684" w:lineRule="exact"/>
      <w:textAlignment w:val="baseline"/>
      <w:outlineLvl w:val="5"/>
    </w:pPr>
    <w:rPr>
      <w:b/>
      <w:bCs/>
      <w:color w:val="4D4D4D"/>
      <w:sz w:val="72"/>
      <w:szCs w:val="40"/>
      <w:vertAlign w:val="subscript"/>
    </w:rPr>
  </w:style>
  <w:style w:type="paragraph" w:styleId="Titolo7">
    <w:name w:val="heading 7"/>
    <w:basedOn w:val="Normale"/>
    <w:next w:val="Normale"/>
    <w:qFormat/>
    <w:pPr>
      <w:widowControl/>
      <w:numPr>
        <w:ilvl w:val="6"/>
        <w:numId w:val="1"/>
      </w:numPr>
      <w:spacing w:before="240" w:after="60" w:line="264" w:lineRule="auto"/>
      <w:jc w:val="both"/>
      <w:outlineLvl w:val="6"/>
    </w:pPr>
    <w:rPr>
      <w:rFonts w:ascii="Arial" w:hAnsi="Arial" w:cs="Arial"/>
      <w:kern w:val="2"/>
      <w:lang w:val="nl-NL"/>
    </w:rPr>
  </w:style>
  <w:style w:type="paragraph" w:styleId="Titolo8">
    <w:name w:val="heading 8"/>
    <w:basedOn w:val="Normale"/>
    <w:next w:val="Normale"/>
    <w:qFormat/>
    <w:pPr>
      <w:widowControl/>
      <w:numPr>
        <w:ilvl w:val="7"/>
        <w:numId w:val="1"/>
      </w:numPr>
      <w:spacing w:before="240" w:after="60" w:line="264" w:lineRule="auto"/>
      <w:jc w:val="both"/>
      <w:outlineLvl w:val="7"/>
    </w:pPr>
    <w:rPr>
      <w:rFonts w:ascii="Arial" w:hAnsi="Arial" w:cs="Arial"/>
      <w:i/>
      <w:kern w:val="2"/>
      <w:lang w:val="nl-NL"/>
    </w:rPr>
  </w:style>
  <w:style w:type="paragraph" w:styleId="Titolo9">
    <w:name w:val="heading 9"/>
    <w:basedOn w:val="Normale"/>
    <w:next w:val="Normale"/>
    <w:qFormat/>
    <w:pPr>
      <w:widowControl/>
      <w:numPr>
        <w:ilvl w:val="8"/>
        <w:numId w:val="1"/>
      </w:numPr>
      <w:spacing w:before="240" w:after="60" w:line="264" w:lineRule="auto"/>
      <w:jc w:val="both"/>
      <w:outlineLvl w:val="8"/>
    </w:pPr>
    <w:rPr>
      <w:rFonts w:ascii="Arial" w:hAnsi="Arial" w:cs="Arial"/>
      <w:i/>
      <w:kern w:val="2"/>
      <w:sz w:val="18"/>
      <w:lang w:val="nl-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sz w:val="24"/>
    </w:rPr>
  </w:style>
  <w:style w:type="character" w:customStyle="1" w:styleId="WW8Num13z0">
    <w:name w:val="WW8Num13z0"/>
    <w:qFormat/>
    <w:rPr>
      <w:sz w:val="24"/>
    </w:rPr>
  </w:style>
  <w:style w:type="character" w:customStyle="1" w:styleId="WW8Num13z1">
    <w:name w:val="WW8Num13z1"/>
    <w:qFormat/>
    <w:rPr>
      <w:rFonts w:ascii="Times New Roman" w:hAnsi="Times New Roman" w:cs="Times New Roman"/>
      <w:b/>
      <w:i w:val="0"/>
      <w:sz w:val="22"/>
    </w:rPr>
  </w:style>
  <w:style w:type="character" w:customStyle="1" w:styleId="WW8Num13z2">
    <w:name w:val="WW8Num13z2"/>
    <w:qFormat/>
    <w:rPr>
      <w:rFonts w:ascii="Times New Roman" w:hAnsi="Times New Roman" w:cs="Times New Roman"/>
      <w:b w:val="0"/>
      <w:i/>
      <w:sz w:val="24"/>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Rimandocommento">
    <w:name w:val="annotation reference"/>
    <w:qFormat/>
    <w:rPr>
      <w:sz w:val="16"/>
      <w:szCs w:val="16"/>
    </w:rPr>
  </w:style>
  <w:style w:type="character" w:customStyle="1" w:styleId="CollegamentoInternet">
    <w:name w:val="Collegamento Internet"/>
    <w:rPr>
      <w:color w:val="0000FF"/>
      <w:u w:val="single"/>
    </w:rPr>
  </w:style>
  <w:style w:type="character" w:customStyle="1" w:styleId="TestonotaapidipaginaCarattere">
    <w:name w:val="Testo nota a piè di pagina Carattere"/>
    <w:qFormat/>
    <w:rPr>
      <w:sz w:val="24"/>
      <w:szCs w:val="24"/>
      <w:lang w:val="it-IT"/>
    </w:rPr>
  </w:style>
  <w:style w:type="character" w:customStyle="1" w:styleId="Caratterinotaapidipagina">
    <w:name w:val="Caratteri nota a piè di pagina"/>
    <w:qFormat/>
    <w:rPr>
      <w:vertAlign w:val="superscript"/>
    </w:rPr>
  </w:style>
  <w:style w:type="character" w:customStyle="1" w:styleId="Richiamoallanotaapidipagina">
    <w:name w:val="Richiamo alla nota a piè di pagina"/>
    <w:rPr>
      <w:vertAlign w:val="superscript"/>
    </w:rPr>
  </w:style>
  <w:style w:type="character" w:customStyle="1" w:styleId="Caratterinotadichiusura">
    <w:name w:val="Caratteri nota di chiusura"/>
    <w:qFormat/>
    <w:rPr>
      <w:vertAlign w:val="superscript"/>
    </w:rPr>
  </w:style>
  <w:style w:type="character" w:customStyle="1" w:styleId="WW-Caratterinotadichiusura">
    <w:name w:val="WW-Caratteri nota di chiusura"/>
    <w:qFormat/>
  </w:style>
  <w:style w:type="character" w:customStyle="1" w:styleId="Richiamoallanotadichiusura">
    <w:name w:val="Richiamo alla nota di chiusura"/>
    <w:rPr>
      <w:vertAlign w:val="superscript"/>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rPr>
      <w:sz w:val="24"/>
    </w:rPr>
  </w:style>
  <w:style w:type="character" w:customStyle="1" w:styleId="ListLabel11">
    <w:name w:val="ListLabel 11"/>
    <w:qFormat/>
    <w:rPr>
      <w:sz w:val="24"/>
    </w:rPr>
  </w:style>
  <w:style w:type="character" w:customStyle="1" w:styleId="ListLabel12">
    <w:name w:val="ListLabel 12"/>
    <w:qFormat/>
    <w:rPr>
      <w:sz w:val="24"/>
    </w:rPr>
  </w:style>
  <w:style w:type="character" w:customStyle="1" w:styleId="ListLabel13">
    <w:name w:val="ListLabel 13"/>
    <w:qFormat/>
    <w:rPr>
      <w:sz w:val="24"/>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CollegamentoInternetvisitato">
    <w:name w:val="Collegamento Internet visitato"/>
    <w:rPr>
      <w:color w:val="800000"/>
      <w:u w:val="single"/>
    </w:rPr>
  </w:style>
  <w:style w:type="paragraph" w:styleId="Titolo">
    <w:name w:val="Title"/>
    <w:basedOn w:val="Normale"/>
    <w:next w:val="Normale"/>
    <w:uiPriority w:val="10"/>
    <w:qFormat/>
    <w:pPr>
      <w:widowControl/>
      <w:spacing w:before="720" w:after="120" w:line="264" w:lineRule="auto"/>
      <w:jc w:val="center"/>
    </w:pPr>
    <w:rPr>
      <w:b/>
      <w:kern w:val="2"/>
      <w:sz w:val="28"/>
      <w:lang w:val="nl-NL"/>
    </w:rPr>
  </w:style>
  <w:style w:type="paragraph" w:styleId="Corpotesto">
    <w:name w:val="Body Text"/>
    <w:basedOn w:val="Normale"/>
    <w:rPr>
      <w:i/>
      <w:iCs/>
      <w:sz w:val="32"/>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qFormat/>
    <w:pPr>
      <w:suppressLineNumbers/>
    </w:pPr>
    <w:rPr>
      <w:rFonts w:cs="FreeSans"/>
    </w:rPr>
  </w:style>
  <w:style w:type="paragraph" w:styleId="Corpodeltesto2">
    <w:name w:val="Body Text 2"/>
    <w:basedOn w:val="Normale"/>
    <w:qFormat/>
    <w:pPr>
      <w:shd w:val="clear" w:color="auto" w:fill="FFFFFF"/>
    </w:pPr>
    <w:rPr>
      <w:b/>
      <w:bCs/>
      <w:i/>
      <w:iCs/>
      <w:sz w:val="28"/>
    </w:rPr>
  </w:style>
  <w:style w:type="paragraph" w:styleId="Corpodeltesto3">
    <w:name w:val="Body Text 3"/>
    <w:basedOn w:val="Normale"/>
    <w:qFormat/>
    <w:pPr>
      <w:jc w:val="center"/>
    </w:pPr>
    <w:rPr>
      <w:sz w:val="36"/>
    </w:rPr>
  </w:style>
  <w:style w:type="paragraph" w:customStyle="1" w:styleId="NumberedList">
    <w:name w:val="Numbered List"/>
    <w:basedOn w:val="Normale"/>
    <w:qFormat/>
    <w:pPr>
      <w:widowControl/>
      <w:spacing w:line="264" w:lineRule="auto"/>
      <w:jc w:val="both"/>
    </w:pPr>
    <w:rPr>
      <w:kern w:val="2"/>
      <w:lang w:val="en-GB"/>
    </w:rPr>
  </w:style>
  <w:style w:type="paragraph" w:customStyle="1" w:styleId="paragrafo">
    <w:name w:val="paragrafo"/>
    <w:basedOn w:val="Normale"/>
    <w:qFormat/>
    <w:pPr>
      <w:widowControl/>
      <w:spacing w:line="360" w:lineRule="auto"/>
      <w:ind w:firstLine="567"/>
      <w:jc w:val="both"/>
      <w:textAlignment w:val="baseline"/>
    </w:pPr>
    <w:rPr>
      <w:color w:val="000000"/>
      <w:sz w:val="24"/>
    </w:rPr>
  </w:style>
  <w:style w:type="paragraph" w:styleId="Numeroelenco">
    <w:name w:val="List Number"/>
    <w:basedOn w:val="Normale"/>
    <w:qFormat/>
    <w:pPr>
      <w:widowControl/>
      <w:textAlignment w:val="baseline"/>
    </w:pPr>
  </w:style>
  <w:style w:type="paragraph" w:styleId="Numeroelenco2">
    <w:name w:val="List Number 2"/>
    <w:basedOn w:val="Normale"/>
    <w:qFormat/>
    <w:pPr>
      <w:widowControl/>
      <w:textAlignment w:val="baseline"/>
    </w:pPr>
  </w:style>
  <w:style w:type="paragraph" w:styleId="Numeroelenco3">
    <w:name w:val="List Number 3"/>
    <w:basedOn w:val="Normale"/>
    <w:qFormat/>
    <w:pPr>
      <w:widowControl/>
      <w:textAlignment w:val="baseline"/>
    </w:pPr>
  </w:style>
  <w:style w:type="paragraph" w:styleId="Numeroelenco4">
    <w:name w:val="List Number 4"/>
    <w:basedOn w:val="Normale"/>
    <w:qFormat/>
    <w:pPr>
      <w:widowControl/>
      <w:textAlignment w:val="baseline"/>
    </w:pPr>
  </w:style>
  <w:style w:type="paragraph" w:styleId="Numeroelenco5">
    <w:name w:val="List Number 5"/>
    <w:basedOn w:val="Normale"/>
    <w:qFormat/>
    <w:pPr>
      <w:widowControl/>
      <w:textAlignment w:val="baseline"/>
    </w:pPr>
  </w:style>
  <w:style w:type="paragraph" w:styleId="Puntoelenco">
    <w:name w:val="List Bullet"/>
    <w:basedOn w:val="Normale"/>
    <w:qFormat/>
    <w:pPr>
      <w:widowControl/>
      <w:textAlignment w:val="baseline"/>
    </w:pPr>
  </w:style>
  <w:style w:type="paragraph" w:styleId="Puntoelenco2">
    <w:name w:val="List Bullet 2"/>
    <w:basedOn w:val="Normale"/>
    <w:qFormat/>
    <w:pPr>
      <w:widowControl/>
      <w:textAlignment w:val="baseline"/>
    </w:pPr>
  </w:style>
  <w:style w:type="paragraph" w:styleId="Puntoelenco3">
    <w:name w:val="List Bullet 3"/>
    <w:basedOn w:val="Normale"/>
    <w:qFormat/>
    <w:pPr>
      <w:widowControl/>
      <w:textAlignment w:val="baseline"/>
    </w:pPr>
  </w:style>
  <w:style w:type="paragraph" w:styleId="Puntoelenco4">
    <w:name w:val="List Bullet 4"/>
    <w:basedOn w:val="Normale"/>
    <w:qFormat/>
    <w:pPr>
      <w:widowControl/>
      <w:textAlignment w:val="baseline"/>
    </w:pPr>
  </w:style>
  <w:style w:type="paragraph" w:styleId="Puntoelenco5">
    <w:name w:val="List Bullet 5"/>
    <w:basedOn w:val="Normale"/>
    <w:qFormat/>
    <w:pPr>
      <w:widowControl/>
      <w:textAlignment w:val="baseline"/>
    </w:pPr>
  </w:style>
  <w:style w:type="paragraph" w:customStyle="1" w:styleId="Intestazioneepidipagina">
    <w:name w:val="Intestazione e piè di pagina"/>
    <w:basedOn w:val="Normale"/>
    <w:qFormat/>
    <w:pPr>
      <w:suppressLineNumbers/>
      <w:tabs>
        <w:tab w:val="center" w:pos="4986"/>
        <w:tab w:val="right" w:pos="9972"/>
      </w:tabs>
    </w:pPr>
  </w:style>
  <w:style w:type="paragraph" w:styleId="Intestazione">
    <w:name w:val="header"/>
    <w:basedOn w:val="Normale"/>
    <w:pPr>
      <w:widowControl/>
      <w:tabs>
        <w:tab w:val="center" w:pos="4819"/>
        <w:tab w:val="right" w:pos="9638"/>
      </w:tabs>
      <w:spacing w:line="264" w:lineRule="auto"/>
      <w:jc w:val="both"/>
    </w:pPr>
    <w:rPr>
      <w:kern w:val="2"/>
      <w:lang w:val="nl-NL"/>
    </w:rPr>
  </w:style>
  <w:style w:type="paragraph" w:styleId="Rientrocorpodeltesto2">
    <w:name w:val="Body Text Indent 2"/>
    <w:basedOn w:val="Normale"/>
    <w:qFormat/>
    <w:pPr>
      <w:widowControl/>
      <w:ind w:firstLine="426"/>
      <w:jc w:val="both"/>
      <w:textAlignment w:val="baseline"/>
    </w:pPr>
    <w:rPr>
      <w:bCs/>
      <w:sz w:val="24"/>
      <w:lang w:val="en-GB"/>
    </w:rPr>
  </w:style>
  <w:style w:type="paragraph" w:styleId="Rientrocorpodeltesto">
    <w:name w:val="Body Text Indent"/>
    <w:basedOn w:val="Normale"/>
    <w:pPr>
      <w:widowControl/>
      <w:spacing w:line="264" w:lineRule="auto"/>
      <w:ind w:left="284" w:hanging="284"/>
      <w:jc w:val="both"/>
    </w:pPr>
    <w:rPr>
      <w:kern w:val="2"/>
      <w:lang w:val="en-GB"/>
    </w:rPr>
  </w:style>
  <w:style w:type="paragraph" w:styleId="Pidipagina">
    <w:name w:val="footer"/>
    <w:basedOn w:val="Normale"/>
    <w:pPr>
      <w:tabs>
        <w:tab w:val="center" w:pos="4153"/>
        <w:tab w:val="right" w:pos="8306"/>
      </w:tabs>
    </w:pPr>
  </w:style>
  <w:style w:type="paragraph" w:styleId="Rientrocorpodeltesto3">
    <w:name w:val="Body Text Indent 3"/>
    <w:basedOn w:val="Normale"/>
    <w:qFormat/>
    <w:pPr>
      <w:widowControl/>
      <w:spacing w:after="120"/>
      <w:ind w:left="283"/>
      <w:textAlignment w:val="baseline"/>
    </w:pPr>
    <w:rPr>
      <w:sz w:val="16"/>
      <w:szCs w:val="16"/>
    </w:rPr>
  </w:style>
  <w:style w:type="paragraph" w:styleId="Testocommento">
    <w:name w:val="annotation text"/>
    <w:basedOn w:val="Normale"/>
    <w:link w:val="TestocommentoCarattere"/>
    <w:qFormat/>
  </w:style>
  <w:style w:type="paragraph" w:styleId="Testofumetto">
    <w:name w:val="Balloon Text"/>
    <w:basedOn w:val="Normale"/>
    <w:qFormat/>
    <w:rPr>
      <w:rFonts w:ascii="Tahoma" w:hAnsi="Tahoma" w:cs="Tahoma"/>
      <w:sz w:val="16"/>
      <w:szCs w:val="16"/>
    </w:rPr>
  </w:style>
  <w:style w:type="paragraph" w:styleId="Soggettocommento">
    <w:name w:val="annotation subject"/>
    <w:basedOn w:val="Testocommento"/>
    <w:next w:val="Testocommento"/>
    <w:qFormat/>
    <w:rPr>
      <w:b/>
      <w:bCs/>
    </w:rPr>
  </w:style>
  <w:style w:type="paragraph" w:styleId="Testonotaapidipagina">
    <w:name w:val="footnote text"/>
    <w:basedOn w:val="Normale"/>
    <w:rPr>
      <w:sz w:val="24"/>
      <w:szCs w:val="24"/>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ontenutoelenco">
    <w:name w:val="Contenuto elenco"/>
    <w:basedOn w:val="Normale"/>
    <w:qFormat/>
    <w:pPr>
      <w:ind w:lef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character" w:styleId="Collegamentoipertestuale">
    <w:name w:val="Hyperlink"/>
    <w:basedOn w:val="Carpredefinitoparagrafo"/>
    <w:uiPriority w:val="99"/>
    <w:unhideWhenUsed/>
    <w:rsid w:val="006740E4"/>
    <w:rPr>
      <w:color w:val="0563C1" w:themeColor="hyperlink"/>
      <w:u w:val="single"/>
    </w:rPr>
  </w:style>
  <w:style w:type="character" w:customStyle="1" w:styleId="Menzionenonrisolta1">
    <w:name w:val="Menzione non risolta1"/>
    <w:basedOn w:val="Carpredefinitoparagrafo"/>
    <w:uiPriority w:val="99"/>
    <w:semiHidden/>
    <w:unhideWhenUsed/>
    <w:rsid w:val="006740E4"/>
    <w:rPr>
      <w:color w:val="605E5C"/>
      <w:shd w:val="clear" w:color="auto" w:fill="E1DFDD"/>
    </w:rPr>
  </w:style>
  <w:style w:type="paragraph" w:styleId="Revisione">
    <w:name w:val="Revision"/>
    <w:hidden/>
    <w:uiPriority w:val="99"/>
    <w:semiHidden/>
    <w:rsid w:val="003947EC"/>
    <w:rPr>
      <w:rFonts w:ascii="Times New Roman" w:eastAsia="Times New Roman" w:hAnsi="Times New Roman" w:cs="Times New Roman"/>
      <w:sz w:val="20"/>
      <w:szCs w:val="20"/>
      <w:lang w:bidi="ar-SA"/>
    </w:rPr>
  </w:style>
  <w:style w:type="character" w:customStyle="1" w:styleId="TestocommentoCarattere">
    <w:name w:val="Testo commento Carattere"/>
    <w:basedOn w:val="Carpredefinitoparagrafo"/>
    <w:link w:val="Testocommento"/>
    <w:rsid w:val="001C0CAE"/>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427016">
      <w:bodyDiv w:val="1"/>
      <w:marLeft w:val="0"/>
      <w:marRight w:val="0"/>
      <w:marTop w:val="0"/>
      <w:marBottom w:val="0"/>
      <w:divBdr>
        <w:top w:val="none" w:sz="0" w:space="0" w:color="auto"/>
        <w:left w:val="none" w:sz="0" w:space="0" w:color="auto"/>
        <w:bottom w:val="none" w:sz="0" w:space="0" w:color="auto"/>
        <w:right w:val="none" w:sz="0" w:space="0" w:color="auto"/>
      </w:divBdr>
      <w:divsChild>
        <w:div w:id="20433630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riam.boninsegna@unirc.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312931196715D43841387B0D698049E" ma:contentTypeVersion="6" ma:contentTypeDescription="Creare un nuovo documento." ma:contentTypeScope="" ma:versionID="4001ce446cee4a8360912483c1818b62">
  <xsd:schema xmlns:xsd="http://www.w3.org/2001/XMLSchema" xmlns:xs="http://www.w3.org/2001/XMLSchema" xmlns:p="http://schemas.microsoft.com/office/2006/metadata/properties" xmlns:ns3="e144ba5e-6177-4a6f-8ad5-947b23c0d234" xmlns:ns4="09d12c75-4814-458e-a71c-b94589187ab4" targetNamespace="http://schemas.microsoft.com/office/2006/metadata/properties" ma:root="true" ma:fieldsID="99e0723317561960fc069d91be24f355" ns3:_="" ns4:_="">
    <xsd:import namespace="e144ba5e-6177-4a6f-8ad5-947b23c0d234"/>
    <xsd:import namespace="09d12c75-4814-458e-a71c-b94589187a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4ba5e-6177-4a6f-8ad5-947b23c0d234"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d12c75-4814-458e-a71c-b94589187a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09d12c75-4814-458e-a71c-b94589187ab4" xsi:nil="true"/>
  </documentManagement>
</p:properties>
</file>

<file path=customXml/itemProps1.xml><?xml version="1.0" encoding="utf-8"?>
<ds:datastoreItem xmlns:ds="http://schemas.openxmlformats.org/officeDocument/2006/customXml" ds:itemID="{957CD0EA-1C18-4B4F-85BC-8A72D6B84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4ba5e-6177-4a6f-8ad5-947b23c0d234"/>
    <ds:schemaRef ds:uri="09d12c75-4814-458e-a71c-b94589187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18C292-19C1-4CEE-B61F-F008ED3D7BE1}">
  <ds:schemaRefs>
    <ds:schemaRef ds:uri="http://schemas.openxmlformats.org/officeDocument/2006/bibliography"/>
  </ds:schemaRefs>
</ds:datastoreItem>
</file>

<file path=customXml/itemProps3.xml><?xml version="1.0" encoding="utf-8"?>
<ds:datastoreItem xmlns:ds="http://schemas.openxmlformats.org/officeDocument/2006/customXml" ds:itemID="{DF07B305-A6B8-46AB-B451-FAD4E8AF0626}">
  <ds:schemaRefs>
    <ds:schemaRef ds:uri="http://schemas.microsoft.com/sharepoint/v3/contenttype/forms"/>
  </ds:schemaRefs>
</ds:datastoreItem>
</file>

<file path=customXml/itemProps4.xml><?xml version="1.0" encoding="utf-8"?>
<ds:datastoreItem xmlns:ds="http://schemas.openxmlformats.org/officeDocument/2006/customXml" ds:itemID="{9EDB654F-ECF9-44EB-852F-904B8827ED48}">
  <ds:schemaRefs>
    <ds:schemaRef ds:uri="http://schemas.microsoft.com/office/2006/metadata/properties"/>
    <ds:schemaRef ds:uri="http://schemas.microsoft.com/office/infopath/2007/PartnerControls"/>
    <ds:schemaRef ds:uri="09d12c75-4814-458e-a71c-b94589187ab4"/>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1499</Words>
  <Characters>8550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dc:description/>
  <cp:lastModifiedBy>Antonio Gattuso</cp:lastModifiedBy>
  <cp:revision>11</cp:revision>
  <cp:lastPrinted>2023-02-24T09:51:00Z</cp:lastPrinted>
  <dcterms:created xsi:type="dcterms:W3CDTF">2023-06-28T21:54:00Z</dcterms:created>
  <dcterms:modified xsi:type="dcterms:W3CDTF">2023-06-30T14:35:00Z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GrammarlyDocumentId">
    <vt:lpwstr>7c8b603334507af9e8bb2bc4bc087ec79facaa02657f6918c2bcaf6c589ae480</vt:lpwstr>
  </property>
  <property fmtid="{D5CDD505-2E9C-101B-9397-08002B2CF9AE}" pid="4" name="ContentTypeId">
    <vt:lpwstr>0x0101005312931196715D43841387B0D698049E</vt:lpwstr>
  </property>
</Properties>
</file>