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7EA671" w14:textId="024FAD11" w:rsidR="003E5ABE" w:rsidRDefault="003E5ABE" w:rsidP="00E17675">
      <w:pPr>
        <w:pStyle w:val="Heading1"/>
        <w:rPr>
          <w:b/>
          <w:bCs/>
          <w:color w:val="auto"/>
          <w:sz w:val="28"/>
          <w:szCs w:val="28"/>
        </w:rPr>
      </w:pPr>
      <w:r w:rsidRPr="003E5ABE">
        <w:rPr>
          <w:b/>
          <w:bCs/>
          <w:color w:val="auto"/>
          <w:sz w:val="28"/>
          <w:szCs w:val="28"/>
        </w:rPr>
        <w:t>Antioxidant compounds formed in Maillard reaction of glucose and glycine</w:t>
      </w:r>
    </w:p>
    <w:p w14:paraId="01DEE3C9" w14:textId="77777777" w:rsidR="00B8178F" w:rsidRPr="00B8178F" w:rsidRDefault="00B8178F" w:rsidP="00B8178F">
      <w:pPr>
        <w:rPr>
          <w:lang w:val="en-US"/>
        </w:rPr>
      </w:pPr>
    </w:p>
    <w:p w14:paraId="3607B32A" w14:textId="40EAB738" w:rsidR="00512D9B" w:rsidRPr="003E5ABE" w:rsidRDefault="003E5ABE">
      <w:pPr>
        <w:jc w:val="center"/>
      </w:pPr>
      <w:r w:rsidRPr="003E5ABE">
        <w:t>Sara Bolchini</w:t>
      </w:r>
      <w:r w:rsidR="00FB589C" w:rsidRPr="003E5ABE">
        <w:t xml:space="preserve"> (</w:t>
      </w:r>
      <w:r>
        <w:t>sbolchini</w:t>
      </w:r>
      <w:r w:rsidR="00FB589C" w:rsidRPr="003E5ABE">
        <w:t>@unib</w:t>
      </w:r>
      <w:r>
        <w:t>z</w:t>
      </w:r>
      <w:r w:rsidR="00FB589C" w:rsidRPr="003E5ABE">
        <w:t>.it)</w:t>
      </w:r>
    </w:p>
    <w:p w14:paraId="6071147E" w14:textId="3896DF04" w:rsidR="00512D9B" w:rsidRDefault="00E17675">
      <w:pPr>
        <w:jc w:val="center"/>
        <w:rPr>
          <w:lang w:val="en-GB"/>
        </w:rPr>
      </w:pPr>
      <w:r>
        <w:rPr>
          <w:lang w:val="en-GB"/>
        </w:rPr>
        <w:t>Faculty of Agricultural, Environmental, and Food Sciences</w:t>
      </w:r>
      <w:r w:rsidR="00FB589C">
        <w:rPr>
          <w:lang w:val="en-GB"/>
        </w:rPr>
        <w:t xml:space="preserve">,  </w:t>
      </w:r>
      <w:r>
        <w:rPr>
          <w:lang w:val="en-GB"/>
        </w:rPr>
        <w:t xml:space="preserve">Free </w:t>
      </w:r>
      <w:r w:rsidR="00FB589C">
        <w:rPr>
          <w:lang w:val="en-GB"/>
        </w:rPr>
        <w:t xml:space="preserve">University of </w:t>
      </w:r>
      <w:r>
        <w:rPr>
          <w:lang w:val="en-GB"/>
        </w:rPr>
        <w:t>Bolzano-</w:t>
      </w:r>
      <w:proofErr w:type="spellStart"/>
      <w:r>
        <w:rPr>
          <w:lang w:val="en-GB"/>
        </w:rPr>
        <w:t>Bozen</w:t>
      </w:r>
      <w:proofErr w:type="spellEnd"/>
      <w:r w:rsidR="00FB589C">
        <w:rPr>
          <w:lang w:val="en-GB"/>
        </w:rPr>
        <w:t>, Italy</w:t>
      </w:r>
    </w:p>
    <w:p w14:paraId="6D2C157D" w14:textId="7F6B7CBF" w:rsidR="00512D9B" w:rsidRPr="00E94789" w:rsidRDefault="00FB589C">
      <w:pPr>
        <w:jc w:val="center"/>
        <w:rPr>
          <w:lang w:val="en-GB"/>
        </w:rPr>
      </w:pPr>
      <w:r w:rsidRPr="00E94789">
        <w:rPr>
          <w:lang w:val="en-GB"/>
        </w:rPr>
        <w:t xml:space="preserve">Tutor: Prof. </w:t>
      </w:r>
      <w:r w:rsidR="003E5ABE" w:rsidRPr="00E94789">
        <w:rPr>
          <w:lang w:val="en-GB"/>
        </w:rPr>
        <w:t>Matteo Mario Scampicchio</w:t>
      </w:r>
    </w:p>
    <w:p w14:paraId="4F4155F1" w14:textId="77777777" w:rsidR="00512D9B" w:rsidRPr="00E94789" w:rsidRDefault="00512D9B">
      <w:pPr>
        <w:tabs>
          <w:tab w:val="left" w:pos="0"/>
        </w:tabs>
        <w:jc w:val="both"/>
        <w:rPr>
          <w:lang w:val="en-GB"/>
        </w:rPr>
      </w:pPr>
    </w:p>
    <w:p w14:paraId="5B17E13D" w14:textId="19BCF11D" w:rsidR="00E17675" w:rsidRPr="00E17675" w:rsidRDefault="00512AB9" w:rsidP="00E47BA9">
      <w:pPr>
        <w:jc w:val="both"/>
        <w:rPr>
          <w:lang w:val="en-GB"/>
        </w:rPr>
      </w:pPr>
      <w:r>
        <w:rPr>
          <w:lang w:val="en-GB"/>
        </w:rPr>
        <w:t>The identification of some antioxidant Maillard reaction products has been carried out</w:t>
      </w:r>
      <w:r w:rsidR="00851F0A">
        <w:rPr>
          <w:lang w:val="en-GB"/>
        </w:rPr>
        <w:t xml:space="preserve"> in the first part of the PhD</w:t>
      </w:r>
      <w:r>
        <w:rPr>
          <w:lang w:val="en-GB"/>
        </w:rPr>
        <w:t xml:space="preserve">. </w:t>
      </w:r>
      <w:r w:rsidRPr="003E5ABE">
        <w:rPr>
          <w:lang w:val="en-GB"/>
        </w:rPr>
        <w:t xml:space="preserve">Some </w:t>
      </w:r>
      <w:r w:rsidR="00A90D35">
        <w:rPr>
          <w:lang w:val="en-GB"/>
        </w:rPr>
        <w:t xml:space="preserve">MRPs </w:t>
      </w:r>
      <w:r w:rsidRPr="003E5ABE">
        <w:rPr>
          <w:lang w:val="en-GB"/>
        </w:rPr>
        <w:t xml:space="preserve">have been reported as antioxidants, although their identification remains still unclear. Therefore, </w:t>
      </w:r>
      <w:r w:rsidR="003E5ABE" w:rsidRPr="003E5ABE">
        <w:rPr>
          <w:lang w:val="en-GB"/>
        </w:rPr>
        <w:t xml:space="preserve">the </w:t>
      </w:r>
      <w:r w:rsidR="001236A9">
        <w:rPr>
          <w:lang w:val="en-GB"/>
        </w:rPr>
        <w:t>study</w:t>
      </w:r>
      <w:r w:rsidR="003E5ABE" w:rsidRPr="003E5ABE">
        <w:rPr>
          <w:lang w:val="en-GB"/>
        </w:rPr>
        <w:t xml:space="preserve"> aimed</w:t>
      </w:r>
      <w:r w:rsidRPr="003E5ABE">
        <w:rPr>
          <w:lang w:val="en-GB"/>
        </w:rPr>
        <w:t xml:space="preserve"> to </w:t>
      </w:r>
      <w:r w:rsidR="001236A9">
        <w:rPr>
          <w:lang w:val="en-GB"/>
        </w:rPr>
        <w:t xml:space="preserve">monitor </w:t>
      </w:r>
      <w:r w:rsidRPr="003E5ABE">
        <w:rPr>
          <w:lang w:val="en-GB"/>
        </w:rPr>
        <w:t>the</w:t>
      </w:r>
      <w:r w:rsidR="005912E1">
        <w:rPr>
          <w:lang w:val="en-GB"/>
        </w:rPr>
        <w:t xml:space="preserve">ir evolution </w:t>
      </w:r>
      <w:r w:rsidRPr="003E5ABE">
        <w:rPr>
          <w:lang w:val="en-GB"/>
        </w:rPr>
        <w:t>during heating a model solution</w:t>
      </w:r>
      <w:r w:rsidR="005700C3">
        <w:rPr>
          <w:lang w:val="en-GB"/>
        </w:rPr>
        <w:t xml:space="preserve"> of glucose and glycine</w:t>
      </w:r>
      <w:r w:rsidRPr="003E5ABE">
        <w:rPr>
          <w:lang w:val="en-GB"/>
        </w:rPr>
        <w:t>. NMR was used to monitor the transient changes of MR reactants</w:t>
      </w:r>
      <w:r w:rsidR="00557B7F">
        <w:rPr>
          <w:lang w:val="en-GB"/>
        </w:rPr>
        <w:t xml:space="preserve"> and </w:t>
      </w:r>
      <w:r w:rsidRPr="003E5ABE">
        <w:rPr>
          <w:lang w:val="en-GB"/>
        </w:rPr>
        <w:t>products</w:t>
      </w:r>
      <w:r w:rsidR="00557B7F">
        <w:rPr>
          <w:lang w:val="en-GB"/>
        </w:rPr>
        <w:t xml:space="preserve"> </w:t>
      </w:r>
      <w:r w:rsidRPr="003E5ABE">
        <w:rPr>
          <w:lang w:val="en-GB"/>
        </w:rPr>
        <w:t xml:space="preserve">during time. The antioxidants were </w:t>
      </w:r>
      <w:r w:rsidR="005700C3">
        <w:rPr>
          <w:lang w:val="en-GB"/>
        </w:rPr>
        <w:t xml:space="preserve">studied </w:t>
      </w:r>
      <w:r w:rsidRPr="003E5ABE">
        <w:rPr>
          <w:lang w:val="en-GB"/>
        </w:rPr>
        <w:t>using HPLC coupled with a triple detector.</w:t>
      </w:r>
      <w:r w:rsidR="00851F0A">
        <w:rPr>
          <w:lang w:val="en-GB"/>
        </w:rPr>
        <w:t xml:space="preserve"> T</w:t>
      </w:r>
      <w:r w:rsidR="00851F0A" w:rsidRPr="003E5ABE">
        <w:rPr>
          <w:lang w:val="en-GB"/>
        </w:rPr>
        <w:t>hree antioxidant MRPs</w:t>
      </w:r>
      <w:r w:rsidR="00851F0A">
        <w:rPr>
          <w:lang w:val="en-GB"/>
        </w:rPr>
        <w:t xml:space="preserve"> have been</w:t>
      </w:r>
      <w:r w:rsidRPr="003E5ABE">
        <w:rPr>
          <w:lang w:val="en-GB"/>
        </w:rPr>
        <w:t xml:space="preserve"> identified: 2-acetylpyrrole and dehydrate 1- and 3-deoxyglucosones. </w:t>
      </w:r>
      <w:r w:rsidR="00CD4BCA">
        <w:rPr>
          <w:lang w:val="en-GB"/>
        </w:rPr>
        <w:t>T</w:t>
      </w:r>
      <w:r w:rsidRPr="003E5ABE">
        <w:rPr>
          <w:lang w:val="en-GB"/>
        </w:rPr>
        <w:t xml:space="preserve">he antioxidants </w:t>
      </w:r>
      <w:r w:rsidR="00C44B38">
        <w:rPr>
          <w:lang w:val="en-GB"/>
        </w:rPr>
        <w:t>have been</w:t>
      </w:r>
      <w:r w:rsidRPr="003E5ABE">
        <w:rPr>
          <w:lang w:val="en-GB"/>
        </w:rPr>
        <w:t xml:space="preserve"> included in the</w:t>
      </w:r>
      <w:r w:rsidR="00C44B38">
        <w:rPr>
          <w:lang w:val="en-GB"/>
        </w:rPr>
        <w:t xml:space="preserve"> updated</w:t>
      </w:r>
      <w:r w:rsidRPr="003E5ABE">
        <w:rPr>
          <w:lang w:val="en-GB"/>
        </w:rPr>
        <w:t xml:space="preserve"> kinetic model developed in literature. </w:t>
      </w:r>
    </w:p>
    <w:p w14:paraId="12152ACE" w14:textId="77777777" w:rsidR="003E5ABE" w:rsidRDefault="003E5ABE" w:rsidP="003E5ABE">
      <w:pPr>
        <w:tabs>
          <w:tab w:val="left" w:pos="0"/>
        </w:tabs>
        <w:jc w:val="both"/>
        <w:rPr>
          <w:lang w:val="en-GB"/>
        </w:rPr>
      </w:pPr>
    </w:p>
    <w:p w14:paraId="73C1D670" w14:textId="2C7938DF" w:rsidR="00512D9B" w:rsidRPr="00576CA2" w:rsidRDefault="003E5ABE" w:rsidP="003E5ABE">
      <w:pPr>
        <w:tabs>
          <w:tab w:val="left" w:pos="0"/>
        </w:tabs>
        <w:jc w:val="center"/>
        <w:rPr>
          <w:b/>
          <w:bCs/>
          <w:sz w:val="24"/>
          <w:szCs w:val="24"/>
        </w:rPr>
      </w:pPr>
      <w:r w:rsidRPr="00576CA2">
        <w:rPr>
          <w:b/>
          <w:bCs/>
          <w:sz w:val="24"/>
          <w:szCs w:val="24"/>
        </w:rPr>
        <w:t xml:space="preserve">Molecole antiossidanti prodotte dalla reazione di </w:t>
      </w:r>
      <w:proofErr w:type="spellStart"/>
      <w:r w:rsidRPr="00576CA2">
        <w:rPr>
          <w:b/>
          <w:bCs/>
          <w:sz w:val="24"/>
          <w:szCs w:val="24"/>
        </w:rPr>
        <w:t>Maillard</w:t>
      </w:r>
      <w:proofErr w:type="spellEnd"/>
      <w:r w:rsidRPr="00576CA2">
        <w:rPr>
          <w:b/>
          <w:bCs/>
          <w:sz w:val="24"/>
          <w:szCs w:val="24"/>
        </w:rPr>
        <w:t xml:space="preserve"> su una soluzione di glucosio e glicina</w:t>
      </w:r>
    </w:p>
    <w:p w14:paraId="1C2FDC1B" w14:textId="77777777" w:rsidR="003E5ABE" w:rsidRPr="003E5ABE" w:rsidRDefault="003E5ABE" w:rsidP="003E5ABE">
      <w:pPr>
        <w:tabs>
          <w:tab w:val="left" w:pos="0"/>
        </w:tabs>
        <w:jc w:val="center"/>
      </w:pPr>
    </w:p>
    <w:p w14:paraId="579FAD20" w14:textId="5065473A" w:rsidR="008400BA" w:rsidRDefault="008400BA" w:rsidP="00E47BA9">
      <w:pPr>
        <w:jc w:val="both"/>
      </w:pPr>
      <w:r w:rsidRPr="00E94789">
        <w:t xml:space="preserve">È stata effettuata l'identificazione di alcuni prodotti antiossidanti della reazione di </w:t>
      </w:r>
      <w:proofErr w:type="spellStart"/>
      <w:r w:rsidRPr="00E94789">
        <w:t>Maillard</w:t>
      </w:r>
      <w:proofErr w:type="spellEnd"/>
      <w:r w:rsidRPr="00E94789">
        <w:t>.</w:t>
      </w:r>
      <w:r w:rsidR="00C44B38">
        <w:t xml:space="preserve"> </w:t>
      </w:r>
      <w:r w:rsidR="00B8178F">
        <w:t xml:space="preserve">La loro </w:t>
      </w:r>
      <w:r w:rsidR="001475F3">
        <w:t>attività antiossidante</w:t>
      </w:r>
      <w:r w:rsidR="00B8178F">
        <w:t xml:space="preserve"> è nota</w:t>
      </w:r>
      <w:r w:rsidR="001475F3">
        <w:t>, ma l</w:t>
      </w:r>
      <w:r w:rsidR="00B8178F">
        <w:t>’</w:t>
      </w:r>
      <w:r w:rsidRPr="008400BA">
        <w:t>identificazione rimane</w:t>
      </w:r>
      <w:r w:rsidR="00B8178F">
        <w:t xml:space="preserve"> incompleta</w:t>
      </w:r>
      <w:r w:rsidRPr="008400BA">
        <w:t xml:space="preserve">. Pertanto, questa prima parte del dottorato si proponeva di studiare </w:t>
      </w:r>
      <w:r w:rsidR="001475F3">
        <w:t>l’</w:t>
      </w:r>
      <w:r w:rsidRPr="008400BA">
        <w:t xml:space="preserve">evoluzione </w:t>
      </w:r>
      <w:r w:rsidR="001475F3">
        <w:t xml:space="preserve">dei MRP antiossidanti </w:t>
      </w:r>
      <w:r w:rsidRPr="008400BA">
        <w:t>durante il riscaldamento di una soluzione modello di glucosio-glicina. L'NMR è stato utilizzato per monitorare i cambiamenti d</w:t>
      </w:r>
      <w:r w:rsidR="00CC0330">
        <w:t xml:space="preserve">i </w:t>
      </w:r>
      <w:r w:rsidRPr="008400BA">
        <w:t xml:space="preserve"> </w:t>
      </w:r>
      <w:r w:rsidR="00CC0330">
        <w:t>r</w:t>
      </w:r>
      <w:r w:rsidRPr="008400BA">
        <w:t xml:space="preserve">eagenti </w:t>
      </w:r>
      <w:r w:rsidR="00CC0330">
        <w:t xml:space="preserve">e </w:t>
      </w:r>
      <w:r w:rsidRPr="008400BA">
        <w:t xml:space="preserve">prodotti </w:t>
      </w:r>
      <w:r w:rsidR="001475F3">
        <w:t xml:space="preserve">della </w:t>
      </w:r>
      <w:r w:rsidRPr="008400BA">
        <w:t xml:space="preserve">MR nel tempo. Gli antiossidanti prodotti sono stati </w:t>
      </w:r>
      <w:r w:rsidR="00CC0330">
        <w:t xml:space="preserve">studiati </w:t>
      </w:r>
      <w:r w:rsidRPr="008400BA">
        <w:t xml:space="preserve">mediante HPLC accoppiato a triplo </w:t>
      </w:r>
      <w:r w:rsidR="00D94E19">
        <w:t>detector</w:t>
      </w:r>
      <w:r w:rsidRPr="008400BA">
        <w:t xml:space="preserve">. </w:t>
      </w:r>
      <w:r w:rsidR="00B54456">
        <w:t xml:space="preserve">Sono stati identificati tre </w:t>
      </w:r>
      <w:r w:rsidRPr="008400BA">
        <w:t>principali MRP antiossidanti: il 2-acetilpirrolo e 1-</w:t>
      </w:r>
      <w:r w:rsidR="00B54456">
        <w:t xml:space="preserve"> e</w:t>
      </w:r>
      <w:r w:rsidRPr="008400BA">
        <w:t xml:space="preserve"> 3-deossiglucoson</w:t>
      </w:r>
      <w:r w:rsidR="001475F3">
        <w:t>e</w:t>
      </w:r>
      <w:r w:rsidR="00D94E19">
        <w:t xml:space="preserve"> deidratati</w:t>
      </w:r>
      <w:r w:rsidRPr="008400BA">
        <w:t xml:space="preserve">. </w:t>
      </w:r>
      <w:r w:rsidR="00D94E19">
        <w:t>L</w:t>
      </w:r>
      <w:r w:rsidRPr="008400BA">
        <w:t xml:space="preserve">'evoluzione di </w:t>
      </w:r>
      <w:r w:rsidR="00D94E19">
        <w:t xml:space="preserve">questi </w:t>
      </w:r>
      <w:r w:rsidRPr="008400BA">
        <w:t xml:space="preserve">è stata inclusa nel modello cinetico </w:t>
      </w:r>
      <w:r w:rsidR="00D94E19">
        <w:t xml:space="preserve">aggiornato </w:t>
      </w:r>
      <w:r w:rsidRPr="008400BA">
        <w:t xml:space="preserve">sviluppato in letteratura. </w:t>
      </w:r>
    </w:p>
    <w:p w14:paraId="15E22415" w14:textId="77777777" w:rsidR="00D94E19" w:rsidRPr="008400BA" w:rsidRDefault="00D94E19" w:rsidP="00E47BA9">
      <w:pPr>
        <w:jc w:val="both"/>
        <w:rPr>
          <w:b/>
          <w:bCs/>
        </w:rPr>
      </w:pPr>
    </w:p>
    <w:p w14:paraId="6E4C6A6A" w14:textId="3D423F44" w:rsidR="00512D9B" w:rsidRPr="003E5ABE" w:rsidRDefault="00FB589C">
      <w:pPr>
        <w:ind w:left="567" w:hanging="567"/>
        <w:jc w:val="both"/>
        <w:rPr>
          <w:lang w:val="en-GB"/>
        </w:rPr>
      </w:pPr>
      <w:r w:rsidRPr="003E5ABE">
        <w:rPr>
          <w:b/>
          <w:bCs/>
          <w:lang w:val="en-GB"/>
        </w:rPr>
        <w:t>Key words</w:t>
      </w:r>
      <w:r w:rsidRPr="003E5ABE">
        <w:rPr>
          <w:lang w:val="en-GB"/>
        </w:rPr>
        <w:t xml:space="preserve">: </w:t>
      </w:r>
      <w:r w:rsidR="003E5ABE">
        <w:rPr>
          <w:lang w:val="en-GB"/>
        </w:rPr>
        <w:t xml:space="preserve">Antioxidants, Maillard reaction, high resolution mass spectrometry, </w:t>
      </w:r>
      <w:r w:rsidR="00E17675">
        <w:rPr>
          <w:lang w:val="en-GB"/>
        </w:rPr>
        <w:t xml:space="preserve">coulometric detector, </w:t>
      </w:r>
      <w:r w:rsidR="003E5ABE">
        <w:rPr>
          <w:lang w:val="en-GB"/>
        </w:rPr>
        <w:t xml:space="preserve">nuclear magnetic resonance, kinetic </w:t>
      </w:r>
      <w:r w:rsidR="00582357">
        <w:rPr>
          <w:lang w:val="en-GB"/>
        </w:rPr>
        <w:t>modelling</w:t>
      </w:r>
    </w:p>
    <w:p w14:paraId="049B5BB9" w14:textId="77777777" w:rsidR="00512D9B" w:rsidRDefault="00FB589C" w:rsidP="00471B34">
      <w:pPr>
        <w:pStyle w:val="Heading1"/>
        <w:spacing w:before="120" w:after="120"/>
        <w:ind w:right="0"/>
        <w:jc w:val="both"/>
        <w:rPr>
          <w:b/>
          <w:bCs/>
          <w:color w:val="000000"/>
          <w:sz w:val="24"/>
          <w:lang w:val="en-GB"/>
        </w:rPr>
      </w:pPr>
      <w:r>
        <w:rPr>
          <w:b/>
          <w:bCs/>
          <w:color w:val="000000"/>
          <w:sz w:val="24"/>
          <w:lang w:val="en-GB"/>
        </w:rPr>
        <w:t>1. Introduction</w:t>
      </w:r>
    </w:p>
    <w:p w14:paraId="571A7B62" w14:textId="1A417CE9" w:rsidR="00512D9B" w:rsidRDefault="00FB589C">
      <w:pPr>
        <w:jc w:val="both"/>
        <w:rPr>
          <w:lang w:val="en-GB"/>
        </w:rPr>
      </w:pPr>
      <w:r>
        <w:rPr>
          <w:lang w:val="en-GB"/>
        </w:rPr>
        <w:t>In accordance with the PhD thesis project</w:t>
      </w:r>
      <w:r w:rsidR="003E5ABE">
        <w:rPr>
          <w:lang w:val="en-GB"/>
        </w:rPr>
        <w:t xml:space="preserve"> presented</w:t>
      </w:r>
      <w:r>
        <w:rPr>
          <w:lang w:val="en-GB"/>
        </w:rPr>
        <w:t xml:space="preserve">, this poster reports the main results of  the first activities concerning: </w:t>
      </w:r>
    </w:p>
    <w:p w14:paraId="2DFC3AC4" w14:textId="6E7A2079" w:rsidR="00512D9B" w:rsidRPr="00746B7D" w:rsidRDefault="00FB589C">
      <w:pPr>
        <w:tabs>
          <w:tab w:val="left" w:pos="567"/>
        </w:tabs>
        <w:ind w:left="567" w:hanging="567"/>
        <w:jc w:val="both"/>
        <w:rPr>
          <w:lang w:val="en-US"/>
        </w:rPr>
      </w:pPr>
      <w:r>
        <w:rPr>
          <w:lang w:val="en-GB"/>
        </w:rPr>
        <w:t xml:space="preserve">(A1) </w:t>
      </w:r>
      <w:r>
        <w:rPr>
          <w:lang w:val="en-GB"/>
        </w:rPr>
        <w:tab/>
      </w:r>
      <w:r w:rsidR="003E5ABE">
        <w:rPr>
          <w:lang w:val="en-GB"/>
        </w:rPr>
        <w:t>the identification and quantification of antioxidant MRPs produced in a solution of glucose and glycine heated at 90°C for 4 hours</w:t>
      </w:r>
      <w:r>
        <w:rPr>
          <w:lang w:val="en-GB"/>
        </w:rPr>
        <w:t>;</w:t>
      </w:r>
    </w:p>
    <w:p w14:paraId="406734B7" w14:textId="2591AE1F" w:rsidR="00512D9B" w:rsidRPr="00746B7D" w:rsidRDefault="00FB589C">
      <w:pPr>
        <w:tabs>
          <w:tab w:val="left" w:pos="567"/>
        </w:tabs>
        <w:ind w:left="567" w:hanging="567"/>
        <w:jc w:val="both"/>
        <w:rPr>
          <w:lang w:val="en-US"/>
        </w:rPr>
      </w:pPr>
      <w:r>
        <w:rPr>
          <w:lang w:val="en-GB"/>
        </w:rPr>
        <w:t xml:space="preserve">(A2) </w:t>
      </w:r>
      <w:r>
        <w:rPr>
          <w:lang w:val="en-GB"/>
        </w:rPr>
        <w:tab/>
        <w:t>the</w:t>
      </w:r>
      <w:r w:rsidR="003E5ABE">
        <w:rPr>
          <w:lang w:val="en-GB"/>
        </w:rPr>
        <w:t xml:space="preserve"> update of a kinetic model of the reaction developed in literature </w:t>
      </w:r>
      <w:r w:rsidR="003E5ABE">
        <w:rPr>
          <w:lang w:val="en-GB"/>
        </w:rPr>
        <w:fldChar w:fldCharType="begin" w:fldLock="1"/>
      </w:r>
      <w:r w:rsidR="00175EEB">
        <w:rPr>
          <w:lang w:val="en-GB"/>
        </w:rPr>
        <w:instrText>ADDIN CSL_CITATION {"citationItems":[{"id":"ITEM-1","itemData":{"DOI":"10.1016/j.foodchem.2004.04.006","ISSN":"03088146","abstract":"A comprehensive kinetic model for the glucose/glycine Maillard reaction is proposed based on an approach called multiresponse kinetic modelling. Special attention was paid to reactants, intermediates and end products: D-fructose, N-(1-deoxy-D-fructos-1-yl)-glycine (DFG), 1-deoxy-2,3-hexodiulose and 3-deoxy-2-hexosulose, formic and acetic acid, methylglyoxal and 5-hydroxymethylfurfural (HMF). The organic acids were found to be stable end products, 3-deoxy-2-hexosulose was found to be involved in colour formation by reaction with glycine. It is suggested to consider acetic acid as an indicator of the progress of the Maillard reaction at pH 6.8. The significance of reversibility of formation of DFG was studied by kinetic model discrimination. The results suggested that the reaction path from DFG into its parents, glucose and glycine, is not important from a quantitative point of view, even though it does happen. The proposed model was updated and strained by varying one of the most important reaction conditions, the temperature. The estimated rate constants showed an Arrhenius type temperature dependence and the model performed well for all studied temperatures (80, 90, 100, 110 and 120°C). Striking differences were found in temperature dependencies of the various reaction steps. More than just a fitting procedure, multiresponse modelling was shown to be a powerful tool in unravelling complicated reaction routes as occur in the Maillard reaction. © 2004 Elsevier Ltd. All rights reserved.","author":[{"dropping-particle":"","family":"Martins","given":"Sara I.F.S.","non-dropping-particle":"","parse-names":false,"suffix":""},{"dropping-particle":"","family":"Boekel","given":"Martinus A.J.S.","non-dropping-particle":"Van","parse-names":false,"suffix":""}],"container-title":"Food Chemistry","id":"ITEM-1","issue":"1-2","issued":{"date-parts":[["2005"]]},"page":"257-269","title":"A kinetic model for the glucose/glycine Maillard reaction pathways","type":"article-journal","volume":"90"},"uris":["http://www.mendeley.com/documents/?uuid=d6db7ddc-4e75-4a07-96b0-49ec43d4ad75"]}],"mendeley":{"formattedCitation":"(Martins and Van Boekel, 2005)","plainTextFormattedCitation":"(Martins and Van Boekel, 2005)","previouslyFormattedCitation":"(Martins and Van Boekel 2005)"},"properties":{"noteIndex":0},"schema":"https://github.com/citation-style-language/schema/raw/master/csl-citation.json"}</w:instrText>
      </w:r>
      <w:r w:rsidR="003E5ABE">
        <w:rPr>
          <w:lang w:val="en-GB"/>
        </w:rPr>
        <w:fldChar w:fldCharType="separate"/>
      </w:r>
      <w:r w:rsidR="00175EEB" w:rsidRPr="00175EEB">
        <w:rPr>
          <w:noProof/>
          <w:lang w:val="en-GB"/>
        </w:rPr>
        <w:t>(Martins and Van Boekel, 2005)</w:t>
      </w:r>
      <w:r w:rsidR="003E5ABE">
        <w:rPr>
          <w:lang w:val="en-GB"/>
        </w:rPr>
        <w:fldChar w:fldCharType="end"/>
      </w:r>
      <w:r w:rsidR="003E5ABE">
        <w:rPr>
          <w:lang w:val="en-GB"/>
        </w:rPr>
        <w:t xml:space="preserve"> with the production of antioxidants</w:t>
      </w:r>
      <w:r>
        <w:rPr>
          <w:lang w:val="en-GB"/>
        </w:rPr>
        <w:t xml:space="preserve">.  </w:t>
      </w:r>
    </w:p>
    <w:p w14:paraId="525E1D35" w14:textId="77777777" w:rsidR="00512D9B" w:rsidRDefault="00FB589C" w:rsidP="00471B34">
      <w:pPr>
        <w:pStyle w:val="Heading1"/>
        <w:spacing w:before="120" w:after="120"/>
        <w:ind w:right="0"/>
        <w:jc w:val="both"/>
        <w:rPr>
          <w:b/>
          <w:bCs/>
          <w:color w:val="000000"/>
          <w:sz w:val="24"/>
          <w:lang w:val="en-GB"/>
        </w:rPr>
      </w:pPr>
      <w:r>
        <w:rPr>
          <w:b/>
          <w:bCs/>
          <w:color w:val="000000"/>
          <w:sz w:val="24"/>
          <w:lang w:val="en-GB"/>
        </w:rPr>
        <w:t>2. Materials and Methods</w:t>
      </w:r>
    </w:p>
    <w:p w14:paraId="0C8C1955" w14:textId="4C0D40E1" w:rsidR="00E17675" w:rsidRPr="00E17675" w:rsidRDefault="00E17675" w:rsidP="00E47BA9">
      <w:pPr>
        <w:jc w:val="both"/>
        <w:rPr>
          <w:lang w:val="en-GB"/>
        </w:rPr>
      </w:pPr>
      <w:r>
        <w:rPr>
          <w:lang w:val="en-GB"/>
        </w:rPr>
        <w:t xml:space="preserve">The study has been developed </w:t>
      </w:r>
      <w:r w:rsidRPr="00E17675">
        <w:rPr>
          <w:lang w:val="en-GB"/>
        </w:rPr>
        <w:t xml:space="preserve">starting from the model </w:t>
      </w:r>
      <w:r>
        <w:rPr>
          <w:lang w:val="en-GB"/>
        </w:rPr>
        <w:t xml:space="preserve">of the reaction </w:t>
      </w:r>
      <w:r w:rsidRPr="00E17675">
        <w:rPr>
          <w:lang w:val="en-GB"/>
        </w:rPr>
        <w:t xml:space="preserve">proposed by van Boekel </w:t>
      </w:r>
      <w:r w:rsidRPr="00A44A15">
        <w:fldChar w:fldCharType="begin" w:fldLock="1"/>
      </w:r>
      <w:r w:rsidR="00175EEB">
        <w:rPr>
          <w:lang w:val="en-GB"/>
        </w:rPr>
        <w:instrText>ADDIN CSL_CITATION {"citationItems":[{"id":"ITEM-1","itemData":{"DOI":"10.1016/j.foodchem.2004.04.006","ISSN":"03088146","abstract":"A comprehensive kinetic model for the glucose/glycine Maillard reaction is proposed based on an approach called multiresponse kinetic modelling. Special attention was paid to reactants, intermediates and end products: D-fructose, N-(1-deoxy-D-fructos-1-yl)-glycine (DFG), 1-deoxy-2,3-hexodiulose and 3-deoxy-2-hexosulose, formic and acetic acid, methylglyoxal and 5-hydroxymethylfurfural (HMF). The organic acids were found to be stable end products, 3-deoxy-2-hexosulose was found to be involved in colour formation by reaction with glycine. It is suggested to consider acetic acid as an indicator of the progress of the Maillard reaction at pH 6.8. The significance of reversibility of formation of DFG was studied by kinetic model discrimination. The results suggested that the reaction path from DFG into its parents, glucose and glycine, is not important from a quantitative point of view, even though it does happen. The proposed model was updated and strained by varying one of the most important reaction conditions, the temperature. The estimated rate constants showed an Arrhenius type temperature dependence and the model performed well for all studied temperatures (80, 90, 100, 110 and 120°C). Striking differences were found in temperature dependencies of the various reaction steps. More than just a fitting procedure, multiresponse modelling was shown to be a powerful tool in unravelling complicated reaction routes as occur in the Maillard reaction. © 2004 Elsevier Ltd. All rights reserved.","author":[{"dropping-particle":"","family":"Martins","given":"Sara I.F.S.","non-dropping-particle":"","parse-names":false,"suffix":""},{"dropping-particle":"","family":"Boekel","given":"Martinus A.J.S.","non-dropping-particle":"Van","parse-names":false,"suffix":""}],"container-title":"Food Chemistry","id":"ITEM-1","issue":"1-2","issued":{"date-parts":[["2005"]]},"page":"257-269","title":"A kinetic model for the glucose/glycine Maillard reaction pathways","type":"article-journal","volume":"90"},"uris":["http://www.mendeley.com/documents/?uuid=d6db7ddc-4e75-4a07-96b0-49ec43d4ad75"]}],"mendeley":{"formattedCitation":"(Martins and Van Boekel, 2005)","plainTextFormattedCitation":"(Martins and Van Boekel, 2005)","previouslyFormattedCitation":"(Martins and Van Boekel 2005)"},"properties":{"noteIndex":0},"schema":"https://github.com/citation-style-language/schema/raw/master/csl-citation.json"}</w:instrText>
      </w:r>
      <w:r w:rsidRPr="00A44A15">
        <w:fldChar w:fldCharType="separate"/>
      </w:r>
      <w:r w:rsidR="00175EEB" w:rsidRPr="00175EEB">
        <w:rPr>
          <w:noProof/>
          <w:lang w:val="en-GB"/>
        </w:rPr>
        <w:t>(Martins and Van Boekel, 2005)</w:t>
      </w:r>
      <w:r w:rsidRPr="00A44A15">
        <w:fldChar w:fldCharType="end"/>
      </w:r>
      <w:r w:rsidRPr="00E17675">
        <w:rPr>
          <w:lang w:val="en-GB"/>
        </w:rPr>
        <w:t>, which species (</w:t>
      </w:r>
      <w:r w:rsidRPr="00E17675">
        <w:rPr>
          <w:szCs w:val="22"/>
          <w:lang w:val="en-GB"/>
        </w:rPr>
        <w:t>glucose, glycine, acetic acid, formic acid and melanoidins)</w:t>
      </w:r>
      <w:r w:rsidRPr="00E17675">
        <w:rPr>
          <w:lang w:val="en-GB"/>
        </w:rPr>
        <w:t xml:space="preserve"> and their transient changes were monitored</w:t>
      </w:r>
      <w:r w:rsidRPr="00E17675">
        <w:rPr>
          <w:szCs w:val="22"/>
          <w:lang w:val="en-GB"/>
        </w:rPr>
        <w:t xml:space="preserve"> (NMR) and spectrophotometric assays. Then, </w:t>
      </w:r>
      <w:r w:rsidRPr="00E17675">
        <w:rPr>
          <w:lang w:val="en-GB"/>
        </w:rPr>
        <w:t xml:space="preserve">using a novel approach based on </w:t>
      </w:r>
      <w:r>
        <w:fldChar w:fldCharType="begin" w:fldLock="1"/>
      </w:r>
      <w:r w:rsidR="00175EEB">
        <w:rPr>
          <w:lang w:val="en-GB"/>
        </w:rPr>
        <w:instrText>ADDIN CSL_CITATION {"citationItems":[{"id":"ITEM-1","itemData":{"DOI":"10.1016/j.lwt.2022.113456","ISSN":"00236438","abstract":"This work demonstrates the use of a triple detector for the screening of antioxidants in officinal plants. The triple detector consisted of a coulometric array (CAD), a diode array (DAD) and a mass spectrometer (MS) detector, which were connected to a HPLC system. DAD gave an overall profile of bioactive compounds. CAD allowed to select the most promising redox species and quantify their concentration based on the Faraday's law. Finally, MS was used for identification. The approach was applied to screen the main antioxidants in 19 officinal plants. Furthermore, the electron transfer properties obtained by CAD were highly correlated with the results of classical DPPH (r = 0.80), FRAP (r = 0.87) and ORAC (r = 0.90) assays and, thus, could be used to predict the antioxidant capacity of plant extracts by stepwise linear regression models (R2 = 0.99). Overall, the triple detector system allows a comprehensive approach to screen and characterize the antioxidant compounds in natural plant extracts.","author":[{"dropping-particle":"","family":"Ding","given":"Yubin","non-dropping-particle":"","parse-names":false,"suffix":""},{"dropping-particle":"","family":"Morozova","given":"Ksenia","non-dropping-particle":"","parse-names":false,"suffix":""},{"dropping-particle":"","family":"Imperiale","given":"Sebastian","non-dropping-particle":"","parse-names":false,"suffix":""},{"dropping-particle":"","family":"Angeli","given":"Lucrezia","non-dropping-particle":"","parse-names":false,"suffix":""},{"dropping-particle":"","family":"Asma","given":"Umme","non-dropping-particle":"","parse-names":false,"suffix":""},{"dropping-particle":"","family":"Ferrentino","given":"Giovanna","non-dropping-particle":"","parse-names":false,"suffix":""},{"dropping-particle":"","family":"Scampicchio","given":"Matteo","non-dropping-particle":"","parse-names":false,"suffix":""}],"container-title":"Lwt","id":"ITEM-1","issue":"April","issued":{"date-parts":[["2022"]]},"page":"113456","publisher":"Elsevier Ltd","title":"HPLC-Triple detector (Coulometric array, diode array and mass spectrometer) for the analysis of antioxidants in officinal plants","type":"article-journal","volume":"162"},"uris":["http://www.mendeley.com/documents/?uuid=490dae89-498c-41ad-baf9-1925c1b97ddc"]}],"mendeley":{"formattedCitation":"(Ding &lt;i&gt;et al.&lt;/i&gt;, 2022)","plainTextFormattedCitation":"(Ding et al., 2022)","previouslyFormattedCitation":"(Ding et al. 2022)"},"properties":{"noteIndex":0},"schema":"https://github.com/citation-style-language/schema/raw/master/csl-citation.json"}</w:instrText>
      </w:r>
      <w:r>
        <w:fldChar w:fldCharType="separate"/>
      </w:r>
      <w:r w:rsidR="00175EEB" w:rsidRPr="00175EEB">
        <w:rPr>
          <w:noProof/>
          <w:lang w:val="en-GB"/>
        </w:rPr>
        <w:t xml:space="preserve">(Ding </w:t>
      </w:r>
      <w:r w:rsidR="00175EEB" w:rsidRPr="00175EEB">
        <w:rPr>
          <w:i/>
          <w:noProof/>
          <w:lang w:val="en-GB"/>
        </w:rPr>
        <w:t>et al.</w:t>
      </w:r>
      <w:r w:rsidR="00175EEB" w:rsidRPr="00175EEB">
        <w:rPr>
          <w:noProof/>
          <w:lang w:val="en-GB"/>
        </w:rPr>
        <w:t>, 2022)</w:t>
      </w:r>
      <w:r>
        <w:fldChar w:fldCharType="end"/>
      </w:r>
      <w:r w:rsidRPr="00E17675">
        <w:rPr>
          <w:lang w:val="en-GB"/>
        </w:rPr>
        <w:t>, which consisted in HPLC coupled with three different detectors, antioxidant MRPs were studied. The detectors used are</w:t>
      </w:r>
      <w:r w:rsidRPr="00E17675">
        <w:rPr>
          <w:szCs w:val="22"/>
          <w:lang w:val="en-GB"/>
        </w:rPr>
        <w:t>: a diode array (DAD), a coulometric array (</w:t>
      </w:r>
      <w:proofErr w:type="spellStart"/>
      <w:r w:rsidRPr="00E17675">
        <w:rPr>
          <w:szCs w:val="22"/>
          <w:lang w:val="en-GB"/>
        </w:rPr>
        <w:t>CoulArray</w:t>
      </w:r>
      <w:proofErr w:type="spellEnd"/>
      <w:r w:rsidRPr="00E17675">
        <w:rPr>
          <w:szCs w:val="22"/>
          <w:lang w:val="en-GB"/>
        </w:rPr>
        <w:t>™: CAD), which is selective towards antioxidants, and high resolution mass spectrometer (HRMS). DAD allowed the detection of the molecules present in our samples and the optimization of their separation through the chromatographic column. CAD, which is a multi-channel electrochemical detector</w:t>
      </w:r>
      <w:r w:rsidR="005912E1">
        <w:rPr>
          <w:szCs w:val="22"/>
          <w:lang w:val="en-GB"/>
        </w:rPr>
        <w:t xml:space="preserve">, </w:t>
      </w:r>
      <w:r w:rsidRPr="00E17675">
        <w:rPr>
          <w:szCs w:val="22"/>
          <w:lang w:val="en-GB"/>
        </w:rPr>
        <w:t xml:space="preserve">measures the current signals generated from </w:t>
      </w:r>
      <w:r w:rsidR="005912E1">
        <w:rPr>
          <w:szCs w:val="22"/>
          <w:lang w:val="en-GB"/>
        </w:rPr>
        <w:t>antioxidant</w:t>
      </w:r>
      <w:r w:rsidRPr="00E17675">
        <w:rPr>
          <w:szCs w:val="22"/>
          <w:lang w:val="en-GB"/>
        </w:rPr>
        <w:t xml:space="preserve"> analytes that enter the detector.</w:t>
      </w:r>
      <w:r w:rsidR="001475F3">
        <w:rPr>
          <w:szCs w:val="22"/>
          <w:lang w:val="en-GB"/>
        </w:rPr>
        <w:t xml:space="preserve"> S</w:t>
      </w:r>
      <w:r w:rsidRPr="00E17675">
        <w:rPr>
          <w:szCs w:val="22"/>
          <w:lang w:val="en-GB"/>
        </w:rPr>
        <w:t xml:space="preserve">ince coulometric analyses are principally governed by Faraday’s law, </w:t>
      </w:r>
      <w:r w:rsidR="005912E1">
        <w:rPr>
          <w:szCs w:val="22"/>
          <w:lang w:val="en-GB"/>
        </w:rPr>
        <w:t>it allowed the</w:t>
      </w:r>
      <w:r w:rsidRPr="00E17675">
        <w:rPr>
          <w:szCs w:val="22"/>
          <w:lang w:val="en-GB"/>
        </w:rPr>
        <w:t xml:space="preserve"> quantif</w:t>
      </w:r>
      <w:r w:rsidR="005912E1">
        <w:rPr>
          <w:szCs w:val="22"/>
          <w:lang w:val="en-GB"/>
        </w:rPr>
        <w:t xml:space="preserve">ication of </w:t>
      </w:r>
      <w:r w:rsidRPr="00E17675">
        <w:rPr>
          <w:szCs w:val="22"/>
          <w:lang w:val="en-GB"/>
        </w:rPr>
        <w:t>the analytes</w:t>
      </w:r>
      <w:r w:rsidR="001475F3">
        <w:rPr>
          <w:szCs w:val="22"/>
          <w:lang w:val="en-GB"/>
        </w:rPr>
        <w:t>, more as well as their detection</w:t>
      </w:r>
      <w:r w:rsidR="005912E1">
        <w:rPr>
          <w:szCs w:val="22"/>
          <w:lang w:val="en-GB"/>
        </w:rPr>
        <w:t>. This</w:t>
      </w:r>
      <w:r>
        <w:rPr>
          <w:szCs w:val="22"/>
          <w:lang w:val="en-GB"/>
        </w:rPr>
        <w:t xml:space="preserve"> consequentially </w:t>
      </w:r>
      <w:r w:rsidR="005912E1">
        <w:rPr>
          <w:szCs w:val="22"/>
          <w:lang w:val="en-GB"/>
        </w:rPr>
        <w:t xml:space="preserve">allowed the </w:t>
      </w:r>
      <w:r>
        <w:rPr>
          <w:szCs w:val="22"/>
          <w:lang w:val="en-GB"/>
        </w:rPr>
        <w:t xml:space="preserve">update </w:t>
      </w:r>
      <w:r w:rsidR="005912E1">
        <w:rPr>
          <w:szCs w:val="22"/>
          <w:lang w:val="en-GB"/>
        </w:rPr>
        <w:t xml:space="preserve">of the </w:t>
      </w:r>
      <w:r>
        <w:rPr>
          <w:szCs w:val="22"/>
          <w:lang w:val="en-GB"/>
        </w:rPr>
        <w:t xml:space="preserve"> kinetic model of the reaction</w:t>
      </w:r>
      <w:r w:rsidRPr="00E17675">
        <w:rPr>
          <w:szCs w:val="22"/>
          <w:lang w:val="en-GB"/>
        </w:rPr>
        <w:t xml:space="preserve">. Using HRMS, then, it was possible to identify the antioxidants previously detected. </w:t>
      </w:r>
    </w:p>
    <w:p w14:paraId="520DEE64" w14:textId="77777777" w:rsidR="00512D9B" w:rsidRDefault="00FB589C" w:rsidP="00A90EF5">
      <w:pPr>
        <w:pStyle w:val="Heading1"/>
        <w:spacing w:before="120" w:after="120"/>
        <w:ind w:right="0"/>
        <w:jc w:val="both"/>
        <w:rPr>
          <w:b/>
          <w:bCs/>
          <w:color w:val="000000"/>
          <w:sz w:val="24"/>
          <w:lang w:val="en-GB"/>
        </w:rPr>
      </w:pPr>
      <w:r>
        <w:rPr>
          <w:b/>
          <w:bCs/>
          <w:color w:val="000000"/>
          <w:sz w:val="24"/>
          <w:lang w:val="en-GB"/>
        </w:rPr>
        <w:t>3. Results and Discussion</w:t>
      </w:r>
    </w:p>
    <w:p w14:paraId="7B7F4BDD" w14:textId="13F1A042" w:rsidR="00512D9B" w:rsidRDefault="00FB589C">
      <w:pPr>
        <w:pStyle w:val="Heading2"/>
        <w:jc w:val="both"/>
        <w:rPr>
          <w:b/>
          <w:bCs/>
          <w:sz w:val="20"/>
          <w:lang w:val="en-GB"/>
        </w:rPr>
      </w:pPr>
      <w:r>
        <w:rPr>
          <w:b/>
          <w:bCs/>
          <w:sz w:val="20"/>
          <w:lang w:val="en-GB"/>
        </w:rPr>
        <w:t xml:space="preserve">3.1 </w:t>
      </w:r>
      <w:r w:rsidR="00E17675">
        <w:rPr>
          <w:b/>
          <w:bCs/>
          <w:sz w:val="20"/>
          <w:lang w:val="en-GB"/>
        </w:rPr>
        <w:t>Antioxidant activity of MRPs and their identification</w:t>
      </w:r>
    </w:p>
    <w:p w14:paraId="7AC68A02" w14:textId="7EE4965B" w:rsidR="008860D1" w:rsidRPr="008860D1" w:rsidRDefault="008860D1" w:rsidP="00E47BA9">
      <w:pPr>
        <w:jc w:val="both"/>
        <w:rPr>
          <w:szCs w:val="22"/>
          <w:lang w:val="en-GB"/>
        </w:rPr>
      </w:pPr>
      <w:r w:rsidRPr="008860D1">
        <w:rPr>
          <w:szCs w:val="22"/>
          <w:lang w:val="en-GB"/>
        </w:rPr>
        <w:t xml:space="preserve">Antioxidant MRPs have been detected, identified and quantified using </w:t>
      </w:r>
      <w:proofErr w:type="spellStart"/>
      <w:r w:rsidRPr="008860D1">
        <w:rPr>
          <w:szCs w:val="22"/>
          <w:lang w:val="en-GB"/>
        </w:rPr>
        <w:t>Coularray</w:t>
      </w:r>
      <w:proofErr w:type="spellEnd"/>
      <w:r w:rsidRPr="008860D1">
        <w:rPr>
          <w:szCs w:val="22"/>
          <w:lang w:val="en-GB"/>
        </w:rPr>
        <w:t xml:space="preserve"> detector and HRMS.</w:t>
      </w:r>
      <w:r>
        <w:rPr>
          <w:szCs w:val="22"/>
          <w:lang w:val="en-GB"/>
        </w:rPr>
        <w:t xml:space="preserve"> In Figure 1(a)</w:t>
      </w:r>
      <w:r w:rsidRPr="008860D1">
        <w:rPr>
          <w:szCs w:val="22"/>
          <w:lang w:val="en-GB"/>
        </w:rPr>
        <w:t xml:space="preserve"> three main peaks have been detected and they corresponded to 2-acetylpyrrole and deydrathed version of 1- and 3- </w:t>
      </w:r>
      <w:proofErr w:type="spellStart"/>
      <w:r w:rsidRPr="008860D1">
        <w:rPr>
          <w:szCs w:val="22"/>
          <w:lang w:val="en-GB"/>
        </w:rPr>
        <w:t>deoxyglucosones</w:t>
      </w:r>
      <w:proofErr w:type="spellEnd"/>
      <w:r>
        <w:rPr>
          <w:szCs w:val="22"/>
          <w:lang w:val="en-GB"/>
        </w:rPr>
        <w:t>, as shown in Figure 1(b)</w:t>
      </w:r>
      <w:r w:rsidRPr="008860D1">
        <w:rPr>
          <w:szCs w:val="22"/>
          <w:lang w:val="en-GB"/>
        </w:rPr>
        <w:t>.</w:t>
      </w:r>
    </w:p>
    <w:p w14:paraId="1825DB63" w14:textId="699B8983" w:rsidR="005912E1" w:rsidRDefault="00A90D35" w:rsidP="00BA5073">
      <w:pPr>
        <w:pStyle w:val="Heading2"/>
        <w:spacing w:before="300" w:after="300"/>
        <w:jc w:val="both"/>
        <w:rPr>
          <w:b/>
          <w:bCs/>
          <w:sz w:val="20"/>
          <w:lang w:val="en-GB"/>
        </w:rPr>
      </w:pPr>
      <w:r>
        <w:rPr>
          <w:b/>
          <w:bCs/>
          <w:noProof/>
          <w:sz w:val="20"/>
          <w:lang w:val="en-GB"/>
        </w:rPr>
        <w:lastRenderedPageBreak/>
        <w:drawing>
          <wp:inline distT="0" distB="0" distL="0" distR="0" wp14:anchorId="0EF74BAC" wp14:editId="5DC19071">
            <wp:extent cx="3729771" cy="1822450"/>
            <wp:effectExtent l="0" t="0" r="4445" b="6350"/>
            <wp:docPr id="7" name="Picture 7" descr="A picture containing text, diagram, technical drawing,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iagram, technical drawing, sketch&#10;&#10;Description automatically generated"/>
                    <pic:cNvPicPr/>
                  </pic:nvPicPr>
                  <pic:blipFill rotWithShape="1">
                    <a:blip r:embed="rId8" cstate="print">
                      <a:extLst>
                        <a:ext uri="{28A0092B-C50C-407E-A947-70E740481C1C}">
                          <a14:useLocalDpi xmlns:a14="http://schemas.microsoft.com/office/drawing/2010/main" val="0"/>
                        </a:ext>
                      </a:extLst>
                    </a:blip>
                    <a:srcRect l="2315" t="7784" r="5634" b="12806"/>
                    <a:stretch/>
                  </pic:blipFill>
                  <pic:spPr bwMode="auto">
                    <a:xfrm>
                      <a:off x="0" y="0"/>
                      <a:ext cx="3761146" cy="1837781"/>
                    </a:xfrm>
                    <a:prstGeom prst="rect">
                      <a:avLst/>
                    </a:prstGeom>
                    <a:ln>
                      <a:noFill/>
                    </a:ln>
                    <a:extLst>
                      <a:ext uri="{53640926-AAD7-44D8-BBD7-CCE9431645EC}">
                        <a14:shadowObscured xmlns:a14="http://schemas.microsoft.com/office/drawing/2010/main"/>
                      </a:ext>
                    </a:extLst>
                  </pic:spPr>
                </pic:pic>
              </a:graphicData>
            </a:graphic>
          </wp:inline>
        </w:drawing>
      </w:r>
    </w:p>
    <w:p w14:paraId="0DB1B773" w14:textId="77777777" w:rsidR="008400BA" w:rsidRDefault="008400BA" w:rsidP="00E47BA9">
      <w:pPr>
        <w:pStyle w:val="BlockText"/>
        <w:ind w:left="0"/>
        <w:rPr>
          <w:b/>
          <w:sz w:val="16"/>
          <w:szCs w:val="16"/>
          <w:lang w:val="en-GB"/>
        </w:rPr>
      </w:pPr>
    </w:p>
    <w:p w14:paraId="3E60DE58" w14:textId="27DAA3E9" w:rsidR="001475F3" w:rsidRPr="000F197A" w:rsidRDefault="008860D1" w:rsidP="00BA5073">
      <w:pPr>
        <w:pStyle w:val="BlockText"/>
        <w:spacing w:after="300"/>
        <w:ind w:left="0"/>
        <w:rPr>
          <w:rFonts w:ascii="Times New Roman" w:hAnsi="Times New Roman" w:cs="Times New Roman"/>
          <w:sz w:val="18"/>
          <w:szCs w:val="18"/>
        </w:rPr>
      </w:pPr>
      <w:r w:rsidRPr="000F197A">
        <w:rPr>
          <w:rFonts w:ascii="Times New Roman" w:hAnsi="Times New Roman" w:cs="Times New Roman"/>
          <w:b/>
          <w:sz w:val="18"/>
          <w:szCs w:val="18"/>
          <w:lang w:val="en-GB"/>
        </w:rPr>
        <w:t>Figure 1</w:t>
      </w:r>
      <w:r w:rsidRPr="000F197A">
        <w:rPr>
          <w:rFonts w:ascii="Times New Roman" w:hAnsi="Times New Roman" w:cs="Times New Roman"/>
          <w:sz w:val="18"/>
          <w:szCs w:val="18"/>
          <w:lang w:val="en-GB"/>
        </w:rPr>
        <w:t xml:space="preserve"> :</w:t>
      </w:r>
      <w:r w:rsidRPr="000F197A">
        <w:rPr>
          <w:rFonts w:ascii="Times New Roman" w:hAnsi="Times New Roman" w:cs="Times New Roman"/>
          <w:sz w:val="18"/>
          <w:szCs w:val="18"/>
        </w:rPr>
        <w:t>(a) Cont</w:t>
      </w:r>
      <w:r w:rsidR="008400BA" w:rsidRPr="000F197A">
        <w:rPr>
          <w:rFonts w:ascii="Times New Roman" w:hAnsi="Times New Roman" w:cs="Times New Roman"/>
          <w:sz w:val="18"/>
          <w:szCs w:val="18"/>
        </w:rPr>
        <w:t>o</w:t>
      </w:r>
      <w:r w:rsidRPr="000F197A">
        <w:rPr>
          <w:rFonts w:ascii="Times New Roman" w:hAnsi="Times New Roman" w:cs="Times New Roman"/>
          <w:sz w:val="18"/>
          <w:szCs w:val="18"/>
        </w:rPr>
        <w:t>ur</w:t>
      </w:r>
      <w:r w:rsidR="008400BA" w:rsidRPr="000F197A">
        <w:rPr>
          <w:rFonts w:ascii="Times New Roman" w:hAnsi="Times New Roman" w:cs="Times New Roman"/>
          <w:sz w:val="18"/>
          <w:szCs w:val="18"/>
        </w:rPr>
        <w:t xml:space="preserve"> </w:t>
      </w:r>
      <w:r w:rsidRPr="000F197A">
        <w:rPr>
          <w:rFonts w:ascii="Times New Roman" w:hAnsi="Times New Roman" w:cs="Times New Roman"/>
          <w:sz w:val="18"/>
          <w:szCs w:val="18"/>
        </w:rPr>
        <w:t xml:space="preserve">plot of </w:t>
      </w:r>
      <w:r w:rsidR="008400BA" w:rsidRPr="000F197A">
        <w:rPr>
          <w:rFonts w:ascii="Times New Roman" w:hAnsi="Times New Roman" w:cs="Times New Roman"/>
          <w:sz w:val="18"/>
          <w:szCs w:val="18"/>
        </w:rPr>
        <w:t xml:space="preserve"> CAD signal (sum of the signals obtain from the 16 channels) of glucose-glycine MR sample after 150min at 90°C.</w:t>
      </w:r>
    </w:p>
    <w:p w14:paraId="5E3AFE78" w14:textId="2AB35F6F" w:rsidR="001475F3" w:rsidRPr="001475F3" w:rsidRDefault="00FB589C" w:rsidP="00E47BA9">
      <w:pPr>
        <w:pStyle w:val="Heading2"/>
        <w:jc w:val="both"/>
        <w:rPr>
          <w:b/>
          <w:bCs/>
          <w:sz w:val="20"/>
          <w:lang w:val="en-GB"/>
        </w:rPr>
      </w:pPr>
      <w:r w:rsidRPr="00E17675">
        <w:rPr>
          <w:b/>
          <w:bCs/>
          <w:sz w:val="20"/>
          <w:lang w:val="en-GB"/>
        </w:rPr>
        <w:t xml:space="preserve">3.2 </w:t>
      </w:r>
      <w:r w:rsidR="00E17675">
        <w:rPr>
          <w:b/>
          <w:bCs/>
          <w:sz w:val="20"/>
          <w:lang w:val="en-GB"/>
        </w:rPr>
        <w:t>Kinetic model update</w:t>
      </w:r>
    </w:p>
    <w:p w14:paraId="689EFE3A" w14:textId="71A3D7EA" w:rsidR="00F025DD" w:rsidRPr="00A90D35" w:rsidRDefault="00624628" w:rsidP="00A90D35">
      <w:pPr>
        <w:jc w:val="both"/>
        <w:rPr>
          <w:szCs w:val="22"/>
          <w:lang w:val="en-GB"/>
        </w:rPr>
      </w:pPr>
      <w:r w:rsidRPr="00624628">
        <w:rPr>
          <w:szCs w:val="22"/>
          <w:lang w:val="en-GB"/>
        </w:rPr>
        <w:t>NMR spectroscopy has been used to quantify reactants (glucose and glycine) and some products (acetic acid and formic acid) along the reaction, to check if their kinetics are the same as the ones obtained by Van Boekel. In Figure 2</w:t>
      </w:r>
      <w:r>
        <w:rPr>
          <w:szCs w:val="22"/>
          <w:lang w:val="en-GB"/>
        </w:rPr>
        <w:t xml:space="preserve"> </w:t>
      </w:r>
      <w:r w:rsidRPr="00624628">
        <w:rPr>
          <w:szCs w:val="22"/>
          <w:lang w:val="en-GB"/>
        </w:rPr>
        <w:t>and Figure 2</w:t>
      </w:r>
      <w:r>
        <w:rPr>
          <w:szCs w:val="22"/>
          <w:lang w:val="en-GB"/>
        </w:rPr>
        <w:t xml:space="preserve"> </w:t>
      </w:r>
      <w:r w:rsidRPr="00624628">
        <w:rPr>
          <w:szCs w:val="22"/>
          <w:lang w:val="en-GB"/>
        </w:rPr>
        <w:t xml:space="preserve">are shown the </w:t>
      </w:r>
      <w:r w:rsidRPr="00624628">
        <w:rPr>
          <w:szCs w:val="22"/>
          <w:vertAlign w:val="superscript"/>
          <w:lang w:val="en-GB"/>
        </w:rPr>
        <w:t>1</w:t>
      </w:r>
      <w:r w:rsidRPr="00624628">
        <w:rPr>
          <w:szCs w:val="22"/>
          <w:lang w:val="en-GB"/>
        </w:rPr>
        <w:t xml:space="preserve">H-NMR spectra of acetic acid and formic acid. In details: both the signals are increasing along the MR, which let us conclude that both of them are produced during the MR, confirming the literature </w:t>
      </w:r>
      <w:r w:rsidRPr="00624628">
        <w:rPr>
          <w:szCs w:val="22"/>
          <w:lang w:val="en-GB"/>
        </w:rPr>
        <w:fldChar w:fldCharType="begin" w:fldLock="1"/>
      </w:r>
      <w:r w:rsidR="00175EEB">
        <w:rPr>
          <w:szCs w:val="22"/>
          <w:lang w:val="en-GB"/>
        </w:rPr>
        <w:instrText>ADDIN CSL_CITATION {"citationItems":[{"id":"ITEM-1","itemData":{"DOI":"10.1016/j.foodchem.2004.04.006","ISSN":"03088146","abstract":"A comprehensive kinetic model for the glucose/glycine Maillard reaction is proposed based on an approach called multiresponse kinetic modelling. Special attention was paid to reactants, intermediates and end products: D-fructose, N-(1-deoxy-D-fructos-1-yl)-glycine (DFG), 1-deoxy-2,3-hexodiulose and 3-deoxy-2-hexosulose, formic and acetic acid, methylglyoxal and 5-hydroxymethylfurfural (HMF). The organic acids were found to be stable end products, 3-deoxy-2-hexosulose was found to be involved in colour formation by reaction with glycine. It is suggested to consider acetic acid as an indicator of the progress of the Maillard reaction at pH 6.8. The significance of reversibility of formation of DFG was studied by kinetic model discrimination. The results suggested that the reaction path from DFG into its parents, glucose and glycine, is not important from a quantitative point of view, even though it does happen. The proposed model was updated and strained by varying one of the most important reaction conditions, the temperature. The estimated rate constants showed an Arrhenius type temperature dependence and the model performed well for all studied temperatures (80, 90, 100, 110 and 120°C). Striking differences were found in temperature dependencies of the various reaction steps. More than just a fitting procedure, multiresponse modelling was shown to be a powerful tool in unravelling complicated reaction routes as occur in the Maillard reaction. © 2004 Elsevier Ltd. All rights reserved.","author":[{"dropping-particle":"","family":"Martins","given":"Sara I.F.S.","non-dropping-particle":"","parse-names":false,"suffix":""},{"dropping-particle":"","family":"Boekel","given":"Martinus A.J.S.","non-dropping-particle":"Van","parse-names":false,"suffix":""}],"container-title":"Food Chemistry","id":"ITEM-1","issue":"1-2","issued":{"date-parts":[["2005"]]},"page":"257-269","title":"A kinetic model for the glucose/glycine Maillard reaction pathways","type":"article-journal","volume":"90"},"uris":["http://www.mendeley.com/documents/?uuid=d6db7ddc-4e75-4a07-96b0-49ec43d4ad75"]}],"mendeley":{"formattedCitation":"(Martins and Van Boekel, 2005)","plainTextFormattedCitation":"(Martins and Van Boekel, 2005)","previouslyFormattedCitation":"(Martins and Van Boekel 2005)"},"properties":{"noteIndex":0},"schema":"https://github.com/citation-style-language/schema/raw/master/csl-citation.json"}</w:instrText>
      </w:r>
      <w:r w:rsidRPr="00624628">
        <w:rPr>
          <w:szCs w:val="22"/>
          <w:lang w:val="en-GB"/>
        </w:rPr>
        <w:fldChar w:fldCharType="separate"/>
      </w:r>
      <w:r w:rsidR="00175EEB" w:rsidRPr="00175EEB">
        <w:rPr>
          <w:noProof/>
          <w:szCs w:val="22"/>
          <w:lang w:val="en-GB"/>
        </w:rPr>
        <w:t>(Martins and Van Boekel, 2005)</w:t>
      </w:r>
      <w:r w:rsidRPr="00624628">
        <w:rPr>
          <w:szCs w:val="22"/>
          <w:lang w:val="en-GB"/>
        </w:rPr>
        <w:fldChar w:fldCharType="end"/>
      </w:r>
      <w:r w:rsidRPr="00624628">
        <w:rPr>
          <w:szCs w:val="22"/>
          <w:lang w:val="en-GB"/>
        </w:rPr>
        <w:t>.</w:t>
      </w:r>
    </w:p>
    <w:p w14:paraId="0A045BEA" w14:textId="359F20D2" w:rsidR="00A90D35" w:rsidRDefault="000F197A" w:rsidP="00A90D35">
      <w:pPr>
        <w:pStyle w:val="BlockText"/>
        <w:ind w:left="0"/>
        <w:rPr>
          <w:b/>
          <w:sz w:val="16"/>
          <w:szCs w:val="16"/>
          <w:lang w:val="en-GB"/>
        </w:rPr>
      </w:pPr>
      <w:r>
        <w:rPr>
          <w:b/>
          <w:noProof/>
          <w:sz w:val="18"/>
          <w:szCs w:val="18"/>
        </w:rPr>
        <w:drawing>
          <wp:anchor distT="0" distB="0" distL="114300" distR="114300" simplePos="0" relativeHeight="251665408" behindDoc="0" locked="0" layoutInCell="1" allowOverlap="1" wp14:anchorId="15F16DE4" wp14:editId="3E523440">
            <wp:simplePos x="0" y="0"/>
            <wp:positionH relativeFrom="margin">
              <wp:posOffset>11430</wp:posOffset>
            </wp:positionH>
            <wp:positionV relativeFrom="paragraph">
              <wp:posOffset>67310</wp:posOffset>
            </wp:positionV>
            <wp:extent cx="2736850" cy="1739900"/>
            <wp:effectExtent l="0" t="0" r="6350" b="0"/>
            <wp:wrapSquare wrapText="bothSides"/>
            <wp:docPr id="2" name="Picture 2" descr="A picture containing text, receipt, screensho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 screenshot, diagram&#10;&#10;Description automatically generated"/>
                    <pic:cNvPicPr/>
                  </pic:nvPicPr>
                  <pic:blipFill rotWithShape="1">
                    <a:blip r:embed="rId9" cstate="print">
                      <a:extLst>
                        <a:ext uri="{28A0092B-C50C-407E-A947-70E740481C1C}">
                          <a14:useLocalDpi xmlns:a14="http://schemas.microsoft.com/office/drawing/2010/main" val="0"/>
                        </a:ext>
                      </a:extLst>
                    </a:blip>
                    <a:srcRect l="6725" t="5601" r="7948" b="10881"/>
                    <a:stretch/>
                  </pic:blipFill>
                  <pic:spPr bwMode="auto">
                    <a:xfrm>
                      <a:off x="0" y="0"/>
                      <a:ext cx="2736850" cy="1739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25DD" w:rsidRPr="00F025DD">
        <w:rPr>
          <w:b/>
          <w:sz w:val="16"/>
          <w:szCs w:val="16"/>
          <w:lang w:val="en-GB"/>
        </w:rPr>
        <w:t xml:space="preserve"> </w:t>
      </w:r>
    </w:p>
    <w:p w14:paraId="09D348C0" w14:textId="77777777" w:rsidR="00A90D35" w:rsidRDefault="00A90D35" w:rsidP="00A90D35">
      <w:pPr>
        <w:pStyle w:val="BlockText"/>
        <w:ind w:left="0"/>
        <w:rPr>
          <w:b/>
          <w:sz w:val="16"/>
          <w:szCs w:val="16"/>
          <w:lang w:val="en-GB"/>
        </w:rPr>
      </w:pPr>
    </w:p>
    <w:p w14:paraId="7E8AB2FC" w14:textId="6446C3D2" w:rsidR="00F025DD" w:rsidRPr="000F197A" w:rsidRDefault="00F025DD" w:rsidP="00A90D35">
      <w:pPr>
        <w:pStyle w:val="BlockText"/>
        <w:ind w:left="0"/>
        <w:rPr>
          <w:rFonts w:ascii="Times New Roman" w:hAnsi="Times New Roman" w:cs="Times New Roman"/>
          <w:sz w:val="18"/>
          <w:szCs w:val="18"/>
        </w:rPr>
      </w:pPr>
      <w:r w:rsidRPr="000F197A">
        <w:rPr>
          <w:rFonts w:ascii="Times New Roman" w:hAnsi="Times New Roman" w:cs="Times New Roman"/>
          <w:b/>
          <w:sz w:val="18"/>
          <w:szCs w:val="18"/>
          <w:lang w:val="en-GB"/>
        </w:rPr>
        <w:t>Figure 2</w:t>
      </w:r>
      <w:r w:rsidRPr="000F197A">
        <w:rPr>
          <w:rFonts w:ascii="Times New Roman" w:hAnsi="Times New Roman" w:cs="Times New Roman"/>
          <w:sz w:val="18"/>
          <w:szCs w:val="18"/>
          <w:lang w:val="en-GB"/>
        </w:rPr>
        <w:t xml:space="preserve"> :</w:t>
      </w:r>
      <w:r w:rsidRPr="000F197A">
        <w:rPr>
          <w:rFonts w:ascii="Times New Roman" w:hAnsi="Times New Roman" w:cs="Times New Roman"/>
          <w:sz w:val="18"/>
          <w:szCs w:val="18"/>
        </w:rPr>
        <w:t xml:space="preserve">(a) and (b) Stacked </w:t>
      </w:r>
      <m:oMath>
        <m:sSup>
          <m:sSupPr>
            <m:ctrlPr>
              <w:rPr>
                <w:rFonts w:ascii="Cambria Math" w:hAnsi="Cambria Math" w:cs="Times New Roman"/>
                <w:sz w:val="18"/>
                <w:szCs w:val="18"/>
              </w:rPr>
            </m:ctrlPr>
          </m:sSupPr>
          <m:e>
            <m:r>
              <w:rPr>
                <w:rFonts w:ascii="Cambria Math" w:hAnsi="Cambria Math" w:cs="Times New Roman"/>
                <w:sz w:val="18"/>
                <w:szCs w:val="18"/>
              </w:rPr>
              <m:t>​</m:t>
            </m:r>
          </m:e>
          <m:sup>
            <m:r>
              <w:rPr>
                <w:rFonts w:ascii="Cambria Math" w:hAnsi="Cambria Math" w:cs="Times New Roman"/>
                <w:sz w:val="18"/>
                <w:szCs w:val="18"/>
              </w:rPr>
              <m:t>1</m:t>
            </m:r>
          </m:sup>
        </m:sSup>
        <m:r>
          <w:rPr>
            <w:rFonts w:ascii="Cambria Math" w:hAnsi="Cambria Math" w:cs="Times New Roman"/>
            <w:sz w:val="18"/>
            <w:szCs w:val="18"/>
          </w:rPr>
          <m:t>H</m:t>
        </m:r>
      </m:oMath>
      <w:r w:rsidRPr="000F197A">
        <w:rPr>
          <w:rFonts w:ascii="Times New Roman" w:hAnsi="Times New Roman" w:cs="Times New Roman"/>
          <w:sz w:val="18"/>
          <w:szCs w:val="18"/>
        </w:rPr>
        <w:t xml:space="preserve">-NMR peak corresponding to acetic acid and formic acid obtained analyzing MR samples incubated for 0, 30, 60 … 240 minutes at 90°C; (c) and (d) Stacked </w:t>
      </w:r>
      <m:oMath>
        <m:sSup>
          <m:sSupPr>
            <m:ctrlPr>
              <w:rPr>
                <w:rFonts w:ascii="Cambria Math" w:hAnsi="Cambria Math" w:cs="Times New Roman"/>
                <w:sz w:val="18"/>
                <w:szCs w:val="18"/>
              </w:rPr>
            </m:ctrlPr>
          </m:sSupPr>
          <m:e>
            <m:r>
              <w:rPr>
                <w:rFonts w:ascii="Cambria Math" w:hAnsi="Cambria Math" w:cs="Times New Roman"/>
                <w:sz w:val="18"/>
                <w:szCs w:val="18"/>
              </w:rPr>
              <m:t>​</m:t>
            </m:r>
          </m:e>
          <m:sup>
            <m:r>
              <w:rPr>
                <w:rFonts w:ascii="Cambria Math" w:hAnsi="Cambria Math" w:cs="Times New Roman"/>
                <w:sz w:val="18"/>
                <w:szCs w:val="18"/>
              </w:rPr>
              <m:t>13</m:t>
            </m:r>
          </m:sup>
        </m:sSup>
        <m:r>
          <w:rPr>
            <w:rFonts w:ascii="Cambria Math" w:hAnsi="Cambria Math" w:cs="Times New Roman"/>
            <w:sz w:val="18"/>
            <w:szCs w:val="18"/>
          </w:rPr>
          <m:t>C</m:t>
        </m:r>
      </m:oMath>
      <w:r w:rsidRPr="000F197A">
        <w:rPr>
          <w:rFonts w:ascii="Times New Roman" w:hAnsi="Times New Roman" w:cs="Times New Roman"/>
          <w:sz w:val="18"/>
          <w:szCs w:val="18"/>
        </w:rPr>
        <w:t>-NMR peak corresponding to glucose and glycine obtained analyzing MR samples incubated 0, 30, 60 … 240 minutes at 90°C.</w:t>
      </w:r>
    </w:p>
    <w:p w14:paraId="7B355F60" w14:textId="77777777" w:rsidR="00A90D35" w:rsidRDefault="00A90D35" w:rsidP="00E47BA9">
      <w:pPr>
        <w:jc w:val="both"/>
        <w:rPr>
          <w:b/>
          <w:sz w:val="18"/>
          <w:szCs w:val="18"/>
          <w:lang w:val="en-US"/>
        </w:rPr>
      </w:pPr>
    </w:p>
    <w:p w14:paraId="38AAB415" w14:textId="77777777" w:rsidR="00A90D35" w:rsidRDefault="00A90D35" w:rsidP="00E47BA9">
      <w:pPr>
        <w:jc w:val="both"/>
        <w:rPr>
          <w:b/>
          <w:sz w:val="18"/>
          <w:szCs w:val="18"/>
          <w:lang w:val="en-US"/>
        </w:rPr>
      </w:pPr>
    </w:p>
    <w:p w14:paraId="213DBE0F" w14:textId="77777777" w:rsidR="00A90D35" w:rsidRDefault="00A90D35" w:rsidP="00E47BA9">
      <w:pPr>
        <w:jc w:val="both"/>
        <w:rPr>
          <w:szCs w:val="22"/>
          <w:lang w:val="en-GB"/>
        </w:rPr>
      </w:pPr>
    </w:p>
    <w:p w14:paraId="4C372E15" w14:textId="77777777" w:rsidR="000F197A" w:rsidRDefault="000F197A" w:rsidP="00E47BA9">
      <w:pPr>
        <w:jc w:val="both"/>
        <w:rPr>
          <w:szCs w:val="22"/>
          <w:lang w:val="en-GB"/>
        </w:rPr>
      </w:pPr>
    </w:p>
    <w:p w14:paraId="38A6B085" w14:textId="77777777" w:rsidR="000F197A" w:rsidRDefault="000F197A" w:rsidP="00E47BA9">
      <w:pPr>
        <w:jc w:val="both"/>
        <w:rPr>
          <w:szCs w:val="22"/>
          <w:lang w:val="en-GB"/>
        </w:rPr>
      </w:pPr>
    </w:p>
    <w:p w14:paraId="07C7D8F5" w14:textId="7BEFC6B3" w:rsidR="00624628" w:rsidRDefault="00624628" w:rsidP="00E47BA9">
      <w:pPr>
        <w:jc w:val="both"/>
        <w:rPr>
          <w:szCs w:val="22"/>
          <w:lang w:val="en-GB"/>
        </w:rPr>
      </w:pPr>
      <w:r w:rsidRPr="00624628">
        <w:rPr>
          <w:szCs w:val="22"/>
          <w:lang w:val="en-GB"/>
        </w:rPr>
        <w:t>Starting from this model and including the results obtained regarding the antioxidants developed during the reaction and their mechanism of production confirmed with the literature</w:t>
      </w:r>
      <w:r w:rsidR="005912E1">
        <w:rPr>
          <w:szCs w:val="22"/>
          <w:lang w:val="en-GB"/>
        </w:rPr>
        <w:t xml:space="preserve"> </w:t>
      </w:r>
      <w:r w:rsidR="005912E1">
        <w:rPr>
          <w:szCs w:val="22"/>
          <w:lang w:val="en-GB"/>
        </w:rPr>
        <w:fldChar w:fldCharType="begin" w:fldLock="1"/>
      </w:r>
      <w:r w:rsidR="00175EEB">
        <w:rPr>
          <w:szCs w:val="22"/>
          <w:lang w:val="en-GB"/>
        </w:rPr>
        <w:instrText>ADDIN CSL_CITATION {"citationItems":[{"id":"ITEM-1","itemData":{"ISBN":"0841207690","author":[{"dropping-particle":"","family":"George","given":"R. Waller","non-dropping-particle":"","parse-names":false,"suffix":""},{"dropping-particle":"","family":"Milton","given":"S. Feather","non-dropping-particle":"","parse-names":false,"suffix":""}],"container-title":"Acs Symposium Series","id":"ITEM-1","issued":{"date-parts":[["1983"]]},"title":"The Maillar in Foods and Nutrition","type":"book"},"uris":["http://www.mendeley.com/documents/?uuid=6ad2c29c-93e8-407d-a01a-7114db9bac18"]}],"mendeley":{"formattedCitation":"(George and Milton, 1983)","plainTextFormattedCitation":"(George and Milton, 1983)","previouslyFormattedCitation":"(George and Milton 1983)"},"properties":{"noteIndex":0},"schema":"https://github.com/citation-style-language/schema/raw/master/csl-citation.json"}</w:instrText>
      </w:r>
      <w:r w:rsidR="005912E1">
        <w:rPr>
          <w:szCs w:val="22"/>
          <w:lang w:val="en-GB"/>
        </w:rPr>
        <w:fldChar w:fldCharType="separate"/>
      </w:r>
      <w:r w:rsidR="00175EEB" w:rsidRPr="00175EEB">
        <w:rPr>
          <w:noProof/>
          <w:szCs w:val="22"/>
          <w:lang w:val="en-GB"/>
        </w:rPr>
        <w:t>(George and Milton, 1983)</w:t>
      </w:r>
      <w:r w:rsidR="005912E1">
        <w:rPr>
          <w:szCs w:val="22"/>
          <w:lang w:val="en-GB"/>
        </w:rPr>
        <w:fldChar w:fldCharType="end"/>
      </w:r>
      <w:r w:rsidR="005912E1">
        <w:rPr>
          <w:szCs w:val="22"/>
          <w:lang w:val="en-GB"/>
        </w:rPr>
        <w:fldChar w:fldCharType="begin" w:fldLock="1"/>
      </w:r>
      <w:r w:rsidR="00175EEB">
        <w:rPr>
          <w:szCs w:val="22"/>
          <w:lang w:val="en-GB"/>
        </w:rPr>
        <w:instrText>ADDIN CSL_CITATION {"citationItems":[{"id":"ITEM-1","itemData":{"DOI":"10.1080/00021369.1985.10867090","ISSN":"00021369","abstract":"Equimolar aqueous solutions of D-glucose and glycine were heated at 50°C and 95°C at pH 6.7. The headspace volatiles and the ether extracts from the reaction mixture were analyzed by gas chromatography and gas chromatography-mass spectrometry, using a fused silica capillary column. The major components formed were identified as diacetyl, furfuryl alcohol, two pyrroles, one pyranone and two amides. In order to elucidate the formation mechanisms of the amides formed from amino-carbonyl reactions, two model systems were adopted. TV-Butylacetamide and N- butylformamide were formed as major components from diacetyl-butylamine and glyoxal- butylamine systems, respectively. The results obtained suggest that such a-dicarbonyls as 3- deoxyosone, l-deoxy-D-£ry?/zrc&gt;-2,3-hexodiulose and diacetyl generated in the amino-carbonyl reaction react with amino compounds, amides then being formed by cleavage of the C-C bond in the a-dicarbonyls. © 1985 by the Agricultural Chemical Society of Japan.","author":[{"dropping-particle":"","family":"Hayas","given":"Fumitaka","non-dropping-particle":"","parse-names":false,"suffix":""},{"dropping-particle":"","family":"Bong Kim","given":"Seon","non-dropping-particle":"","parse-names":false,"suffix":""},{"dropping-particle":"","family":"Kato","given":"Hiromichi","non-dropping-particle":"","parse-names":false,"suffix":""}],"container-title":"Agricultural and Biological Chemistry","id":"ITEM-1","issue":"8","issued":{"date-parts":[["1985"]]},"page":"2337-2341","title":"Maillard reaction products formed from d-glucose and glycine and the formation mechanisms of amides as major components","type":"article-journal","volume":"49"},"uris":["http://www.mendeley.com/documents/?uuid=9bda3ddb-cb28-4c28-b0fc-59fc59991052"]}],"mendeley":{"formattedCitation":"(Hayas, Bong Kim and Kato, 1985)","plainTextFormattedCitation":"(Hayas, Bong Kim and Kato, 1985)","previouslyFormattedCitation":"(Hayas, Bong Kim, and Kato 1985)"},"properties":{"noteIndex":0},"schema":"https://github.com/citation-style-language/schema/raw/master/csl-citation.json"}</w:instrText>
      </w:r>
      <w:r w:rsidR="005912E1">
        <w:rPr>
          <w:szCs w:val="22"/>
          <w:lang w:val="en-GB"/>
        </w:rPr>
        <w:fldChar w:fldCharType="separate"/>
      </w:r>
      <w:r w:rsidR="00175EEB" w:rsidRPr="00175EEB">
        <w:rPr>
          <w:noProof/>
          <w:szCs w:val="22"/>
          <w:lang w:val="en-GB"/>
        </w:rPr>
        <w:t>(Hayas, Bong Kim and Kato, 1985)</w:t>
      </w:r>
      <w:r w:rsidR="005912E1">
        <w:rPr>
          <w:szCs w:val="22"/>
          <w:lang w:val="en-GB"/>
        </w:rPr>
        <w:fldChar w:fldCharType="end"/>
      </w:r>
      <w:r w:rsidR="005912E1">
        <w:rPr>
          <w:szCs w:val="22"/>
          <w:lang w:val="en-GB"/>
        </w:rPr>
        <w:t>,</w:t>
      </w:r>
      <w:r w:rsidRPr="00624628">
        <w:rPr>
          <w:szCs w:val="22"/>
          <w:lang w:val="en-GB"/>
        </w:rPr>
        <w:t xml:space="preserve"> it was possible to update the kinetic model of the reaction as reported in Figure 3.</w:t>
      </w:r>
    </w:p>
    <w:p w14:paraId="38DC7720" w14:textId="0E845715" w:rsidR="00624628" w:rsidRDefault="00A90D35" w:rsidP="00E47BA9">
      <w:pPr>
        <w:jc w:val="both"/>
        <w:rPr>
          <w:szCs w:val="22"/>
          <w:lang w:val="en-GB"/>
        </w:rPr>
      </w:pPr>
      <w:r>
        <w:rPr>
          <w:noProof/>
          <w:szCs w:val="22"/>
          <w:lang w:val="en-GB"/>
        </w:rPr>
        <w:drawing>
          <wp:anchor distT="0" distB="0" distL="114300" distR="114300" simplePos="0" relativeHeight="251666432" behindDoc="1" locked="0" layoutInCell="1" allowOverlap="1" wp14:anchorId="186FB69C" wp14:editId="070C9FAD">
            <wp:simplePos x="0" y="0"/>
            <wp:positionH relativeFrom="margin">
              <wp:posOffset>93345</wp:posOffset>
            </wp:positionH>
            <wp:positionV relativeFrom="paragraph">
              <wp:posOffset>114300</wp:posOffset>
            </wp:positionV>
            <wp:extent cx="2505710" cy="1466850"/>
            <wp:effectExtent l="0" t="0" r="8890" b="0"/>
            <wp:wrapTight wrapText="bothSides">
              <wp:wrapPolygon edited="0">
                <wp:start x="0" y="0"/>
                <wp:lineTo x="0" y="21319"/>
                <wp:lineTo x="21512" y="21319"/>
                <wp:lineTo x="21512" y="0"/>
                <wp:lineTo x="0" y="0"/>
              </wp:wrapPolygon>
            </wp:wrapTight>
            <wp:docPr id="6" name="Picture 6" descr="A picture containing diagram, drawing,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 drawing, font&#10;&#10;Description automatically generated"/>
                    <pic:cNvPicPr/>
                  </pic:nvPicPr>
                  <pic:blipFill rotWithShape="1">
                    <a:blip r:embed="rId10" cstate="print">
                      <a:extLst>
                        <a:ext uri="{28A0092B-C50C-407E-A947-70E740481C1C}">
                          <a14:useLocalDpi xmlns:a14="http://schemas.microsoft.com/office/drawing/2010/main" val="0"/>
                        </a:ext>
                      </a:extLst>
                    </a:blip>
                    <a:srcRect l="7166" t="14041" r="14673" b="21217"/>
                    <a:stretch/>
                  </pic:blipFill>
                  <pic:spPr bwMode="auto">
                    <a:xfrm>
                      <a:off x="0" y="0"/>
                      <a:ext cx="2505710" cy="1466850"/>
                    </a:xfrm>
                    <a:prstGeom prst="rect">
                      <a:avLst/>
                    </a:prstGeom>
                    <a:ln>
                      <a:noFill/>
                    </a:ln>
                    <a:extLst>
                      <a:ext uri="{53640926-AAD7-44D8-BBD7-CCE9431645EC}">
                        <a14:shadowObscured xmlns:a14="http://schemas.microsoft.com/office/drawing/2010/main"/>
                      </a:ext>
                    </a:extLst>
                  </pic:spPr>
                </pic:pic>
              </a:graphicData>
            </a:graphic>
          </wp:anchor>
        </w:drawing>
      </w:r>
    </w:p>
    <w:p w14:paraId="751E81E9" w14:textId="5EE3BE0C" w:rsidR="00624628" w:rsidRPr="00624628" w:rsidRDefault="00624628" w:rsidP="00E47BA9">
      <w:pPr>
        <w:jc w:val="both"/>
        <w:rPr>
          <w:szCs w:val="22"/>
          <w:lang w:val="en-GB"/>
        </w:rPr>
      </w:pPr>
    </w:p>
    <w:p w14:paraId="2F47FB5A" w14:textId="77777777" w:rsidR="00E94789" w:rsidRDefault="00E94789" w:rsidP="00E47BA9">
      <w:pPr>
        <w:pStyle w:val="BlockText"/>
        <w:rPr>
          <w:rFonts w:ascii="Times New Roman" w:hAnsi="Times New Roman" w:cs="Times New Roman"/>
          <w:b/>
          <w:bCs/>
          <w:sz w:val="18"/>
          <w:szCs w:val="18"/>
        </w:rPr>
      </w:pPr>
    </w:p>
    <w:p w14:paraId="62F99C15" w14:textId="77777777" w:rsidR="00E94789" w:rsidRDefault="00E94789" w:rsidP="00E47BA9">
      <w:pPr>
        <w:pStyle w:val="BlockText"/>
        <w:rPr>
          <w:rFonts w:ascii="Times New Roman" w:hAnsi="Times New Roman" w:cs="Times New Roman"/>
          <w:b/>
          <w:bCs/>
          <w:sz w:val="18"/>
          <w:szCs w:val="18"/>
        </w:rPr>
      </w:pPr>
    </w:p>
    <w:p w14:paraId="4FB4B2CD" w14:textId="510ADE09" w:rsidR="008400BA" w:rsidRDefault="00624628" w:rsidP="00E47BA9">
      <w:pPr>
        <w:pStyle w:val="BlockText"/>
        <w:rPr>
          <w:rFonts w:ascii="Times New Roman" w:hAnsi="Times New Roman" w:cs="Times New Roman"/>
          <w:sz w:val="18"/>
          <w:szCs w:val="18"/>
        </w:rPr>
      </w:pPr>
      <w:r w:rsidRPr="00624628">
        <w:rPr>
          <w:rFonts w:ascii="Times New Roman" w:hAnsi="Times New Roman" w:cs="Times New Roman"/>
          <w:b/>
          <w:bCs/>
          <w:sz w:val="18"/>
          <w:szCs w:val="18"/>
        </w:rPr>
        <w:t>Figure 3</w:t>
      </w:r>
      <w:r w:rsidRPr="00624628">
        <w:rPr>
          <w:rFonts w:ascii="Times New Roman" w:hAnsi="Times New Roman" w:cs="Times New Roman"/>
          <w:sz w:val="18"/>
          <w:szCs w:val="18"/>
        </w:rPr>
        <w:t>:</w:t>
      </w:r>
      <w:r w:rsidR="008400BA">
        <w:rPr>
          <w:rFonts w:ascii="Times New Roman" w:hAnsi="Times New Roman" w:cs="Times New Roman"/>
          <w:sz w:val="18"/>
          <w:szCs w:val="18"/>
        </w:rPr>
        <w:t xml:space="preserve"> </w:t>
      </w:r>
      <w:r w:rsidRPr="00624628">
        <w:rPr>
          <w:rFonts w:ascii="Times New Roman" w:hAnsi="Times New Roman" w:cs="Times New Roman"/>
          <w:sz w:val="18"/>
          <w:szCs w:val="18"/>
        </w:rPr>
        <w:t xml:space="preserve">Updated model of MR based on Van </w:t>
      </w:r>
      <w:proofErr w:type="spellStart"/>
      <w:r w:rsidRPr="00624628">
        <w:rPr>
          <w:rFonts w:ascii="Times New Roman" w:hAnsi="Times New Roman" w:cs="Times New Roman"/>
          <w:sz w:val="18"/>
          <w:szCs w:val="18"/>
        </w:rPr>
        <w:t>Boekel’s</w:t>
      </w:r>
      <w:proofErr w:type="spellEnd"/>
      <w:r w:rsidRPr="00624628">
        <w:rPr>
          <w:rFonts w:ascii="Times New Roman" w:hAnsi="Times New Roman" w:cs="Times New Roman"/>
          <w:sz w:val="18"/>
          <w:szCs w:val="18"/>
        </w:rPr>
        <w:t xml:space="preserve"> one. Circled in blue, the species added. </w:t>
      </w:r>
    </w:p>
    <w:p w14:paraId="5564CB65" w14:textId="77777777" w:rsidR="00C46022" w:rsidRPr="00C46022" w:rsidRDefault="00C46022" w:rsidP="00C46022">
      <w:pPr>
        <w:pStyle w:val="BodyText"/>
        <w:rPr>
          <w:lang w:val="en-US" w:eastAsia="en-US"/>
        </w:rPr>
      </w:pPr>
    </w:p>
    <w:p w14:paraId="64C37385" w14:textId="77777777" w:rsidR="00A90D35" w:rsidRDefault="00A90D35" w:rsidP="000F197A">
      <w:pPr>
        <w:spacing w:before="300" w:after="300"/>
        <w:ind w:right="3969"/>
        <w:jc w:val="both"/>
        <w:rPr>
          <w:b/>
          <w:bCs/>
          <w:color w:val="000000"/>
          <w:sz w:val="24"/>
          <w:lang w:val="en-GB"/>
        </w:rPr>
      </w:pPr>
    </w:p>
    <w:p w14:paraId="4A28FD62" w14:textId="09CEFCC3" w:rsidR="00512D9B" w:rsidRDefault="00FB589C" w:rsidP="00A90EF5">
      <w:pPr>
        <w:spacing w:before="120" w:after="120"/>
        <w:ind w:right="3969"/>
        <w:jc w:val="both"/>
        <w:rPr>
          <w:b/>
          <w:bCs/>
          <w:color w:val="000000"/>
          <w:sz w:val="24"/>
          <w:lang w:val="en-GB"/>
        </w:rPr>
      </w:pPr>
      <w:r>
        <w:rPr>
          <w:b/>
          <w:bCs/>
          <w:color w:val="000000"/>
          <w:sz w:val="24"/>
          <w:lang w:val="en-GB"/>
        </w:rPr>
        <w:t>4. References</w:t>
      </w:r>
    </w:p>
    <w:p w14:paraId="62F66A1B" w14:textId="2DBD0FE1" w:rsidR="00175EEB" w:rsidRPr="00576CA2" w:rsidRDefault="005912E1" w:rsidP="00E47BA9">
      <w:pPr>
        <w:autoSpaceDE w:val="0"/>
        <w:autoSpaceDN w:val="0"/>
        <w:adjustRightInd w:val="0"/>
        <w:jc w:val="both"/>
        <w:rPr>
          <w:noProof/>
          <w:sz w:val="18"/>
          <w:szCs w:val="24"/>
          <w:lang w:val="en-GB"/>
        </w:rPr>
      </w:pPr>
      <w:r>
        <w:rPr>
          <w:sz w:val="18"/>
          <w:szCs w:val="18"/>
          <w:lang w:val="en-GB"/>
        </w:rPr>
        <w:fldChar w:fldCharType="begin" w:fldLock="1"/>
      </w:r>
      <w:r>
        <w:rPr>
          <w:sz w:val="18"/>
          <w:szCs w:val="18"/>
          <w:lang w:val="en-GB"/>
        </w:rPr>
        <w:instrText xml:space="preserve">ADDIN Mendeley Bibliography CSL_BIBLIOGRAPHY </w:instrText>
      </w:r>
      <w:r>
        <w:rPr>
          <w:sz w:val="18"/>
          <w:szCs w:val="18"/>
          <w:lang w:val="en-GB"/>
        </w:rPr>
        <w:fldChar w:fldCharType="separate"/>
      </w:r>
      <w:r w:rsidR="00175EEB" w:rsidRPr="00576CA2">
        <w:rPr>
          <w:noProof/>
          <w:sz w:val="18"/>
          <w:szCs w:val="24"/>
          <w:lang w:val="en-GB"/>
        </w:rPr>
        <w:t xml:space="preserve">Ding, Y. </w:t>
      </w:r>
      <w:r w:rsidR="00175EEB" w:rsidRPr="00576CA2">
        <w:rPr>
          <w:i/>
          <w:iCs/>
          <w:noProof/>
          <w:sz w:val="18"/>
          <w:szCs w:val="24"/>
          <w:lang w:val="en-GB"/>
        </w:rPr>
        <w:t>et al.</w:t>
      </w:r>
      <w:r w:rsidR="00175EEB" w:rsidRPr="00576CA2">
        <w:rPr>
          <w:noProof/>
          <w:sz w:val="18"/>
          <w:szCs w:val="24"/>
          <w:lang w:val="en-GB"/>
        </w:rPr>
        <w:t xml:space="preserve"> (2022) ‘HPLC-Triple detector (Coulometric array, diode array and mass spectrometer) for the analysis of antioxidants in officinal plants’, </w:t>
      </w:r>
      <w:r w:rsidR="00175EEB" w:rsidRPr="00576CA2">
        <w:rPr>
          <w:i/>
          <w:iCs/>
          <w:noProof/>
          <w:sz w:val="18"/>
          <w:szCs w:val="24"/>
          <w:lang w:val="en-GB"/>
        </w:rPr>
        <w:t>Lwt</w:t>
      </w:r>
      <w:r w:rsidR="00175EEB" w:rsidRPr="00576CA2">
        <w:rPr>
          <w:noProof/>
          <w:sz w:val="18"/>
          <w:szCs w:val="24"/>
          <w:lang w:val="en-GB"/>
        </w:rPr>
        <w:t xml:space="preserve">, 162(April), p. 113456. </w:t>
      </w:r>
    </w:p>
    <w:p w14:paraId="22518612" w14:textId="77777777" w:rsidR="00175EEB" w:rsidRPr="00576CA2" w:rsidRDefault="00175EEB" w:rsidP="00E47BA9">
      <w:pPr>
        <w:autoSpaceDE w:val="0"/>
        <w:autoSpaceDN w:val="0"/>
        <w:adjustRightInd w:val="0"/>
        <w:jc w:val="both"/>
        <w:rPr>
          <w:noProof/>
          <w:sz w:val="18"/>
          <w:szCs w:val="24"/>
          <w:lang w:val="en-GB"/>
        </w:rPr>
      </w:pPr>
      <w:r w:rsidRPr="00576CA2">
        <w:rPr>
          <w:noProof/>
          <w:sz w:val="18"/>
          <w:szCs w:val="24"/>
          <w:lang w:val="en-GB"/>
        </w:rPr>
        <w:t xml:space="preserve">George, R. W. and Milton, S. F. (1983) </w:t>
      </w:r>
      <w:r w:rsidRPr="00576CA2">
        <w:rPr>
          <w:i/>
          <w:iCs/>
          <w:noProof/>
          <w:sz w:val="18"/>
          <w:szCs w:val="24"/>
          <w:lang w:val="en-GB"/>
        </w:rPr>
        <w:t>The Maillar in Foods and Nutrition</w:t>
      </w:r>
      <w:r w:rsidRPr="00576CA2">
        <w:rPr>
          <w:noProof/>
          <w:sz w:val="18"/>
          <w:szCs w:val="24"/>
          <w:lang w:val="en-GB"/>
        </w:rPr>
        <w:t xml:space="preserve">, </w:t>
      </w:r>
      <w:r w:rsidRPr="00576CA2">
        <w:rPr>
          <w:i/>
          <w:iCs/>
          <w:noProof/>
          <w:sz w:val="18"/>
          <w:szCs w:val="24"/>
          <w:lang w:val="en-GB"/>
        </w:rPr>
        <w:t>Acs Symposium Series</w:t>
      </w:r>
      <w:r w:rsidRPr="00576CA2">
        <w:rPr>
          <w:noProof/>
          <w:sz w:val="18"/>
          <w:szCs w:val="24"/>
          <w:lang w:val="en-GB"/>
        </w:rPr>
        <w:t>.</w:t>
      </w:r>
    </w:p>
    <w:p w14:paraId="2C912879" w14:textId="4916FFEE" w:rsidR="00175EEB" w:rsidRPr="00576CA2" w:rsidRDefault="00175EEB" w:rsidP="00E47BA9">
      <w:pPr>
        <w:autoSpaceDE w:val="0"/>
        <w:autoSpaceDN w:val="0"/>
        <w:adjustRightInd w:val="0"/>
        <w:jc w:val="both"/>
        <w:rPr>
          <w:noProof/>
          <w:sz w:val="18"/>
          <w:szCs w:val="24"/>
          <w:lang w:val="en-GB"/>
        </w:rPr>
      </w:pPr>
      <w:r w:rsidRPr="00576CA2">
        <w:rPr>
          <w:noProof/>
          <w:sz w:val="18"/>
          <w:szCs w:val="24"/>
          <w:lang w:val="en-GB"/>
        </w:rPr>
        <w:t xml:space="preserve">Hayas, F., Bong Kim, S. and Kato, H. (1985) ‘Maillard reaction products formed from d-glucose and glycine and the formation mechanisms of amides as major components’, </w:t>
      </w:r>
      <w:r w:rsidRPr="00576CA2">
        <w:rPr>
          <w:i/>
          <w:iCs/>
          <w:noProof/>
          <w:sz w:val="18"/>
          <w:szCs w:val="24"/>
          <w:lang w:val="en-GB"/>
        </w:rPr>
        <w:t>Agricultural and Biological Chemistry</w:t>
      </w:r>
      <w:r w:rsidRPr="00576CA2">
        <w:rPr>
          <w:noProof/>
          <w:sz w:val="18"/>
          <w:szCs w:val="24"/>
          <w:lang w:val="en-GB"/>
        </w:rPr>
        <w:t xml:space="preserve">, 49(8), pp. 2337–2341. </w:t>
      </w:r>
    </w:p>
    <w:p w14:paraId="57CA6BD1" w14:textId="12653B75" w:rsidR="00175EEB" w:rsidRPr="00576CA2" w:rsidRDefault="00175EEB" w:rsidP="00E47BA9">
      <w:pPr>
        <w:autoSpaceDE w:val="0"/>
        <w:autoSpaceDN w:val="0"/>
        <w:adjustRightInd w:val="0"/>
        <w:jc w:val="both"/>
        <w:rPr>
          <w:noProof/>
          <w:sz w:val="18"/>
          <w:lang w:val="en-GB"/>
        </w:rPr>
      </w:pPr>
      <w:r w:rsidRPr="00576CA2">
        <w:rPr>
          <w:noProof/>
          <w:sz w:val="18"/>
          <w:szCs w:val="24"/>
          <w:lang w:val="en-GB"/>
        </w:rPr>
        <w:t xml:space="preserve">Martins, S. I. F. S. and Van Boekel, M. A. J. S. (2005) ‘A kinetic model for the glucose/glycine Maillard reaction pathways’, </w:t>
      </w:r>
      <w:r w:rsidRPr="00576CA2">
        <w:rPr>
          <w:i/>
          <w:iCs/>
          <w:noProof/>
          <w:sz w:val="18"/>
          <w:szCs w:val="24"/>
          <w:lang w:val="en-GB"/>
        </w:rPr>
        <w:t>Food Chemistry</w:t>
      </w:r>
      <w:r w:rsidRPr="00576CA2">
        <w:rPr>
          <w:noProof/>
          <w:sz w:val="18"/>
          <w:szCs w:val="24"/>
          <w:lang w:val="en-GB"/>
        </w:rPr>
        <w:t xml:space="preserve">, 90(1–2), pp. 257–269. </w:t>
      </w:r>
    </w:p>
    <w:p w14:paraId="1E571C23" w14:textId="63F6811B" w:rsidR="00512D9B" w:rsidRPr="00E94789" w:rsidRDefault="005912E1" w:rsidP="00E47BA9">
      <w:pPr>
        <w:jc w:val="both"/>
        <w:rPr>
          <w:sz w:val="18"/>
          <w:szCs w:val="18"/>
          <w:lang w:val="en-GB"/>
        </w:rPr>
      </w:pPr>
      <w:r>
        <w:rPr>
          <w:sz w:val="18"/>
          <w:szCs w:val="18"/>
          <w:lang w:val="en-GB"/>
        </w:rPr>
        <w:fldChar w:fldCharType="end"/>
      </w:r>
    </w:p>
    <w:sectPr w:rsidR="00512D9B" w:rsidRPr="00E94789" w:rsidSect="005217A8">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EE91" w14:textId="77777777" w:rsidR="00457BCD" w:rsidRDefault="00457BCD">
      <w:r>
        <w:separator/>
      </w:r>
    </w:p>
  </w:endnote>
  <w:endnote w:type="continuationSeparator" w:id="0">
    <w:p w14:paraId="7290FFB1" w14:textId="77777777" w:rsidR="00457BCD" w:rsidRDefault="0045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8BE8" w14:textId="77777777" w:rsidR="00457BCD" w:rsidRDefault="00457BCD">
      <w:r>
        <w:separator/>
      </w:r>
    </w:p>
  </w:footnote>
  <w:footnote w:type="continuationSeparator" w:id="0">
    <w:p w14:paraId="355C658D" w14:textId="77777777" w:rsidR="00457BCD" w:rsidRDefault="00457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Heading7"/>
      <w:lvlText w:val="%7"/>
      <w:lvlJc w:val="left"/>
      <w:pPr>
        <w:tabs>
          <w:tab w:val="num" w:pos="1296"/>
        </w:tabs>
        <w:ind w:left="1296" w:hanging="1296"/>
      </w:pPr>
    </w:lvl>
    <w:lvl w:ilvl="7">
      <w:start w:val="1"/>
      <w:numFmt w:val="decimal"/>
      <w:pStyle w:val="Heading8"/>
      <w:lvlText w:val="%7.%8"/>
      <w:lvlJc w:val="left"/>
      <w:pPr>
        <w:tabs>
          <w:tab w:val="num" w:pos="1440"/>
        </w:tabs>
        <w:ind w:left="1440" w:hanging="1440"/>
      </w:pPr>
    </w:lvl>
    <w:lvl w:ilvl="8">
      <w:start w:val="1"/>
      <w:numFmt w:val="decimal"/>
      <w:pStyle w:val="Heading9"/>
      <w:lvlText w:val="%7.%8.%9"/>
      <w:lvlJc w:val="left"/>
      <w:pPr>
        <w:tabs>
          <w:tab w:val="num" w:pos="1584"/>
        </w:tabs>
        <w:ind w:left="1584" w:hanging="1584"/>
      </w:pPr>
    </w:lvl>
  </w:abstractNum>
  <w:num w:numId="1" w16cid:durableId="588731170">
    <w:abstractNumId w:val="1"/>
  </w:num>
  <w:num w:numId="2" w16cid:durableId="554315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F197A"/>
    <w:rsid w:val="001236A9"/>
    <w:rsid w:val="001475F3"/>
    <w:rsid w:val="00175EEB"/>
    <w:rsid w:val="002B60D3"/>
    <w:rsid w:val="002F38F1"/>
    <w:rsid w:val="003642F2"/>
    <w:rsid w:val="003E5ABE"/>
    <w:rsid w:val="00432AC7"/>
    <w:rsid w:val="00457BCD"/>
    <w:rsid w:val="00471B34"/>
    <w:rsid w:val="00512AB9"/>
    <w:rsid w:val="00512D9B"/>
    <w:rsid w:val="005217A8"/>
    <w:rsid w:val="00557B7F"/>
    <w:rsid w:val="005700C3"/>
    <w:rsid w:val="00576CA2"/>
    <w:rsid w:val="00582357"/>
    <w:rsid w:val="005912E1"/>
    <w:rsid w:val="00624628"/>
    <w:rsid w:val="00746B7D"/>
    <w:rsid w:val="007607CE"/>
    <w:rsid w:val="007E1A6E"/>
    <w:rsid w:val="008400BA"/>
    <w:rsid w:val="00851F0A"/>
    <w:rsid w:val="008860D1"/>
    <w:rsid w:val="009854CA"/>
    <w:rsid w:val="00995D97"/>
    <w:rsid w:val="00A90D35"/>
    <w:rsid w:val="00A90EF5"/>
    <w:rsid w:val="00B54456"/>
    <w:rsid w:val="00B57A40"/>
    <w:rsid w:val="00B8178F"/>
    <w:rsid w:val="00BA5073"/>
    <w:rsid w:val="00C44B38"/>
    <w:rsid w:val="00C46022"/>
    <w:rsid w:val="00CB40C3"/>
    <w:rsid w:val="00CB5590"/>
    <w:rsid w:val="00CC0330"/>
    <w:rsid w:val="00CD4BCA"/>
    <w:rsid w:val="00D05DFD"/>
    <w:rsid w:val="00D76006"/>
    <w:rsid w:val="00D94E19"/>
    <w:rsid w:val="00DB66C7"/>
    <w:rsid w:val="00E17675"/>
    <w:rsid w:val="00E47BA9"/>
    <w:rsid w:val="00E94789"/>
    <w:rsid w:val="00F025DD"/>
    <w:rsid w:val="00FB58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Heading1">
    <w:name w:val="heading 1"/>
    <w:basedOn w:val="Normal"/>
    <w:next w:val="Normal"/>
    <w:uiPriority w:val="9"/>
    <w:qFormat/>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uiPriority w:val="9"/>
    <w:unhideWhenUsed/>
    <w:qFormat/>
    <w:pPr>
      <w:keepNext/>
      <w:outlineLvl w:val="1"/>
    </w:pPr>
    <w:rPr>
      <w:sz w:val="32"/>
    </w:rPr>
  </w:style>
  <w:style w:type="paragraph" w:styleId="Heading3">
    <w:name w:val="heading 3"/>
    <w:basedOn w:val="Normal"/>
    <w:next w:val="Normal"/>
    <w:uiPriority w:val="9"/>
    <w:unhideWhenUsed/>
    <w:qFormat/>
    <w:pPr>
      <w:keepNext/>
      <w:outlineLvl w:val="2"/>
    </w:pPr>
    <w:rPr>
      <w:sz w:val="28"/>
      <w:lang w:val="en-US"/>
    </w:rPr>
  </w:style>
  <w:style w:type="paragraph" w:styleId="Heading4">
    <w:name w:val="heading 4"/>
    <w:basedOn w:val="Normal"/>
    <w:next w:val="Normal"/>
    <w:uiPriority w:val="9"/>
    <w:semiHidden/>
    <w:unhideWhenUsed/>
    <w:qFormat/>
    <w:pPr>
      <w:keepNext/>
      <w:widowControl/>
      <w:outlineLvl w:val="3"/>
    </w:pPr>
    <w:rPr>
      <w:color w:val="000000"/>
      <w:sz w:val="24"/>
    </w:rPr>
  </w:style>
  <w:style w:type="paragraph" w:styleId="Heading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Heading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Heading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Heading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Heading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CommentReferenc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le">
    <w:name w:val="Title"/>
    <w:basedOn w:val="Normal"/>
    <w:next w:val="Normal"/>
    <w:uiPriority w:val="10"/>
    <w:qFormat/>
    <w:pPr>
      <w:widowControl/>
      <w:spacing w:before="720" w:after="120" w:line="264" w:lineRule="auto"/>
      <w:jc w:val="center"/>
    </w:pPr>
    <w:rPr>
      <w:b/>
      <w:kern w:val="2"/>
      <w:sz w:val="28"/>
      <w:lang w:val="nl-NL"/>
    </w:rPr>
  </w:style>
  <w:style w:type="paragraph" w:styleId="BodyText">
    <w:name w:val="Body Text"/>
    <w:basedOn w:val="Normal"/>
    <w:rPr>
      <w:i/>
      <w:iCs/>
      <w:sz w:val="3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BodyText2">
    <w:name w:val="Body Text 2"/>
    <w:basedOn w:val="Normal"/>
    <w:qFormat/>
    <w:pPr>
      <w:shd w:val="clear" w:color="auto" w:fill="FFFFFF"/>
    </w:pPr>
    <w:rPr>
      <w:b/>
      <w:bCs/>
      <w:i/>
      <w:iCs/>
      <w:sz w:val="28"/>
    </w:rPr>
  </w:style>
  <w:style w:type="paragraph" w:styleId="BodyText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Number">
    <w:name w:val="List Number"/>
    <w:basedOn w:val="Normal"/>
    <w:qFormat/>
    <w:pPr>
      <w:widowControl/>
      <w:textAlignment w:val="baseline"/>
    </w:pPr>
  </w:style>
  <w:style w:type="paragraph" w:styleId="ListNumber2">
    <w:name w:val="List Number 2"/>
    <w:basedOn w:val="Normal"/>
    <w:qFormat/>
    <w:pPr>
      <w:widowControl/>
      <w:textAlignment w:val="baseline"/>
    </w:pPr>
  </w:style>
  <w:style w:type="paragraph" w:styleId="ListNumber3">
    <w:name w:val="List Number 3"/>
    <w:basedOn w:val="Normal"/>
    <w:qFormat/>
    <w:pPr>
      <w:widowControl/>
      <w:textAlignment w:val="baseline"/>
    </w:pPr>
  </w:style>
  <w:style w:type="paragraph" w:styleId="ListNumber4">
    <w:name w:val="List Number 4"/>
    <w:basedOn w:val="Normal"/>
    <w:qFormat/>
    <w:pPr>
      <w:widowControl/>
      <w:textAlignment w:val="baseline"/>
    </w:pPr>
  </w:style>
  <w:style w:type="paragraph" w:styleId="ListNumber5">
    <w:name w:val="List Number 5"/>
    <w:basedOn w:val="Normal"/>
    <w:qFormat/>
    <w:pPr>
      <w:widowControl/>
      <w:textAlignment w:val="baseline"/>
    </w:pPr>
  </w:style>
  <w:style w:type="paragraph" w:styleId="ListBullet">
    <w:name w:val="List Bullet"/>
    <w:basedOn w:val="Normal"/>
    <w:qFormat/>
    <w:pPr>
      <w:widowControl/>
      <w:textAlignment w:val="baseline"/>
    </w:pPr>
  </w:style>
  <w:style w:type="paragraph" w:styleId="ListBullet2">
    <w:name w:val="List Bullet 2"/>
    <w:basedOn w:val="Normal"/>
    <w:qFormat/>
    <w:pPr>
      <w:widowControl/>
      <w:textAlignment w:val="baseline"/>
    </w:pPr>
  </w:style>
  <w:style w:type="paragraph" w:styleId="ListBullet3">
    <w:name w:val="List Bullet 3"/>
    <w:basedOn w:val="Normal"/>
    <w:qFormat/>
    <w:pPr>
      <w:widowControl/>
      <w:textAlignment w:val="baseline"/>
    </w:pPr>
  </w:style>
  <w:style w:type="paragraph" w:styleId="ListBullet4">
    <w:name w:val="List Bullet 4"/>
    <w:basedOn w:val="Normal"/>
    <w:qFormat/>
    <w:pPr>
      <w:widowControl/>
      <w:textAlignment w:val="baseline"/>
    </w:pPr>
  </w:style>
  <w:style w:type="paragraph" w:styleId="ListBullet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Header">
    <w:name w:val="header"/>
    <w:basedOn w:val="Normal"/>
    <w:pPr>
      <w:widowControl/>
      <w:tabs>
        <w:tab w:val="center" w:pos="4819"/>
        <w:tab w:val="right" w:pos="9638"/>
      </w:tabs>
      <w:spacing w:line="264" w:lineRule="auto"/>
      <w:jc w:val="both"/>
    </w:pPr>
    <w:rPr>
      <w:kern w:val="2"/>
      <w:lang w:val="nl-NL"/>
    </w:rPr>
  </w:style>
  <w:style w:type="paragraph" w:styleId="BodyTextIndent2">
    <w:name w:val="Body Text Indent 2"/>
    <w:basedOn w:val="Normal"/>
    <w:qFormat/>
    <w:pPr>
      <w:widowControl/>
      <w:ind w:firstLine="426"/>
      <w:jc w:val="both"/>
      <w:textAlignment w:val="baseline"/>
    </w:pPr>
    <w:rPr>
      <w:bCs/>
      <w:sz w:val="24"/>
      <w:lang w:val="en-GB"/>
    </w:rPr>
  </w:style>
  <w:style w:type="paragraph" w:styleId="BodyTextIndent">
    <w:name w:val="Body Text Indent"/>
    <w:basedOn w:val="Normal"/>
    <w:pPr>
      <w:widowControl/>
      <w:spacing w:line="264" w:lineRule="auto"/>
      <w:ind w:left="284" w:hanging="284"/>
      <w:jc w:val="both"/>
    </w:pPr>
    <w:rPr>
      <w:kern w:val="2"/>
      <w:lang w:val="en-GB"/>
    </w:rPr>
  </w:style>
  <w:style w:type="paragraph" w:styleId="Footer">
    <w:name w:val="footer"/>
    <w:basedOn w:val="Normal"/>
    <w:pPr>
      <w:tabs>
        <w:tab w:val="center" w:pos="4153"/>
        <w:tab w:val="right" w:pos="8306"/>
      </w:tabs>
    </w:pPr>
  </w:style>
  <w:style w:type="paragraph" w:styleId="BodyTextIndent3">
    <w:name w:val="Body Text Indent 3"/>
    <w:basedOn w:val="Normal"/>
    <w:qFormat/>
    <w:pPr>
      <w:widowControl/>
      <w:spacing w:after="120"/>
      <w:ind w:left="283"/>
      <w:textAlignment w:val="baseline"/>
    </w:pPr>
    <w:rPr>
      <w:sz w:val="16"/>
      <w:szCs w:val="16"/>
    </w:rPr>
  </w:style>
  <w:style w:type="paragraph" w:styleId="CommentText">
    <w:name w:val="annotation text"/>
    <w:basedOn w:val="Normal"/>
    <w:qFormat/>
  </w:style>
  <w:style w:type="paragraph" w:styleId="BalloonText">
    <w:name w:val="Balloon Text"/>
    <w:basedOn w:val="Normal"/>
    <w:qFormat/>
    <w:rPr>
      <w:rFonts w:ascii="Tahoma" w:hAnsi="Tahoma" w:cs="Tahoma"/>
      <w:sz w:val="16"/>
      <w:szCs w:val="16"/>
    </w:rPr>
  </w:style>
  <w:style w:type="paragraph" w:styleId="CommentSubject">
    <w:name w:val="annotation subject"/>
    <w:basedOn w:val="CommentText"/>
    <w:next w:val="CommentText"/>
    <w:qFormat/>
    <w:rPr>
      <w:b/>
      <w:bCs/>
    </w:rPr>
  </w:style>
  <w:style w:type="paragraph" w:styleId="FootnoteText">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customStyle="1" w:styleId="FirstParagraph">
    <w:name w:val="First Paragraph"/>
    <w:basedOn w:val="BodyText"/>
    <w:next w:val="BodyText"/>
    <w:qFormat/>
    <w:rsid w:val="00512AB9"/>
    <w:pPr>
      <w:widowControl/>
      <w:suppressAutoHyphens w:val="0"/>
      <w:spacing w:before="180" w:after="180"/>
      <w:jc w:val="both"/>
    </w:pPr>
    <w:rPr>
      <w:rFonts w:ascii="Palatino Linotype" w:eastAsiaTheme="minorHAnsi" w:hAnsi="Palatino Linotype" w:cstheme="minorBidi"/>
      <w:i w:val="0"/>
      <w:iCs w:val="0"/>
      <w:sz w:val="22"/>
      <w:szCs w:val="24"/>
      <w:lang w:val="en-US" w:eastAsia="en-US"/>
    </w:rPr>
  </w:style>
  <w:style w:type="paragraph" w:styleId="BlockText">
    <w:name w:val="Block Text"/>
    <w:basedOn w:val="BodyText"/>
    <w:next w:val="BodyText"/>
    <w:uiPriority w:val="9"/>
    <w:unhideWhenUsed/>
    <w:qFormat/>
    <w:rsid w:val="00624628"/>
    <w:pPr>
      <w:widowControl/>
      <w:suppressAutoHyphens w:val="0"/>
      <w:spacing w:before="100" w:after="100"/>
      <w:ind w:left="480" w:right="480"/>
      <w:jc w:val="both"/>
    </w:pPr>
    <w:rPr>
      <w:rFonts w:ascii="Palatino Linotype" w:eastAsiaTheme="minorHAnsi" w:hAnsi="Palatino Linotype" w:cstheme="minorBidi"/>
      <w:i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ED4A-1A41-48C6-9E11-161261CE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2910</Words>
  <Characters>16588</Characters>
  <Application>Microsoft Office Word</Application>
  <DocSecurity>0</DocSecurity>
  <Lines>138</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Bolchini Sara (Student AGR 21)</cp:lastModifiedBy>
  <cp:revision>33</cp:revision>
  <cp:lastPrinted>2023-02-24T09:51:00Z</cp:lastPrinted>
  <dcterms:created xsi:type="dcterms:W3CDTF">2023-02-24T10:00:00Z</dcterms:created>
  <dcterms:modified xsi:type="dcterms:W3CDTF">2023-06-23T13:34:00Z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Mendeley Document_1">
    <vt:lpwstr>True</vt:lpwstr>
  </property>
  <property fmtid="{D5CDD505-2E9C-101B-9397-08002B2CF9AE}" pid="4" name="Mendeley Unique User Id_1">
    <vt:lpwstr>4c259fb2-d1e4-3744-b09c-74032be827d6</vt:lpwstr>
  </property>
  <property fmtid="{D5CDD505-2E9C-101B-9397-08002B2CF9AE}" pid="5" name="Mendeley Citation Style_1">
    <vt:lpwstr>http://www.zotero.org/styles/harvard1</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(deprecated)</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