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D0FE6" w14:textId="04D1A4C2" w:rsidR="00512D9B" w:rsidRPr="00F95C99" w:rsidRDefault="004F1E83">
      <w:pPr>
        <w:pStyle w:val="Title"/>
        <w:spacing w:before="600" w:line="240" w:lineRule="auto"/>
        <w:rPr>
          <w:lang w:val="en-US"/>
        </w:rPr>
      </w:pPr>
      <w:r>
        <w:rPr>
          <w:lang w:val="en-GB"/>
        </w:rPr>
        <w:t xml:space="preserve">   </w:t>
      </w:r>
      <w:r w:rsidR="00F95C99" w:rsidRPr="00F95C99">
        <w:rPr>
          <w:lang w:val="en-GB"/>
        </w:rPr>
        <w:t>Authentication of Hay Milk and its Dairy Products with Nuclear Magnetic Resonance Spectroscopy</w:t>
      </w:r>
    </w:p>
    <w:p w14:paraId="0B08AA7E" w14:textId="1CD84FF1" w:rsidR="00F95C99" w:rsidRPr="00F95C99" w:rsidRDefault="00F95C99" w:rsidP="00F95C99">
      <w:pPr>
        <w:jc w:val="center"/>
        <w:rPr>
          <w:lang w:val="en-US"/>
        </w:rPr>
      </w:pPr>
      <w:r w:rsidRPr="00F95C99">
        <w:rPr>
          <w:lang w:val="en-US"/>
        </w:rPr>
        <w:t>Dilek Eltemur (dilek.eltemur@student.unibz.it)</w:t>
      </w:r>
    </w:p>
    <w:p w14:paraId="66815141" w14:textId="53295B3A" w:rsidR="00F95C99" w:rsidRPr="00F95C99" w:rsidRDefault="00AD5D27" w:rsidP="00F95C99">
      <w:pPr>
        <w:jc w:val="center"/>
        <w:rPr>
          <w:lang w:val="en-GB"/>
        </w:rPr>
      </w:pPr>
      <w:r>
        <w:rPr>
          <w:lang w:val="en-GB"/>
        </w:rPr>
        <w:t>Dept.</w:t>
      </w:r>
      <w:r w:rsidR="00F95C99" w:rsidRPr="00F95C99">
        <w:rPr>
          <w:lang w:val="en-GB"/>
        </w:rPr>
        <w:t xml:space="preserve"> Agricultural, Environmental and Food Sciences, Free University of Bolzano, Bolzano, Italy</w:t>
      </w:r>
    </w:p>
    <w:p w14:paraId="0A170E46" w14:textId="60ADFA1E" w:rsidR="00F95C99" w:rsidRPr="00F95C99" w:rsidRDefault="00F95C99" w:rsidP="00F95C99">
      <w:pPr>
        <w:jc w:val="center"/>
      </w:pPr>
      <w:r w:rsidRPr="00F95C99">
        <w:t xml:space="preserve">Tutor: Prof. Matteo Scampicchio </w:t>
      </w:r>
    </w:p>
    <w:p w14:paraId="6D2C157D" w14:textId="05BD6AF7" w:rsidR="00512D9B" w:rsidRPr="00B55EFC" w:rsidRDefault="00F95C99" w:rsidP="00F95C99">
      <w:pPr>
        <w:jc w:val="center"/>
      </w:pPr>
      <w:r w:rsidRPr="00B55EFC">
        <w:t>Co-tutors: Dr. Michael Oberhuber, Dr. Peter Robatscher, Dr. Ksenia Morozova</w:t>
      </w:r>
    </w:p>
    <w:p w14:paraId="4F4155F1" w14:textId="77777777" w:rsidR="00512D9B" w:rsidRPr="00B55EFC" w:rsidRDefault="00512D9B">
      <w:pPr>
        <w:tabs>
          <w:tab w:val="left" w:pos="0"/>
        </w:tabs>
        <w:jc w:val="both"/>
      </w:pPr>
    </w:p>
    <w:p w14:paraId="188AF05F" w14:textId="5EA59C97" w:rsidR="00512D9B" w:rsidRPr="00746B7D" w:rsidRDefault="00F95C99">
      <w:pPr>
        <w:tabs>
          <w:tab w:val="left" w:pos="0"/>
        </w:tabs>
        <w:jc w:val="both"/>
        <w:rPr>
          <w:lang w:val="en-US"/>
        </w:rPr>
      </w:pPr>
      <w:r w:rsidRPr="00F95C99">
        <w:rPr>
          <w:lang w:val="en-GB"/>
        </w:rPr>
        <w:t xml:space="preserve">The EU product specification of </w:t>
      </w:r>
      <w:proofErr w:type="spellStart"/>
      <w:r w:rsidRPr="00F95C99">
        <w:rPr>
          <w:lang w:val="en-GB"/>
        </w:rPr>
        <w:t>Haymilk</w:t>
      </w:r>
      <w:proofErr w:type="spellEnd"/>
      <w:r w:rsidRPr="00F95C99">
        <w:rPr>
          <w:lang w:val="en-GB"/>
        </w:rPr>
        <w:t xml:space="preserve"> does not include an official methodology on its authenticity validation. Accordingly, this work proposed </w:t>
      </w:r>
      <w:r w:rsidRPr="004D6E72">
        <w:rPr>
          <w:vertAlign w:val="superscript"/>
          <w:lang w:val="en-GB"/>
        </w:rPr>
        <w:t>1</w:t>
      </w:r>
      <w:r w:rsidRPr="00F95C99">
        <w:rPr>
          <w:lang w:val="en-GB"/>
        </w:rPr>
        <w:t xml:space="preserve">H-NMR for determination of cyclopropane fatty acids (CPFAs) in milk as a molecular marker for </w:t>
      </w:r>
      <w:proofErr w:type="spellStart"/>
      <w:r w:rsidRPr="00F95C99">
        <w:rPr>
          <w:lang w:val="en-GB"/>
        </w:rPr>
        <w:t>Haymilk</w:t>
      </w:r>
      <w:proofErr w:type="spellEnd"/>
      <w:r w:rsidRPr="00F95C99">
        <w:rPr>
          <w:lang w:val="en-GB"/>
        </w:rPr>
        <w:t xml:space="preserve"> authenticity. The presence of CPFAs was detected in milk samples from maize or grass silage feeding with 97% and 76% accuracy, respectively, whilst authenticity of </w:t>
      </w:r>
      <w:proofErr w:type="spellStart"/>
      <w:r w:rsidRPr="00F95C99">
        <w:rPr>
          <w:lang w:val="en-GB"/>
        </w:rPr>
        <w:t>Haymilk</w:t>
      </w:r>
      <w:proofErr w:type="spellEnd"/>
      <w:r w:rsidRPr="00F95C99">
        <w:rPr>
          <w:lang w:val="en-GB"/>
        </w:rPr>
        <w:t xml:space="preserve"> samples were confirmed with 100% accuracy. The results of this approach were validated by GC-MS analysis. NMR revealed advantageous compared to GC-MS due to </w:t>
      </w:r>
      <w:r w:rsidR="00E865FC">
        <w:rPr>
          <w:lang w:val="en-GB"/>
        </w:rPr>
        <w:t>accurate</w:t>
      </w:r>
      <w:r w:rsidRPr="00F95C99">
        <w:rPr>
          <w:lang w:val="en-GB"/>
        </w:rPr>
        <w:t xml:space="preserve"> determination of CPFAs with unique signal in the up-field region in NMR spectra.</w:t>
      </w:r>
    </w:p>
    <w:p w14:paraId="25341C9E" w14:textId="797015D8" w:rsidR="00512D9B" w:rsidRPr="00E865FC" w:rsidRDefault="00584D33" w:rsidP="00E67B66">
      <w:pPr>
        <w:pStyle w:val="Title"/>
        <w:spacing w:before="240"/>
        <w:rPr>
          <w:sz w:val="24"/>
          <w:szCs w:val="24"/>
        </w:rPr>
      </w:pPr>
      <w:r w:rsidRPr="00E865FC">
        <w:rPr>
          <w:sz w:val="24"/>
          <w:szCs w:val="24"/>
        </w:rPr>
        <w:t xml:space="preserve">Autenticità di Latte Fieno </w:t>
      </w:r>
      <w:r w:rsidR="009A7659">
        <w:rPr>
          <w:sz w:val="24"/>
          <w:szCs w:val="24"/>
        </w:rPr>
        <w:t xml:space="preserve">e </w:t>
      </w:r>
      <w:r w:rsidRPr="00E865FC">
        <w:rPr>
          <w:sz w:val="24"/>
          <w:szCs w:val="24"/>
        </w:rPr>
        <w:t>suoi derivati con spettroscopia di risonanza magnetica</w:t>
      </w:r>
      <w:r w:rsidR="00D42E58">
        <w:rPr>
          <w:sz w:val="24"/>
          <w:szCs w:val="24"/>
        </w:rPr>
        <w:t xml:space="preserve"> </w:t>
      </w:r>
      <w:r w:rsidRPr="00E865FC">
        <w:rPr>
          <w:sz w:val="24"/>
          <w:szCs w:val="24"/>
        </w:rPr>
        <w:t>nucleare ad alta risoluzione</w:t>
      </w:r>
    </w:p>
    <w:p w14:paraId="5B3AA466" w14:textId="3C616EE6" w:rsidR="00512D9B" w:rsidRDefault="00F95C99">
      <w:pPr>
        <w:tabs>
          <w:tab w:val="left" w:pos="0"/>
        </w:tabs>
        <w:jc w:val="both"/>
      </w:pPr>
      <w:r w:rsidRPr="00F95C99">
        <w:t xml:space="preserve">La specificazione “latte fieno” non include una metodologia ufficiale per la validazione della sua autenticità. </w:t>
      </w:r>
      <w:r w:rsidR="00FE2912">
        <w:t>Q</w:t>
      </w:r>
      <w:r w:rsidRPr="00F95C99">
        <w:t xml:space="preserve">uesto lavoro propone </w:t>
      </w:r>
      <w:r w:rsidRPr="00E865FC">
        <w:rPr>
          <w:vertAlign w:val="superscript"/>
        </w:rPr>
        <w:t>1</w:t>
      </w:r>
      <w:r w:rsidRPr="00F95C99">
        <w:t xml:space="preserve">H-NMR per la determinazione di acidi grassi </w:t>
      </w:r>
      <w:proofErr w:type="spellStart"/>
      <w:r w:rsidRPr="00F95C99">
        <w:t>ciclopropanici</w:t>
      </w:r>
      <w:proofErr w:type="spellEnd"/>
      <w:r w:rsidRPr="00F95C99">
        <w:t xml:space="preserve"> (</w:t>
      </w:r>
      <w:proofErr w:type="spellStart"/>
      <w:r w:rsidRPr="00F95C99">
        <w:t>CPFA</w:t>
      </w:r>
      <w:r w:rsidR="005D4F23">
        <w:t>s</w:t>
      </w:r>
      <w:proofErr w:type="spellEnd"/>
      <w:r w:rsidRPr="00F95C99">
        <w:t xml:space="preserve">) nel latte come marker molecolare per l’autenticità del latte fieno. La presenza di </w:t>
      </w:r>
      <w:proofErr w:type="spellStart"/>
      <w:r w:rsidRPr="00F95C99">
        <w:t>CPFA</w:t>
      </w:r>
      <w:r w:rsidR="005D4F23">
        <w:t>s</w:t>
      </w:r>
      <w:proofErr w:type="spellEnd"/>
      <w:r w:rsidRPr="00F95C99">
        <w:t xml:space="preserve"> è stata confermata nei campioni di latte da alimentazione insilata a base di mais o erba rispettivamente per 97% e 76%</w:t>
      </w:r>
      <w:r w:rsidR="00E865FC">
        <w:t xml:space="preserve">, mentre </w:t>
      </w:r>
      <w:r w:rsidR="00735507">
        <w:t xml:space="preserve">l’assenza </w:t>
      </w:r>
      <w:r w:rsidR="007D66EE">
        <w:t>n</w:t>
      </w:r>
      <w:r w:rsidR="00E865FC">
        <w:t>ei</w:t>
      </w:r>
      <w:r w:rsidRPr="00F95C99">
        <w:t xml:space="preserve"> campioni di latte fieno </w:t>
      </w:r>
      <w:r w:rsidR="00E865FC">
        <w:t>per</w:t>
      </w:r>
      <w:r w:rsidRPr="00F95C99">
        <w:t xml:space="preserve"> 100%. Tutti i risultati sono stati validati tramite GC-MS. </w:t>
      </w:r>
      <w:r w:rsidR="00E00C99">
        <w:t>R</w:t>
      </w:r>
      <w:r w:rsidRPr="00F95C99">
        <w:t xml:space="preserve">ispetto GC-MS, NMR si è rivelata più vantaggiosa per la </w:t>
      </w:r>
      <w:r w:rsidR="004B2205" w:rsidRPr="00F95C99">
        <w:t>determinazione accurata</w:t>
      </w:r>
      <w:r w:rsidRPr="00F95C99">
        <w:t xml:space="preserve"> di CPFA dovuta allo specifico segnale nello spettro NMR</w:t>
      </w:r>
      <w:r w:rsidR="00E865FC">
        <w:t>.</w:t>
      </w:r>
    </w:p>
    <w:p w14:paraId="73C1D670" w14:textId="77777777" w:rsidR="00512D9B" w:rsidRDefault="00512D9B">
      <w:pPr>
        <w:tabs>
          <w:tab w:val="left" w:pos="0"/>
        </w:tabs>
        <w:jc w:val="both"/>
      </w:pPr>
    </w:p>
    <w:p w14:paraId="6E4C6A6A" w14:textId="351BF3F6" w:rsidR="00512D9B" w:rsidRPr="00746B7D" w:rsidRDefault="00FB589C">
      <w:pPr>
        <w:ind w:left="567" w:hanging="567"/>
        <w:jc w:val="both"/>
        <w:rPr>
          <w:lang w:val="en-US"/>
        </w:rPr>
      </w:pPr>
      <w:r>
        <w:rPr>
          <w:b/>
          <w:bCs/>
          <w:lang w:val="en-GB"/>
        </w:rPr>
        <w:t>Key words</w:t>
      </w:r>
      <w:r>
        <w:rPr>
          <w:lang w:val="en-GB"/>
        </w:rPr>
        <w:t xml:space="preserve">: </w:t>
      </w:r>
      <w:r w:rsidR="00F95C99" w:rsidRPr="00F95C99">
        <w:rPr>
          <w:lang w:val="en-GB"/>
        </w:rPr>
        <w:t>cyclopropane fatty acids, nuclear magnetic resonance, food authenticity.</w:t>
      </w:r>
    </w:p>
    <w:p w14:paraId="049B5BB9" w14:textId="486EAACF" w:rsidR="00512D9B" w:rsidRDefault="00FB589C">
      <w:pPr>
        <w:pStyle w:val="Heading1"/>
        <w:spacing w:before="240" w:after="120"/>
        <w:ind w:right="0"/>
        <w:jc w:val="both"/>
        <w:rPr>
          <w:b/>
          <w:bCs/>
          <w:color w:val="000000"/>
          <w:sz w:val="24"/>
          <w:lang w:val="en-GB"/>
        </w:rPr>
      </w:pPr>
      <w:r>
        <w:rPr>
          <w:b/>
          <w:bCs/>
          <w:color w:val="000000"/>
          <w:sz w:val="24"/>
          <w:lang w:val="en-GB"/>
        </w:rPr>
        <w:t>1. Introduction</w:t>
      </w:r>
    </w:p>
    <w:p w14:paraId="272F1300" w14:textId="79ECD65C" w:rsidR="00F95C99" w:rsidRDefault="00FB589C" w:rsidP="00F95C99">
      <w:pPr>
        <w:jc w:val="both"/>
        <w:rPr>
          <w:lang w:val="en-GB"/>
        </w:rPr>
      </w:pPr>
      <w:r>
        <w:rPr>
          <w:lang w:val="en-GB"/>
        </w:rPr>
        <w:t xml:space="preserve"> </w:t>
      </w:r>
      <w:r w:rsidR="00F95C99" w:rsidRPr="00F95C99">
        <w:rPr>
          <w:lang w:val="en-GB"/>
        </w:rPr>
        <w:t xml:space="preserve">In accordance with the PhD thesis project previously described (Eltemur, 2022), this poster reports the main results of the first two activities concerning: </w:t>
      </w:r>
    </w:p>
    <w:p w14:paraId="2DFC3AC4" w14:textId="7020A67B" w:rsidR="00512D9B" w:rsidRPr="00746B7D" w:rsidRDefault="00FB589C" w:rsidP="00F95C99">
      <w:pPr>
        <w:jc w:val="both"/>
        <w:rPr>
          <w:lang w:val="en-US"/>
        </w:rPr>
      </w:pPr>
      <w:r>
        <w:rPr>
          <w:lang w:val="en-GB"/>
        </w:rPr>
        <w:t xml:space="preserve">(A1) </w:t>
      </w:r>
      <w:r w:rsidR="00F95C99">
        <w:rPr>
          <w:lang w:val="en-GB"/>
        </w:rPr>
        <w:t xml:space="preserve">   </w:t>
      </w:r>
      <w:r w:rsidR="00F95C99" w:rsidRPr="00F95C99">
        <w:rPr>
          <w:lang w:val="en-GB"/>
        </w:rPr>
        <w:t xml:space="preserve">development of a 1H-NMR methodology for the determination of cyclopropane fatty acids (CPFAs) in milk as a molecular marker for </w:t>
      </w:r>
      <w:proofErr w:type="spellStart"/>
      <w:r w:rsidR="00F95C99" w:rsidRPr="00F95C99">
        <w:rPr>
          <w:lang w:val="en-GB"/>
        </w:rPr>
        <w:t>Haymilk</w:t>
      </w:r>
      <w:proofErr w:type="spellEnd"/>
      <w:r w:rsidR="00F95C99" w:rsidRPr="00F95C99">
        <w:rPr>
          <w:lang w:val="en-GB"/>
        </w:rPr>
        <w:t xml:space="preserve"> </w:t>
      </w:r>
      <w:proofErr w:type="gramStart"/>
      <w:r w:rsidR="00F95C99" w:rsidRPr="00F95C99">
        <w:rPr>
          <w:lang w:val="en-GB"/>
        </w:rPr>
        <w:t>authenticity</w:t>
      </w:r>
      <w:r w:rsidR="00584D33">
        <w:rPr>
          <w:lang w:val="en-GB"/>
        </w:rPr>
        <w:t>;</w:t>
      </w:r>
      <w:proofErr w:type="gramEnd"/>
      <w:r w:rsidR="00F95C99" w:rsidRPr="00F95C99">
        <w:rPr>
          <w:lang w:val="en-GB"/>
        </w:rPr>
        <w:t xml:space="preserve">   </w:t>
      </w:r>
    </w:p>
    <w:p w14:paraId="406734B7" w14:textId="7ECD1062" w:rsidR="00512D9B" w:rsidRPr="00746B7D" w:rsidRDefault="00FB589C">
      <w:pPr>
        <w:tabs>
          <w:tab w:val="left" w:pos="567"/>
        </w:tabs>
        <w:ind w:left="567" w:hanging="567"/>
        <w:jc w:val="both"/>
        <w:rPr>
          <w:lang w:val="en-US"/>
        </w:rPr>
      </w:pPr>
      <w:r>
        <w:rPr>
          <w:lang w:val="en-GB"/>
        </w:rPr>
        <w:t xml:space="preserve">(A2) </w:t>
      </w:r>
      <w:r>
        <w:rPr>
          <w:lang w:val="en-GB"/>
        </w:rPr>
        <w:tab/>
      </w:r>
      <w:r w:rsidR="00F95C99">
        <w:rPr>
          <w:spacing w:val="1"/>
          <w:lang w:val="en-US"/>
        </w:rPr>
        <w:t xml:space="preserve">development of an untargeted </w:t>
      </w:r>
      <w:r w:rsidR="00F95C99" w:rsidRPr="00AF4129">
        <w:rPr>
          <w:vertAlign w:val="superscript"/>
          <w:lang w:val="en-US"/>
        </w:rPr>
        <w:t>1</w:t>
      </w:r>
      <w:r w:rsidR="00F95C99">
        <w:rPr>
          <w:lang w:val="en-US"/>
        </w:rPr>
        <w:t>H-</w:t>
      </w:r>
      <w:r w:rsidR="00F95C99" w:rsidRPr="007044EF">
        <w:rPr>
          <w:lang w:val="en-US"/>
        </w:rPr>
        <w:t xml:space="preserve">NMR </w:t>
      </w:r>
      <w:r w:rsidR="00F95C99">
        <w:rPr>
          <w:spacing w:val="1"/>
          <w:lang w:val="en-US"/>
        </w:rPr>
        <w:t xml:space="preserve">fingerprinting approach to validate the authenticity of </w:t>
      </w:r>
      <w:proofErr w:type="spellStart"/>
      <w:r w:rsidR="00F95C99">
        <w:rPr>
          <w:spacing w:val="1"/>
          <w:lang w:val="en-US"/>
        </w:rPr>
        <w:t>Haymilk</w:t>
      </w:r>
      <w:proofErr w:type="spellEnd"/>
      <w:r w:rsidR="00F95C99">
        <w:rPr>
          <w:spacing w:val="1"/>
          <w:lang w:val="en-US"/>
        </w:rPr>
        <w:t>.</w:t>
      </w:r>
      <w:r>
        <w:rPr>
          <w:lang w:val="en-GB"/>
        </w:rPr>
        <w:t xml:space="preserve"> </w:t>
      </w:r>
    </w:p>
    <w:p w14:paraId="525E1D35" w14:textId="7A3869AC" w:rsidR="00512D9B" w:rsidRDefault="00FB589C">
      <w:pPr>
        <w:pStyle w:val="Heading1"/>
        <w:spacing w:before="240" w:after="120"/>
        <w:ind w:right="0"/>
        <w:jc w:val="both"/>
        <w:rPr>
          <w:b/>
          <w:bCs/>
          <w:color w:val="000000"/>
          <w:sz w:val="24"/>
          <w:lang w:val="en-GB"/>
        </w:rPr>
      </w:pPr>
      <w:r>
        <w:rPr>
          <w:b/>
          <w:bCs/>
          <w:color w:val="000000"/>
          <w:sz w:val="24"/>
          <w:lang w:val="en-GB"/>
        </w:rPr>
        <w:t>2. Materials and Methods</w:t>
      </w:r>
    </w:p>
    <w:p w14:paraId="7F935417" w14:textId="1F751CD5" w:rsidR="00512D9B" w:rsidRPr="00746B7D" w:rsidRDefault="00CE0141">
      <w:pPr>
        <w:jc w:val="both"/>
        <w:rPr>
          <w:lang w:val="en-US"/>
        </w:rPr>
      </w:pPr>
      <w:r w:rsidRPr="00CE0141">
        <w:rPr>
          <w:lang w:val="en-GB"/>
        </w:rPr>
        <w:t>Lyophilization of 245 milk samples was completed using a pilot plant (Martin Christ,</w:t>
      </w:r>
      <w:r w:rsidR="00D80155">
        <w:rPr>
          <w:lang w:val="en-GB"/>
        </w:rPr>
        <w:t xml:space="preserve"> </w:t>
      </w:r>
      <w:r w:rsidRPr="00CE0141">
        <w:rPr>
          <w:lang w:val="en-GB"/>
        </w:rPr>
        <w:t xml:space="preserve">Epsilon 2-6D LSC plus freeze-dryer, Osterode, Germany). 1H-NMR analysis of freeze-dried samples was performed both in CDCl3 and D2O solvents. All NMR experiments were carried out using a 600 MHz spectrometer (JNM-ECZ from JEOL Ltd., Tokyo, Japan), equipped with a “Royal” HFX/FGSQ probe. NMR spectra were acquired at room temperature 298 K (25 °C) with 32.000 complex points, using a 45° pulse length and 20 s of relaxation delay. A total of 1024 scans were acquired with a spectral width of 15 ppm and an acquisition time of 4 s. The spectra evaluation and processing have been carried out using Delta NMR processing and control software (v.5.3.1. </w:t>
      </w:r>
      <w:proofErr w:type="spellStart"/>
      <w:r w:rsidRPr="00CE0141">
        <w:rPr>
          <w:lang w:val="en-GB"/>
        </w:rPr>
        <w:t>Jeol</w:t>
      </w:r>
      <w:proofErr w:type="spellEnd"/>
      <w:r w:rsidRPr="00CE0141">
        <w:rPr>
          <w:lang w:val="en-GB"/>
        </w:rPr>
        <w:t xml:space="preserve"> Resonance Inc.). GC-MS analysis was performed on the fat extract of the milk samples after transesterification as a validation method using Shimadzu QP2010 SE GC-MS (Shimadzu, Kyoto, Japan).</w:t>
      </w:r>
    </w:p>
    <w:p w14:paraId="520DEE64" w14:textId="40E740EE" w:rsidR="00512D9B" w:rsidRDefault="00FB589C">
      <w:pPr>
        <w:pStyle w:val="Heading1"/>
        <w:spacing w:before="240" w:after="120"/>
        <w:ind w:right="0"/>
        <w:jc w:val="both"/>
        <w:rPr>
          <w:b/>
          <w:bCs/>
          <w:color w:val="000000"/>
          <w:sz w:val="24"/>
          <w:lang w:val="en-GB"/>
        </w:rPr>
      </w:pPr>
      <w:r>
        <w:rPr>
          <w:b/>
          <w:bCs/>
          <w:color w:val="000000"/>
          <w:sz w:val="24"/>
          <w:lang w:val="en-GB"/>
        </w:rPr>
        <w:t>3. Results and Discussion</w:t>
      </w:r>
    </w:p>
    <w:p w14:paraId="7B7F4BDD" w14:textId="5C0DD179" w:rsidR="00512D9B" w:rsidRPr="00F95C99" w:rsidRDefault="00FB589C">
      <w:pPr>
        <w:pStyle w:val="Heading2"/>
        <w:jc w:val="both"/>
        <w:rPr>
          <w:b/>
          <w:bCs/>
          <w:sz w:val="20"/>
          <w:lang w:val="en-US"/>
        </w:rPr>
      </w:pPr>
      <w:r>
        <w:rPr>
          <w:b/>
          <w:bCs/>
          <w:sz w:val="20"/>
          <w:lang w:val="en-GB"/>
        </w:rPr>
        <w:t xml:space="preserve">3.1 </w:t>
      </w:r>
      <w:r w:rsidR="00F95C99" w:rsidRPr="00F95C99">
        <w:rPr>
          <w:b/>
          <w:bCs/>
          <w:sz w:val="20"/>
          <w:lang w:val="en-GB"/>
        </w:rPr>
        <w:t>Determination of CPFAs in milk as a molecular marker using targeted 1H-NMR</w:t>
      </w:r>
    </w:p>
    <w:p w14:paraId="01CE362C" w14:textId="3870D7EB" w:rsidR="004A4947" w:rsidRDefault="00FB589C" w:rsidP="00F95C99">
      <w:pPr>
        <w:jc w:val="both"/>
        <w:rPr>
          <w:lang w:val="en-GB"/>
        </w:rPr>
      </w:pPr>
      <w:r>
        <w:rPr>
          <w:lang w:val="en-GB"/>
        </w:rPr>
        <w:t xml:space="preserve">The </w:t>
      </w:r>
      <w:r w:rsidR="00F95C99" w:rsidRPr="00F95C99">
        <w:rPr>
          <w:lang w:val="en-GB"/>
        </w:rPr>
        <w:t xml:space="preserve">CPFAs show a characteristic quartet signal in the chemical shift region between -0.30 and -0.36 ppm corresponding to the cis-methylene proton in the cyclopropane ring (Figure 1) </w:t>
      </w:r>
      <w:r w:rsidR="00935E92">
        <w:rPr>
          <w:lang w:val="en-GB"/>
        </w:rPr>
        <w:fldChar w:fldCharType="begin"/>
      </w:r>
      <w:r w:rsidR="00213C8A">
        <w:rPr>
          <w:lang w:val="en-GB"/>
        </w:rPr>
        <w:instrText xml:space="preserve"> ADDIN ZOTERO_ITEM CSL_CITATION {"citationID":"1kiR8Ux7","properties":{"formattedCitation":"(Knothe, 2006)","plainCitation":"(Knothe, 2006)","noteIndex":0},"citationItems":[{"id":421,"uris":["http://zotero.org/users/11769673/items/4HM84VXY"],"itemData":{"id":421,"type":"article-journal","abstract":"Cyclopropane FA occur in nature in the phosphoplipids of bacterial membranes, in oils containing cyclopropene FA, and in Litchi sinensis oil. Dihydrosterculic acid (2-octyl cyclopropaneoctanoic acid) and its methyl ester were selected for 1H and 13C NMR analysis as compounds representative of cyclopropane FA. The 500 MHz 1H NMR spectra acquired with CDCl3 as solvent show two individual peaks at –0.30 and 0.60 ppm for the methylene protons of the cyclopropane ring. Assignments were made with the aid of 2D correlations. In accordance with previous literature, the upfield signal is assigned to the cis proton and the downﬁeld signal to the trans proton. This signal of the trans proton is resolved from the peak of the two methine protons of the cyclopropane ring, which is located at 0.68 ppm. The four protons attached to the two methylene carbons α to the cyclopropane ring also show a split signal. Two of these protons, one from each methylene moiety, display a distinct shift at 1.17 ppm, and the signal of the other two protons is observed at 1.40 ppm, within the broad methylene peak. The characteristic peaks in the 13C spectra are also assigned.","container-title":"Lipids","DOI":"10.1007/s11745-006-5110-x","ISSN":"0024-4201, 1558-9307","issue":"4","journalAbbreviation":"Lipids","language":"en","page":"393-396","source":"DOI.org (Crossref)","title":"NMR characterization of dihydrosterculic acid and its methyl ester","volume":"41","author":[{"family":"Knothe","given":"Gerhard"}],"issued":{"date-parts":[["2006",4]]}}}],"schema":"https://github.com/citation-style-language/schema/raw/master/csl-citation.json"} </w:instrText>
      </w:r>
      <w:r w:rsidR="00935E92">
        <w:rPr>
          <w:lang w:val="en-GB"/>
        </w:rPr>
        <w:fldChar w:fldCharType="separate"/>
      </w:r>
      <w:r w:rsidR="00B103EE" w:rsidRPr="00B103EE">
        <w:rPr>
          <w:lang w:val="en-US"/>
        </w:rPr>
        <w:t>(</w:t>
      </w:r>
      <w:proofErr w:type="spellStart"/>
      <w:r w:rsidR="00B103EE" w:rsidRPr="00B103EE">
        <w:rPr>
          <w:lang w:val="en-US"/>
        </w:rPr>
        <w:t>Knothe</w:t>
      </w:r>
      <w:proofErr w:type="spellEnd"/>
      <w:r w:rsidR="00B103EE" w:rsidRPr="00B103EE">
        <w:rPr>
          <w:lang w:val="en-US"/>
        </w:rPr>
        <w:t>, 2006)</w:t>
      </w:r>
      <w:r w:rsidR="00935E92">
        <w:rPr>
          <w:lang w:val="en-GB"/>
        </w:rPr>
        <w:fldChar w:fldCharType="end"/>
      </w:r>
      <w:r w:rsidR="00F95C99" w:rsidRPr="00F95C99">
        <w:rPr>
          <w:lang w:val="en-GB"/>
        </w:rPr>
        <w:t>. Such upfield region does not overlap with any other signal arising from milk sample, therefore, it enables a precise detection and thus quantification of the CPFAs</w:t>
      </w:r>
      <w:r w:rsidR="00935E92">
        <w:rPr>
          <w:lang w:val="en-GB"/>
        </w:rPr>
        <w:t xml:space="preserve"> </w:t>
      </w:r>
      <w:r w:rsidR="00935E92">
        <w:rPr>
          <w:lang w:val="en-GB"/>
        </w:rPr>
        <w:fldChar w:fldCharType="begin"/>
      </w:r>
      <w:r w:rsidR="00213C8A">
        <w:rPr>
          <w:lang w:val="en-GB"/>
        </w:rPr>
        <w:instrText xml:space="preserve"> ADDIN ZOTERO_ITEM CSL_CITATION {"citationID":"8VV0H8Jx","properties":{"formattedCitation":"(Lolli {\\i{}et al.}, 2018)","plainCitation":"(Lolli et al., 2018)","noteIndex":0},"citationItems":[{"id":18,"uris":["http://zotero.org/users/11769673/items/TVRR82YY"],"itemData":{"id":18,"type":"article-journal","abstract":"Cyclopropane fatty acids (CPFAs) are unusual fatty acids of microbial origin, recently detected in milk and dairy products. CPFAs have been demonstrated to be interesting molecular markers for authentication of dairy products obtained without ensiled feeds. Moreover, they can also be recognized as a new secondary component of human diet. Information is lacking on the presence of cyclic fatty acids in other food sources. Cyclopropane fatty acids have been detected by GC-MS analysis in cheese and other animal fats in concentration ranging from 200 to 1000 mg/kg fat, but in some cases, the complex fatty acid profile and the possible presence of interfering peaks make the separation not straightforward and the quantification uneasy. Therefore, a new reliable 1H NMR method was developed to detect and measure CPFA content in different foods of animal origin, based on the detection of the characteristic signals of cyclopropane ring. The 1H NMR (600 MHz) method showed detection limits comparable with those of full scan GC-MS, and it allowed the identification and quantitation of the cyclopropane fatty acids in different foods.","container-title":"Journal of Analytical Methods in Chemistry","DOI":"10.1155/2018/8034042","ISSN":"20908873","note":"publisher: Hindawi Limited","title":"Determination of cyclopropane fatty acids in food of animal origin by 1H NMR","volume":"2018","author":[{"family":"Lolli","given":"Veronica"},{"family":"Marseglia","given":"Angela"},{"family":"Palla","given":"Gerardo"},{"family":"Zanardi","given":"Emanuela"},{"family":"Caligiani","given":"Augusta"}],"issued":{"date-parts":[["2018"]]}}}],"schema":"https://github.com/citation-style-language/schema/raw/master/csl-citation.json"} </w:instrText>
      </w:r>
      <w:r w:rsidR="00935E92">
        <w:rPr>
          <w:lang w:val="en-GB"/>
        </w:rPr>
        <w:fldChar w:fldCharType="separate"/>
      </w:r>
      <w:r w:rsidR="00B103EE" w:rsidRPr="00B103EE">
        <w:rPr>
          <w:szCs w:val="24"/>
        </w:rPr>
        <w:t xml:space="preserve">(Lolli </w:t>
      </w:r>
      <w:r w:rsidR="00B103EE" w:rsidRPr="00B103EE">
        <w:rPr>
          <w:i/>
          <w:iCs/>
          <w:szCs w:val="24"/>
        </w:rPr>
        <w:t>et al.</w:t>
      </w:r>
      <w:r w:rsidR="00B103EE" w:rsidRPr="00B103EE">
        <w:rPr>
          <w:szCs w:val="24"/>
        </w:rPr>
        <w:t>, 2018)</w:t>
      </w:r>
      <w:r w:rsidR="00935E92">
        <w:rPr>
          <w:lang w:val="en-GB"/>
        </w:rPr>
        <w:fldChar w:fldCharType="end"/>
      </w:r>
      <w:r w:rsidR="00F95C99" w:rsidRPr="00F95C99">
        <w:rPr>
          <w:lang w:val="en-GB"/>
        </w:rPr>
        <w:t>.</w:t>
      </w:r>
    </w:p>
    <w:p w14:paraId="317E18E0" w14:textId="7D903A56" w:rsidR="00CE0141" w:rsidRDefault="00CE0141" w:rsidP="00F95C99">
      <w:pPr>
        <w:jc w:val="both"/>
        <w:rPr>
          <w:lang w:val="en-GB"/>
        </w:rPr>
      </w:pPr>
    </w:p>
    <w:p w14:paraId="738B5219" w14:textId="77777777" w:rsidR="000511E3" w:rsidRDefault="000511E3" w:rsidP="00861BF2">
      <w:pPr>
        <w:jc w:val="both"/>
        <w:rPr>
          <w:lang w:val="en-US"/>
        </w:rPr>
      </w:pPr>
    </w:p>
    <w:p w14:paraId="2EF218CA" w14:textId="2A28FAE7" w:rsidR="000511E3" w:rsidRDefault="000511E3" w:rsidP="000511E3">
      <w:pPr>
        <w:spacing w:before="300" w:after="300"/>
        <w:ind w:right="3969"/>
        <w:jc w:val="both"/>
        <w:rPr>
          <w:b/>
          <w:sz w:val="18"/>
          <w:szCs w:val="18"/>
          <w:lang w:val="en-GB"/>
        </w:rPr>
      </w:pPr>
    </w:p>
    <w:p w14:paraId="1BFA4699" w14:textId="671B001F" w:rsidR="000511E3" w:rsidRDefault="00405CAC" w:rsidP="000511E3">
      <w:pPr>
        <w:spacing w:before="300" w:after="300"/>
        <w:ind w:right="3969"/>
        <w:jc w:val="both"/>
        <w:rPr>
          <w:i/>
          <w:sz w:val="18"/>
          <w:szCs w:val="18"/>
          <w:lang w:val="en-GB"/>
        </w:rPr>
      </w:pPr>
      <w:r w:rsidRPr="00BD0709">
        <w:rPr>
          <w:noProof/>
          <w:lang w:val="en-US"/>
        </w:rPr>
        <w:lastRenderedPageBreak/>
        <w:drawing>
          <wp:anchor distT="0" distB="0" distL="114300" distR="114300" simplePos="0" relativeHeight="251658240" behindDoc="0" locked="0" layoutInCell="1" allowOverlap="1" wp14:anchorId="3F1C8733" wp14:editId="334C302F">
            <wp:simplePos x="0" y="0"/>
            <wp:positionH relativeFrom="margin">
              <wp:posOffset>2906970</wp:posOffset>
            </wp:positionH>
            <wp:positionV relativeFrom="paragraph">
              <wp:posOffset>-200711</wp:posOffset>
            </wp:positionV>
            <wp:extent cx="2825588" cy="14127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825588" cy="1412794"/>
                    </a:xfrm>
                    <a:prstGeom prst="rect">
                      <a:avLst/>
                    </a:prstGeom>
                  </pic:spPr>
                </pic:pic>
              </a:graphicData>
            </a:graphic>
            <wp14:sizeRelH relativeFrom="page">
              <wp14:pctWidth>0</wp14:pctWidth>
            </wp14:sizeRelH>
            <wp14:sizeRelV relativeFrom="page">
              <wp14:pctHeight>0</wp14:pctHeight>
            </wp14:sizeRelV>
          </wp:anchor>
        </w:drawing>
      </w:r>
      <w:r w:rsidR="00AB62BC">
        <w:rPr>
          <w:noProof/>
        </w:rPr>
        <mc:AlternateContent>
          <mc:Choice Requires="wps">
            <w:drawing>
              <wp:inline distT="0" distB="0" distL="0" distR="0" wp14:anchorId="746602D0" wp14:editId="00ECF81A">
                <wp:extent cx="2476500" cy="635"/>
                <wp:effectExtent l="0" t="0" r="0" b="9525"/>
                <wp:docPr id="1" name="Text Box 1"/>
                <wp:cNvGraphicFramePr/>
                <a:graphic xmlns:a="http://schemas.openxmlformats.org/drawingml/2006/main">
                  <a:graphicData uri="http://schemas.microsoft.com/office/word/2010/wordprocessingShape">
                    <wps:wsp>
                      <wps:cNvSpPr txBox="1"/>
                      <wps:spPr>
                        <a:xfrm>
                          <a:off x="0" y="0"/>
                          <a:ext cx="2476500" cy="635"/>
                        </a:xfrm>
                        <a:prstGeom prst="rect">
                          <a:avLst/>
                        </a:prstGeom>
                        <a:solidFill>
                          <a:prstClr val="white"/>
                        </a:solidFill>
                        <a:ln>
                          <a:noFill/>
                        </a:ln>
                      </wps:spPr>
                      <wps:txbx>
                        <w:txbxContent>
                          <w:p w14:paraId="36F573C6" w14:textId="154A8510" w:rsidR="00AB62BC" w:rsidRPr="00E877BE" w:rsidRDefault="00AB62BC" w:rsidP="00663E36">
                            <w:pPr>
                              <w:pStyle w:val="Caption"/>
                              <w:spacing w:before="300" w:after="300"/>
                              <w:jc w:val="both"/>
                              <w:rPr>
                                <w:rFonts w:cs="Times New Roman"/>
                                <w:noProof/>
                                <w:sz w:val="20"/>
                                <w:szCs w:val="20"/>
                              </w:rPr>
                            </w:pPr>
                            <w:r w:rsidRPr="00AB62BC">
                              <w:rPr>
                                <w:b/>
                                <w:bCs/>
                                <w:sz w:val="18"/>
                                <w:szCs w:val="18"/>
                                <w:lang w:val="en-US"/>
                              </w:rPr>
                              <w:t xml:space="preserve">Figure </w:t>
                            </w:r>
                            <w:r w:rsidRPr="00AB62BC">
                              <w:rPr>
                                <w:b/>
                                <w:bCs/>
                                <w:sz w:val="18"/>
                                <w:szCs w:val="18"/>
                              </w:rPr>
                              <w:fldChar w:fldCharType="begin"/>
                            </w:r>
                            <w:r w:rsidRPr="00AB62BC">
                              <w:rPr>
                                <w:b/>
                                <w:bCs/>
                                <w:sz w:val="18"/>
                                <w:szCs w:val="18"/>
                                <w:lang w:val="en-US"/>
                              </w:rPr>
                              <w:instrText xml:space="preserve"> SEQ Figure \* ARABIC </w:instrText>
                            </w:r>
                            <w:r w:rsidRPr="00AB62BC">
                              <w:rPr>
                                <w:b/>
                                <w:bCs/>
                                <w:sz w:val="18"/>
                                <w:szCs w:val="18"/>
                              </w:rPr>
                              <w:fldChar w:fldCharType="separate"/>
                            </w:r>
                            <w:r w:rsidRPr="00AB62BC">
                              <w:rPr>
                                <w:b/>
                                <w:bCs/>
                                <w:noProof/>
                                <w:sz w:val="18"/>
                                <w:szCs w:val="18"/>
                                <w:lang w:val="en-US"/>
                              </w:rPr>
                              <w:t>1</w:t>
                            </w:r>
                            <w:r w:rsidRPr="00AB62BC">
                              <w:rPr>
                                <w:b/>
                                <w:bCs/>
                                <w:sz w:val="18"/>
                                <w:szCs w:val="18"/>
                              </w:rPr>
                              <w:fldChar w:fldCharType="end"/>
                            </w:r>
                            <w:r w:rsidRPr="00AB62BC">
                              <w:rPr>
                                <w:lang w:val="en-US"/>
                              </w:rPr>
                              <w:t xml:space="preserve"> </w:t>
                            </w:r>
                            <w:r w:rsidRPr="00861BF2">
                              <w:rPr>
                                <w:sz w:val="18"/>
                                <w:szCs w:val="18"/>
                                <w:lang w:val="en-GB"/>
                              </w:rPr>
                              <w:t>600</w:t>
                            </w:r>
                            <w:r>
                              <w:rPr>
                                <w:sz w:val="18"/>
                                <w:szCs w:val="18"/>
                                <w:lang w:val="en-GB"/>
                              </w:rPr>
                              <w:t xml:space="preserve"> </w:t>
                            </w:r>
                            <w:r w:rsidRPr="00861BF2">
                              <w:rPr>
                                <w:sz w:val="18"/>
                                <w:szCs w:val="18"/>
                                <w:lang w:val="en-GB"/>
                              </w:rPr>
                              <w:t xml:space="preserve">MHz </w:t>
                            </w:r>
                            <w:r w:rsidRPr="009F53E0">
                              <w:rPr>
                                <w:sz w:val="18"/>
                                <w:szCs w:val="18"/>
                                <w:vertAlign w:val="superscript"/>
                                <w:lang w:val="en-GB"/>
                              </w:rPr>
                              <w:t>1</w:t>
                            </w:r>
                            <w:r w:rsidRPr="00861BF2">
                              <w:rPr>
                                <w:sz w:val="18"/>
                                <w:szCs w:val="18"/>
                                <w:lang w:val="en-GB"/>
                              </w:rPr>
                              <w:t>H-NMR spectrum</w:t>
                            </w:r>
                            <w:r>
                              <w:rPr>
                                <w:sz w:val="18"/>
                                <w:szCs w:val="18"/>
                                <w:lang w:val="en-GB"/>
                              </w:rPr>
                              <w:t xml:space="preserve"> </w:t>
                            </w:r>
                            <w:r w:rsidRPr="00861BF2">
                              <w:rPr>
                                <w:sz w:val="18"/>
                                <w:szCs w:val="18"/>
                                <w:lang w:val="en-GB"/>
                              </w:rPr>
                              <w:t>of CPFA</w:t>
                            </w:r>
                            <w:r>
                              <w:rPr>
                                <w:sz w:val="18"/>
                                <w:szCs w:val="18"/>
                                <w:lang w:val="en-GB"/>
                              </w:rPr>
                              <w:t xml:space="preserve"> </w:t>
                            </w:r>
                            <w:r w:rsidRPr="00861BF2">
                              <w:rPr>
                                <w:sz w:val="18"/>
                                <w:szCs w:val="18"/>
                                <w:lang w:val="en-GB"/>
                              </w:rPr>
                              <w:t>standard (dihydrosterculic acid) in CDCl</w:t>
                            </w:r>
                            <w:r w:rsidRPr="009F53E0">
                              <w:rPr>
                                <w:sz w:val="18"/>
                                <w:szCs w:val="18"/>
                                <w:vertAlign w:val="subscript"/>
                                <w:lang w:val="en-GB"/>
                              </w:rPr>
                              <w:t>3</w:t>
                            </w:r>
                            <w:r w:rsidRPr="00861BF2">
                              <w:rPr>
                                <w:sz w:val="18"/>
                                <w:szCs w:val="18"/>
                                <w:lang w:val="en-GB"/>
                              </w:rPr>
                              <w:t>. The signal of TMS internal standard was fixed to 0 ppm. The signal resonates from CPFA was expanded for identification.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746602D0" id="_x0000_t202" coordsize="21600,21600" o:spt="202" path="m,l,21600r21600,l21600,xe">
                <v:stroke joinstyle="miter"/>
                <v:path gradientshapeok="t" o:connecttype="rect"/>
              </v:shapetype>
              <v:shape id="Text Box 1" o:spid="_x0000_s1026" type="#_x0000_t202" style="width:19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" stroked="f">
                <v:textbox style="mso-fit-shape-to-text:t" inset="0,0,0,0">
                  <w:txbxContent>
                    <w:p w14:paraId="36F573C6" w14:textId="154A8510" w:rsidR="00AB62BC" w:rsidRPr="00E877BE" w:rsidRDefault="00AB62BC" w:rsidP="00663E36">
                      <w:pPr>
                        <w:pStyle w:val="Caption"/>
                        <w:spacing w:before="300" w:after="300"/>
                        <w:jc w:val="both"/>
                        <w:rPr>
                          <w:rFonts w:cs="Times New Roman"/>
                          <w:noProof/>
                          <w:sz w:val="20"/>
                          <w:szCs w:val="20"/>
                        </w:rPr>
                      </w:pPr>
                      <w:r w:rsidRPr="00AB62BC">
                        <w:rPr>
                          <w:b/>
                          <w:bCs/>
                          <w:sz w:val="18"/>
                          <w:szCs w:val="18"/>
                          <w:lang w:val="en-US"/>
                        </w:rPr>
                        <w:t xml:space="preserve">Figure </w:t>
                      </w:r>
                      <w:r w:rsidRPr="00AB62BC">
                        <w:rPr>
                          <w:b/>
                          <w:bCs/>
                          <w:sz w:val="18"/>
                          <w:szCs w:val="18"/>
                        </w:rPr>
                        <w:fldChar w:fldCharType="begin"/>
                      </w:r>
                      <w:r w:rsidRPr="00AB62BC">
                        <w:rPr>
                          <w:b/>
                          <w:bCs/>
                          <w:sz w:val="18"/>
                          <w:szCs w:val="18"/>
                          <w:lang w:val="en-US"/>
                        </w:rPr>
                        <w:instrText xml:space="preserve"> SEQ Figure \* ARABIC </w:instrText>
                      </w:r>
                      <w:r w:rsidRPr="00AB62BC">
                        <w:rPr>
                          <w:b/>
                          <w:bCs/>
                          <w:sz w:val="18"/>
                          <w:szCs w:val="18"/>
                        </w:rPr>
                        <w:fldChar w:fldCharType="separate"/>
                      </w:r>
                      <w:r w:rsidRPr="00AB62BC">
                        <w:rPr>
                          <w:b/>
                          <w:bCs/>
                          <w:noProof/>
                          <w:sz w:val="18"/>
                          <w:szCs w:val="18"/>
                          <w:lang w:val="en-US"/>
                        </w:rPr>
                        <w:t>1</w:t>
                      </w:r>
                      <w:r w:rsidRPr="00AB62BC">
                        <w:rPr>
                          <w:b/>
                          <w:bCs/>
                          <w:sz w:val="18"/>
                          <w:szCs w:val="18"/>
                        </w:rPr>
                        <w:fldChar w:fldCharType="end"/>
                      </w:r>
                      <w:r w:rsidRPr="00AB62BC">
                        <w:rPr>
                          <w:lang w:val="en-US"/>
                        </w:rPr>
                        <w:t xml:space="preserve"> </w:t>
                      </w:r>
                      <w:r w:rsidRPr="00861BF2">
                        <w:rPr>
                          <w:sz w:val="18"/>
                          <w:szCs w:val="18"/>
                          <w:lang w:val="en-GB"/>
                        </w:rPr>
                        <w:t>600</w:t>
                      </w:r>
                      <w:r>
                        <w:rPr>
                          <w:sz w:val="18"/>
                          <w:szCs w:val="18"/>
                          <w:lang w:val="en-GB"/>
                        </w:rPr>
                        <w:t xml:space="preserve"> </w:t>
                      </w:r>
                      <w:r w:rsidRPr="00861BF2">
                        <w:rPr>
                          <w:sz w:val="18"/>
                          <w:szCs w:val="18"/>
                          <w:lang w:val="en-GB"/>
                        </w:rPr>
                        <w:t xml:space="preserve">MHz </w:t>
                      </w:r>
                      <w:r w:rsidRPr="009F53E0">
                        <w:rPr>
                          <w:sz w:val="18"/>
                          <w:szCs w:val="18"/>
                          <w:vertAlign w:val="superscript"/>
                          <w:lang w:val="en-GB"/>
                        </w:rPr>
                        <w:t>1</w:t>
                      </w:r>
                      <w:r w:rsidRPr="00861BF2">
                        <w:rPr>
                          <w:sz w:val="18"/>
                          <w:szCs w:val="18"/>
                          <w:lang w:val="en-GB"/>
                        </w:rPr>
                        <w:t>H-NMR spectrum</w:t>
                      </w:r>
                      <w:r>
                        <w:rPr>
                          <w:sz w:val="18"/>
                          <w:szCs w:val="18"/>
                          <w:lang w:val="en-GB"/>
                        </w:rPr>
                        <w:t xml:space="preserve"> </w:t>
                      </w:r>
                      <w:r w:rsidRPr="00861BF2">
                        <w:rPr>
                          <w:sz w:val="18"/>
                          <w:szCs w:val="18"/>
                          <w:lang w:val="en-GB"/>
                        </w:rPr>
                        <w:t>of CPFA</w:t>
                      </w:r>
                      <w:r>
                        <w:rPr>
                          <w:sz w:val="18"/>
                          <w:szCs w:val="18"/>
                          <w:lang w:val="en-GB"/>
                        </w:rPr>
                        <w:t xml:space="preserve"> </w:t>
                      </w:r>
                      <w:r w:rsidRPr="00861BF2">
                        <w:rPr>
                          <w:sz w:val="18"/>
                          <w:szCs w:val="18"/>
                          <w:lang w:val="en-GB"/>
                        </w:rPr>
                        <w:t>standard (dihydrosterculic acid) in CDCl</w:t>
                      </w:r>
                      <w:r w:rsidRPr="009F53E0">
                        <w:rPr>
                          <w:sz w:val="18"/>
                          <w:szCs w:val="18"/>
                          <w:vertAlign w:val="subscript"/>
                          <w:lang w:val="en-GB"/>
                        </w:rPr>
                        <w:t>3</w:t>
                      </w:r>
                      <w:r w:rsidRPr="00861BF2">
                        <w:rPr>
                          <w:sz w:val="18"/>
                          <w:szCs w:val="18"/>
                          <w:lang w:val="en-GB"/>
                        </w:rPr>
                        <w:t>. The signal of TMS internal standard was fixed to 0 ppm. The signal resonates from CPFA was expanded for identification.</w:t>
                      </w:r>
                    </w:p>
                  </w:txbxContent>
                </v:textbox>
                <w10:anchorlock/>
              </v:shape>
            </w:pict>
          </mc:Fallback>
        </mc:AlternateContent>
      </w:r>
    </w:p>
    <w:p w14:paraId="2F37FE79" w14:textId="00732B79" w:rsidR="000511E3" w:rsidRDefault="000511E3" w:rsidP="00861BF2">
      <w:pPr>
        <w:jc w:val="both"/>
        <w:rPr>
          <w:lang w:val="en-US"/>
        </w:rPr>
      </w:pPr>
    </w:p>
    <w:p w14:paraId="22EF9888" w14:textId="77777777" w:rsidR="00AB62BC" w:rsidRDefault="00AB62BC" w:rsidP="00861BF2">
      <w:pPr>
        <w:jc w:val="both"/>
        <w:rPr>
          <w:lang w:val="en-US"/>
        </w:rPr>
      </w:pPr>
    </w:p>
    <w:p w14:paraId="517DB193" w14:textId="1A2BF200" w:rsidR="00F95C99" w:rsidRPr="00861BF2" w:rsidRDefault="00F95C99" w:rsidP="00861BF2">
      <w:pPr>
        <w:jc w:val="both"/>
        <w:rPr>
          <w:sz w:val="18"/>
          <w:szCs w:val="18"/>
          <w:lang w:val="en-US"/>
        </w:rPr>
      </w:pPr>
      <w:r w:rsidRPr="00F95C99">
        <w:rPr>
          <w:lang w:val="en-US"/>
        </w:rPr>
        <w:t>The CPFA signal at -0.34 ppm was selected for quantification using the signal of TMS as reference. The concentration of CPFAs in freeze-dried milk sample (expressed mg of CPFA/kg of milk fat) was calculated as described by Eq.1:</w:t>
      </w:r>
    </w:p>
    <w:p w14:paraId="1AC741F3" w14:textId="71B4A67B" w:rsidR="00F95C99" w:rsidRDefault="00F95C99" w:rsidP="00F95C99">
      <w:pPr>
        <w:jc w:val="both"/>
        <w:rPr>
          <w:lang w:val="en-GB"/>
        </w:rPr>
      </w:pPr>
    </w:p>
    <w:p w14:paraId="39FE7239" w14:textId="68CE0583" w:rsidR="00512D9B" w:rsidRPr="00746B7D" w:rsidRDefault="006B5647" w:rsidP="00F95C99">
      <w:pPr>
        <w:jc w:val="both"/>
        <w:rPr>
          <w:lang w:val="en-GB"/>
        </w:rPr>
      </w:pPr>
      <m:oMath>
        <m:r>
          <w:rPr>
            <w:rFonts w:ascii="Cambria Math" w:hAnsi="Cambria Math"/>
            <w:lang w:val="en-US"/>
          </w:rPr>
          <m:t>(CPFA)</m:t>
        </m:r>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TMS</m:t>
            </m:r>
          </m:e>
        </m:d>
        <m:r>
          <m:rPr>
            <m:sty m:val="p"/>
          </m:rP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CPFA</m:t>
                </m:r>
              </m:sub>
            </m:sSub>
          </m:num>
          <m:den>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TMS</m:t>
                </m:r>
              </m:sub>
            </m:sSub>
          </m:den>
        </m:f>
        <m:r>
          <w:rPr>
            <w:rFonts w:ascii="Cambria Math" w:hAnsi="Cambria Math"/>
            <w:lang w:val="en-US"/>
          </w:rPr>
          <m:t>×12</m:t>
        </m:r>
        <m:r>
          <m:rPr>
            <m:sty m:val="p"/>
          </m:rPr>
          <w:rPr>
            <w:rFonts w:ascii="Cambria Math" w:hAnsi="Cambria Math"/>
            <w:lang w:val="en-US"/>
          </w:rPr>
          <m:t>×</m:t>
        </m:r>
        <m:f>
          <m:fPr>
            <m:ctrlPr>
              <w:rPr>
                <w:rFonts w:ascii="Cambria Math" w:hAnsi="Cambria Math"/>
                <w:i/>
                <w:lang w:val="en-US"/>
              </w:rPr>
            </m:ctrlPr>
          </m:fPr>
          <m:num>
            <m:r>
              <w:rPr>
                <w:rFonts w:ascii="Cambria Math" w:hAnsi="Cambria Math"/>
                <w:lang w:val="en-US"/>
              </w:rPr>
              <m:t>M</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CPFA</m:t>
                </m:r>
              </m:sub>
            </m:sSub>
          </m:num>
          <m:den>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milk</m:t>
                </m:r>
              </m:sub>
            </m:sSub>
          </m:den>
        </m:f>
        <m:r>
          <w:rPr>
            <w:rFonts w:ascii="Cambria Math" w:hAnsi="Cambria Math"/>
            <w:lang w:val="en-US"/>
          </w:rPr>
          <m:t xml:space="preserve"> </m:t>
        </m:r>
        <m:r>
          <m:rPr>
            <m:sty m:val="p"/>
          </m:rPr>
          <w:rPr>
            <w:rFonts w:ascii="Cambria Math" w:hAnsi="Cambria Math"/>
            <w:lang w:val="en-US"/>
          </w:rPr>
          <m:t>×</m:t>
        </m:r>
        <m:r>
          <w:rPr>
            <w:rFonts w:ascii="Cambria Math" w:hAnsi="Cambria Math"/>
            <w:lang w:val="en-US"/>
          </w:rPr>
          <m:t>F</m:t>
        </m:r>
      </m:oMath>
      <w:r w:rsidR="00FB589C">
        <w:rPr>
          <w:lang w:val="en-GB"/>
        </w:rPr>
        <w:t xml:space="preserve"> </w:t>
      </w:r>
      <w:r w:rsidR="00FB589C">
        <w:rPr>
          <w:lang w:val="en-GB"/>
        </w:rPr>
        <w:tab/>
      </w:r>
      <w:r w:rsidR="004A4947">
        <w:rPr>
          <w:lang w:val="en-GB"/>
        </w:rPr>
        <w:t xml:space="preserve">                                                                     </w:t>
      </w:r>
      <w:r w:rsidR="00FB589C">
        <w:rPr>
          <w:lang w:val="en-GB"/>
        </w:rPr>
        <w:t>(1)</w:t>
      </w:r>
    </w:p>
    <w:p w14:paraId="7170CF5E" w14:textId="535B9C91" w:rsidR="00512D9B" w:rsidRPr="00746B7D" w:rsidRDefault="00FB589C">
      <w:pPr>
        <w:tabs>
          <w:tab w:val="left" w:pos="426"/>
          <w:tab w:val="right" w:pos="7938"/>
        </w:tabs>
        <w:jc w:val="both"/>
        <w:rPr>
          <w:lang w:val="en-GB"/>
        </w:rPr>
      </w:pPr>
      <w:r>
        <w:rPr>
          <w:lang w:val="en-GB"/>
        </w:rPr>
        <w:tab/>
      </w:r>
    </w:p>
    <w:p w14:paraId="435EA1AB" w14:textId="603F97BB" w:rsidR="00512D9B" w:rsidRPr="000511E3" w:rsidRDefault="004A4947" w:rsidP="000511E3">
      <w:pPr>
        <w:tabs>
          <w:tab w:val="left" w:pos="567"/>
          <w:tab w:val="right" w:pos="7938"/>
        </w:tabs>
        <w:jc w:val="both"/>
        <w:rPr>
          <w:lang w:val="en-GB"/>
        </w:rPr>
      </w:pPr>
      <w:r>
        <w:rPr>
          <w:lang w:val="en-GB"/>
        </w:rPr>
        <w:t>W</w:t>
      </w:r>
      <w:r w:rsidR="00FB589C">
        <w:rPr>
          <w:lang w:val="en-GB"/>
        </w:rPr>
        <w:t>here</w:t>
      </w:r>
      <w:r>
        <w:rPr>
          <w:lang w:val="en-GB"/>
        </w:rPr>
        <w:t xml:space="preserve">, </w:t>
      </w:r>
      <w:r>
        <w:rPr>
          <w:lang w:val="en-US"/>
        </w:rPr>
        <w:t>[TMS]</w:t>
      </w:r>
      <w:r w:rsidRPr="007F1373">
        <w:rPr>
          <w:lang w:val="en-US"/>
        </w:rPr>
        <w:t xml:space="preserve"> is the concentration of the internal standard (2.20 mM),</w:t>
      </w:r>
      <w:r>
        <w:rPr>
          <w:lang w:val="en-US"/>
        </w:rPr>
        <w:t xml:space="preserve"> A</w:t>
      </w:r>
      <w:r w:rsidRPr="00FE2498">
        <w:rPr>
          <w:b/>
          <w:bCs/>
          <w:vertAlign w:val="subscript"/>
          <w:lang w:val="en-US"/>
        </w:rPr>
        <w:t>CPFA</w:t>
      </w:r>
      <w:r>
        <w:rPr>
          <w:lang w:val="en-US"/>
        </w:rPr>
        <w:t xml:space="preserve"> </w:t>
      </w:r>
      <w:r w:rsidRPr="007F1373">
        <w:rPr>
          <w:lang w:val="en-US"/>
        </w:rPr>
        <w:t xml:space="preserve">and </w:t>
      </w:r>
      <w:r>
        <w:rPr>
          <w:lang w:val="en-US"/>
        </w:rPr>
        <w:t>A</w:t>
      </w:r>
      <w:r w:rsidRPr="00FE2498">
        <w:rPr>
          <w:b/>
          <w:bCs/>
          <w:vertAlign w:val="subscript"/>
          <w:lang w:val="en-US"/>
        </w:rPr>
        <w:t>TMS</w:t>
      </w:r>
      <w:r>
        <w:rPr>
          <w:lang w:val="en-US"/>
        </w:rPr>
        <w:t xml:space="preserve"> </w:t>
      </w:r>
      <w:r w:rsidRPr="007F1373">
        <w:rPr>
          <w:lang w:val="en-US"/>
        </w:rPr>
        <w:t>correspond to the areas</w:t>
      </w:r>
      <w:r>
        <w:rPr>
          <w:lang w:val="en-US"/>
        </w:rPr>
        <w:t xml:space="preserve"> </w:t>
      </w:r>
      <w:r w:rsidRPr="007F1373">
        <w:rPr>
          <w:lang w:val="en-US"/>
        </w:rPr>
        <w:t>of CPFA and TMS</w:t>
      </w:r>
      <w:r>
        <w:rPr>
          <w:lang w:val="en-US"/>
        </w:rPr>
        <w:t xml:space="preserve"> signals</w:t>
      </w:r>
      <w:r w:rsidRPr="007F1373">
        <w:rPr>
          <w:lang w:val="en-US"/>
        </w:rPr>
        <w:t xml:space="preserve">, </w:t>
      </w:r>
      <w:r>
        <w:rPr>
          <w:lang w:val="en-US"/>
        </w:rPr>
        <w:t>respectively, MW</w:t>
      </w:r>
      <w:r w:rsidRPr="001858A1">
        <w:rPr>
          <w:vertAlign w:val="subscript"/>
          <w:lang w:val="en-US"/>
        </w:rPr>
        <w:t>CPFA</w:t>
      </w:r>
      <w:r w:rsidRPr="007F1373">
        <w:rPr>
          <w:lang w:val="en-US"/>
        </w:rPr>
        <w:t xml:space="preserve"> is the molar mass of dihydrosterculic acid (294.4</w:t>
      </w:r>
      <w:r>
        <w:rPr>
          <w:lang w:val="en-US"/>
        </w:rPr>
        <w:t>8</w:t>
      </w:r>
      <w:r w:rsidRPr="007F1373">
        <w:rPr>
          <w:lang w:val="en-US"/>
        </w:rPr>
        <w:t>9 g·mol</w:t>
      </w:r>
      <w:r w:rsidRPr="007F1373">
        <w:rPr>
          <w:vertAlign w:val="superscript"/>
          <w:lang w:val="en-US"/>
        </w:rPr>
        <w:t>−1</w:t>
      </w:r>
      <w:r w:rsidRPr="007F1373">
        <w:rPr>
          <w:lang w:val="en-US"/>
        </w:rPr>
        <w:t xml:space="preserve">), </w:t>
      </w:r>
      <w:proofErr w:type="spellStart"/>
      <w:r>
        <w:rPr>
          <w:lang w:val="en-US"/>
        </w:rPr>
        <w:t>m</w:t>
      </w:r>
      <w:r w:rsidRPr="001858A1">
        <w:rPr>
          <w:vertAlign w:val="subscript"/>
          <w:lang w:val="en-US"/>
        </w:rPr>
        <w:t>milk</w:t>
      </w:r>
      <w:proofErr w:type="spellEnd"/>
      <w:r>
        <w:rPr>
          <w:lang w:val="en-US"/>
        </w:rPr>
        <w:t xml:space="preserve"> </w:t>
      </w:r>
      <w:r w:rsidRPr="007F1373">
        <w:rPr>
          <w:lang w:val="en-US"/>
        </w:rPr>
        <w:t xml:space="preserve">is the mass of </w:t>
      </w:r>
      <w:r>
        <w:rPr>
          <w:lang w:val="en-US"/>
        </w:rPr>
        <w:t>freeze-</w:t>
      </w:r>
      <w:r w:rsidRPr="007F1373">
        <w:rPr>
          <w:lang w:val="en-US"/>
        </w:rPr>
        <w:t>dried milk sample (50 mg)</w:t>
      </w:r>
      <w:r>
        <w:rPr>
          <w:lang w:val="en-US"/>
        </w:rPr>
        <w:t>, and finally F is factor converting the concentration of CPFAs from mg/g freeze dried milk to mg/kg of milk fat. According to the calibration curve of CPFA standard solution (matrix effect was negligible), t</w:t>
      </w:r>
      <w:r w:rsidRPr="002762FE">
        <w:rPr>
          <w:lang w:val="en-US"/>
        </w:rPr>
        <w:t>he area of the quartet at −0.34 ppm was linearly related to the concentration of CPFAs with a linearity of R</w:t>
      </w:r>
      <w:r w:rsidRPr="00903F8C">
        <w:rPr>
          <w:vertAlign w:val="superscript"/>
          <w:lang w:val="en-US"/>
        </w:rPr>
        <w:t>2</w:t>
      </w:r>
      <w:r w:rsidRPr="002762FE">
        <w:rPr>
          <w:lang w:val="en-US"/>
        </w:rPr>
        <w:t xml:space="preserve"> = 0.99</w:t>
      </w:r>
      <w:r>
        <w:rPr>
          <w:lang w:val="en-US"/>
        </w:rPr>
        <w:t xml:space="preserve">. Thus, the limit of detection (LOD) was found </w:t>
      </w:r>
      <w:r w:rsidRPr="007602C9">
        <w:rPr>
          <w:lang w:val="en-US"/>
        </w:rPr>
        <w:t>230 mg of CPFA</w:t>
      </w:r>
      <w:r>
        <w:rPr>
          <w:lang w:val="en-US"/>
        </w:rPr>
        <w:t>/</w:t>
      </w:r>
      <w:r w:rsidRPr="007602C9">
        <w:rPr>
          <w:lang w:val="en-US"/>
        </w:rPr>
        <w:t xml:space="preserve"> kg of milk fat.</w:t>
      </w:r>
      <w:r>
        <w:rPr>
          <w:lang w:val="en-US"/>
        </w:rPr>
        <w:t xml:space="preserve"> Whereas the GC-MS method resulted to a LOD of 7.5 mg of CPFA/</w:t>
      </w:r>
      <w:r w:rsidRPr="007602C9">
        <w:rPr>
          <w:lang w:val="en-US"/>
        </w:rPr>
        <w:t xml:space="preserve"> kg of milk fat</w:t>
      </w:r>
      <w:r>
        <w:rPr>
          <w:lang w:val="en-US"/>
        </w:rPr>
        <w:t>.</w:t>
      </w:r>
    </w:p>
    <w:p w14:paraId="6304836B" w14:textId="4952F6AE" w:rsidR="00861BF2" w:rsidRDefault="00861BF2" w:rsidP="004A4947">
      <w:pPr>
        <w:pStyle w:val="Caption"/>
        <w:keepNext/>
        <w:rPr>
          <w:lang w:val="en-US"/>
        </w:rPr>
      </w:pPr>
    </w:p>
    <w:p w14:paraId="2AF9DDF6" w14:textId="129CDA62" w:rsidR="00565493" w:rsidRPr="007F11AA" w:rsidRDefault="007F11AA" w:rsidP="007F11AA">
      <w:pPr>
        <w:tabs>
          <w:tab w:val="left" w:pos="1134"/>
        </w:tabs>
        <w:spacing w:before="300" w:after="120"/>
        <w:ind w:left="1134" w:hanging="1134"/>
        <w:jc w:val="both"/>
        <w:rPr>
          <w:b/>
          <w:bCs/>
          <w:sz w:val="18"/>
          <w:szCs w:val="18"/>
          <w:lang w:val="en-US"/>
        </w:rPr>
      </w:pPr>
      <w:r>
        <w:rPr>
          <w:b/>
          <w:i/>
          <w:sz w:val="18"/>
          <w:lang w:val="en-GB"/>
        </w:rPr>
        <w:t>Table 1</w:t>
      </w:r>
      <w:r>
        <w:rPr>
          <w:i/>
          <w:sz w:val="18"/>
          <w:lang w:val="en-GB"/>
        </w:rPr>
        <w:tab/>
      </w:r>
      <w:r w:rsidRPr="007F11AA">
        <w:rPr>
          <w:i/>
          <w:sz w:val="18"/>
          <w:lang w:val="en-GB"/>
        </w:rPr>
        <w:t>Contingency table summarizing the results of the presence of CPFAs in milk samples analysed by ¹H-NMR and GC-MS.</w:t>
      </w:r>
      <w:r w:rsidR="00565493">
        <w:rPr>
          <w:lang w:val="en-US"/>
        </w:rPr>
        <w:t xml:space="preserve"> </w:t>
      </w:r>
    </w:p>
    <w:tbl>
      <w:tblPr>
        <w:tblW w:w="5000" w:type="pct"/>
        <w:tblCellMar>
          <w:left w:w="71" w:type="dxa"/>
          <w:right w:w="71" w:type="dxa"/>
        </w:tblCellMar>
        <w:tblLook w:val="04A0" w:firstRow="1" w:lastRow="0" w:firstColumn="1" w:lastColumn="0" w:noHBand="0" w:noVBand="1"/>
      </w:tblPr>
      <w:tblGrid>
        <w:gridCol w:w="1260"/>
        <w:gridCol w:w="2268"/>
        <w:gridCol w:w="1029"/>
        <w:gridCol w:w="1353"/>
        <w:gridCol w:w="1408"/>
        <w:gridCol w:w="1753"/>
      </w:tblGrid>
      <w:tr w:rsidR="004A4947" w:rsidRPr="00337BB1" w14:paraId="59D17C9B" w14:textId="77777777" w:rsidTr="00E91F75">
        <w:trPr>
          <w:trHeight w:val="248"/>
        </w:trPr>
        <w:tc>
          <w:tcPr>
            <w:tcW w:w="695" w:type="pct"/>
            <w:tcBorders>
              <w:top w:val="single" w:sz="4" w:space="0" w:color="auto"/>
              <w:bottom w:val="single" w:sz="4" w:space="0" w:color="auto"/>
            </w:tcBorders>
            <w:shd w:val="clear" w:color="auto" w:fill="auto"/>
          </w:tcPr>
          <w:p w14:paraId="7486A241" w14:textId="77777777" w:rsidR="004A4947" w:rsidRPr="00337BB1" w:rsidRDefault="004A4947" w:rsidP="00E91F75">
            <w:pPr>
              <w:jc w:val="both"/>
              <w:rPr>
                <w:sz w:val="18"/>
                <w:szCs w:val="18"/>
                <w:lang w:val="en-GB"/>
              </w:rPr>
            </w:pPr>
          </w:p>
        </w:tc>
        <w:tc>
          <w:tcPr>
            <w:tcW w:w="1250" w:type="pct"/>
            <w:tcBorders>
              <w:top w:val="single" w:sz="4" w:space="0" w:color="auto"/>
              <w:bottom w:val="single" w:sz="4" w:space="0" w:color="auto"/>
            </w:tcBorders>
            <w:shd w:val="clear" w:color="auto" w:fill="auto"/>
          </w:tcPr>
          <w:p w14:paraId="6C0B902C" w14:textId="77777777" w:rsidR="004A4947" w:rsidRPr="00337BB1" w:rsidRDefault="004A4947" w:rsidP="00E91F75">
            <w:pPr>
              <w:jc w:val="both"/>
              <w:rPr>
                <w:sz w:val="18"/>
                <w:szCs w:val="18"/>
                <w:lang w:val="en-GB"/>
              </w:rPr>
            </w:pPr>
          </w:p>
        </w:tc>
        <w:tc>
          <w:tcPr>
            <w:tcW w:w="567" w:type="pct"/>
            <w:tcBorders>
              <w:top w:val="single" w:sz="4" w:space="0" w:color="auto"/>
              <w:bottom w:val="single" w:sz="4" w:space="0" w:color="auto"/>
            </w:tcBorders>
            <w:shd w:val="clear" w:color="auto" w:fill="auto"/>
          </w:tcPr>
          <w:p w14:paraId="12A6CBDE" w14:textId="77777777" w:rsidR="004A4947" w:rsidRPr="00D93F71" w:rsidRDefault="004A4947" w:rsidP="00E91F75">
            <w:pPr>
              <w:snapToGrid w:val="0"/>
              <w:jc w:val="both"/>
              <w:rPr>
                <w:b/>
                <w:bCs/>
                <w:sz w:val="18"/>
                <w:szCs w:val="18"/>
                <w:lang w:val="en-US"/>
              </w:rPr>
            </w:pPr>
            <w:r w:rsidRPr="00D93F71">
              <w:rPr>
                <w:b/>
                <w:bCs/>
                <w:sz w:val="18"/>
                <w:szCs w:val="18"/>
                <w:lang w:val="en-GB"/>
              </w:rPr>
              <w:t>Ha</w:t>
            </w:r>
            <w:proofErr w:type="spellStart"/>
            <w:r w:rsidRPr="00D93F71">
              <w:rPr>
                <w:b/>
                <w:bCs/>
                <w:sz w:val="18"/>
                <w:szCs w:val="18"/>
                <w:lang w:val="en-US"/>
              </w:rPr>
              <w:t>ymilk</w:t>
            </w:r>
            <w:proofErr w:type="spellEnd"/>
          </w:p>
        </w:tc>
        <w:tc>
          <w:tcPr>
            <w:tcW w:w="746" w:type="pct"/>
            <w:tcBorders>
              <w:top w:val="single" w:sz="4" w:space="0" w:color="auto"/>
              <w:bottom w:val="single" w:sz="4" w:space="0" w:color="auto"/>
            </w:tcBorders>
            <w:shd w:val="clear" w:color="auto" w:fill="auto"/>
          </w:tcPr>
          <w:p w14:paraId="23E7BC12" w14:textId="77777777" w:rsidR="004A4947" w:rsidRPr="00D93F71" w:rsidRDefault="004A4947" w:rsidP="00E91F75">
            <w:pPr>
              <w:jc w:val="both"/>
              <w:rPr>
                <w:b/>
                <w:bCs/>
                <w:sz w:val="18"/>
                <w:szCs w:val="18"/>
                <w:lang w:val="en-GB"/>
              </w:rPr>
            </w:pPr>
            <w:r w:rsidRPr="00D93F71">
              <w:rPr>
                <w:b/>
                <w:bCs/>
                <w:sz w:val="18"/>
                <w:szCs w:val="18"/>
                <w:lang w:val="en-GB"/>
              </w:rPr>
              <w:t>Grass silage</w:t>
            </w:r>
          </w:p>
        </w:tc>
        <w:tc>
          <w:tcPr>
            <w:tcW w:w="776" w:type="pct"/>
            <w:tcBorders>
              <w:top w:val="single" w:sz="4" w:space="0" w:color="auto"/>
              <w:bottom w:val="single" w:sz="4" w:space="0" w:color="auto"/>
            </w:tcBorders>
            <w:shd w:val="clear" w:color="auto" w:fill="auto"/>
          </w:tcPr>
          <w:p w14:paraId="0C26CFC4" w14:textId="77777777" w:rsidR="004A4947" w:rsidRPr="00D93F71" w:rsidRDefault="004A4947" w:rsidP="00E91F75">
            <w:pPr>
              <w:jc w:val="both"/>
              <w:rPr>
                <w:b/>
                <w:bCs/>
                <w:sz w:val="18"/>
                <w:szCs w:val="18"/>
                <w:lang w:val="en-GB"/>
              </w:rPr>
            </w:pPr>
            <w:r w:rsidRPr="00D93F71">
              <w:rPr>
                <w:b/>
                <w:bCs/>
                <w:sz w:val="18"/>
                <w:szCs w:val="18"/>
                <w:lang w:val="en-GB"/>
              </w:rPr>
              <w:t>Maize silage</w:t>
            </w:r>
          </w:p>
        </w:tc>
        <w:tc>
          <w:tcPr>
            <w:tcW w:w="966" w:type="pct"/>
            <w:tcBorders>
              <w:top w:val="single" w:sz="4" w:space="0" w:color="auto"/>
              <w:bottom w:val="single" w:sz="4" w:space="0" w:color="auto"/>
            </w:tcBorders>
            <w:shd w:val="clear" w:color="auto" w:fill="auto"/>
          </w:tcPr>
          <w:p w14:paraId="47FD41C8" w14:textId="77777777" w:rsidR="004A4947" w:rsidRPr="00D93F71" w:rsidRDefault="004A4947" w:rsidP="00E91F75">
            <w:pPr>
              <w:jc w:val="both"/>
              <w:rPr>
                <w:b/>
                <w:bCs/>
                <w:sz w:val="18"/>
                <w:szCs w:val="18"/>
                <w:lang w:val="en-US"/>
              </w:rPr>
            </w:pPr>
            <w:r w:rsidRPr="00D93F71">
              <w:rPr>
                <w:b/>
                <w:bCs/>
                <w:sz w:val="18"/>
                <w:szCs w:val="18"/>
                <w:lang w:val="en-GB"/>
              </w:rPr>
              <w:t>Chi-square test</w:t>
            </w:r>
            <w:r w:rsidRPr="00D93F71">
              <w:rPr>
                <w:b/>
                <w:bCs/>
                <w:sz w:val="18"/>
                <w:szCs w:val="18"/>
                <w:lang w:val="de-DE"/>
              </w:rPr>
              <w:t>*</w:t>
            </w:r>
          </w:p>
        </w:tc>
      </w:tr>
      <w:tr w:rsidR="004A4947" w:rsidRPr="00337BB1" w14:paraId="178AF4E3" w14:textId="77777777" w:rsidTr="00E91F75">
        <w:trPr>
          <w:trHeight w:val="305"/>
        </w:trPr>
        <w:tc>
          <w:tcPr>
            <w:tcW w:w="695" w:type="pct"/>
            <w:vMerge w:val="restart"/>
            <w:tcBorders>
              <w:top w:val="single" w:sz="4" w:space="0" w:color="auto"/>
            </w:tcBorders>
            <w:shd w:val="clear" w:color="auto" w:fill="auto"/>
          </w:tcPr>
          <w:p w14:paraId="54A6362D" w14:textId="77777777" w:rsidR="004A4947" w:rsidRPr="00337BB1" w:rsidRDefault="004A4947" w:rsidP="00E91F75">
            <w:pPr>
              <w:jc w:val="both"/>
              <w:rPr>
                <w:sz w:val="18"/>
                <w:szCs w:val="18"/>
                <w:lang w:val="en-GB"/>
              </w:rPr>
            </w:pPr>
          </w:p>
          <w:p w14:paraId="07793D75" w14:textId="77777777" w:rsidR="004A4947" w:rsidRPr="00337BB1" w:rsidRDefault="004A4947" w:rsidP="00E91F75">
            <w:pPr>
              <w:jc w:val="both"/>
              <w:rPr>
                <w:sz w:val="18"/>
                <w:szCs w:val="18"/>
                <w:lang w:val="en-GB"/>
              </w:rPr>
            </w:pPr>
            <w:r>
              <w:rPr>
                <w:sz w:val="18"/>
                <w:szCs w:val="18"/>
                <w:lang w:val="en-GB"/>
              </w:rPr>
              <w:t xml:space="preserve">  </w:t>
            </w:r>
            <w:r w:rsidRPr="00337BB1">
              <w:rPr>
                <w:sz w:val="18"/>
                <w:szCs w:val="18"/>
                <w:lang w:val="en-GB"/>
              </w:rPr>
              <w:t>GC-MS</w:t>
            </w:r>
          </w:p>
        </w:tc>
        <w:tc>
          <w:tcPr>
            <w:tcW w:w="1250" w:type="pct"/>
            <w:tcBorders>
              <w:top w:val="single" w:sz="4" w:space="0" w:color="auto"/>
            </w:tcBorders>
            <w:shd w:val="clear" w:color="auto" w:fill="auto"/>
          </w:tcPr>
          <w:p w14:paraId="51377490" w14:textId="77777777" w:rsidR="004A4947" w:rsidRPr="00337BB1" w:rsidRDefault="004A4947" w:rsidP="00E91F75">
            <w:pPr>
              <w:jc w:val="both"/>
              <w:rPr>
                <w:sz w:val="18"/>
                <w:szCs w:val="18"/>
              </w:rPr>
            </w:pPr>
            <w:r>
              <w:rPr>
                <w:sz w:val="18"/>
                <w:szCs w:val="18"/>
              </w:rPr>
              <w:t>C</w:t>
            </w:r>
            <w:r w:rsidRPr="00337BB1">
              <w:rPr>
                <w:sz w:val="18"/>
                <w:szCs w:val="18"/>
              </w:rPr>
              <w:t>PFAs present</w:t>
            </w:r>
          </w:p>
        </w:tc>
        <w:tc>
          <w:tcPr>
            <w:tcW w:w="567" w:type="pct"/>
            <w:tcBorders>
              <w:top w:val="single" w:sz="4" w:space="0" w:color="auto"/>
            </w:tcBorders>
            <w:shd w:val="clear" w:color="auto" w:fill="auto"/>
          </w:tcPr>
          <w:p w14:paraId="577FA7F4" w14:textId="77777777" w:rsidR="004A4947" w:rsidRPr="00337BB1" w:rsidRDefault="004A4947" w:rsidP="00E91F75">
            <w:pPr>
              <w:jc w:val="both"/>
              <w:rPr>
                <w:sz w:val="18"/>
                <w:szCs w:val="18"/>
                <w:lang w:val="de-DE"/>
              </w:rPr>
            </w:pPr>
            <w:r w:rsidRPr="00337BB1">
              <w:rPr>
                <w:sz w:val="18"/>
                <w:szCs w:val="18"/>
                <w:lang w:val="de-DE"/>
              </w:rPr>
              <w:t>0*</w:t>
            </w:r>
          </w:p>
        </w:tc>
        <w:tc>
          <w:tcPr>
            <w:tcW w:w="746" w:type="pct"/>
            <w:tcBorders>
              <w:top w:val="single" w:sz="4" w:space="0" w:color="auto"/>
            </w:tcBorders>
            <w:shd w:val="clear" w:color="auto" w:fill="auto"/>
          </w:tcPr>
          <w:p w14:paraId="575B2E34" w14:textId="77777777" w:rsidR="004A4947" w:rsidRPr="00337BB1" w:rsidRDefault="004A4947" w:rsidP="00E91F75">
            <w:pPr>
              <w:jc w:val="both"/>
              <w:rPr>
                <w:sz w:val="18"/>
                <w:szCs w:val="18"/>
              </w:rPr>
            </w:pPr>
            <w:r w:rsidRPr="00337BB1">
              <w:rPr>
                <w:sz w:val="18"/>
                <w:szCs w:val="18"/>
              </w:rPr>
              <w:t>80</w:t>
            </w:r>
          </w:p>
        </w:tc>
        <w:tc>
          <w:tcPr>
            <w:tcW w:w="776" w:type="pct"/>
            <w:tcBorders>
              <w:top w:val="single" w:sz="4" w:space="0" w:color="auto"/>
            </w:tcBorders>
            <w:shd w:val="clear" w:color="auto" w:fill="auto"/>
          </w:tcPr>
          <w:p w14:paraId="600876AD" w14:textId="77777777" w:rsidR="004A4947" w:rsidRPr="00337BB1" w:rsidRDefault="004A4947" w:rsidP="00E91F75">
            <w:pPr>
              <w:jc w:val="both"/>
              <w:rPr>
                <w:sz w:val="18"/>
                <w:szCs w:val="18"/>
              </w:rPr>
            </w:pPr>
            <w:r w:rsidRPr="00337BB1">
              <w:rPr>
                <w:sz w:val="18"/>
                <w:szCs w:val="18"/>
              </w:rPr>
              <w:t>96</w:t>
            </w:r>
          </w:p>
        </w:tc>
        <w:tc>
          <w:tcPr>
            <w:tcW w:w="966" w:type="pct"/>
            <w:vMerge w:val="restart"/>
            <w:tcBorders>
              <w:top w:val="single" w:sz="4" w:space="0" w:color="auto"/>
            </w:tcBorders>
            <w:shd w:val="clear" w:color="auto" w:fill="auto"/>
          </w:tcPr>
          <w:p w14:paraId="3FBDB95E" w14:textId="77777777" w:rsidR="004A4947" w:rsidRPr="00337BB1" w:rsidRDefault="004A4947" w:rsidP="00E91F75">
            <w:pPr>
              <w:jc w:val="both"/>
              <w:rPr>
                <w:sz w:val="18"/>
                <w:szCs w:val="18"/>
              </w:rPr>
            </w:pPr>
          </w:p>
          <w:p w14:paraId="6C7D21EA" w14:textId="77777777" w:rsidR="004A4947" w:rsidRPr="00337BB1" w:rsidRDefault="004A4947" w:rsidP="00E91F75">
            <w:pPr>
              <w:jc w:val="both"/>
              <w:rPr>
                <w:sz w:val="18"/>
                <w:szCs w:val="18"/>
              </w:rPr>
            </w:pPr>
            <w:r w:rsidRPr="00337BB1">
              <w:rPr>
                <w:sz w:val="18"/>
                <w:szCs w:val="18"/>
              </w:rPr>
              <w:t>&lt;</w:t>
            </w:r>
            <w:r>
              <w:rPr>
                <w:sz w:val="18"/>
                <w:szCs w:val="18"/>
              </w:rPr>
              <w:t xml:space="preserve"> </w:t>
            </w:r>
            <w:r w:rsidRPr="00337BB1">
              <w:rPr>
                <w:sz w:val="18"/>
                <w:szCs w:val="18"/>
              </w:rPr>
              <w:t>0.005</w:t>
            </w:r>
          </w:p>
        </w:tc>
      </w:tr>
      <w:tr w:rsidR="004A4947" w:rsidRPr="00337BB1" w14:paraId="531D8059" w14:textId="77777777" w:rsidTr="00E91F75">
        <w:trPr>
          <w:trHeight w:val="248"/>
        </w:trPr>
        <w:tc>
          <w:tcPr>
            <w:tcW w:w="695" w:type="pct"/>
            <w:vMerge/>
            <w:shd w:val="clear" w:color="auto" w:fill="auto"/>
          </w:tcPr>
          <w:p w14:paraId="48E16B13" w14:textId="77777777" w:rsidR="004A4947" w:rsidRPr="00337BB1" w:rsidRDefault="004A4947" w:rsidP="00E91F75">
            <w:pPr>
              <w:jc w:val="both"/>
              <w:rPr>
                <w:sz w:val="18"/>
                <w:szCs w:val="18"/>
                <w:lang w:val="en-GB"/>
              </w:rPr>
            </w:pPr>
          </w:p>
        </w:tc>
        <w:tc>
          <w:tcPr>
            <w:tcW w:w="1250" w:type="pct"/>
            <w:shd w:val="clear" w:color="auto" w:fill="auto"/>
          </w:tcPr>
          <w:p w14:paraId="0AD5A41A" w14:textId="77777777" w:rsidR="004A4947" w:rsidRPr="00337BB1" w:rsidRDefault="004A4947" w:rsidP="00E91F75">
            <w:pPr>
              <w:jc w:val="both"/>
              <w:rPr>
                <w:sz w:val="18"/>
                <w:szCs w:val="18"/>
                <w:lang w:val="en-GB"/>
              </w:rPr>
            </w:pPr>
            <w:r w:rsidRPr="00337BB1">
              <w:rPr>
                <w:sz w:val="18"/>
                <w:szCs w:val="18"/>
                <w:lang w:val="en-GB"/>
              </w:rPr>
              <w:t>CPFAs absent</w:t>
            </w:r>
          </w:p>
        </w:tc>
        <w:tc>
          <w:tcPr>
            <w:tcW w:w="567" w:type="pct"/>
            <w:shd w:val="clear" w:color="auto" w:fill="auto"/>
          </w:tcPr>
          <w:p w14:paraId="41053803" w14:textId="77777777" w:rsidR="004A4947" w:rsidRPr="00337BB1" w:rsidRDefault="004A4947" w:rsidP="00E91F75">
            <w:pPr>
              <w:jc w:val="both"/>
              <w:rPr>
                <w:color w:val="000000"/>
                <w:sz w:val="18"/>
                <w:szCs w:val="18"/>
                <w:lang w:val="en-GB"/>
              </w:rPr>
            </w:pPr>
            <w:r w:rsidRPr="00337BB1">
              <w:rPr>
                <w:color w:val="000000"/>
                <w:sz w:val="18"/>
                <w:szCs w:val="18"/>
                <w:lang w:val="en-GB"/>
              </w:rPr>
              <w:t>49*</w:t>
            </w:r>
          </w:p>
        </w:tc>
        <w:tc>
          <w:tcPr>
            <w:tcW w:w="746" w:type="pct"/>
            <w:shd w:val="clear" w:color="auto" w:fill="auto"/>
          </w:tcPr>
          <w:p w14:paraId="00429845" w14:textId="77777777" w:rsidR="004A4947" w:rsidRPr="00337BB1" w:rsidRDefault="004A4947" w:rsidP="00E91F75">
            <w:pPr>
              <w:jc w:val="both"/>
              <w:rPr>
                <w:color w:val="000000"/>
                <w:sz w:val="18"/>
                <w:szCs w:val="18"/>
                <w:lang w:val="en-GB"/>
              </w:rPr>
            </w:pPr>
            <w:r w:rsidRPr="00337BB1">
              <w:rPr>
                <w:color w:val="000000"/>
                <w:sz w:val="18"/>
                <w:szCs w:val="18"/>
                <w:lang w:val="en-GB"/>
              </w:rPr>
              <w:t>17</w:t>
            </w:r>
          </w:p>
        </w:tc>
        <w:tc>
          <w:tcPr>
            <w:tcW w:w="776" w:type="pct"/>
            <w:shd w:val="clear" w:color="auto" w:fill="auto"/>
          </w:tcPr>
          <w:p w14:paraId="15D845FE" w14:textId="77777777" w:rsidR="004A4947" w:rsidRPr="00337BB1" w:rsidRDefault="004A4947" w:rsidP="00E91F75">
            <w:pPr>
              <w:jc w:val="both"/>
              <w:rPr>
                <w:color w:val="000000"/>
                <w:sz w:val="18"/>
                <w:szCs w:val="18"/>
                <w:lang w:val="en-GB"/>
              </w:rPr>
            </w:pPr>
            <w:r w:rsidRPr="00337BB1">
              <w:rPr>
                <w:color w:val="000000"/>
                <w:sz w:val="18"/>
                <w:szCs w:val="18"/>
                <w:lang w:val="en-GB"/>
              </w:rPr>
              <w:t>3</w:t>
            </w:r>
          </w:p>
        </w:tc>
        <w:tc>
          <w:tcPr>
            <w:tcW w:w="966" w:type="pct"/>
            <w:vMerge/>
            <w:shd w:val="clear" w:color="auto" w:fill="auto"/>
          </w:tcPr>
          <w:p w14:paraId="2501DA39" w14:textId="77777777" w:rsidR="004A4947" w:rsidRPr="00337BB1" w:rsidRDefault="004A4947" w:rsidP="00E91F75">
            <w:pPr>
              <w:jc w:val="both"/>
              <w:rPr>
                <w:color w:val="000000"/>
                <w:sz w:val="18"/>
                <w:szCs w:val="18"/>
                <w:lang w:val="en-GB"/>
              </w:rPr>
            </w:pPr>
          </w:p>
        </w:tc>
      </w:tr>
      <w:tr w:rsidR="004A4947" w:rsidRPr="00337BB1" w14:paraId="48F6B084" w14:textId="77777777" w:rsidTr="00E91F75">
        <w:trPr>
          <w:trHeight w:val="248"/>
        </w:trPr>
        <w:tc>
          <w:tcPr>
            <w:tcW w:w="695" w:type="pct"/>
            <w:vMerge w:val="restart"/>
            <w:shd w:val="clear" w:color="auto" w:fill="auto"/>
          </w:tcPr>
          <w:p w14:paraId="2DD1B8DD" w14:textId="77777777" w:rsidR="004A4947" w:rsidRPr="00337BB1" w:rsidRDefault="004A4947" w:rsidP="00E91F75">
            <w:pPr>
              <w:jc w:val="both"/>
              <w:rPr>
                <w:sz w:val="18"/>
                <w:szCs w:val="18"/>
                <w:lang w:val="en-GB"/>
              </w:rPr>
            </w:pPr>
          </w:p>
          <w:p w14:paraId="61ADCAA7" w14:textId="77777777" w:rsidR="004A4947" w:rsidRPr="00337BB1" w:rsidRDefault="004A4947" w:rsidP="00E91F75">
            <w:pPr>
              <w:jc w:val="both"/>
              <w:rPr>
                <w:sz w:val="18"/>
                <w:szCs w:val="18"/>
                <w:lang w:val="en-GB"/>
              </w:rPr>
            </w:pPr>
            <w:r>
              <w:rPr>
                <w:sz w:val="18"/>
                <w:szCs w:val="18"/>
                <w:lang w:val="en-GB"/>
              </w:rPr>
              <w:t xml:space="preserve">  </w:t>
            </w:r>
            <w:r w:rsidRPr="00337BB1">
              <w:rPr>
                <w:sz w:val="18"/>
                <w:szCs w:val="18"/>
                <w:lang w:val="en-GB"/>
              </w:rPr>
              <w:t xml:space="preserve">NMR </w:t>
            </w:r>
          </w:p>
        </w:tc>
        <w:tc>
          <w:tcPr>
            <w:tcW w:w="1250" w:type="pct"/>
            <w:shd w:val="clear" w:color="auto" w:fill="auto"/>
          </w:tcPr>
          <w:p w14:paraId="634456BC" w14:textId="77777777" w:rsidR="004A4947" w:rsidRPr="00337BB1" w:rsidRDefault="004A4947" w:rsidP="00E91F75">
            <w:pPr>
              <w:jc w:val="both"/>
              <w:rPr>
                <w:sz w:val="18"/>
                <w:szCs w:val="18"/>
                <w:lang w:val="en-GB"/>
              </w:rPr>
            </w:pPr>
            <w:r w:rsidRPr="00337BB1">
              <w:rPr>
                <w:sz w:val="18"/>
                <w:szCs w:val="18"/>
              </w:rPr>
              <w:t>CPFAs present</w:t>
            </w:r>
          </w:p>
        </w:tc>
        <w:tc>
          <w:tcPr>
            <w:tcW w:w="567" w:type="pct"/>
            <w:shd w:val="clear" w:color="auto" w:fill="auto"/>
          </w:tcPr>
          <w:p w14:paraId="4FC063FB" w14:textId="77777777" w:rsidR="004A4947" w:rsidRPr="00337BB1" w:rsidRDefault="004A4947" w:rsidP="00E91F75">
            <w:pPr>
              <w:jc w:val="both"/>
              <w:rPr>
                <w:color w:val="000000"/>
                <w:sz w:val="18"/>
                <w:szCs w:val="18"/>
                <w:lang w:val="en-GB"/>
              </w:rPr>
            </w:pPr>
            <w:r w:rsidRPr="00337BB1">
              <w:rPr>
                <w:color w:val="000000"/>
                <w:sz w:val="18"/>
                <w:szCs w:val="18"/>
                <w:lang w:val="en-GB"/>
              </w:rPr>
              <w:t>0*</w:t>
            </w:r>
          </w:p>
        </w:tc>
        <w:tc>
          <w:tcPr>
            <w:tcW w:w="746" w:type="pct"/>
            <w:shd w:val="clear" w:color="auto" w:fill="auto"/>
          </w:tcPr>
          <w:p w14:paraId="22C86D6D" w14:textId="77777777" w:rsidR="004A4947" w:rsidRPr="00337BB1" w:rsidRDefault="004A4947" w:rsidP="00E91F75">
            <w:pPr>
              <w:jc w:val="both"/>
              <w:rPr>
                <w:color w:val="000000"/>
                <w:sz w:val="18"/>
                <w:szCs w:val="18"/>
                <w:lang w:val="en-GB"/>
              </w:rPr>
            </w:pPr>
            <w:r w:rsidRPr="00337BB1">
              <w:rPr>
                <w:color w:val="000000"/>
                <w:sz w:val="18"/>
                <w:szCs w:val="18"/>
                <w:lang w:val="en-GB"/>
              </w:rPr>
              <w:t>74</w:t>
            </w:r>
          </w:p>
        </w:tc>
        <w:tc>
          <w:tcPr>
            <w:tcW w:w="776" w:type="pct"/>
            <w:shd w:val="clear" w:color="auto" w:fill="auto"/>
          </w:tcPr>
          <w:p w14:paraId="7E1AAEE2" w14:textId="77777777" w:rsidR="004A4947" w:rsidRPr="00337BB1" w:rsidRDefault="004A4947" w:rsidP="00E91F75">
            <w:pPr>
              <w:jc w:val="both"/>
              <w:rPr>
                <w:color w:val="000000"/>
                <w:sz w:val="18"/>
                <w:szCs w:val="18"/>
                <w:lang w:val="en-GB"/>
              </w:rPr>
            </w:pPr>
            <w:r w:rsidRPr="00337BB1">
              <w:rPr>
                <w:color w:val="000000"/>
                <w:sz w:val="18"/>
                <w:szCs w:val="18"/>
                <w:lang w:val="en-GB"/>
              </w:rPr>
              <w:t>96</w:t>
            </w:r>
          </w:p>
        </w:tc>
        <w:tc>
          <w:tcPr>
            <w:tcW w:w="966" w:type="pct"/>
            <w:vMerge w:val="restart"/>
            <w:shd w:val="clear" w:color="auto" w:fill="auto"/>
          </w:tcPr>
          <w:p w14:paraId="60B40E75" w14:textId="77777777" w:rsidR="004A4947" w:rsidRPr="00337BB1" w:rsidRDefault="004A4947" w:rsidP="00E91F75">
            <w:pPr>
              <w:jc w:val="both"/>
              <w:rPr>
                <w:color w:val="000000"/>
                <w:sz w:val="18"/>
                <w:szCs w:val="18"/>
                <w:lang w:val="en-GB"/>
              </w:rPr>
            </w:pPr>
          </w:p>
          <w:p w14:paraId="769B902B" w14:textId="77777777" w:rsidR="004A4947" w:rsidRPr="00337BB1" w:rsidRDefault="004A4947" w:rsidP="00E91F75">
            <w:pPr>
              <w:jc w:val="both"/>
              <w:rPr>
                <w:color w:val="000000"/>
                <w:sz w:val="18"/>
                <w:szCs w:val="18"/>
                <w:lang w:val="en-GB"/>
              </w:rPr>
            </w:pPr>
            <w:r w:rsidRPr="00337BB1">
              <w:rPr>
                <w:sz w:val="18"/>
                <w:szCs w:val="18"/>
              </w:rPr>
              <w:t>&lt;</w:t>
            </w:r>
            <w:r>
              <w:rPr>
                <w:sz w:val="18"/>
                <w:szCs w:val="18"/>
              </w:rPr>
              <w:t xml:space="preserve"> </w:t>
            </w:r>
            <w:r w:rsidRPr="00337BB1">
              <w:rPr>
                <w:sz w:val="18"/>
                <w:szCs w:val="18"/>
              </w:rPr>
              <w:t>0.005</w:t>
            </w:r>
          </w:p>
        </w:tc>
      </w:tr>
      <w:tr w:rsidR="004A4947" w:rsidRPr="00337BB1" w14:paraId="7559277A" w14:textId="77777777" w:rsidTr="00E91F75">
        <w:trPr>
          <w:trHeight w:val="248"/>
        </w:trPr>
        <w:tc>
          <w:tcPr>
            <w:tcW w:w="695" w:type="pct"/>
            <w:vMerge/>
            <w:shd w:val="clear" w:color="auto" w:fill="auto"/>
          </w:tcPr>
          <w:p w14:paraId="3ADE8B33" w14:textId="77777777" w:rsidR="004A4947" w:rsidRPr="00337BB1" w:rsidRDefault="004A4947" w:rsidP="00E91F75">
            <w:pPr>
              <w:jc w:val="both"/>
              <w:rPr>
                <w:sz w:val="18"/>
                <w:szCs w:val="18"/>
                <w:lang w:val="en-GB"/>
              </w:rPr>
            </w:pPr>
          </w:p>
        </w:tc>
        <w:tc>
          <w:tcPr>
            <w:tcW w:w="1250" w:type="pct"/>
            <w:shd w:val="clear" w:color="auto" w:fill="auto"/>
          </w:tcPr>
          <w:p w14:paraId="068EF5CD" w14:textId="77777777" w:rsidR="004A4947" w:rsidRPr="00337BB1" w:rsidRDefault="004A4947" w:rsidP="00E91F75">
            <w:pPr>
              <w:jc w:val="both"/>
              <w:rPr>
                <w:sz w:val="18"/>
                <w:szCs w:val="18"/>
                <w:lang w:val="en-GB"/>
              </w:rPr>
            </w:pPr>
            <w:r w:rsidRPr="00337BB1">
              <w:rPr>
                <w:sz w:val="18"/>
                <w:szCs w:val="18"/>
                <w:lang w:val="en-GB"/>
              </w:rPr>
              <w:t>CPFAs absent</w:t>
            </w:r>
          </w:p>
        </w:tc>
        <w:tc>
          <w:tcPr>
            <w:tcW w:w="567" w:type="pct"/>
            <w:shd w:val="clear" w:color="auto" w:fill="auto"/>
          </w:tcPr>
          <w:p w14:paraId="35787DE2" w14:textId="77777777" w:rsidR="004A4947" w:rsidRPr="00337BB1" w:rsidRDefault="004A4947" w:rsidP="00E91F75">
            <w:pPr>
              <w:jc w:val="both"/>
              <w:rPr>
                <w:color w:val="000000"/>
                <w:sz w:val="18"/>
                <w:szCs w:val="18"/>
                <w:lang w:val="en-GB"/>
              </w:rPr>
            </w:pPr>
            <w:r w:rsidRPr="00337BB1">
              <w:rPr>
                <w:color w:val="000000"/>
                <w:sz w:val="18"/>
                <w:szCs w:val="18"/>
                <w:lang w:val="en-GB"/>
              </w:rPr>
              <w:t>49*</w:t>
            </w:r>
          </w:p>
        </w:tc>
        <w:tc>
          <w:tcPr>
            <w:tcW w:w="746" w:type="pct"/>
            <w:shd w:val="clear" w:color="auto" w:fill="auto"/>
          </w:tcPr>
          <w:p w14:paraId="6A821AB8" w14:textId="77777777" w:rsidR="004A4947" w:rsidRPr="00337BB1" w:rsidRDefault="004A4947" w:rsidP="00E91F75">
            <w:pPr>
              <w:jc w:val="both"/>
              <w:rPr>
                <w:color w:val="000000"/>
                <w:sz w:val="18"/>
                <w:szCs w:val="18"/>
                <w:lang w:val="en-GB"/>
              </w:rPr>
            </w:pPr>
            <w:r w:rsidRPr="00337BB1">
              <w:rPr>
                <w:color w:val="000000"/>
                <w:sz w:val="18"/>
                <w:szCs w:val="18"/>
                <w:lang w:val="en-GB"/>
              </w:rPr>
              <w:t>23</w:t>
            </w:r>
          </w:p>
        </w:tc>
        <w:tc>
          <w:tcPr>
            <w:tcW w:w="776" w:type="pct"/>
            <w:shd w:val="clear" w:color="auto" w:fill="auto"/>
          </w:tcPr>
          <w:p w14:paraId="1C47F9F6" w14:textId="77777777" w:rsidR="004A4947" w:rsidRPr="00337BB1" w:rsidRDefault="004A4947" w:rsidP="00E91F75">
            <w:pPr>
              <w:jc w:val="both"/>
              <w:rPr>
                <w:color w:val="000000"/>
                <w:sz w:val="18"/>
                <w:szCs w:val="18"/>
                <w:lang w:val="en-GB"/>
              </w:rPr>
            </w:pPr>
            <w:r w:rsidRPr="00337BB1">
              <w:rPr>
                <w:color w:val="000000"/>
                <w:sz w:val="18"/>
                <w:szCs w:val="18"/>
                <w:lang w:val="en-GB"/>
              </w:rPr>
              <w:t>3</w:t>
            </w:r>
          </w:p>
        </w:tc>
        <w:tc>
          <w:tcPr>
            <w:tcW w:w="966" w:type="pct"/>
            <w:vMerge/>
            <w:shd w:val="clear" w:color="auto" w:fill="auto"/>
          </w:tcPr>
          <w:p w14:paraId="104D022D" w14:textId="77777777" w:rsidR="004A4947" w:rsidRPr="00337BB1" w:rsidRDefault="004A4947" w:rsidP="00E91F75">
            <w:pPr>
              <w:jc w:val="both"/>
              <w:rPr>
                <w:color w:val="000000"/>
                <w:sz w:val="18"/>
                <w:szCs w:val="18"/>
                <w:lang w:val="en-GB"/>
              </w:rPr>
            </w:pPr>
          </w:p>
        </w:tc>
      </w:tr>
      <w:tr w:rsidR="004A4947" w:rsidRPr="00337BB1" w14:paraId="385D6C6A" w14:textId="77777777" w:rsidTr="00E91F75">
        <w:trPr>
          <w:trHeight w:val="230"/>
        </w:trPr>
        <w:tc>
          <w:tcPr>
            <w:tcW w:w="695" w:type="pct"/>
            <w:tcBorders>
              <w:bottom w:val="single" w:sz="4" w:space="0" w:color="auto"/>
            </w:tcBorders>
            <w:shd w:val="clear" w:color="auto" w:fill="auto"/>
          </w:tcPr>
          <w:p w14:paraId="784C56D2" w14:textId="77777777" w:rsidR="004A4947" w:rsidRPr="00337BB1" w:rsidRDefault="004A4947" w:rsidP="00E91F75">
            <w:pPr>
              <w:jc w:val="both"/>
              <w:rPr>
                <w:sz w:val="18"/>
                <w:szCs w:val="18"/>
                <w:lang w:val="en-GB"/>
              </w:rPr>
            </w:pPr>
          </w:p>
        </w:tc>
        <w:tc>
          <w:tcPr>
            <w:tcW w:w="1250" w:type="pct"/>
            <w:tcBorders>
              <w:bottom w:val="single" w:sz="4" w:space="0" w:color="auto"/>
            </w:tcBorders>
            <w:shd w:val="clear" w:color="auto" w:fill="auto"/>
          </w:tcPr>
          <w:p w14:paraId="23ABBEE3" w14:textId="77777777" w:rsidR="004A4947" w:rsidRPr="00337BB1" w:rsidRDefault="004A4947" w:rsidP="00E91F75">
            <w:pPr>
              <w:jc w:val="both"/>
              <w:rPr>
                <w:sz w:val="18"/>
                <w:szCs w:val="18"/>
                <w:lang w:val="en-GB"/>
              </w:rPr>
            </w:pPr>
            <w:r w:rsidRPr="00337BB1">
              <w:rPr>
                <w:sz w:val="18"/>
                <w:szCs w:val="18"/>
                <w:lang w:val="en-GB"/>
              </w:rPr>
              <w:t>Total number of samples</w:t>
            </w:r>
          </w:p>
        </w:tc>
        <w:tc>
          <w:tcPr>
            <w:tcW w:w="567" w:type="pct"/>
            <w:tcBorders>
              <w:bottom w:val="single" w:sz="4" w:space="0" w:color="auto"/>
            </w:tcBorders>
            <w:shd w:val="clear" w:color="auto" w:fill="auto"/>
          </w:tcPr>
          <w:p w14:paraId="0EC6C30A" w14:textId="77777777" w:rsidR="004A4947" w:rsidRPr="00337BB1" w:rsidRDefault="004A4947" w:rsidP="00E91F75">
            <w:pPr>
              <w:snapToGrid w:val="0"/>
              <w:jc w:val="both"/>
              <w:rPr>
                <w:color w:val="000000"/>
                <w:sz w:val="18"/>
                <w:szCs w:val="18"/>
                <w:lang w:val="en-GB"/>
              </w:rPr>
            </w:pPr>
            <w:r w:rsidRPr="00337BB1">
              <w:rPr>
                <w:color w:val="000000"/>
                <w:sz w:val="18"/>
                <w:szCs w:val="18"/>
                <w:lang w:val="en-GB"/>
              </w:rPr>
              <w:t>49</w:t>
            </w:r>
          </w:p>
        </w:tc>
        <w:tc>
          <w:tcPr>
            <w:tcW w:w="746" w:type="pct"/>
            <w:tcBorders>
              <w:bottom w:val="single" w:sz="4" w:space="0" w:color="auto"/>
            </w:tcBorders>
            <w:shd w:val="clear" w:color="auto" w:fill="auto"/>
          </w:tcPr>
          <w:p w14:paraId="7A350F6D" w14:textId="77777777" w:rsidR="004A4947" w:rsidRPr="00337BB1" w:rsidRDefault="004A4947" w:rsidP="00E91F75">
            <w:pPr>
              <w:jc w:val="both"/>
              <w:rPr>
                <w:color w:val="000000"/>
                <w:sz w:val="18"/>
                <w:szCs w:val="18"/>
                <w:lang w:val="en-GB"/>
              </w:rPr>
            </w:pPr>
            <w:r w:rsidRPr="00337BB1">
              <w:rPr>
                <w:color w:val="000000"/>
                <w:sz w:val="18"/>
                <w:szCs w:val="18"/>
                <w:lang w:val="en-GB"/>
              </w:rPr>
              <w:t>97</w:t>
            </w:r>
          </w:p>
        </w:tc>
        <w:tc>
          <w:tcPr>
            <w:tcW w:w="776" w:type="pct"/>
            <w:tcBorders>
              <w:bottom w:val="single" w:sz="4" w:space="0" w:color="auto"/>
            </w:tcBorders>
            <w:shd w:val="clear" w:color="auto" w:fill="auto"/>
          </w:tcPr>
          <w:p w14:paraId="609DBCA9" w14:textId="77777777" w:rsidR="004A4947" w:rsidRPr="00337BB1" w:rsidRDefault="004A4947" w:rsidP="00E91F75">
            <w:pPr>
              <w:jc w:val="both"/>
              <w:rPr>
                <w:color w:val="000000"/>
                <w:sz w:val="18"/>
                <w:szCs w:val="18"/>
                <w:lang w:val="en-GB"/>
              </w:rPr>
            </w:pPr>
            <w:r w:rsidRPr="00337BB1">
              <w:rPr>
                <w:color w:val="000000"/>
                <w:sz w:val="18"/>
                <w:szCs w:val="18"/>
                <w:lang w:val="en-GB"/>
              </w:rPr>
              <w:t>99</w:t>
            </w:r>
          </w:p>
        </w:tc>
        <w:tc>
          <w:tcPr>
            <w:tcW w:w="966" w:type="pct"/>
            <w:tcBorders>
              <w:bottom w:val="single" w:sz="4" w:space="0" w:color="auto"/>
            </w:tcBorders>
            <w:shd w:val="clear" w:color="auto" w:fill="auto"/>
          </w:tcPr>
          <w:p w14:paraId="1E5B872C" w14:textId="77777777" w:rsidR="004A4947" w:rsidRPr="00337BB1" w:rsidRDefault="004A4947" w:rsidP="00E91F75">
            <w:pPr>
              <w:jc w:val="both"/>
              <w:rPr>
                <w:color w:val="000000"/>
                <w:sz w:val="18"/>
                <w:szCs w:val="18"/>
                <w:lang w:val="en-GB"/>
              </w:rPr>
            </w:pPr>
          </w:p>
        </w:tc>
      </w:tr>
    </w:tbl>
    <w:p w14:paraId="202923D2" w14:textId="77777777" w:rsidR="004A4947" w:rsidRPr="002044F4" w:rsidRDefault="004A4947" w:rsidP="006875BC">
      <w:pPr>
        <w:jc w:val="both"/>
        <w:rPr>
          <w:sz w:val="18"/>
          <w:szCs w:val="18"/>
          <w:lang w:val="en-US"/>
        </w:rPr>
      </w:pPr>
      <w:r w:rsidRPr="002044F4">
        <w:rPr>
          <w:sz w:val="18"/>
          <w:szCs w:val="18"/>
          <w:lang w:val="en-US"/>
        </w:rPr>
        <w:t>*Significantly different at p &lt; 0.05.</w:t>
      </w:r>
    </w:p>
    <w:p w14:paraId="10C1C3F1" w14:textId="51DC620C" w:rsidR="004A4947" w:rsidRPr="00746B7D" w:rsidRDefault="004A4947" w:rsidP="004A4947">
      <w:pPr>
        <w:tabs>
          <w:tab w:val="left" w:pos="1134"/>
        </w:tabs>
        <w:spacing w:before="300" w:after="120"/>
        <w:jc w:val="both"/>
        <w:rPr>
          <w:lang w:val="en-US"/>
        </w:rPr>
      </w:pPr>
      <w:r w:rsidRPr="004A4947">
        <w:rPr>
          <w:lang w:val="en-US"/>
        </w:rPr>
        <w:t xml:space="preserve">Both methods confirmed the authenticity of </w:t>
      </w:r>
      <w:proofErr w:type="spellStart"/>
      <w:r w:rsidRPr="004A4947">
        <w:rPr>
          <w:lang w:val="en-US"/>
        </w:rPr>
        <w:t>Haymilk</w:t>
      </w:r>
      <w:proofErr w:type="spellEnd"/>
      <w:r w:rsidRPr="004A4947">
        <w:rPr>
          <w:lang w:val="en-US"/>
        </w:rPr>
        <w:t xml:space="preserve"> samples with 100% accuracy (Table 1). Moreover, ¹H-NMR was able to detect the presence of CPFAs at 97% accuracy for milk from maize silage feeding and 76% for grass silage feeding. Overall, the results of ¹H-NMR were in accordance with GC-MS analysis.</w:t>
      </w:r>
    </w:p>
    <w:p w14:paraId="72A8FD4D" w14:textId="125A9D04" w:rsidR="00512D9B" w:rsidRPr="00584D33" w:rsidRDefault="00FB589C">
      <w:pPr>
        <w:pStyle w:val="Heading2"/>
        <w:spacing w:before="240" w:after="120"/>
        <w:jc w:val="both"/>
        <w:rPr>
          <w:b/>
          <w:bCs/>
          <w:sz w:val="20"/>
          <w:lang w:val="en-GB"/>
        </w:rPr>
      </w:pPr>
      <w:r w:rsidRPr="00584D33">
        <w:rPr>
          <w:b/>
          <w:bCs/>
          <w:sz w:val="20"/>
          <w:lang w:val="en-GB"/>
        </w:rPr>
        <w:t xml:space="preserve">3.2 </w:t>
      </w:r>
      <w:r w:rsidR="004A4947" w:rsidRPr="00584D33">
        <w:rPr>
          <w:b/>
          <w:bCs/>
          <w:sz w:val="20"/>
          <w:lang w:val="en-GB"/>
        </w:rPr>
        <w:t xml:space="preserve">Development of an untargeted 1H-NMR fingerprinting approach to validate the authenticity of </w:t>
      </w:r>
      <w:proofErr w:type="spellStart"/>
      <w:proofErr w:type="gramStart"/>
      <w:r w:rsidR="004A4947" w:rsidRPr="00584D33">
        <w:rPr>
          <w:b/>
          <w:bCs/>
          <w:sz w:val="20"/>
          <w:lang w:val="en-GB"/>
        </w:rPr>
        <w:t>Haymilk</w:t>
      </w:r>
      <w:proofErr w:type="spellEnd"/>
      <w:proofErr w:type="gramEnd"/>
    </w:p>
    <w:p w14:paraId="6AE38D35" w14:textId="09E7ADFD" w:rsidR="00F95C99" w:rsidRPr="00D93F71" w:rsidRDefault="00FB589C" w:rsidP="00D93F71">
      <w:pPr>
        <w:jc w:val="both"/>
        <w:rPr>
          <w:lang w:val="en-US"/>
        </w:rPr>
      </w:pPr>
      <w:r>
        <w:rPr>
          <w:lang w:val="en-GB"/>
        </w:rPr>
        <w:t xml:space="preserve">According </w:t>
      </w:r>
      <w:r w:rsidR="004A4947" w:rsidRPr="004A4947">
        <w:rPr>
          <w:lang w:val="en-GB"/>
        </w:rPr>
        <w:t xml:space="preserve">Untargeted 1H-NMR </w:t>
      </w:r>
      <w:proofErr w:type="spellStart"/>
      <w:r w:rsidR="004A4947" w:rsidRPr="004A4947">
        <w:rPr>
          <w:lang w:val="en-GB"/>
        </w:rPr>
        <w:t>Haymilk</w:t>
      </w:r>
      <w:proofErr w:type="spellEnd"/>
      <w:r w:rsidR="004A4947" w:rsidRPr="004A4947">
        <w:rPr>
          <w:lang w:val="en-GB"/>
        </w:rPr>
        <w:t xml:space="preserve"> fingerprinting analysis have been performed on the 245 milk samples. Multivariate data analysis resulted in a good separation between </w:t>
      </w:r>
      <w:proofErr w:type="spellStart"/>
      <w:r w:rsidR="004A4947" w:rsidRPr="004A4947">
        <w:rPr>
          <w:lang w:val="en-GB"/>
        </w:rPr>
        <w:t>Haymilk</w:t>
      </w:r>
      <w:proofErr w:type="spellEnd"/>
      <w:r w:rsidR="004A4947" w:rsidRPr="004A4947">
        <w:rPr>
          <w:lang w:val="en-GB"/>
        </w:rPr>
        <w:t xml:space="preserve"> and milk from both grass and maize silage feedings collected in winter. However, discrimination of milk samples collected on summer was challenging due to similar metabolic profiling of the milk samples caused by outdoor grazing of the cows on summer. More powerful discrimination analysis tools are to be used to obtain better results on summer milk samples.</w:t>
      </w:r>
    </w:p>
    <w:p w14:paraId="3AFA9F8B" w14:textId="7FF32246" w:rsidR="00C50D58" w:rsidRPr="00EC677A" w:rsidRDefault="00FB589C" w:rsidP="00EC677A">
      <w:pPr>
        <w:pStyle w:val="Heading1"/>
        <w:spacing w:before="240" w:after="120"/>
        <w:ind w:right="0"/>
        <w:jc w:val="both"/>
        <w:rPr>
          <w:b/>
          <w:bCs/>
          <w:color w:val="000000"/>
          <w:sz w:val="24"/>
          <w:lang w:val="en-GB"/>
        </w:rPr>
      </w:pPr>
      <w:r>
        <w:rPr>
          <w:b/>
          <w:bCs/>
          <w:color w:val="000000"/>
          <w:sz w:val="24"/>
          <w:lang w:val="en-GB"/>
        </w:rPr>
        <w:t>4. References</w:t>
      </w:r>
    </w:p>
    <w:p w14:paraId="72CBD0D2" w14:textId="77777777" w:rsidR="00D13CE6" w:rsidRPr="00D13CE6" w:rsidRDefault="00D13CE6" w:rsidP="00D13CE6">
      <w:pPr>
        <w:ind w:left="425" w:hanging="425"/>
        <w:jc w:val="both"/>
        <w:rPr>
          <w:sz w:val="18"/>
          <w:szCs w:val="18"/>
          <w:lang w:val="en-GB"/>
        </w:rPr>
      </w:pPr>
      <w:proofErr w:type="spellStart"/>
      <w:r w:rsidRPr="00DD4C35">
        <w:rPr>
          <w:sz w:val="18"/>
          <w:szCs w:val="18"/>
          <w:lang w:val="en-GB"/>
        </w:rPr>
        <w:t>Knothe</w:t>
      </w:r>
      <w:proofErr w:type="spellEnd"/>
      <w:r w:rsidRPr="00DD4C35">
        <w:rPr>
          <w:sz w:val="18"/>
          <w:szCs w:val="18"/>
          <w:lang w:val="en-GB"/>
        </w:rPr>
        <w:t xml:space="preserve"> G (2006) NMR characterization of dihydrosterculic acid and its methyl ester. </w:t>
      </w:r>
      <w:r w:rsidRPr="00D13CE6">
        <w:rPr>
          <w:sz w:val="18"/>
          <w:szCs w:val="18"/>
          <w:lang w:val="en-GB"/>
        </w:rPr>
        <w:t xml:space="preserve">Lipids, 41(4), 393–396. </w:t>
      </w:r>
    </w:p>
    <w:p w14:paraId="10170DE4" w14:textId="77777777" w:rsidR="00D13CE6" w:rsidRPr="00DD4C35" w:rsidRDefault="00D13CE6" w:rsidP="00D13CE6">
      <w:pPr>
        <w:ind w:left="425" w:hanging="425"/>
        <w:jc w:val="both"/>
        <w:rPr>
          <w:sz w:val="18"/>
          <w:szCs w:val="18"/>
          <w:lang w:val="en-GB"/>
        </w:rPr>
      </w:pPr>
      <w:r w:rsidRPr="00D13CE6">
        <w:rPr>
          <w:sz w:val="18"/>
          <w:szCs w:val="18"/>
          <w:lang w:val="en-GB"/>
        </w:rPr>
        <w:t xml:space="preserve">Lolli V, </w:t>
      </w:r>
      <w:proofErr w:type="spellStart"/>
      <w:r w:rsidRPr="00D13CE6">
        <w:rPr>
          <w:sz w:val="18"/>
          <w:szCs w:val="18"/>
          <w:lang w:val="en-GB"/>
        </w:rPr>
        <w:t>Marseglia</w:t>
      </w:r>
      <w:proofErr w:type="spellEnd"/>
      <w:r w:rsidRPr="00D13CE6">
        <w:rPr>
          <w:sz w:val="18"/>
          <w:szCs w:val="18"/>
          <w:lang w:val="en-GB"/>
        </w:rPr>
        <w:t xml:space="preserve"> A, </w:t>
      </w:r>
      <w:proofErr w:type="spellStart"/>
      <w:r w:rsidRPr="00D13CE6">
        <w:rPr>
          <w:sz w:val="18"/>
          <w:szCs w:val="18"/>
          <w:lang w:val="en-GB"/>
        </w:rPr>
        <w:t>Palla</w:t>
      </w:r>
      <w:proofErr w:type="spellEnd"/>
      <w:r w:rsidRPr="00D13CE6">
        <w:rPr>
          <w:sz w:val="18"/>
          <w:szCs w:val="18"/>
          <w:lang w:val="en-GB"/>
        </w:rPr>
        <w:t xml:space="preserve"> G, </w:t>
      </w:r>
      <w:proofErr w:type="spellStart"/>
      <w:r w:rsidRPr="00D13CE6">
        <w:rPr>
          <w:sz w:val="18"/>
          <w:szCs w:val="18"/>
          <w:lang w:val="en-GB"/>
        </w:rPr>
        <w:t>Zanardi</w:t>
      </w:r>
      <w:proofErr w:type="spellEnd"/>
      <w:r w:rsidRPr="00D13CE6">
        <w:rPr>
          <w:sz w:val="18"/>
          <w:szCs w:val="18"/>
          <w:lang w:val="en-GB"/>
        </w:rPr>
        <w:t xml:space="preserve"> E, </w:t>
      </w:r>
      <w:proofErr w:type="spellStart"/>
      <w:r w:rsidRPr="00D13CE6">
        <w:rPr>
          <w:sz w:val="18"/>
          <w:szCs w:val="18"/>
          <w:lang w:val="en-GB"/>
        </w:rPr>
        <w:t>Caligiani</w:t>
      </w:r>
      <w:proofErr w:type="spellEnd"/>
      <w:r w:rsidRPr="00D13CE6">
        <w:rPr>
          <w:sz w:val="18"/>
          <w:szCs w:val="18"/>
          <w:lang w:val="en-GB"/>
        </w:rPr>
        <w:t xml:space="preserve"> A (2018) Determination of cyclopropane fatty acids in food of animal origin by 1H NMR. </w:t>
      </w:r>
      <w:r w:rsidRPr="00DD4C35">
        <w:rPr>
          <w:sz w:val="18"/>
          <w:szCs w:val="18"/>
          <w:lang w:val="en-GB"/>
        </w:rPr>
        <w:t xml:space="preserve">Journal of Analytical Methods in Chemistry, 2018. </w:t>
      </w:r>
    </w:p>
    <w:p w14:paraId="0DA8A124" w14:textId="015AD487" w:rsidR="00512D9B" w:rsidRDefault="00512D9B">
      <w:pPr>
        <w:ind w:left="425" w:hanging="425"/>
        <w:jc w:val="both"/>
        <w:rPr>
          <w:sz w:val="18"/>
          <w:szCs w:val="18"/>
          <w:lang w:val="en-GB"/>
        </w:rPr>
      </w:pPr>
    </w:p>
    <w:p w14:paraId="1411A239" w14:textId="77777777" w:rsidR="00BB0487" w:rsidRDefault="00BB0487">
      <w:pPr>
        <w:ind w:left="425" w:hanging="425"/>
        <w:jc w:val="both"/>
        <w:rPr>
          <w:sz w:val="18"/>
          <w:szCs w:val="18"/>
          <w:lang w:val="en-GB"/>
        </w:rPr>
      </w:pPr>
    </w:p>
    <w:p w14:paraId="1E571C23" w14:textId="0761120F" w:rsidR="00512D9B" w:rsidRDefault="00512D9B">
      <w:pPr>
        <w:pStyle w:val="Header"/>
        <w:tabs>
          <w:tab w:val="clear" w:pos="4819"/>
          <w:tab w:val="clear" w:pos="9638"/>
        </w:tabs>
        <w:spacing w:line="240" w:lineRule="auto"/>
      </w:pPr>
    </w:p>
    <w:sectPr w:rsidR="00512D9B" w:rsidSect="00D8191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47EC" w14:textId="77777777" w:rsidR="00E04DDC" w:rsidRDefault="00E04DDC">
      <w:r>
        <w:separator/>
      </w:r>
    </w:p>
  </w:endnote>
  <w:endnote w:type="continuationSeparator" w:id="0">
    <w:p w14:paraId="23644A6D" w14:textId="77777777" w:rsidR="00E04DDC" w:rsidRDefault="00E0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8BA3" w14:textId="77777777" w:rsidR="00E04DDC" w:rsidRDefault="00E04DDC">
      <w:r>
        <w:separator/>
      </w:r>
    </w:p>
  </w:footnote>
  <w:footnote w:type="continuationSeparator" w:id="0">
    <w:p w14:paraId="68F082A8" w14:textId="77777777" w:rsidR="00E04DDC" w:rsidRDefault="00E04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num w:numId="1" w16cid:durableId="1605117533">
    <w:abstractNumId w:val="1"/>
  </w:num>
  <w:num w:numId="2" w16cid:durableId="36767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511E3"/>
    <w:rsid w:val="0009469A"/>
    <w:rsid w:val="000A7AF4"/>
    <w:rsid w:val="000C388A"/>
    <w:rsid w:val="000D2BE5"/>
    <w:rsid w:val="000F6148"/>
    <w:rsid w:val="00105F51"/>
    <w:rsid w:val="00120C58"/>
    <w:rsid w:val="001274AB"/>
    <w:rsid w:val="00180409"/>
    <w:rsid w:val="001858A1"/>
    <w:rsid w:val="001A3D97"/>
    <w:rsid w:val="001A5B48"/>
    <w:rsid w:val="001C6EB5"/>
    <w:rsid w:val="001D667E"/>
    <w:rsid w:val="001F572D"/>
    <w:rsid w:val="00213C8A"/>
    <w:rsid w:val="00222244"/>
    <w:rsid w:val="002B60D3"/>
    <w:rsid w:val="002F2E52"/>
    <w:rsid w:val="00303330"/>
    <w:rsid w:val="00344828"/>
    <w:rsid w:val="003642F2"/>
    <w:rsid w:val="003E5309"/>
    <w:rsid w:val="003E7237"/>
    <w:rsid w:val="00405CAC"/>
    <w:rsid w:val="00414EDE"/>
    <w:rsid w:val="00432326"/>
    <w:rsid w:val="00432339"/>
    <w:rsid w:val="00432AC7"/>
    <w:rsid w:val="00440421"/>
    <w:rsid w:val="00443F87"/>
    <w:rsid w:val="00457590"/>
    <w:rsid w:val="00495E7C"/>
    <w:rsid w:val="004A4947"/>
    <w:rsid w:val="004B2205"/>
    <w:rsid w:val="004D6E72"/>
    <w:rsid w:val="004F1E83"/>
    <w:rsid w:val="00511550"/>
    <w:rsid w:val="00512D9B"/>
    <w:rsid w:val="005239E8"/>
    <w:rsid w:val="00544438"/>
    <w:rsid w:val="00562269"/>
    <w:rsid w:val="00565493"/>
    <w:rsid w:val="00582A99"/>
    <w:rsid w:val="00583268"/>
    <w:rsid w:val="00584D33"/>
    <w:rsid w:val="00597749"/>
    <w:rsid w:val="005B6925"/>
    <w:rsid w:val="005D4F23"/>
    <w:rsid w:val="005F5665"/>
    <w:rsid w:val="006240B3"/>
    <w:rsid w:val="00663E36"/>
    <w:rsid w:val="00664A69"/>
    <w:rsid w:val="006875BC"/>
    <w:rsid w:val="006B5081"/>
    <w:rsid w:val="006B5647"/>
    <w:rsid w:val="006B6328"/>
    <w:rsid w:val="006C1831"/>
    <w:rsid w:val="00735507"/>
    <w:rsid w:val="00746B7D"/>
    <w:rsid w:val="007D66EE"/>
    <w:rsid w:val="007E0B10"/>
    <w:rsid w:val="007E1A6E"/>
    <w:rsid w:val="007F11AA"/>
    <w:rsid w:val="0083554F"/>
    <w:rsid w:val="00861BF2"/>
    <w:rsid w:val="008827E4"/>
    <w:rsid w:val="008F1535"/>
    <w:rsid w:val="008F6F55"/>
    <w:rsid w:val="009234CF"/>
    <w:rsid w:val="00934B41"/>
    <w:rsid w:val="00934E2A"/>
    <w:rsid w:val="00935E92"/>
    <w:rsid w:val="00980EBF"/>
    <w:rsid w:val="009854CA"/>
    <w:rsid w:val="00993C4F"/>
    <w:rsid w:val="009A7659"/>
    <w:rsid w:val="009D6369"/>
    <w:rsid w:val="009E338B"/>
    <w:rsid w:val="009F53E0"/>
    <w:rsid w:val="00A41639"/>
    <w:rsid w:val="00A81B76"/>
    <w:rsid w:val="00AB62BC"/>
    <w:rsid w:val="00AB751C"/>
    <w:rsid w:val="00AD5D27"/>
    <w:rsid w:val="00B103EE"/>
    <w:rsid w:val="00B17C83"/>
    <w:rsid w:val="00B55EFC"/>
    <w:rsid w:val="00B56156"/>
    <w:rsid w:val="00B57A40"/>
    <w:rsid w:val="00B671F3"/>
    <w:rsid w:val="00B9222F"/>
    <w:rsid w:val="00BB0487"/>
    <w:rsid w:val="00BD0709"/>
    <w:rsid w:val="00BF6EAA"/>
    <w:rsid w:val="00C26C55"/>
    <w:rsid w:val="00C50D58"/>
    <w:rsid w:val="00C8497F"/>
    <w:rsid w:val="00CB2380"/>
    <w:rsid w:val="00CC546F"/>
    <w:rsid w:val="00CE0141"/>
    <w:rsid w:val="00D13CE6"/>
    <w:rsid w:val="00D238A2"/>
    <w:rsid w:val="00D41A17"/>
    <w:rsid w:val="00D42E58"/>
    <w:rsid w:val="00D76006"/>
    <w:rsid w:val="00D80155"/>
    <w:rsid w:val="00D8191D"/>
    <w:rsid w:val="00D93F71"/>
    <w:rsid w:val="00DB0080"/>
    <w:rsid w:val="00DB66C7"/>
    <w:rsid w:val="00DD4C35"/>
    <w:rsid w:val="00DD546C"/>
    <w:rsid w:val="00E00C99"/>
    <w:rsid w:val="00E04DDC"/>
    <w:rsid w:val="00E22AFF"/>
    <w:rsid w:val="00E25E9E"/>
    <w:rsid w:val="00E40FB8"/>
    <w:rsid w:val="00E44781"/>
    <w:rsid w:val="00E62720"/>
    <w:rsid w:val="00E67B66"/>
    <w:rsid w:val="00E865FC"/>
    <w:rsid w:val="00E878D8"/>
    <w:rsid w:val="00EB6316"/>
    <w:rsid w:val="00EC56A1"/>
    <w:rsid w:val="00EC610C"/>
    <w:rsid w:val="00EC677A"/>
    <w:rsid w:val="00ED5B36"/>
    <w:rsid w:val="00EF5393"/>
    <w:rsid w:val="00F02C5C"/>
    <w:rsid w:val="00F15A01"/>
    <w:rsid w:val="00F26BE1"/>
    <w:rsid w:val="00F65ADE"/>
    <w:rsid w:val="00F75D58"/>
    <w:rsid w:val="00F95C99"/>
    <w:rsid w:val="00FA20FA"/>
    <w:rsid w:val="00FB589C"/>
    <w:rsid w:val="00FC5A64"/>
    <w:rsid w:val="00FD69EF"/>
    <w:rsid w:val="00FE29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uiPriority w:val="35"/>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Bibliography">
    <w:name w:val="Bibliography"/>
    <w:basedOn w:val="Normal"/>
    <w:next w:val="Normal"/>
    <w:uiPriority w:val="37"/>
    <w:unhideWhenUsed/>
    <w:rsid w:val="00CE0141"/>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1A894BE-F5B0-4886-BE83-09FA37446D87}">
  <we:reference id="wa104382081" version="1.55.1.0" store="tr-TR" storeType="OMEX"/>
  <we:alternateReferences>
    <we:reference id="wa104382081" version="1.55.1.0" store=""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6F95D-0EA9-4F12-AD2B-A77EAEB0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1572</Words>
  <Characters>8961</Characters>
  <Application>Microsoft Office Word</Application>
  <DocSecurity>0</DocSecurity>
  <Lines>74</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Eltemur Dilek</cp:lastModifiedBy>
  <cp:revision>113</cp:revision>
  <cp:lastPrinted>2023-02-24T09:51:00Z</cp:lastPrinted>
  <dcterms:created xsi:type="dcterms:W3CDTF">2023-06-26T13:43:00Z</dcterms:created>
  <dcterms:modified xsi:type="dcterms:W3CDTF">2023-06-27T16:03:00Z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7c8b603334507af9e8bb2bc4bc087ec79facaa02657f6918c2bcaf6c589ae480</vt:lpwstr>
  </property>
  <property fmtid="{D5CDD505-2E9C-101B-9397-08002B2CF9AE}" pid="4" name="ZOTERO_PREF_1">
    <vt:lpwstr>&lt;data data-version="3" zotero-version="6.0.26"&gt;&lt;session id="zgNJ5mor"/&gt;&lt;style id="http://www.zotero.org/styles/harvard-cite-them-right" hasBibliography="1" bibliographyStyleHasBeenSet="1"/&gt;&lt;prefs&gt;&lt;pref name="fieldType" value="Field"/&gt;&lt;/prefs&gt;&lt;/data&gt;</vt:lpwstr>
  </property>
</Properties>
</file>