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0AD" w14:textId="64AF6DB8" w:rsidR="00A11F51" w:rsidRPr="00701795" w:rsidRDefault="002D6F0A" w:rsidP="00625CA5">
      <w:pPr>
        <w:pStyle w:val="Titolo"/>
        <w:spacing w:before="60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01795">
        <w:rPr>
          <w:rFonts w:ascii="Times New Roman" w:hAnsi="Times New Roman" w:cs="Times New Roman"/>
          <w:b/>
          <w:bCs/>
          <w:sz w:val="28"/>
          <w:szCs w:val="28"/>
          <w:lang w:val="en-GB"/>
        </w:rPr>
        <w:t>Identification of aggregate phenolic metabotypes after an Oral (Poly)phenol Challenge Test (OPCT) and their association to the cardiometabolic health status of 300 subjects</w:t>
      </w:r>
    </w:p>
    <w:p w14:paraId="37FF0843" w14:textId="2742B51D" w:rsidR="00B5203A" w:rsidRPr="00EB54FB" w:rsidRDefault="00765B68" w:rsidP="00D46993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54FB">
        <w:rPr>
          <w:rFonts w:ascii="Times New Roman" w:hAnsi="Times New Roman" w:cs="Times New Roman"/>
          <w:sz w:val="20"/>
          <w:szCs w:val="20"/>
        </w:rPr>
        <w:t xml:space="preserve">Cristiana Mignogna </w:t>
      </w:r>
      <w:r w:rsidR="00307F53" w:rsidRPr="00EB54FB">
        <w:rPr>
          <w:rFonts w:ascii="Times New Roman" w:hAnsi="Times New Roman" w:cs="Times New Roman"/>
          <w:sz w:val="20"/>
          <w:szCs w:val="20"/>
        </w:rPr>
        <w:t>(</w:t>
      </w:r>
      <w:r w:rsidR="00B5203A" w:rsidRPr="00EB54FB">
        <w:rPr>
          <w:rFonts w:ascii="Times New Roman" w:hAnsi="Times New Roman" w:cs="Times New Roman"/>
          <w:sz w:val="20"/>
          <w:szCs w:val="20"/>
        </w:rPr>
        <w:t>cristiana.mignogna@unipr.it</w:t>
      </w:r>
      <w:r w:rsidR="00307F53" w:rsidRPr="00EB54FB">
        <w:rPr>
          <w:rFonts w:ascii="Times New Roman" w:hAnsi="Times New Roman" w:cs="Times New Roman"/>
          <w:sz w:val="20"/>
          <w:szCs w:val="20"/>
        </w:rPr>
        <w:t>)</w:t>
      </w:r>
    </w:p>
    <w:p w14:paraId="00DE8720" w14:textId="57AD8CCA" w:rsidR="0099122F" w:rsidRPr="00701795" w:rsidRDefault="0099122F" w:rsidP="00D46993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701795">
        <w:rPr>
          <w:rFonts w:ascii="Times New Roman" w:hAnsi="Times New Roman" w:cs="Times New Roman"/>
          <w:sz w:val="20"/>
          <w:szCs w:val="20"/>
          <w:lang w:val="en-GB"/>
        </w:rPr>
        <w:t>Dep</w:t>
      </w:r>
      <w:r w:rsidR="00307F53" w:rsidRPr="00701795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B5203A" w:rsidRPr="00701795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Food and Drug, University of Parma, Parma, Italy</w:t>
      </w:r>
    </w:p>
    <w:p w14:paraId="6629E4D4" w14:textId="47D88B62" w:rsidR="002B47CD" w:rsidRPr="00701795" w:rsidRDefault="002B47CD" w:rsidP="00D46993">
      <w:pPr>
        <w:spacing w:before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701795">
        <w:rPr>
          <w:rFonts w:ascii="Times New Roman" w:hAnsi="Times New Roman" w:cs="Times New Roman"/>
          <w:sz w:val="20"/>
          <w:szCs w:val="20"/>
          <w:lang w:val="en-GB"/>
        </w:rPr>
        <w:t>Tutor: Prof. Pedro Mena</w:t>
      </w:r>
    </w:p>
    <w:p w14:paraId="4D824D9F" w14:textId="36059209" w:rsidR="00022EC3" w:rsidRPr="00701795" w:rsidRDefault="003733FF" w:rsidP="00F95288">
      <w:p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01795">
        <w:rPr>
          <w:rFonts w:ascii="Times New Roman" w:hAnsi="Times New Roman" w:cs="Times New Roman"/>
          <w:sz w:val="20"/>
          <w:szCs w:val="20"/>
          <w:lang w:val="en-GB"/>
        </w:rPr>
        <w:t>This PhD thesis project aim</w:t>
      </w:r>
      <w:r w:rsidR="007B66AC" w:rsidRPr="0070179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at</w:t>
      </w:r>
      <w:r w:rsidR="00FA7F16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B0E94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identifying aggregate metabolic phenotypes (metabotypes) for the main dietary (poly)phenols, evaluating the determinants of inter-individual variation leading to different </w:t>
      </w:r>
      <w:r w:rsidR="004D253D" w:rsidRPr="00701795">
        <w:rPr>
          <w:rFonts w:ascii="Times New Roman" w:hAnsi="Times New Roman" w:cs="Times New Roman"/>
          <w:sz w:val="20"/>
          <w:szCs w:val="20"/>
          <w:lang w:val="en-GB"/>
        </w:rPr>
        <w:t>metabolic</w:t>
      </w:r>
      <w:r w:rsidR="009B0E94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profiles and building predictive algorithms for a faster identification of metabotypes. </w:t>
      </w:r>
      <w:r w:rsidR="00A55641" w:rsidRPr="00701795">
        <w:rPr>
          <w:rFonts w:ascii="Times New Roman" w:hAnsi="Times New Roman" w:cs="Times New Roman"/>
          <w:sz w:val="20"/>
          <w:szCs w:val="20"/>
          <w:lang w:val="en-GB"/>
        </w:rPr>
        <w:t>Three hundred v</w:t>
      </w:r>
      <w:r w:rsidR="002A3B46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olunteers </w:t>
      </w:r>
      <w:r w:rsidR="005618F1" w:rsidRPr="00701795">
        <w:rPr>
          <w:rFonts w:ascii="Times New Roman" w:hAnsi="Times New Roman" w:cs="Times New Roman"/>
          <w:sz w:val="20"/>
          <w:szCs w:val="20"/>
          <w:lang w:val="en-GB"/>
        </w:rPr>
        <w:t>under</w:t>
      </w:r>
      <w:r w:rsidR="002A3B46" w:rsidRPr="00701795">
        <w:rPr>
          <w:rFonts w:ascii="Times New Roman" w:hAnsi="Times New Roman" w:cs="Times New Roman"/>
          <w:sz w:val="20"/>
          <w:szCs w:val="20"/>
          <w:lang w:val="en-GB"/>
        </w:rPr>
        <w:t>w</w:t>
      </w:r>
      <w:r w:rsidR="00F517BE" w:rsidRPr="00701795">
        <w:rPr>
          <w:rFonts w:ascii="Times New Roman" w:hAnsi="Times New Roman" w:cs="Times New Roman"/>
          <w:sz w:val="20"/>
          <w:szCs w:val="20"/>
          <w:lang w:val="en-GB"/>
        </w:rPr>
        <w:t>e</w:t>
      </w:r>
      <w:r w:rsidR="002A3B46" w:rsidRPr="00701795">
        <w:rPr>
          <w:rFonts w:ascii="Times New Roman" w:hAnsi="Times New Roman" w:cs="Times New Roman"/>
          <w:sz w:val="20"/>
          <w:szCs w:val="20"/>
          <w:lang w:val="en-GB"/>
        </w:rPr>
        <w:t>nt</w:t>
      </w:r>
      <w:r w:rsidR="005618F1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27BD3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an oral (poly)phenol challenge test </w:t>
      </w:r>
      <w:r w:rsidR="00706D3B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(OPCT) </w:t>
      </w:r>
      <w:r w:rsidR="00390E8A" w:rsidRPr="00701795">
        <w:rPr>
          <w:rFonts w:ascii="Times New Roman" w:hAnsi="Times New Roman" w:cs="Times New Roman"/>
          <w:sz w:val="20"/>
          <w:szCs w:val="20"/>
          <w:lang w:val="en-GB"/>
        </w:rPr>
        <w:t>in the form of</w:t>
      </w:r>
      <w:r w:rsidR="00FC2E82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3A23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3 </w:t>
      </w:r>
      <w:r w:rsidR="00327BD3" w:rsidRPr="00701795">
        <w:rPr>
          <w:rFonts w:ascii="Times New Roman" w:hAnsi="Times New Roman" w:cs="Times New Roman"/>
          <w:sz w:val="20"/>
          <w:szCs w:val="20"/>
          <w:lang w:val="en-GB"/>
        </w:rPr>
        <w:t>(poly)phenol</w:t>
      </w:r>
      <w:r w:rsidR="00E33DEF" w:rsidRPr="00701795">
        <w:rPr>
          <w:rFonts w:ascii="Times New Roman" w:hAnsi="Times New Roman" w:cs="Times New Roman"/>
          <w:sz w:val="20"/>
          <w:szCs w:val="20"/>
          <w:lang w:val="en-GB"/>
        </w:rPr>
        <w:t>-rich</w:t>
      </w:r>
      <w:r w:rsidR="00327BD3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33DEF" w:rsidRPr="00701795">
        <w:rPr>
          <w:rFonts w:ascii="Times New Roman" w:hAnsi="Times New Roman" w:cs="Times New Roman"/>
          <w:sz w:val="20"/>
          <w:szCs w:val="20"/>
          <w:lang w:val="en-GB"/>
        </w:rPr>
        <w:t>tablets</w:t>
      </w:r>
      <w:r w:rsidR="00412B2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, also </w:t>
      </w:r>
      <w:r w:rsidR="00737874" w:rsidRPr="00701795">
        <w:rPr>
          <w:rFonts w:ascii="Times New Roman" w:hAnsi="Times New Roman" w:cs="Times New Roman"/>
          <w:sz w:val="20"/>
          <w:szCs w:val="20"/>
          <w:lang w:val="en-GB"/>
        </w:rPr>
        <w:t>provid</w:t>
      </w:r>
      <w:r w:rsidR="00412B2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ing </w:t>
      </w:r>
      <w:r w:rsidR="001C1BFD" w:rsidRPr="00701795">
        <w:rPr>
          <w:rFonts w:ascii="Times New Roman" w:hAnsi="Times New Roman" w:cs="Times New Roman"/>
          <w:sz w:val="20"/>
          <w:szCs w:val="20"/>
          <w:lang w:val="en-GB"/>
        </w:rPr>
        <w:t>personal</w:t>
      </w:r>
      <w:r w:rsidR="00E03030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information</w:t>
      </w:r>
      <w:r w:rsidR="00CE507A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12F4A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="008E6792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their health status </w:t>
      </w:r>
      <w:r w:rsidR="00CE507A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as well </w:t>
      </w:r>
      <w:r w:rsidR="00EB5F5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as </w:t>
      </w:r>
      <w:r w:rsidR="00295A05" w:rsidRPr="00701795">
        <w:rPr>
          <w:rFonts w:ascii="Times New Roman" w:hAnsi="Times New Roman" w:cs="Times New Roman"/>
          <w:sz w:val="20"/>
          <w:szCs w:val="20"/>
          <w:lang w:val="en-GB"/>
        </w:rPr>
        <w:t>biological samples</w:t>
      </w:r>
      <w:r w:rsidR="00B01407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to assess </w:t>
      </w:r>
      <w:r w:rsidR="00D26FEC" w:rsidRPr="00701795">
        <w:rPr>
          <w:rFonts w:ascii="Times New Roman" w:hAnsi="Times New Roman" w:cs="Times New Roman"/>
          <w:sz w:val="20"/>
          <w:szCs w:val="20"/>
          <w:lang w:val="en-GB"/>
        </w:rPr>
        <w:t>urinary phenolic excretion,</w:t>
      </w:r>
      <w:r w:rsidR="00EB5F5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gut microbiota composition and </w:t>
      </w:r>
      <w:r w:rsidR="00812F4A">
        <w:rPr>
          <w:rFonts w:ascii="Times New Roman" w:hAnsi="Times New Roman" w:cs="Times New Roman"/>
          <w:sz w:val="20"/>
          <w:szCs w:val="20"/>
          <w:lang w:val="en-GB"/>
        </w:rPr>
        <w:t>genetic polymorphisms</w:t>
      </w:r>
      <w:r w:rsidR="00D26FEC" w:rsidRPr="00701795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A55641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This intervention study will allow to find association</w:t>
      </w:r>
      <w:r w:rsidR="00812F4A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55641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between cardiometabolic health and (poly)phenol metabolism.</w:t>
      </w:r>
    </w:p>
    <w:p w14:paraId="64966B11" w14:textId="41B9717A" w:rsidR="00062F74" w:rsidRPr="00EB54FB" w:rsidRDefault="00877CAD" w:rsidP="00926CD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Identificazione dei </w:t>
      </w:r>
      <w:proofErr w:type="spellStart"/>
      <w:r w:rsidR="00933BA3" w:rsidRPr="00EB54FB">
        <w:rPr>
          <w:rFonts w:ascii="Times New Roman" w:hAnsi="Times New Roman" w:cs="Times New Roman"/>
          <w:b/>
          <w:bCs/>
          <w:sz w:val="24"/>
          <w:szCs w:val="24"/>
        </w:rPr>
        <w:t>metabotipi</w:t>
      </w:r>
      <w:proofErr w:type="spellEnd"/>
      <w:r w:rsidR="00933BA3"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 fenolici</w:t>
      </w:r>
      <w:r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 aggregati </w:t>
      </w:r>
      <w:r w:rsidR="00E650F1" w:rsidRPr="00EB54FB">
        <w:rPr>
          <w:rFonts w:ascii="Times New Roman" w:hAnsi="Times New Roman" w:cs="Times New Roman"/>
          <w:b/>
          <w:bCs/>
          <w:sz w:val="24"/>
          <w:szCs w:val="24"/>
        </w:rPr>
        <w:t>a seguito di</w:t>
      </w:r>
      <w:r w:rsidR="00777F19"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 una challenge nutrizionale </w:t>
      </w:r>
      <w:r w:rsidR="003E5518" w:rsidRPr="00EB54FB">
        <w:rPr>
          <w:rFonts w:ascii="Times New Roman" w:hAnsi="Times New Roman" w:cs="Times New Roman"/>
          <w:b/>
          <w:bCs/>
          <w:sz w:val="24"/>
          <w:szCs w:val="24"/>
        </w:rPr>
        <w:t>per lo studio del metabolismo dei (poli)fenoli</w:t>
      </w:r>
      <w:r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3E5518"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la loro associazione </w:t>
      </w:r>
      <w:r w:rsidR="00C22F0E"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allo stato di salute </w:t>
      </w:r>
      <w:proofErr w:type="spellStart"/>
      <w:r w:rsidR="00C22F0E" w:rsidRPr="00EB54FB">
        <w:rPr>
          <w:rFonts w:ascii="Times New Roman" w:hAnsi="Times New Roman" w:cs="Times New Roman"/>
          <w:b/>
          <w:bCs/>
          <w:sz w:val="24"/>
          <w:szCs w:val="24"/>
        </w:rPr>
        <w:t>cardiometabolico</w:t>
      </w:r>
      <w:proofErr w:type="spellEnd"/>
      <w:r w:rsidR="00C22F0E" w:rsidRPr="00EB54FB">
        <w:rPr>
          <w:rFonts w:ascii="Times New Roman" w:hAnsi="Times New Roman" w:cs="Times New Roman"/>
          <w:b/>
          <w:bCs/>
          <w:sz w:val="24"/>
          <w:szCs w:val="24"/>
        </w:rPr>
        <w:t xml:space="preserve"> di 300 soggetti</w:t>
      </w:r>
    </w:p>
    <w:p w14:paraId="663A1335" w14:textId="323DD37E" w:rsidR="00FB5155" w:rsidRPr="00EB54FB" w:rsidRDefault="00875EC8" w:rsidP="00AA12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4FB">
        <w:rPr>
          <w:rFonts w:ascii="Times New Roman" w:hAnsi="Times New Roman" w:cs="Times New Roman"/>
          <w:sz w:val="20"/>
          <w:szCs w:val="20"/>
        </w:rPr>
        <w:t xml:space="preserve">Questo progetto di tesi </w:t>
      </w:r>
      <w:r w:rsidR="00E15452" w:rsidRPr="00EB54FB">
        <w:rPr>
          <w:rFonts w:ascii="Times New Roman" w:hAnsi="Times New Roman" w:cs="Times New Roman"/>
          <w:sz w:val="20"/>
          <w:szCs w:val="20"/>
        </w:rPr>
        <w:t>di dottorato mira ad identificare i fenotipi metabolici aggregati (</w:t>
      </w:r>
      <w:proofErr w:type="spellStart"/>
      <w:r w:rsidR="00E15452" w:rsidRPr="00EB54FB">
        <w:rPr>
          <w:rFonts w:ascii="Times New Roman" w:hAnsi="Times New Roman" w:cs="Times New Roman"/>
          <w:sz w:val="20"/>
          <w:szCs w:val="20"/>
        </w:rPr>
        <w:t>metabotipi</w:t>
      </w:r>
      <w:proofErr w:type="spellEnd"/>
      <w:r w:rsidR="00E15452" w:rsidRPr="00EB54FB">
        <w:rPr>
          <w:rFonts w:ascii="Times New Roman" w:hAnsi="Times New Roman" w:cs="Times New Roman"/>
          <w:sz w:val="20"/>
          <w:szCs w:val="20"/>
        </w:rPr>
        <w:t xml:space="preserve">) </w:t>
      </w:r>
      <w:r w:rsidR="00053313" w:rsidRPr="00EB54FB">
        <w:rPr>
          <w:rFonts w:ascii="Times New Roman" w:hAnsi="Times New Roman" w:cs="Times New Roman"/>
          <w:sz w:val="20"/>
          <w:szCs w:val="20"/>
        </w:rPr>
        <w:t>per i principali (poli)fenoli della dieta</w:t>
      </w:r>
      <w:r w:rsidR="00B11D8E" w:rsidRPr="00EB54FB">
        <w:rPr>
          <w:rFonts w:ascii="Times New Roman" w:hAnsi="Times New Roman" w:cs="Times New Roman"/>
          <w:sz w:val="20"/>
          <w:szCs w:val="20"/>
        </w:rPr>
        <w:t xml:space="preserve">, valutare i fattori della variabilità </w:t>
      </w:r>
      <w:proofErr w:type="gramStart"/>
      <w:r w:rsidR="00B11D8E" w:rsidRPr="00EB54FB">
        <w:rPr>
          <w:rFonts w:ascii="Times New Roman" w:hAnsi="Times New Roman" w:cs="Times New Roman"/>
          <w:sz w:val="20"/>
          <w:szCs w:val="20"/>
        </w:rPr>
        <w:t>inter-individuale</w:t>
      </w:r>
      <w:proofErr w:type="gramEnd"/>
      <w:r w:rsidR="00B11D8E" w:rsidRPr="00EB54FB">
        <w:rPr>
          <w:rFonts w:ascii="Times New Roman" w:hAnsi="Times New Roman" w:cs="Times New Roman"/>
          <w:sz w:val="20"/>
          <w:szCs w:val="20"/>
        </w:rPr>
        <w:t xml:space="preserve"> </w:t>
      </w:r>
      <w:r w:rsidR="00540A75" w:rsidRPr="00EB54FB">
        <w:rPr>
          <w:rFonts w:ascii="Times New Roman" w:hAnsi="Times New Roman" w:cs="Times New Roman"/>
          <w:sz w:val="20"/>
          <w:szCs w:val="20"/>
        </w:rPr>
        <w:t xml:space="preserve">che portano </w:t>
      </w:r>
      <w:r w:rsidR="008E1688" w:rsidRPr="00EB54FB">
        <w:rPr>
          <w:rFonts w:ascii="Times New Roman" w:hAnsi="Times New Roman" w:cs="Times New Roman"/>
          <w:sz w:val="20"/>
          <w:szCs w:val="20"/>
        </w:rPr>
        <w:t xml:space="preserve">ai diversi profili </w:t>
      </w:r>
      <w:r w:rsidR="00ED1B5B" w:rsidRPr="00EB54FB">
        <w:rPr>
          <w:rFonts w:ascii="Times New Roman" w:hAnsi="Times New Roman" w:cs="Times New Roman"/>
          <w:sz w:val="20"/>
          <w:szCs w:val="20"/>
        </w:rPr>
        <w:t>metabolici</w:t>
      </w:r>
      <w:r w:rsidR="0018633E" w:rsidRPr="00EB54FB">
        <w:rPr>
          <w:rFonts w:ascii="Times New Roman" w:hAnsi="Times New Roman" w:cs="Times New Roman"/>
          <w:sz w:val="20"/>
          <w:szCs w:val="20"/>
        </w:rPr>
        <w:t xml:space="preserve"> e costruire algoritmi predittivi per una </w:t>
      </w:r>
      <w:r w:rsidR="009D28DF" w:rsidRPr="00EB54FB">
        <w:rPr>
          <w:rFonts w:ascii="Times New Roman" w:hAnsi="Times New Roman" w:cs="Times New Roman"/>
          <w:sz w:val="20"/>
          <w:szCs w:val="20"/>
        </w:rPr>
        <w:t xml:space="preserve">più rapida identificazione dei </w:t>
      </w:r>
      <w:proofErr w:type="spellStart"/>
      <w:r w:rsidR="009D28DF" w:rsidRPr="00EB54FB">
        <w:rPr>
          <w:rFonts w:ascii="Times New Roman" w:hAnsi="Times New Roman" w:cs="Times New Roman"/>
          <w:sz w:val="20"/>
          <w:szCs w:val="20"/>
        </w:rPr>
        <w:t>metabotipi</w:t>
      </w:r>
      <w:proofErr w:type="spellEnd"/>
      <w:r w:rsidR="009D28DF" w:rsidRPr="00EB54FB">
        <w:rPr>
          <w:rFonts w:ascii="Times New Roman" w:hAnsi="Times New Roman" w:cs="Times New Roman"/>
          <w:sz w:val="20"/>
          <w:szCs w:val="20"/>
        </w:rPr>
        <w:t>.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Trecento volontari </w:t>
      </w:r>
      <w:r w:rsidR="00A14A00" w:rsidRPr="00EB54FB">
        <w:rPr>
          <w:rFonts w:ascii="Times New Roman" w:hAnsi="Times New Roman" w:cs="Times New Roman"/>
          <w:sz w:val="20"/>
          <w:szCs w:val="20"/>
        </w:rPr>
        <w:t>si sono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sottoposti </w:t>
      </w:r>
      <w:r w:rsidR="00FB5155" w:rsidRPr="00EB54FB">
        <w:rPr>
          <w:rFonts w:ascii="Times New Roman" w:hAnsi="Times New Roman" w:cs="Times New Roman"/>
          <w:sz w:val="20"/>
          <w:szCs w:val="20"/>
        </w:rPr>
        <w:t xml:space="preserve">ad una challenge nutrizionale (OPCT) </w:t>
      </w:r>
      <w:r w:rsidR="00BC4733" w:rsidRPr="00EB54FB">
        <w:rPr>
          <w:rFonts w:ascii="Times New Roman" w:hAnsi="Times New Roman" w:cs="Times New Roman"/>
          <w:sz w:val="20"/>
          <w:szCs w:val="20"/>
        </w:rPr>
        <w:t xml:space="preserve">consumando </w:t>
      </w:r>
      <w:proofErr w:type="gramStart"/>
      <w:r w:rsidR="001214F9" w:rsidRPr="00EB54FB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="001214F9" w:rsidRPr="00EB54FB">
        <w:rPr>
          <w:rFonts w:ascii="Times New Roman" w:hAnsi="Times New Roman" w:cs="Times New Roman"/>
          <w:sz w:val="20"/>
          <w:szCs w:val="20"/>
        </w:rPr>
        <w:t xml:space="preserve"> </w:t>
      </w:r>
      <w:r w:rsidR="00BC4733" w:rsidRPr="00EB54FB">
        <w:rPr>
          <w:rFonts w:ascii="Times New Roman" w:hAnsi="Times New Roman" w:cs="Times New Roman"/>
          <w:sz w:val="20"/>
          <w:szCs w:val="20"/>
        </w:rPr>
        <w:t>compresse ricche di (poli)fenoli</w:t>
      </w:r>
      <w:r w:rsidR="00507747" w:rsidRPr="00EB54FB">
        <w:rPr>
          <w:rFonts w:ascii="Times New Roman" w:hAnsi="Times New Roman" w:cs="Times New Roman"/>
          <w:sz w:val="20"/>
          <w:szCs w:val="20"/>
        </w:rPr>
        <w:t xml:space="preserve">, </w:t>
      </w:r>
      <w:r w:rsidR="00040C9F" w:rsidRPr="00EB54FB">
        <w:rPr>
          <w:rFonts w:ascii="Times New Roman" w:hAnsi="Times New Roman" w:cs="Times New Roman"/>
          <w:sz w:val="20"/>
          <w:szCs w:val="20"/>
        </w:rPr>
        <w:t>forn</w:t>
      </w:r>
      <w:r w:rsidR="00507747" w:rsidRPr="00EB54FB">
        <w:rPr>
          <w:rFonts w:ascii="Times New Roman" w:hAnsi="Times New Roman" w:cs="Times New Roman"/>
          <w:sz w:val="20"/>
          <w:szCs w:val="20"/>
        </w:rPr>
        <w:t>endo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informazioni personali sul </w:t>
      </w:r>
      <w:r w:rsidR="00507747" w:rsidRPr="00EB54FB">
        <w:rPr>
          <w:rFonts w:ascii="Times New Roman" w:hAnsi="Times New Roman" w:cs="Times New Roman"/>
          <w:sz w:val="20"/>
          <w:szCs w:val="20"/>
        </w:rPr>
        <w:t>proprio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stato di salute </w:t>
      </w:r>
      <w:r w:rsidR="00D137D6" w:rsidRPr="00EB54FB">
        <w:rPr>
          <w:rFonts w:ascii="Times New Roman" w:hAnsi="Times New Roman" w:cs="Times New Roman"/>
          <w:sz w:val="20"/>
          <w:szCs w:val="20"/>
        </w:rPr>
        <w:t>nonché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campioni biologici per valutare l'escrezione fenolica urinaria, </w:t>
      </w:r>
      <w:r w:rsidR="004740BB" w:rsidRPr="00EB54FB">
        <w:rPr>
          <w:rFonts w:ascii="Times New Roman" w:hAnsi="Times New Roman" w:cs="Times New Roman"/>
          <w:sz w:val="20"/>
          <w:szCs w:val="20"/>
        </w:rPr>
        <w:t xml:space="preserve">la </w:t>
      </w:r>
      <w:r w:rsidR="00040C9F" w:rsidRPr="00EB54FB">
        <w:rPr>
          <w:rFonts w:ascii="Times New Roman" w:hAnsi="Times New Roman" w:cs="Times New Roman"/>
          <w:sz w:val="20"/>
          <w:szCs w:val="20"/>
        </w:rPr>
        <w:t>composizione del microbiota intestinale e</w:t>
      </w:r>
      <w:r w:rsidR="004740BB" w:rsidRPr="00EB54FB">
        <w:rPr>
          <w:rFonts w:ascii="Times New Roman" w:hAnsi="Times New Roman" w:cs="Times New Roman"/>
          <w:sz w:val="20"/>
          <w:szCs w:val="20"/>
        </w:rPr>
        <w:t xml:space="preserve"> la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genotipizzazione. Questo studio di intervento permetterà di trovare un'associazione tra la salute </w:t>
      </w:r>
      <w:proofErr w:type="spellStart"/>
      <w:r w:rsidR="00040C9F" w:rsidRPr="00EB54FB">
        <w:rPr>
          <w:rFonts w:ascii="Times New Roman" w:hAnsi="Times New Roman" w:cs="Times New Roman"/>
          <w:sz w:val="20"/>
          <w:szCs w:val="20"/>
        </w:rPr>
        <w:t>cardiometabolica</w:t>
      </w:r>
      <w:proofErr w:type="spellEnd"/>
      <w:r w:rsidR="00040C9F" w:rsidRPr="00EB54FB">
        <w:rPr>
          <w:rFonts w:ascii="Times New Roman" w:hAnsi="Times New Roman" w:cs="Times New Roman"/>
          <w:sz w:val="20"/>
          <w:szCs w:val="20"/>
        </w:rPr>
        <w:t xml:space="preserve"> e il metabolismo</w:t>
      </w:r>
      <w:r w:rsidR="004740BB" w:rsidRPr="00EB54FB">
        <w:rPr>
          <w:rFonts w:ascii="Times New Roman" w:hAnsi="Times New Roman" w:cs="Times New Roman"/>
          <w:sz w:val="20"/>
          <w:szCs w:val="20"/>
        </w:rPr>
        <w:t xml:space="preserve"> dei</w:t>
      </w:r>
      <w:r w:rsidR="00040C9F" w:rsidRPr="00EB54FB">
        <w:rPr>
          <w:rFonts w:ascii="Times New Roman" w:hAnsi="Times New Roman" w:cs="Times New Roman"/>
          <w:sz w:val="20"/>
          <w:szCs w:val="20"/>
        </w:rPr>
        <w:t xml:space="preserve"> (poli)fenol</w:t>
      </w:r>
      <w:r w:rsidR="004740BB" w:rsidRPr="00EB54FB">
        <w:rPr>
          <w:rFonts w:ascii="Times New Roman" w:hAnsi="Times New Roman" w:cs="Times New Roman"/>
          <w:sz w:val="20"/>
          <w:szCs w:val="20"/>
        </w:rPr>
        <w:t>i</w:t>
      </w:r>
      <w:r w:rsidR="00040C9F" w:rsidRPr="00EB54FB">
        <w:rPr>
          <w:rFonts w:ascii="Times New Roman" w:hAnsi="Times New Roman" w:cs="Times New Roman"/>
          <w:sz w:val="20"/>
          <w:szCs w:val="20"/>
        </w:rPr>
        <w:t>.</w:t>
      </w:r>
      <w:r w:rsidR="009D28DF" w:rsidRPr="00EB54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3CE58" w14:textId="4B5DF360" w:rsidR="00E3173C" w:rsidRPr="00012D06" w:rsidRDefault="00E3173C" w:rsidP="00AA120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12D06">
        <w:rPr>
          <w:rFonts w:ascii="Times New Roman" w:hAnsi="Times New Roman" w:cs="Times New Roman"/>
          <w:b/>
          <w:bCs/>
          <w:sz w:val="20"/>
          <w:szCs w:val="20"/>
          <w:lang w:val="en-GB"/>
        </w:rPr>
        <w:t>Key words:</w:t>
      </w:r>
      <w:r w:rsidRPr="00012D0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7C1369" w:rsidRPr="00012D06">
        <w:rPr>
          <w:rFonts w:ascii="Times New Roman" w:hAnsi="Times New Roman" w:cs="Times New Roman"/>
          <w:sz w:val="20"/>
          <w:szCs w:val="20"/>
          <w:lang w:val="en-GB"/>
        </w:rPr>
        <w:t>metabotypes</w:t>
      </w:r>
      <w:proofErr w:type="spellEnd"/>
      <w:r w:rsidR="00716EE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7C1369" w:rsidRPr="00012D06">
        <w:rPr>
          <w:rFonts w:ascii="Times New Roman" w:hAnsi="Times New Roman" w:cs="Times New Roman"/>
          <w:sz w:val="20"/>
          <w:szCs w:val="20"/>
          <w:lang w:val="en-GB"/>
        </w:rPr>
        <w:t xml:space="preserve"> dietary challenge</w:t>
      </w:r>
      <w:r w:rsidR="00716EE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7C1369" w:rsidRPr="00012D06">
        <w:rPr>
          <w:rFonts w:ascii="Times New Roman" w:hAnsi="Times New Roman" w:cs="Times New Roman"/>
          <w:sz w:val="20"/>
          <w:szCs w:val="20"/>
          <w:lang w:val="en-GB"/>
        </w:rPr>
        <w:t xml:space="preserve"> (poly)phenols</w:t>
      </w:r>
      <w:r w:rsidR="00716EEA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7C1369" w:rsidRPr="00012D06">
        <w:rPr>
          <w:rFonts w:ascii="Times New Roman" w:hAnsi="Times New Roman" w:cs="Times New Roman"/>
          <w:sz w:val="20"/>
          <w:szCs w:val="20"/>
          <w:lang w:val="en-GB"/>
        </w:rPr>
        <w:t xml:space="preserve"> cardiometabolic health</w:t>
      </w:r>
      <w:r w:rsidR="00716EEA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2BD8B57" w14:textId="639444A3" w:rsidR="00276708" w:rsidRPr="00012D06" w:rsidRDefault="00A911FD" w:rsidP="00D7775F">
      <w:pPr>
        <w:pStyle w:val="Titolo1"/>
        <w:rPr>
          <w:lang w:val="en-GB"/>
        </w:rPr>
      </w:pPr>
      <w:r>
        <w:rPr>
          <w:lang w:val="en-GB"/>
        </w:rPr>
        <w:t>1.</w:t>
      </w:r>
      <w:r w:rsidR="00276708" w:rsidRPr="00012D06">
        <w:rPr>
          <w:lang w:val="en-GB"/>
        </w:rPr>
        <w:t xml:space="preserve"> </w:t>
      </w:r>
      <w:r w:rsidR="00166AD2" w:rsidRPr="00012D06">
        <w:rPr>
          <w:lang w:val="en-GB"/>
        </w:rPr>
        <w:t>Introduction</w:t>
      </w:r>
    </w:p>
    <w:p w14:paraId="1ECDE126" w14:textId="587F5C10" w:rsidR="00276708" w:rsidRPr="00701795" w:rsidRDefault="00FC35A8" w:rsidP="000567FA">
      <w:p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Increasing evidence suggests that </w:t>
      </w:r>
      <w:r w:rsidR="00B02A40">
        <w:rPr>
          <w:rFonts w:ascii="Times New Roman" w:hAnsi="Times New Roman" w:cs="Times New Roman"/>
          <w:sz w:val="20"/>
          <w:szCs w:val="20"/>
          <w:lang w:val="en-GB"/>
        </w:rPr>
        <w:t>m</w:t>
      </w:r>
      <w:r w:rsidR="00C0656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odest long-term intakes of (poly)phenols can reduce the risk of chronic diseases, especially cardiovascular </w:t>
      </w:r>
      <w:proofErr w:type="gramStart"/>
      <w:r w:rsidR="00C0656C" w:rsidRPr="00701795">
        <w:rPr>
          <w:rFonts w:ascii="Times New Roman" w:hAnsi="Times New Roman" w:cs="Times New Roman"/>
          <w:sz w:val="20"/>
          <w:szCs w:val="20"/>
          <w:lang w:val="en-GB"/>
        </w:rPr>
        <w:t>diseases</w:t>
      </w:r>
      <w:proofErr w:type="gramEnd"/>
      <w:r w:rsidR="00C0656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and type 2 diabetes (Rodriguez-</w:t>
      </w:r>
      <w:proofErr w:type="spellStart"/>
      <w:r w:rsidR="00C0656C" w:rsidRPr="00701795">
        <w:rPr>
          <w:rFonts w:ascii="Times New Roman" w:hAnsi="Times New Roman" w:cs="Times New Roman"/>
          <w:sz w:val="20"/>
          <w:szCs w:val="20"/>
          <w:lang w:val="en-GB"/>
        </w:rPr>
        <w:t>Mateos</w:t>
      </w:r>
      <w:proofErr w:type="spellEnd"/>
      <w:r w:rsidR="00C0656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et al., 2014</w:t>
      </w:r>
      <w:r w:rsidR="003E562D" w:rsidRPr="0070179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B51C13" w:rsidRPr="00701795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7E1401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>Nevertheless, the role of (poly)phenols in cardio-metabolic protection has not been consistently demonstrated yet (Gibney et al., 2019)</w:t>
      </w:r>
      <w:r w:rsidR="0070309F">
        <w:rPr>
          <w:rFonts w:ascii="Times New Roman" w:hAnsi="Times New Roman" w:cs="Times New Roman"/>
          <w:sz w:val="20"/>
          <w:szCs w:val="20"/>
          <w:lang w:val="en-GB"/>
        </w:rPr>
        <w:t>.</w:t>
      </w:r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The inter-individual variability </w:t>
      </w:r>
      <w:r w:rsidR="00F574AA">
        <w:rPr>
          <w:rFonts w:ascii="Times New Roman" w:hAnsi="Times New Roman" w:cs="Times New Roman"/>
          <w:sz w:val="20"/>
          <w:szCs w:val="20"/>
          <w:lang w:val="en-GB"/>
        </w:rPr>
        <w:t xml:space="preserve">plays an important role </w:t>
      </w:r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>in the physiological response</w:t>
      </w:r>
      <w:r w:rsidR="00F95F07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mainly influenced by differences in the absorption, distribution, metabolism</w:t>
      </w:r>
      <w:r w:rsidR="00B276C7" w:rsidRPr="00701795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and excretion (ADME) of (poly)phenols (Gibney et al., 2019), along with other factors, including genetic background, gut microbiota, sex, age, ethnicity, lifestyle (diet, smoking, </w:t>
      </w:r>
      <w:r w:rsidR="00EB5F5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>physical activity), (</w:t>
      </w:r>
      <w:proofErr w:type="spellStart"/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>patho</w:t>
      </w:r>
      <w:proofErr w:type="spellEnd"/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)physiological status and medication (Gibney et al., 2019; Cassidy &amp; </w:t>
      </w:r>
      <w:proofErr w:type="spellStart"/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>Minihane</w:t>
      </w:r>
      <w:proofErr w:type="spellEnd"/>
      <w:r w:rsidR="00BD0A3E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, 2017). </w:t>
      </w:r>
      <w:r w:rsidR="007A3D1B" w:rsidRPr="00701795">
        <w:rPr>
          <w:rFonts w:ascii="Times New Roman" w:hAnsi="Times New Roman" w:cs="Times New Roman"/>
          <w:sz w:val="20"/>
          <w:szCs w:val="20"/>
          <w:lang w:val="en-GB"/>
        </w:rPr>
        <w:t>After ingestion, (poly)phenols reach the colon, where they undergo modifications by the gut microbiota, being converted to smaller catabolites</w:t>
      </w:r>
      <w:r w:rsidR="00947675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7A3D1B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principally as conjugated phase II metabolites</w:t>
      </w:r>
      <w:r w:rsidR="00232B62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A867B8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which </w:t>
      </w:r>
      <w:r w:rsidR="00232B62" w:rsidRPr="00701795">
        <w:rPr>
          <w:rFonts w:ascii="Times New Roman" w:hAnsi="Times New Roman" w:cs="Times New Roman"/>
          <w:sz w:val="20"/>
          <w:szCs w:val="20"/>
          <w:lang w:val="en-GB"/>
        </w:rPr>
        <w:t>can act as mediators of diet-induced effects on health</w:t>
      </w:r>
      <w:r w:rsidR="007A3D1B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(Del Rio et al., 2013). The inter-individual differences in gut microbial composition and functionality can lead to quantitative and qualitative differences in the production of specific metabolites, influencing the bioactivity of (poly)phenols in the host (</w:t>
      </w:r>
      <w:proofErr w:type="spellStart"/>
      <w:r w:rsidR="007A3D1B" w:rsidRPr="00701795">
        <w:rPr>
          <w:rFonts w:ascii="Times New Roman" w:hAnsi="Times New Roman" w:cs="Times New Roman"/>
          <w:sz w:val="20"/>
          <w:szCs w:val="20"/>
          <w:lang w:val="en-GB"/>
        </w:rPr>
        <w:t>Manach</w:t>
      </w:r>
      <w:proofErr w:type="spellEnd"/>
      <w:r w:rsidR="007A3D1B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et al., 2017).</w:t>
      </w:r>
      <w:r w:rsidR="007974D3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The different catabolite production patterns </w:t>
      </w:r>
      <w:r w:rsidR="00D60816">
        <w:rPr>
          <w:rFonts w:ascii="Times New Roman" w:hAnsi="Times New Roman" w:cs="Times New Roman"/>
          <w:sz w:val="20"/>
          <w:szCs w:val="20"/>
          <w:lang w:val="en-GB"/>
        </w:rPr>
        <w:t>may be</w:t>
      </w:r>
      <w:r w:rsidR="00D60816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974D3" w:rsidRPr="00701795">
        <w:rPr>
          <w:rFonts w:ascii="Times New Roman" w:hAnsi="Times New Roman" w:cs="Times New Roman"/>
          <w:sz w:val="20"/>
          <w:szCs w:val="20"/>
          <w:lang w:val="en-GB"/>
        </w:rPr>
        <w:t>related to metabolic phenotypes (the so called metabotypes).</w:t>
      </w:r>
    </w:p>
    <w:p w14:paraId="10720194" w14:textId="39866F14" w:rsidR="00522503" w:rsidRPr="00701795" w:rsidRDefault="00F24E39" w:rsidP="003D126E">
      <w:p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This </w:t>
      </w:r>
      <w:r w:rsidR="00A34DC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acute human intervention study </w:t>
      </w:r>
      <w:r w:rsidR="0013559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is </w:t>
      </w:r>
      <w:r w:rsidR="009179C8" w:rsidRPr="00701795">
        <w:rPr>
          <w:rFonts w:ascii="Times New Roman" w:hAnsi="Times New Roman" w:cs="Times New Roman"/>
          <w:sz w:val="20"/>
          <w:szCs w:val="20"/>
          <w:lang w:val="en-GB"/>
        </w:rPr>
        <w:t>directed to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understand</w:t>
      </w:r>
      <w:r w:rsidR="0070480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C708B" w:rsidRPr="00701795">
        <w:rPr>
          <w:rFonts w:ascii="Times New Roman" w:hAnsi="Times New Roman" w:cs="Times New Roman"/>
          <w:sz w:val="20"/>
          <w:szCs w:val="20"/>
          <w:lang w:val="en-GB"/>
        </w:rPr>
        <w:t>the association be</w:t>
      </w:r>
      <w:r w:rsidR="00044698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tween </w:t>
      </w:r>
      <w:r w:rsidR="00B31190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aggregate metabolic phenotypes for the main dietary (poly)phenols and </w:t>
      </w:r>
      <w:r w:rsidR="003C39BD" w:rsidRPr="00701795">
        <w:rPr>
          <w:rFonts w:ascii="Times New Roman" w:hAnsi="Times New Roman" w:cs="Times New Roman"/>
          <w:sz w:val="20"/>
          <w:szCs w:val="20"/>
          <w:lang w:val="en-GB"/>
        </w:rPr>
        <w:t>the factors determining their formation</w:t>
      </w:r>
      <w:r w:rsidR="00F25873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10260434" w14:textId="1B3428D5" w:rsidR="005F5CCB" w:rsidRPr="00701795" w:rsidRDefault="00A911FD" w:rsidP="00D7775F">
      <w:pPr>
        <w:pStyle w:val="Titolo1"/>
        <w:rPr>
          <w:lang w:val="en-GB"/>
        </w:rPr>
      </w:pPr>
      <w:r>
        <w:rPr>
          <w:lang w:val="en-GB"/>
        </w:rPr>
        <w:t>2.</w:t>
      </w:r>
      <w:r w:rsidR="002D3E7D" w:rsidRPr="00701795">
        <w:rPr>
          <w:lang w:val="en-GB"/>
        </w:rPr>
        <w:t xml:space="preserve"> </w:t>
      </w:r>
      <w:r w:rsidR="003A4D5D" w:rsidRPr="00701795">
        <w:rPr>
          <w:bCs/>
          <w:color w:val="000000"/>
          <w:lang w:val="en-GB"/>
        </w:rPr>
        <w:t>Materials and Methods</w:t>
      </w:r>
    </w:p>
    <w:p w14:paraId="6C5838A2" w14:textId="76C09868" w:rsidR="00D87652" w:rsidRPr="00701795" w:rsidRDefault="00AE20C7" w:rsidP="00D87652">
      <w:pPr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An intervention study was carried out on 300 volunteers </w:t>
      </w:r>
      <w:r w:rsidR="000F0ABC" w:rsidRPr="00701795">
        <w:rPr>
          <w:rFonts w:ascii="Times New Roman" w:hAnsi="Times New Roman" w:cs="Times New Roman"/>
          <w:sz w:val="20"/>
          <w:szCs w:val="20"/>
          <w:lang w:val="en-GB"/>
        </w:rPr>
        <w:t>who met</w:t>
      </w:r>
      <w:r w:rsidR="002C2DF4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specific </w:t>
      </w:r>
      <w:r w:rsidR="009B5A57" w:rsidRPr="00701795">
        <w:rPr>
          <w:rFonts w:ascii="Times New Roman" w:hAnsi="Times New Roman" w:cs="Times New Roman"/>
          <w:sz w:val="20"/>
          <w:szCs w:val="20"/>
          <w:lang w:val="en-GB"/>
        </w:rPr>
        <w:t>inclusion and exclusion criteria.</w:t>
      </w:r>
      <w:r w:rsidR="003B7301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7FDA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Recruited subjects </w:t>
      </w:r>
      <w:r w:rsidR="001A78AA" w:rsidRPr="00701795">
        <w:rPr>
          <w:rFonts w:ascii="Times New Roman" w:hAnsi="Times New Roman" w:cs="Times New Roman"/>
          <w:sz w:val="20"/>
          <w:szCs w:val="20"/>
          <w:lang w:val="en-GB"/>
        </w:rPr>
        <w:t>were</w:t>
      </w:r>
      <w:r w:rsidR="00DF51C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7290C">
        <w:rPr>
          <w:rFonts w:ascii="Times New Roman" w:hAnsi="Times New Roman" w:cs="Times New Roman"/>
          <w:sz w:val="20"/>
          <w:szCs w:val="20"/>
          <w:lang w:val="en-GB"/>
        </w:rPr>
        <w:t xml:space="preserve">healthy </w:t>
      </w:r>
      <w:r w:rsidR="00DF51CF" w:rsidRPr="00701795">
        <w:rPr>
          <w:rFonts w:ascii="Times New Roman" w:hAnsi="Times New Roman" w:cs="Times New Roman"/>
          <w:sz w:val="20"/>
          <w:szCs w:val="20"/>
          <w:lang w:val="en-GB"/>
        </w:rPr>
        <w:t>adult</w:t>
      </w:r>
      <w:r w:rsidR="001A78AA" w:rsidRPr="0070179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9B5A57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>(18-74 y)</w:t>
      </w:r>
      <w:r w:rsidR="00DF51C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with a BMI ranging between 18.5 and 35</w:t>
      </w:r>
      <w:r w:rsidR="005B35E7" w:rsidRPr="00701795">
        <w:rPr>
          <w:rFonts w:ascii="Times New Roman" w:hAnsi="Times New Roman" w:cs="Times New Roman"/>
          <w:sz w:val="20"/>
          <w:szCs w:val="20"/>
          <w:lang w:val="en-GB"/>
        </w:rPr>
        <w:t>.0</w:t>
      </w:r>
      <w:r w:rsidR="004F5199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kg/m</w:t>
      </w:r>
      <w:r w:rsidR="004F5199" w:rsidRPr="00012D06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="0047516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4379C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free from </w:t>
      </w:r>
      <w:r w:rsidR="007A2E4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cardiometabolic </w:t>
      </w:r>
      <w:r w:rsidR="004428D7" w:rsidRPr="00701795">
        <w:rPr>
          <w:rFonts w:ascii="Times New Roman" w:hAnsi="Times New Roman" w:cs="Times New Roman"/>
          <w:sz w:val="20"/>
          <w:szCs w:val="20"/>
          <w:lang w:val="en-GB"/>
        </w:rPr>
        <w:t>diseases</w:t>
      </w:r>
      <w:r w:rsidR="00E92E1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149EE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3F3A35" w:rsidRPr="00701795">
        <w:rPr>
          <w:rFonts w:ascii="Times New Roman" w:hAnsi="Times New Roman" w:cs="Times New Roman"/>
          <w:sz w:val="20"/>
          <w:szCs w:val="20"/>
          <w:lang w:val="en-GB"/>
        </w:rPr>
        <w:t>impairment</w:t>
      </w:r>
      <w:r w:rsidR="006B66C1" w:rsidRPr="0070179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F3A3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D0226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mostly </w:t>
      </w:r>
      <w:r w:rsidR="00442564" w:rsidRPr="00701795">
        <w:rPr>
          <w:rFonts w:ascii="Times New Roman" w:hAnsi="Times New Roman" w:cs="Times New Roman"/>
          <w:sz w:val="20"/>
          <w:szCs w:val="20"/>
          <w:lang w:val="en-GB"/>
        </w:rPr>
        <w:t>related to</w:t>
      </w:r>
      <w:r w:rsidR="003F3A3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F1E19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20589D" w:rsidRPr="00701795">
        <w:rPr>
          <w:rFonts w:ascii="Times New Roman" w:hAnsi="Times New Roman" w:cs="Times New Roman"/>
          <w:sz w:val="20"/>
          <w:szCs w:val="20"/>
          <w:lang w:val="en-GB"/>
        </w:rPr>
        <w:t>gastro-intestinal tract</w:t>
      </w:r>
      <w:r w:rsidR="00CA6A52" w:rsidRPr="00701795">
        <w:rPr>
          <w:rFonts w:ascii="Times New Roman" w:hAnsi="Times New Roman" w:cs="Times New Roman"/>
          <w:sz w:val="20"/>
          <w:szCs w:val="20"/>
          <w:lang w:val="en-GB"/>
        </w:rPr>
        <w:t>, renal and liver functionality</w:t>
      </w:r>
      <w:r w:rsidR="004F5199" w:rsidRPr="00701795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D75F8C" w:rsidRPr="00701795">
        <w:rPr>
          <w:rFonts w:ascii="Times New Roman" w:hAnsi="Times New Roman" w:cs="Times New Roman"/>
          <w:sz w:val="20"/>
          <w:szCs w:val="20"/>
          <w:lang w:val="en-GB"/>
        </w:rPr>
        <w:t>During Visit 1</w:t>
      </w:r>
      <w:r w:rsidR="00B608CD" w:rsidRPr="00701795">
        <w:rPr>
          <w:rFonts w:ascii="Times New Roman" w:hAnsi="Times New Roman" w:cs="Times New Roman"/>
          <w:sz w:val="20"/>
          <w:szCs w:val="20"/>
          <w:lang w:val="en-GB"/>
        </w:rPr>
        <w:t>, after signi</w:t>
      </w:r>
      <w:r w:rsidR="005F1946" w:rsidRPr="00701795">
        <w:rPr>
          <w:rFonts w:ascii="Times New Roman" w:hAnsi="Times New Roman" w:cs="Times New Roman"/>
          <w:sz w:val="20"/>
          <w:szCs w:val="20"/>
          <w:lang w:val="en-GB"/>
        </w:rPr>
        <w:t>ng the informed consent,</w:t>
      </w:r>
      <w:r w:rsidR="00D75F8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t</w:t>
      </w:r>
      <w:r w:rsidR="00C17269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hey were asked 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F05719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provide 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>dietary and lifestyle information</w:t>
      </w:r>
      <w:r w:rsidR="006F67A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4409D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6F67AF" w:rsidRPr="00701795">
        <w:rPr>
          <w:rFonts w:ascii="Times New Roman" w:hAnsi="Times New Roman" w:cs="Times New Roman"/>
          <w:sz w:val="20"/>
          <w:szCs w:val="20"/>
          <w:lang w:val="en-GB"/>
        </w:rPr>
        <w:t>to</w:t>
      </w:r>
      <w:r w:rsidR="00B4409D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undergo </w:t>
      </w:r>
      <w:r w:rsidR="006F67AF" w:rsidRPr="00701795">
        <w:rPr>
          <w:rFonts w:ascii="Times New Roman" w:hAnsi="Times New Roman" w:cs="Times New Roman"/>
          <w:sz w:val="20"/>
          <w:szCs w:val="20"/>
          <w:lang w:val="en-GB"/>
        </w:rPr>
        <w:t>anthropometric measurements</w:t>
      </w:r>
      <w:r w:rsidR="0057639B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A75DDB" w:rsidRPr="00701795">
        <w:rPr>
          <w:rFonts w:ascii="Times New Roman" w:hAnsi="Times New Roman" w:cs="Times New Roman"/>
          <w:sz w:val="20"/>
          <w:szCs w:val="20"/>
          <w:lang w:val="en-GB"/>
        </w:rPr>
        <w:t>C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>linical data and biological samples</w:t>
      </w:r>
      <w:r w:rsidR="00BC67F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(blood, </w:t>
      </w:r>
      <w:r w:rsidR="00F95DCE" w:rsidRPr="00701795">
        <w:rPr>
          <w:rFonts w:ascii="Times New Roman" w:hAnsi="Times New Roman" w:cs="Times New Roman"/>
          <w:sz w:val="20"/>
          <w:szCs w:val="20"/>
          <w:lang w:val="en-GB"/>
        </w:rPr>
        <w:t>urine</w:t>
      </w:r>
      <w:r w:rsidR="00BC67FF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D60816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="00BC67FF" w:rsidRPr="00701795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F95DCE" w:rsidRPr="00701795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BC67FF" w:rsidRPr="00701795">
        <w:rPr>
          <w:rFonts w:ascii="Times New Roman" w:hAnsi="Times New Roman" w:cs="Times New Roman"/>
          <w:sz w:val="20"/>
          <w:szCs w:val="20"/>
          <w:lang w:val="en-GB"/>
        </w:rPr>
        <w:t>eces</w:t>
      </w:r>
      <w:r w:rsidR="00F95DCE" w:rsidRPr="0070179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30595C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20246" w:rsidRPr="00701795">
        <w:rPr>
          <w:rFonts w:ascii="Times New Roman" w:hAnsi="Times New Roman" w:cs="Times New Roman"/>
          <w:sz w:val="20"/>
          <w:szCs w:val="20"/>
          <w:lang w:val="en-GB"/>
        </w:rPr>
        <w:t>were delivered at Visit 2</w:t>
      </w:r>
      <w:r w:rsidR="0039669A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when s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>ubjects underwent a standardised oral (poly)phenol challenge test (OPCT) consisting in an acute supplementation of up to 15 classes of dietary (poly)phenols</w:t>
      </w:r>
      <w:r w:rsidR="008B69AB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 in the form of 3 tablets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. Urine samples collected during the following 24-h were analysed through UPLC-IMS-HRMS to assess the individual urinary excretion of phenolic metabolites, allowing clustering according to aggregate metabotypes. Blood samples were analysed to determine common cardiometabolic health biomarkers </w:t>
      </w:r>
      <w:r w:rsidR="000534D5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(total cholesterol, HDL-cholesterol, </w:t>
      </w:r>
      <w:r w:rsidR="00D04526" w:rsidRPr="00701795">
        <w:rPr>
          <w:rFonts w:ascii="Times New Roman" w:hAnsi="Times New Roman" w:cs="Times New Roman"/>
          <w:sz w:val="20"/>
          <w:szCs w:val="20"/>
          <w:lang w:val="en-GB"/>
        </w:rPr>
        <w:lastRenderedPageBreak/>
        <w:t>triglycerides, glucose, insulin</w:t>
      </w:r>
      <w:r w:rsidR="00D60816">
        <w:rPr>
          <w:rFonts w:ascii="Times New Roman" w:hAnsi="Times New Roman" w:cs="Times New Roman"/>
          <w:sz w:val="20"/>
          <w:szCs w:val="20"/>
          <w:lang w:val="en-GB"/>
        </w:rPr>
        <w:t>, etc.</w:t>
      </w:r>
      <w:r w:rsidR="00D04526" w:rsidRPr="00701795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>and for whole-genome genotyping</w:t>
      </w:r>
      <w:r w:rsidR="00D60816">
        <w:rPr>
          <w:rFonts w:ascii="Times New Roman" w:hAnsi="Times New Roman" w:cs="Times New Roman"/>
          <w:sz w:val="20"/>
          <w:szCs w:val="20"/>
          <w:lang w:val="en-GB"/>
        </w:rPr>
        <w:t xml:space="preserve"> focused on genetic polymorphisms (SNPs)</w:t>
      </w:r>
      <w:r w:rsidRPr="00701795">
        <w:rPr>
          <w:rFonts w:ascii="Times New Roman" w:hAnsi="Times New Roman" w:cs="Times New Roman"/>
          <w:sz w:val="20"/>
          <w:szCs w:val="20"/>
          <w:lang w:val="en-GB"/>
        </w:rPr>
        <w:t>. Faeces were subjected to microbial profiling to determine gut microbiota composition at species level. Cardiometabolic risk scores were also assessed.</w:t>
      </w:r>
    </w:p>
    <w:p w14:paraId="494B0B06" w14:textId="5FAB2206" w:rsidR="009B607D" w:rsidRPr="00701795" w:rsidRDefault="00A911FD" w:rsidP="00697E8A">
      <w:pPr>
        <w:pStyle w:val="Titolo1"/>
        <w:rPr>
          <w:bCs/>
          <w:color w:val="000000"/>
          <w:lang w:val="en-GB"/>
        </w:rPr>
      </w:pPr>
      <w:r>
        <w:rPr>
          <w:lang w:val="en-GB"/>
        </w:rPr>
        <w:t>3.</w:t>
      </w:r>
      <w:r w:rsidR="00CD2C70" w:rsidRPr="00701795">
        <w:rPr>
          <w:lang w:val="en-GB"/>
        </w:rPr>
        <w:t xml:space="preserve"> </w:t>
      </w:r>
      <w:r w:rsidR="009B607D" w:rsidRPr="00701795">
        <w:rPr>
          <w:bCs/>
          <w:color w:val="000000"/>
          <w:lang w:val="en-GB"/>
        </w:rPr>
        <w:t>Results and Discussion</w:t>
      </w:r>
    </w:p>
    <w:p w14:paraId="706BAB8D" w14:textId="2D02ABFC" w:rsidR="002B31C1" w:rsidRPr="00701795" w:rsidRDefault="00A521F7" w:rsidP="00012D06">
      <w:pPr>
        <w:pStyle w:val="Titolo1"/>
        <w:spacing w:after="0"/>
        <w:jc w:val="both"/>
        <w:rPr>
          <w:rFonts w:eastAsiaTheme="minorHAnsi" w:cs="Times New Roman"/>
          <w:b w:val="0"/>
          <w:sz w:val="20"/>
          <w:szCs w:val="20"/>
          <w:lang w:val="en-GB"/>
        </w:rPr>
      </w:pP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Up to 298 volunteers finished the study. </w:t>
      </w:r>
      <w:r w:rsidR="00050A9B" w:rsidRPr="00701795">
        <w:rPr>
          <w:rFonts w:eastAsiaTheme="minorHAnsi" w:cs="Times New Roman"/>
          <w:b w:val="0"/>
          <w:sz w:val="20"/>
          <w:szCs w:val="20"/>
          <w:lang w:val="en-GB"/>
        </w:rPr>
        <w:t>Preliminary analyses showed that</w:t>
      </w:r>
      <w:r w:rsidR="00EA0EA4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th</w:t>
      </w:r>
      <w:r w:rsidR="00AB4A52" w:rsidRPr="00701795">
        <w:rPr>
          <w:rFonts w:eastAsiaTheme="minorHAnsi" w:cs="Times New Roman"/>
          <w:b w:val="0"/>
          <w:sz w:val="20"/>
          <w:szCs w:val="20"/>
          <w:lang w:val="en-GB"/>
        </w:rPr>
        <w:t>e</w:t>
      </w:r>
      <w:r w:rsidR="00EA0EA4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cohort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="007F7216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was made up of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>5</w:t>
      </w:r>
      <w:r w:rsidR="00D049A8" w:rsidRPr="00701795">
        <w:rPr>
          <w:rFonts w:eastAsiaTheme="minorHAnsi" w:cs="Times New Roman"/>
          <w:b w:val="0"/>
          <w:sz w:val="20"/>
          <w:szCs w:val="20"/>
          <w:lang w:val="en-GB"/>
        </w:rPr>
        <w:t>7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% </w:t>
      </w:r>
      <w:r w:rsidR="007F7216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of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women, </w:t>
      </w:r>
      <w:r w:rsidR="00262264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having an average age of </w:t>
      </w:r>
      <w:r w:rsidR="00B07C97" w:rsidRPr="00701795">
        <w:rPr>
          <w:rFonts w:eastAsiaTheme="minorHAnsi" w:cs="Times New Roman"/>
          <w:b w:val="0"/>
          <w:sz w:val="20"/>
          <w:szCs w:val="20"/>
          <w:lang w:val="en-GB"/>
        </w:rPr>
        <w:t>40.7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y (SD ± </w:t>
      </w:r>
      <w:r w:rsidR="00B07C97" w:rsidRPr="00701795">
        <w:rPr>
          <w:rFonts w:eastAsiaTheme="minorHAnsi" w:cs="Times New Roman"/>
          <w:b w:val="0"/>
          <w:sz w:val="20"/>
          <w:szCs w:val="20"/>
          <w:lang w:val="en-GB"/>
        </w:rPr>
        <w:t>16.3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>)</w:t>
      </w:r>
      <w:r w:rsidR="00D32C60" w:rsidRPr="00701795">
        <w:rPr>
          <w:rFonts w:eastAsiaTheme="minorHAnsi" w:cs="Times New Roman"/>
          <w:b w:val="0"/>
          <w:sz w:val="20"/>
          <w:szCs w:val="20"/>
          <w:lang w:val="en-GB"/>
        </w:rPr>
        <w:t>; regarding anthropometric measures</w:t>
      </w:r>
      <w:r w:rsidR="00CE3A2A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,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>7</w:t>
      </w:r>
      <w:r w:rsidR="004F2689" w:rsidRPr="00701795">
        <w:rPr>
          <w:rFonts w:eastAsiaTheme="minorHAnsi" w:cs="Times New Roman"/>
          <w:b w:val="0"/>
          <w:sz w:val="20"/>
          <w:szCs w:val="20"/>
          <w:lang w:val="en-GB"/>
        </w:rPr>
        <w:t>3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>% of the sample had a normal weight, 2</w:t>
      </w:r>
      <w:r w:rsidR="004F2689" w:rsidRPr="00701795">
        <w:rPr>
          <w:rFonts w:eastAsiaTheme="minorHAnsi" w:cs="Times New Roman"/>
          <w:b w:val="0"/>
          <w:sz w:val="20"/>
          <w:szCs w:val="20"/>
          <w:lang w:val="en-GB"/>
        </w:rPr>
        <w:t>2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% was overweight and 5% obese. </w:t>
      </w:r>
      <w:r w:rsidR="00922056" w:rsidRPr="00701795">
        <w:rPr>
          <w:rFonts w:eastAsiaTheme="minorHAnsi" w:cs="Times New Roman"/>
          <w:b w:val="0"/>
          <w:sz w:val="20"/>
          <w:szCs w:val="20"/>
          <w:lang w:val="en-GB"/>
        </w:rPr>
        <w:t>The m</w:t>
      </w:r>
      <w:r w:rsidR="00B213EA" w:rsidRPr="00701795">
        <w:rPr>
          <w:rFonts w:eastAsiaTheme="minorHAnsi" w:cs="Times New Roman"/>
          <w:b w:val="0"/>
          <w:sz w:val="20"/>
          <w:szCs w:val="20"/>
          <w:lang w:val="en-GB"/>
        </w:rPr>
        <w:t>ean</w:t>
      </w:r>
      <w:r w:rsidR="006B304D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values </w:t>
      </w:r>
      <w:r w:rsidR="00D97C82" w:rsidRPr="00701795">
        <w:rPr>
          <w:rFonts w:eastAsiaTheme="minorHAnsi" w:cs="Times New Roman"/>
          <w:b w:val="0"/>
          <w:sz w:val="20"/>
          <w:szCs w:val="20"/>
          <w:lang w:val="en-GB"/>
        </w:rPr>
        <w:t>of the</w:t>
      </w:r>
      <w:r w:rsidR="00B213EA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c</w:t>
      </w:r>
      <w:r w:rsidR="00B466CB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linical data </w:t>
      </w:r>
      <w:r w:rsidR="0017140E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concerning cardiometabolic </w:t>
      </w:r>
      <w:r w:rsidR="00B1062E" w:rsidRPr="00701795">
        <w:rPr>
          <w:rFonts w:eastAsiaTheme="minorHAnsi" w:cs="Times New Roman"/>
          <w:b w:val="0"/>
          <w:sz w:val="20"/>
          <w:szCs w:val="20"/>
          <w:lang w:val="en-GB"/>
        </w:rPr>
        <w:t>health</w:t>
      </w:r>
      <w:r w:rsidR="00D4363F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ranged within </w:t>
      </w:r>
      <w:r w:rsidR="00F13E6E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the </w:t>
      </w:r>
      <w:r w:rsidR="002A0A0D" w:rsidRPr="00701795">
        <w:rPr>
          <w:rFonts w:eastAsiaTheme="minorHAnsi" w:cs="Times New Roman"/>
          <w:b w:val="0"/>
          <w:sz w:val="20"/>
          <w:szCs w:val="20"/>
          <w:lang w:val="en-GB"/>
        </w:rPr>
        <w:t>reference values</w:t>
      </w:r>
      <w:r w:rsidR="00D937AE" w:rsidRPr="00701795">
        <w:rPr>
          <w:rFonts w:eastAsiaTheme="minorHAnsi" w:cs="Times New Roman"/>
          <w:b w:val="0"/>
          <w:sz w:val="20"/>
          <w:szCs w:val="20"/>
          <w:lang w:val="en-GB"/>
        </w:rPr>
        <w:t>.</w:t>
      </w:r>
      <w:r w:rsidR="00B1062E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A preliminary targeted approach was performed </w:t>
      </w:r>
      <w:r w:rsidR="001C1BAC" w:rsidRPr="00701795">
        <w:rPr>
          <w:rFonts w:eastAsiaTheme="minorHAnsi" w:cs="Times New Roman"/>
          <w:b w:val="0"/>
          <w:sz w:val="20"/>
          <w:szCs w:val="20"/>
          <w:lang w:val="en-GB"/>
        </w:rPr>
        <w:t>on 18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>7</w:t>
      </w:r>
      <w:r w:rsidR="001C1BAC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subjects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for the identification of 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 xml:space="preserve">more than 100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(poly)phenol metabolites and 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 xml:space="preserve">to allow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population clustering according to different metabotypes. The preliminary results showed two main metabotypes defined by differences related 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 xml:space="preserve">likely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>to the gut microbiota composition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>;</w:t>
      </w:r>
      <w:r w:rsidR="00976151">
        <w:rPr>
          <w:rFonts w:eastAsiaTheme="minorHAnsi" w:cs="Times New Roman"/>
          <w:b w:val="0"/>
          <w:sz w:val="20"/>
          <w:szCs w:val="20"/>
          <w:lang w:val="en-GB"/>
        </w:rPr>
        <w:t xml:space="preserve"> indeed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>,</w:t>
      </w:r>
      <w:r w:rsidR="00AA3D0C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="00AA3D0C" w:rsidRPr="00AA3D0C">
        <w:rPr>
          <w:rFonts w:eastAsiaTheme="minorHAnsi" w:cs="Times New Roman"/>
          <w:b w:val="0"/>
          <w:sz w:val="20"/>
          <w:szCs w:val="20"/>
          <w:lang w:val="en-GB"/>
        </w:rPr>
        <w:t>among all the phenolic metabolites identified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>,</w:t>
      </w:r>
      <w:r w:rsidR="007C4AB1">
        <w:rPr>
          <w:rFonts w:eastAsiaTheme="minorHAnsi" w:cs="Times New Roman"/>
          <w:b w:val="0"/>
          <w:sz w:val="20"/>
          <w:szCs w:val="20"/>
          <w:lang w:val="en-GB"/>
        </w:rPr>
        <w:t xml:space="preserve"> the </w:t>
      </w:r>
      <w:r w:rsidR="007C4AB1" w:rsidRPr="00AA3D0C">
        <w:rPr>
          <w:rFonts w:eastAsiaTheme="minorHAnsi" w:cs="Times New Roman"/>
          <w:b w:val="0"/>
          <w:sz w:val="20"/>
          <w:szCs w:val="20"/>
          <w:lang w:val="en-GB"/>
        </w:rPr>
        <w:t>most discriminating</w:t>
      </w:r>
      <w:r w:rsidR="007C4AB1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="00D60816">
        <w:rPr>
          <w:rFonts w:eastAsiaTheme="minorHAnsi" w:cs="Times New Roman"/>
          <w:b w:val="0"/>
          <w:sz w:val="20"/>
          <w:szCs w:val="20"/>
          <w:lang w:val="en-GB"/>
        </w:rPr>
        <w:t xml:space="preserve">ones were </w:t>
      </w:r>
      <w:r w:rsidR="00AA3D0C" w:rsidRPr="00AA3D0C">
        <w:rPr>
          <w:rFonts w:eastAsiaTheme="minorHAnsi" w:cs="Times New Roman"/>
          <w:b w:val="0"/>
          <w:sz w:val="20"/>
          <w:szCs w:val="20"/>
          <w:lang w:val="en-GB"/>
        </w:rPr>
        <w:t xml:space="preserve">those </w:t>
      </w:r>
      <w:r w:rsidR="00362790" w:rsidRPr="00AA3D0C">
        <w:rPr>
          <w:rFonts w:eastAsiaTheme="minorHAnsi" w:cs="Times New Roman"/>
          <w:b w:val="0"/>
          <w:sz w:val="20"/>
          <w:szCs w:val="20"/>
          <w:lang w:val="en-GB"/>
        </w:rPr>
        <w:t>of coloni</w:t>
      </w:r>
      <w:r w:rsidR="00D26BAE">
        <w:rPr>
          <w:rFonts w:eastAsiaTheme="minorHAnsi" w:cs="Times New Roman"/>
          <w:b w:val="0"/>
          <w:sz w:val="20"/>
          <w:szCs w:val="20"/>
          <w:lang w:val="en-GB"/>
        </w:rPr>
        <w:t>c</w:t>
      </w:r>
      <w:r w:rsidR="00362790" w:rsidRPr="00AA3D0C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="00D26BAE">
        <w:rPr>
          <w:rFonts w:eastAsiaTheme="minorHAnsi" w:cs="Times New Roman"/>
          <w:b w:val="0"/>
          <w:sz w:val="20"/>
          <w:szCs w:val="20"/>
          <w:lang w:val="en-GB"/>
        </w:rPr>
        <w:t>origin</w:t>
      </w:r>
      <w:r w:rsidR="00362790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="00A43A3C">
        <w:rPr>
          <w:rFonts w:eastAsiaTheme="minorHAnsi" w:cs="Times New Roman"/>
          <w:b w:val="0"/>
          <w:sz w:val="20"/>
          <w:szCs w:val="20"/>
          <w:lang w:val="en-GB"/>
        </w:rPr>
        <w:t>(</w:t>
      </w:r>
      <w:r w:rsidR="00AA4E27">
        <w:rPr>
          <w:rFonts w:eastAsiaTheme="minorHAnsi" w:cs="Times New Roman"/>
          <w:b w:val="0"/>
          <w:sz w:val="20"/>
          <w:szCs w:val="20"/>
          <w:lang w:val="en-GB"/>
        </w:rPr>
        <w:t>e.g.,</w:t>
      </w:r>
      <w:r w:rsidR="00A43A3C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="00642CCE">
        <w:rPr>
          <w:rFonts w:eastAsiaTheme="minorHAnsi" w:cs="Times New Roman"/>
          <w:b w:val="0"/>
          <w:sz w:val="20"/>
          <w:szCs w:val="20"/>
          <w:lang w:val="en-GB"/>
        </w:rPr>
        <w:t xml:space="preserve">enterolactones, </w:t>
      </w:r>
      <w:r w:rsidR="00B40687">
        <w:rPr>
          <w:rFonts w:eastAsiaTheme="minorHAnsi" w:cs="Times New Roman"/>
          <w:b w:val="0"/>
          <w:sz w:val="20"/>
          <w:szCs w:val="20"/>
          <w:lang w:val="en-GB"/>
        </w:rPr>
        <w:t>p</w:t>
      </w:r>
      <w:r w:rsidR="00B40687" w:rsidRPr="00B40687">
        <w:rPr>
          <w:rFonts w:eastAsiaTheme="minorHAnsi" w:cs="Times New Roman"/>
          <w:b w:val="0"/>
          <w:sz w:val="20"/>
          <w:szCs w:val="20"/>
          <w:lang w:val="en-GB"/>
        </w:rPr>
        <w:t>henyl-</w:t>
      </w:r>
      <w:r w:rsidR="00B40687">
        <w:rPr>
          <w:rFonts w:ascii="Calibri" w:eastAsiaTheme="minorHAnsi" w:hAnsi="Calibri" w:cs="Calibri"/>
          <w:b w:val="0"/>
          <w:sz w:val="20"/>
          <w:szCs w:val="20"/>
          <w:lang w:val="en-GB"/>
        </w:rPr>
        <w:t>ƴ</w:t>
      </w:r>
      <w:r w:rsidR="00B40687" w:rsidRPr="00B40687">
        <w:rPr>
          <w:rFonts w:eastAsiaTheme="minorHAnsi" w:cs="Times New Roman"/>
          <w:b w:val="0"/>
          <w:sz w:val="20"/>
          <w:szCs w:val="20"/>
          <w:lang w:val="en-GB"/>
        </w:rPr>
        <w:t>-</w:t>
      </w:r>
      <w:proofErr w:type="spellStart"/>
      <w:r w:rsidR="00B40687" w:rsidRPr="00B40687">
        <w:rPr>
          <w:rFonts w:eastAsiaTheme="minorHAnsi" w:cs="Times New Roman"/>
          <w:b w:val="0"/>
          <w:sz w:val="20"/>
          <w:szCs w:val="20"/>
          <w:lang w:val="en-GB"/>
        </w:rPr>
        <w:t>valerolactones</w:t>
      </w:r>
      <w:proofErr w:type="spellEnd"/>
      <w:r w:rsidR="004655DD">
        <w:rPr>
          <w:rFonts w:eastAsiaTheme="minorHAnsi" w:cs="Times New Roman"/>
          <w:b w:val="0"/>
          <w:sz w:val="20"/>
          <w:szCs w:val="20"/>
          <w:lang w:val="en-GB"/>
        </w:rPr>
        <w:t>)</w:t>
      </w:r>
      <w:r w:rsidR="0076777C">
        <w:rPr>
          <w:rFonts w:eastAsiaTheme="minorHAnsi" w:cs="Times New Roman"/>
          <w:b w:val="0"/>
          <w:sz w:val="20"/>
          <w:szCs w:val="20"/>
          <w:lang w:val="en-GB"/>
        </w:rPr>
        <w:t xml:space="preserve"> (Figure 1</w:t>
      </w:r>
      <w:r w:rsidR="00F32934">
        <w:rPr>
          <w:rFonts w:eastAsiaTheme="minorHAnsi" w:cs="Times New Roman"/>
          <w:b w:val="0"/>
          <w:sz w:val="20"/>
          <w:szCs w:val="20"/>
          <w:lang w:val="en-GB"/>
        </w:rPr>
        <w:t xml:space="preserve"> and 2</w:t>
      </w:r>
      <w:r w:rsidR="0076777C">
        <w:rPr>
          <w:rFonts w:eastAsiaTheme="minorHAnsi" w:cs="Times New Roman"/>
          <w:b w:val="0"/>
          <w:sz w:val="20"/>
          <w:szCs w:val="20"/>
          <w:lang w:val="en-GB"/>
        </w:rPr>
        <w:t>)</w:t>
      </w:r>
      <w:r w:rsidR="004655DD">
        <w:rPr>
          <w:rFonts w:eastAsiaTheme="minorHAnsi" w:cs="Times New Roman"/>
          <w:b w:val="0"/>
          <w:sz w:val="20"/>
          <w:szCs w:val="20"/>
          <w:lang w:val="en-GB"/>
        </w:rPr>
        <w:t>.</w:t>
      </w:r>
      <w:r w:rsidR="00AA3D0C" w:rsidRPr="00AA3D0C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Final data on metabotypes and cardiometabolic risk </w:t>
      </w:r>
      <w:r w:rsidR="00F263D7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will be 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>presented in the poster</w:t>
      </w:r>
      <w:r w:rsidR="002B31C1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. </w:t>
      </w:r>
    </w:p>
    <w:p w14:paraId="60C906A8" w14:textId="0F9298BC" w:rsidR="005B17C8" w:rsidRDefault="002B31C1" w:rsidP="005B17C8">
      <w:pPr>
        <w:pStyle w:val="Titolo1"/>
        <w:spacing w:before="0"/>
        <w:jc w:val="both"/>
        <w:rPr>
          <w:rFonts w:eastAsiaTheme="minorHAnsi" w:cs="Times New Roman"/>
          <w:b w:val="0"/>
          <w:sz w:val="20"/>
          <w:szCs w:val="20"/>
          <w:lang w:val="en-GB"/>
        </w:rPr>
      </w:pPr>
      <w:r w:rsidRPr="00701795">
        <w:rPr>
          <w:rFonts w:eastAsiaTheme="minorHAnsi" w:cs="Times New Roman"/>
          <w:b w:val="0"/>
          <w:sz w:val="20"/>
          <w:szCs w:val="20"/>
          <w:lang w:val="en-GB"/>
        </w:rPr>
        <w:t>Individuals metabolise dietary (poly)phenols in different ways and the interlink among different families of (poly)phenols ha</w:t>
      </w:r>
      <w:r w:rsidR="00BA037D" w:rsidRPr="00701795">
        <w:rPr>
          <w:rFonts w:eastAsiaTheme="minorHAnsi" w:cs="Times New Roman"/>
          <w:b w:val="0"/>
          <w:sz w:val="20"/>
          <w:szCs w:val="20"/>
          <w:lang w:val="en-GB"/>
        </w:rPr>
        <w:t>s</w:t>
      </w:r>
      <w:r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been described. Further analyses are ongoing to provide a deeper knowledge on inter-individual variability determinants involved in metabotype formation and its relation to the cardiometabolic health status</w:t>
      </w:r>
      <w:r w:rsidR="00A521F7" w:rsidRPr="00701795">
        <w:rPr>
          <w:rFonts w:eastAsiaTheme="minorHAnsi" w:cs="Times New Roman"/>
          <w:b w:val="0"/>
          <w:sz w:val="20"/>
          <w:szCs w:val="20"/>
          <w:lang w:val="en-GB"/>
        </w:rPr>
        <w:t>.</w:t>
      </w:r>
      <w:r w:rsidR="003B6953" w:rsidRPr="00701795">
        <w:rPr>
          <w:rFonts w:eastAsiaTheme="minorHAnsi" w:cs="Times New Roman"/>
          <w:b w:val="0"/>
          <w:sz w:val="20"/>
          <w:szCs w:val="20"/>
          <w:lang w:val="en-GB"/>
        </w:rPr>
        <w:t xml:space="preserve"> </w:t>
      </w:r>
    </w:p>
    <w:p w14:paraId="282033A1" w14:textId="5BFA2F10" w:rsidR="005B17C8" w:rsidRDefault="00F32934" w:rsidP="00F32934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01406">
        <w:rPr>
          <w:rFonts w:ascii="Times New Roman" w:hAnsi="Times New Roman" w:cs="Times New Roman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0D9ACFF" wp14:editId="3EB19EEF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2513965" cy="1548130"/>
            <wp:effectExtent l="0" t="0" r="635" b="0"/>
            <wp:wrapTight wrapText="bothSides">
              <wp:wrapPolygon edited="0">
                <wp:start x="0" y="0"/>
                <wp:lineTo x="0" y="21263"/>
                <wp:lineTo x="21442" y="21263"/>
                <wp:lineTo x="21442" y="0"/>
                <wp:lineTo x="0" y="0"/>
              </wp:wrapPolygon>
            </wp:wrapTight>
            <wp:docPr id="21" name="Immagine 20">
              <a:extLst xmlns:a="http://schemas.openxmlformats.org/drawingml/2006/main">
                <a:ext uri="{FF2B5EF4-FFF2-40B4-BE49-F238E27FC236}">
                  <a16:creationId xmlns:a16="http://schemas.microsoft.com/office/drawing/2014/main" id="{F0690ABB-9BDD-3355-7D74-6B0E66510E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0">
                      <a:extLst>
                        <a:ext uri="{FF2B5EF4-FFF2-40B4-BE49-F238E27FC236}">
                          <a16:creationId xmlns:a16="http://schemas.microsoft.com/office/drawing/2014/main" id="{F0690ABB-9BDD-3355-7D74-6B0E66510E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163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7C8" w:rsidRPr="00A01406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 xml:space="preserve">Figure 1. </w:t>
      </w:r>
      <w:r w:rsidR="005B17C8" w:rsidRPr="00A0140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Partial least squares-discriminant analysis (PLS-DA) highlighting </w:t>
      </w:r>
      <w:r w:rsidRPr="00A0140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two main </w:t>
      </w:r>
      <w:proofErr w:type="spellStart"/>
      <w:r w:rsidRPr="00A01406">
        <w:rPr>
          <w:rFonts w:ascii="Times New Roman" w:hAnsi="Times New Roman" w:cs="Times New Roman"/>
          <w:i/>
          <w:iCs/>
          <w:sz w:val="18"/>
          <w:szCs w:val="18"/>
          <w:lang w:val="en-GB"/>
        </w:rPr>
        <w:t>metabotypes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5B17C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01D4A3BE" w14:textId="77777777" w:rsidR="000F4E5E" w:rsidRDefault="000F4E5E" w:rsidP="00F32934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1E2D1F95" w14:textId="77777777" w:rsidR="000F4E5E" w:rsidRDefault="000F4E5E" w:rsidP="00F32934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4F7F4837" w14:textId="77777777" w:rsidR="000F4E5E" w:rsidRDefault="000F4E5E" w:rsidP="00F32934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31E943D6" w14:textId="77777777" w:rsidR="000F4E5E" w:rsidRDefault="000F4E5E" w:rsidP="00F32934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6E25573C" w14:textId="350ED8E9" w:rsidR="000F4E5E" w:rsidRPr="000F4E5E" w:rsidRDefault="000F4E5E" w:rsidP="000F4E5E">
      <w:pPr>
        <w:spacing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01406">
        <w:rPr>
          <w:rFonts w:ascii="Times New Roman" w:hAnsi="Times New Roman" w:cs="Times New Roman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9D92C05" wp14:editId="7CE20E99">
            <wp:simplePos x="0" y="0"/>
            <wp:positionH relativeFrom="margin">
              <wp:align>right</wp:align>
            </wp:positionH>
            <wp:positionV relativeFrom="paragraph">
              <wp:posOffset>119380</wp:posOffset>
            </wp:positionV>
            <wp:extent cx="3733165" cy="1790065"/>
            <wp:effectExtent l="0" t="0" r="635" b="635"/>
            <wp:wrapTight wrapText="bothSides">
              <wp:wrapPolygon edited="0">
                <wp:start x="0" y="0"/>
                <wp:lineTo x="0" y="21378"/>
                <wp:lineTo x="21493" y="21378"/>
                <wp:lineTo x="21493" y="0"/>
                <wp:lineTo x="0" y="0"/>
              </wp:wrapPolygon>
            </wp:wrapTight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8826874B-BB18-A1F5-9B59-49B1A7116E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8826874B-BB18-A1F5-9B59-49B1A7116E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179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406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Figure 2.</w:t>
      </w:r>
      <w:r w:rsidRPr="00A0140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Partial least squares-discriminant analysis (PLS-DA) showing the urinary excretion of colonic phenolic metabolites (phenyl-γ- </w:t>
      </w:r>
      <w:proofErr w:type="spellStart"/>
      <w:r w:rsidRPr="00A01406">
        <w:rPr>
          <w:rFonts w:ascii="Times New Roman" w:hAnsi="Times New Roman" w:cs="Times New Roman"/>
          <w:i/>
          <w:iCs/>
          <w:sz w:val="18"/>
          <w:szCs w:val="18"/>
          <w:lang w:val="en-GB"/>
        </w:rPr>
        <w:t>valerolactones</w:t>
      </w:r>
      <w:proofErr w:type="spellEnd"/>
      <w:r w:rsidRPr="00A01406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and enterolactones).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</w:t>
      </w:r>
      <w:r>
        <w:rPr>
          <w:lang w:val="en-GB"/>
        </w:rPr>
        <w:t xml:space="preserve"> </w:t>
      </w:r>
    </w:p>
    <w:p w14:paraId="43557E33" w14:textId="0E50ADFB" w:rsidR="00D36E4A" w:rsidRDefault="00D36E4A" w:rsidP="00D10524">
      <w:pPr>
        <w:spacing w:before="300" w:after="300" w:line="240" w:lineRule="auto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4FEA1F40" w14:textId="6104C4D5" w:rsidR="00F32934" w:rsidRDefault="00F32934" w:rsidP="00D10524">
      <w:pPr>
        <w:spacing w:before="300" w:after="300" w:line="240" w:lineRule="auto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55641C9C" w14:textId="01D2656A" w:rsidR="00D36E4A" w:rsidRDefault="00D36E4A" w:rsidP="00D10524">
      <w:pPr>
        <w:spacing w:before="300" w:after="300" w:line="240" w:lineRule="auto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14:paraId="6E1D8F44" w14:textId="50CE6D09" w:rsidR="00CD2C70" w:rsidRPr="00701795" w:rsidRDefault="00A911FD" w:rsidP="00697E8A">
      <w:pPr>
        <w:pStyle w:val="Titolo1"/>
        <w:rPr>
          <w:b w:val="0"/>
          <w:bCs/>
          <w:color w:val="000000"/>
          <w:lang w:val="en-GB"/>
        </w:rPr>
      </w:pPr>
      <w:r>
        <w:rPr>
          <w:bCs/>
          <w:color w:val="000000"/>
          <w:lang w:val="en-GB"/>
        </w:rPr>
        <w:t>4.</w:t>
      </w:r>
      <w:r w:rsidR="008A261E" w:rsidRPr="00701795">
        <w:rPr>
          <w:bCs/>
          <w:color w:val="000000"/>
          <w:lang w:val="en-GB"/>
        </w:rPr>
        <w:t xml:space="preserve"> References</w:t>
      </w:r>
    </w:p>
    <w:p w14:paraId="3C4F1778" w14:textId="09A9333A" w:rsidR="00B23651" w:rsidRPr="00701795" w:rsidRDefault="00B23651" w:rsidP="00634B9C">
      <w:pPr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GB"/>
        </w:rPr>
      </w:pPr>
      <w:r w:rsidRPr="00012D06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Cassidy, A., &amp; </w:t>
      </w:r>
      <w:proofErr w:type="spellStart"/>
      <w:r w:rsidRPr="00012D06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Minihane</w:t>
      </w:r>
      <w:proofErr w:type="spellEnd"/>
      <w:r w:rsidRPr="00012D06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, A. M. (2017). 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The role of metabolism (and the microbiome) in defining the clinical efficacy of dietary flavonoids. </w:t>
      </w:r>
      <w:r w:rsidRPr="00701795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en-GB"/>
        </w:rPr>
        <w:t>The American journal of clinical nutrition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, </w:t>
      </w:r>
      <w:r w:rsidRPr="00701795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>105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(1), 10–22.</w:t>
      </w:r>
      <w:r w:rsidRPr="007017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GB"/>
        </w:rPr>
        <w:t xml:space="preserve"> </w:t>
      </w:r>
    </w:p>
    <w:p w14:paraId="41441BD4" w14:textId="288945D8" w:rsidR="00B23651" w:rsidRPr="00701795" w:rsidRDefault="00B23651" w:rsidP="00634B9C">
      <w:pPr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GB"/>
        </w:rPr>
      </w:pP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Del Rio, D., Rodriguez-</w:t>
      </w:r>
      <w:proofErr w:type="spellStart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Mateos</w:t>
      </w:r>
      <w:proofErr w:type="spell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, A., Spencer, J. P., </w:t>
      </w:r>
      <w:proofErr w:type="spellStart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Tognolini</w:t>
      </w:r>
      <w:proofErr w:type="spell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, M., Borges, G., &amp; Crozier, A. (2013). Dietary (poly)phenolics in human health: structures, bioavailability, and evidence of protective effects against chronic diseases. </w:t>
      </w:r>
      <w:r w:rsidRPr="00701795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en-GB"/>
        </w:rPr>
        <w:t xml:space="preserve">Antioxidants &amp; redox </w:t>
      </w:r>
      <w:proofErr w:type="spellStart"/>
      <w:r w:rsidRPr="00701795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en-GB"/>
        </w:rPr>
        <w:t>signaling</w:t>
      </w:r>
      <w:proofErr w:type="spell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, </w:t>
      </w:r>
      <w:r w:rsidRPr="00D260D4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>18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(14), 1818–1892.</w:t>
      </w:r>
      <w:r w:rsidRPr="0070179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  <w:lang w:val="en-GB"/>
        </w:rPr>
        <w:t xml:space="preserve"> </w:t>
      </w:r>
    </w:p>
    <w:p w14:paraId="6CEC678F" w14:textId="05F344D8" w:rsidR="00B23651" w:rsidRPr="00685301" w:rsidRDefault="00B23651" w:rsidP="00634B9C">
      <w:pPr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14"/>
          <w:szCs w:val="14"/>
          <w:lang w:val="es-ES"/>
        </w:rPr>
      </w:pPr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 xml:space="preserve">Gibney, E. R., Milenkovic, D., Combet, E., 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Ruskovska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 xml:space="preserve">, T., 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Greyling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, A., González-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Sarrías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 xml:space="preserve">, A., de 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Roos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, B., Tomás-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Barberán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 xml:space="preserve">, F., 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Morand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, C., &amp; Rodriguez-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Mateos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 xml:space="preserve">, A. (2019). Factors influencing the cardiometabolic response to (poly)phenols and phytosterols: a review of the COST Action </w:t>
      </w:r>
      <w:proofErr w:type="spellStart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>POSITIVe</w:t>
      </w:r>
      <w:proofErr w:type="spellEnd"/>
      <w:r w:rsidRPr="00701795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n-GB"/>
        </w:rPr>
        <w:t xml:space="preserve"> activities. </w:t>
      </w:r>
      <w:proofErr w:type="spellStart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>European</w:t>
      </w:r>
      <w:proofErr w:type="spellEnd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>journal</w:t>
      </w:r>
      <w:proofErr w:type="spellEnd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>of</w:t>
      </w:r>
      <w:proofErr w:type="spellEnd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 xml:space="preserve"> </w:t>
      </w:r>
      <w:proofErr w:type="spellStart"/>
      <w:r w:rsidRPr="00685301">
        <w:rPr>
          <w:rFonts w:ascii="Times New Roman" w:hAnsi="Times New Roman" w:cs="Times New Roman"/>
          <w:i/>
          <w:iCs/>
          <w:color w:val="303030"/>
          <w:sz w:val="20"/>
          <w:szCs w:val="20"/>
          <w:shd w:val="clear" w:color="auto" w:fill="FFFFFF"/>
          <w:lang w:val="es-ES"/>
        </w:rPr>
        <w:t>nutrition</w:t>
      </w:r>
      <w:proofErr w:type="spellEnd"/>
      <w:r w:rsidRPr="00685301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s-ES"/>
        </w:rPr>
        <w:t>, </w:t>
      </w:r>
      <w:r w:rsidRPr="00685301">
        <w:rPr>
          <w:rFonts w:ascii="Times New Roman" w:hAnsi="Times New Roman" w:cs="Times New Roman"/>
          <w:b/>
          <w:bCs/>
          <w:color w:val="303030"/>
          <w:sz w:val="20"/>
          <w:szCs w:val="20"/>
          <w:shd w:val="clear" w:color="auto" w:fill="FFFFFF"/>
          <w:lang w:val="es-ES"/>
        </w:rPr>
        <w:t>58</w:t>
      </w:r>
      <w:r w:rsidRPr="00685301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s-ES"/>
        </w:rPr>
        <w:t>(</w:t>
      </w:r>
      <w:proofErr w:type="spellStart"/>
      <w:r w:rsidRPr="00685301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s-ES"/>
        </w:rPr>
        <w:t>Suppl</w:t>
      </w:r>
      <w:proofErr w:type="spellEnd"/>
      <w:r w:rsidRPr="00685301">
        <w:rPr>
          <w:rFonts w:ascii="Times New Roman" w:hAnsi="Times New Roman" w:cs="Times New Roman"/>
          <w:color w:val="303030"/>
          <w:sz w:val="20"/>
          <w:szCs w:val="20"/>
          <w:shd w:val="clear" w:color="auto" w:fill="FFFFFF"/>
          <w:lang w:val="es-ES"/>
        </w:rPr>
        <w:t xml:space="preserve"> 2), 37–47. </w:t>
      </w:r>
    </w:p>
    <w:p w14:paraId="671AE796" w14:textId="77777777" w:rsidR="00B23651" w:rsidRPr="00701795" w:rsidRDefault="00B23651" w:rsidP="00634B9C">
      <w:pPr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Manach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C.,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Milenkovic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D., Van de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Wiele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T.,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Rodriguez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-Mateos, A., de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Roos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B.,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Garcia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-Conesa, M. T.,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Landberg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R.,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Gibney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E. R.,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Heinonen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M., Tomás-Barberán, F., &amp; </w:t>
      </w:r>
      <w:proofErr w:type="spellStart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>Morand</w:t>
      </w:r>
      <w:proofErr w:type="spellEnd"/>
      <w:r w:rsidRPr="00685301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s-ES"/>
        </w:rPr>
        <w:t xml:space="preserve">, C. (2017). 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Addressing the inter-individual variation in response to consumption of plant food bioactives: Towards a better understanding of their role in healthy aging and cardiometabolic risk reduction. </w:t>
      </w:r>
      <w:r w:rsidRPr="00701795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en-GB"/>
        </w:rPr>
        <w:t>Molecular nutrition &amp; food research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, </w:t>
      </w:r>
      <w:r w:rsidRPr="00701795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>61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(6), 1600557.</w:t>
      </w:r>
      <w:r w:rsidRPr="00701795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784CB975" w14:textId="35B22BC6" w:rsidR="004C1AEE" w:rsidRPr="00701795" w:rsidRDefault="00B23651" w:rsidP="00A867B8">
      <w:pPr>
        <w:spacing w:before="0" w:after="0" w:line="240" w:lineRule="auto"/>
        <w:ind w:left="709" w:hanging="709"/>
        <w:jc w:val="both"/>
        <w:rPr>
          <w:rFonts w:ascii="Times New Roman" w:hAnsi="Times New Roman" w:cs="Times New Roman"/>
          <w:color w:val="303030"/>
          <w:sz w:val="18"/>
          <w:szCs w:val="18"/>
          <w:shd w:val="clear" w:color="auto" w:fill="FFFFFF"/>
          <w:lang w:val="en-GB"/>
        </w:rPr>
      </w:pP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Rodriguez-</w:t>
      </w:r>
      <w:proofErr w:type="spellStart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Mateos</w:t>
      </w:r>
      <w:proofErr w:type="spell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, A., </w:t>
      </w:r>
      <w:proofErr w:type="spellStart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Vauzour</w:t>
      </w:r>
      <w:proofErr w:type="spell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, D., Krueger, C. G., </w:t>
      </w:r>
      <w:proofErr w:type="spellStart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Shanmuganayagam</w:t>
      </w:r>
      <w:proofErr w:type="spell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, D., Reed, J., Calani, L., Mena, P., Del Rio, D., &amp; Crozier, A. (2014). Bioavailability, </w:t>
      </w:r>
      <w:proofErr w:type="gramStart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bioactivity</w:t>
      </w:r>
      <w:proofErr w:type="gramEnd"/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 xml:space="preserve"> and impact on health of dietary flavonoids and related compounds: an update. </w:t>
      </w:r>
      <w:r w:rsidRPr="00701795">
        <w:rPr>
          <w:rFonts w:ascii="Times New Roman" w:hAnsi="Times New Roman" w:cs="Times New Roman"/>
          <w:i/>
          <w:iCs/>
          <w:color w:val="212121"/>
          <w:sz w:val="20"/>
          <w:szCs w:val="20"/>
          <w:shd w:val="clear" w:color="auto" w:fill="FFFFFF"/>
          <w:lang w:val="en-GB"/>
        </w:rPr>
        <w:t>Archives of toxicology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, </w:t>
      </w:r>
      <w:r w:rsidRPr="00701795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  <w:lang w:val="en-GB"/>
        </w:rPr>
        <w:t>88</w:t>
      </w:r>
      <w:r w:rsidRPr="00701795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(10), 1803–1853.</w:t>
      </w:r>
      <w:r w:rsidRPr="00701795">
        <w:rPr>
          <w:rFonts w:ascii="Times New Roman" w:hAnsi="Times New Roman" w:cs="Times New Roman"/>
          <w:color w:val="303030"/>
          <w:sz w:val="18"/>
          <w:szCs w:val="18"/>
          <w:shd w:val="clear" w:color="auto" w:fill="FFFFFF"/>
          <w:lang w:val="en-GB"/>
        </w:rPr>
        <w:t xml:space="preserve"> </w:t>
      </w:r>
    </w:p>
    <w:sectPr w:rsidR="004C1AEE" w:rsidRPr="00701795" w:rsidSect="003D1FA3">
      <w:pgSz w:w="11900" w:h="16840"/>
      <w:pgMar w:top="1134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617"/>
    <w:multiLevelType w:val="hybridMultilevel"/>
    <w:tmpl w:val="4A3C77CA"/>
    <w:lvl w:ilvl="0" w:tplc="515CCB34">
      <w:start w:val="2"/>
      <w:numFmt w:val="decimal"/>
      <w:lvlText w:val="%1."/>
      <w:lvlJc w:val="left"/>
      <w:pPr>
        <w:ind w:left="414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D7E9782">
      <w:numFmt w:val="bullet"/>
      <w:lvlText w:val="•"/>
      <w:lvlJc w:val="left"/>
      <w:pPr>
        <w:ind w:left="1318" w:hanging="236"/>
      </w:pPr>
      <w:rPr>
        <w:rFonts w:hint="default"/>
        <w:lang w:val="it-IT" w:eastAsia="en-US" w:bidi="ar-SA"/>
      </w:rPr>
    </w:lvl>
    <w:lvl w:ilvl="2" w:tplc="CC5456A4">
      <w:numFmt w:val="bullet"/>
      <w:lvlText w:val="•"/>
      <w:lvlJc w:val="left"/>
      <w:pPr>
        <w:ind w:left="2216" w:hanging="236"/>
      </w:pPr>
      <w:rPr>
        <w:rFonts w:hint="default"/>
        <w:lang w:val="it-IT" w:eastAsia="en-US" w:bidi="ar-SA"/>
      </w:rPr>
    </w:lvl>
    <w:lvl w:ilvl="3" w:tplc="4D6CB2DC">
      <w:numFmt w:val="bullet"/>
      <w:lvlText w:val="•"/>
      <w:lvlJc w:val="left"/>
      <w:pPr>
        <w:ind w:left="3114" w:hanging="236"/>
      </w:pPr>
      <w:rPr>
        <w:rFonts w:hint="default"/>
        <w:lang w:val="it-IT" w:eastAsia="en-US" w:bidi="ar-SA"/>
      </w:rPr>
    </w:lvl>
    <w:lvl w:ilvl="4" w:tplc="54C6C6EE">
      <w:numFmt w:val="bullet"/>
      <w:lvlText w:val="•"/>
      <w:lvlJc w:val="left"/>
      <w:pPr>
        <w:ind w:left="4012" w:hanging="236"/>
      </w:pPr>
      <w:rPr>
        <w:rFonts w:hint="default"/>
        <w:lang w:val="it-IT" w:eastAsia="en-US" w:bidi="ar-SA"/>
      </w:rPr>
    </w:lvl>
    <w:lvl w:ilvl="5" w:tplc="37448734">
      <w:numFmt w:val="bullet"/>
      <w:lvlText w:val="•"/>
      <w:lvlJc w:val="left"/>
      <w:pPr>
        <w:ind w:left="4910" w:hanging="236"/>
      </w:pPr>
      <w:rPr>
        <w:rFonts w:hint="default"/>
        <w:lang w:val="it-IT" w:eastAsia="en-US" w:bidi="ar-SA"/>
      </w:rPr>
    </w:lvl>
    <w:lvl w:ilvl="6" w:tplc="741CFA0C">
      <w:numFmt w:val="bullet"/>
      <w:lvlText w:val="•"/>
      <w:lvlJc w:val="left"/>
      <w:pPr>
        <w:ind w:left="5808" w:hanging="236"/>
      </w:pPr>
      <w:rPr>
        <w:rFonts w:hint="default"/>
        <w:lang w:val="it-IT" w:eastAsia="en-US" w:bidi="ar-SA"/>
      </w:rPr>
    </w:lvl>
    <w:lvl w:ilvl="7" w:tplc="686EA618">
      <w:numFmt w:val="bullet"/>
      <w:lvlText w:val="•"/>
      <w:lvlJc w:val="left"/>
      <w:pPr>
        <w:ind w:left="6706" w:hanging="236"/>
      </w:pPr>
      <w:rPr>
        <w:rFonts w:hint="default"/>
        <w:lang w:val="it-IT" w:eastAsia="en-US" w:bidi="ar-SA"/>
      </w:rPr>
    </w:lvl>
    <w:lvl w:ilvl="8" w:tplc="74BCCD66">
      <w:numFmt w:val="bullet"/>
      <w:lvlText w:val="•"/>
      <w:lvlJc w:val="left"/>
      <w:pPr>
        <w:ind w:left="7604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1F181C94"/>
    <w:multiLevelType w:val="hybridMultilevel"/>
    <w:tmpl w:val="2B06C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071F"/>
    <w:multiLevelType w:val="hybridMultilevel"/>
    <w:tmpl w:val="F664F57E"/>
    <w:lvl w:ilvl="0" w:tplc="4EF43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CA2"/>
    <w:multiLevelType w:val="multilevel"/>
    <w:tmpl w:val="0A221E9C"/>
    <w:lvl w:ilvl="0">
      <w:start w:val="5"/>
      <w:numFmt w:val="decimal"/>
      <w:lvlText w:val="%1"/>
      <w:lvlJc w:val="left"/>
      <w:pPr>
        <w:ind w:left="481" w:hanging="303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481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264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56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8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40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32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616" w:hanging="303"/>
      </w:pPr>
      <w:rPr>
        <w:rFonts w:hint="default"/>
        <w:lang w:val="it-IT" w:eastAsia="en-US" w:bidi="ar-SA"/>
      </w:rPr>
    </w:lvl>
  </w:abstractNum>
  <w:abstractNum w:abstractNumId="4" w15:restartNumberingAfterBreak="0">
    <w:nsid w:val="39802A7E"/>
    <w:multiLevelType w:val="hybridMultilevel"/>
    <w:tmpl w:val="DD5C9DF0"/>
    <w:lvl w:ilvl="0" w:tplc="84C022FE">
      <w:start w:val="1"/>
      <w:numFmt w:val="decimal"/>
      <w:lvlText w:val="%1."/>
      <w:lvlJc w:val="left"/>
      <w:pPr>
        <w:ind w:left="4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B6BA9CBE">
      <w:numFmt w:val="bullet"/>
      <w:lvlText w:val="•"/>
      <w:lvlJc w:val="left"/>
      <w:pPr>
        <w:ind w:left="1318" w:hanging="240"/>
      </w:pPr>
      <w:rPr>
        <w:rFonts w:hint="default"/>
        <w:lang w:val="it-IT" w:eastAsia="en-US" w:bidi="ar-SA"/>
      </w:rPr>
    </w:lvl>
    <w:lvl w:ilvl="2" w:tplc="A2344C5E">
      <w:numFmt w:val="bullet"/>
      <w:lvlText w:val="•"/>
      <w:lvlJc w:val="left"/>
      <w:pPr>
        <w:ind w:left="2216" w:hanging="240"/>
      </w:pPr>
      <w:rPr>
        <w:rFonts w:hint="default"/>
        <w:lang w:val="it-IT" w:eastAsia="en-US" w:bidi="ar-SA"/>
      </w:rPr>
    </w:lvl>
    <w:lvl w:ilvl="3" w:tplc="0B504990">
      <w:numFmt w:val="bullet"/>
      <w:lvlText w:val="•"/>
      <w:lvlJc w:val="left"/>
      <w:pPr>
        <w:ind w:left="3114" w:hanging="240"/>
      </w:pPr>
      <w:rPr>
        <w:rFonts w:hint="default"/>
        <w:lang w:val="it-IT" w:eastAsia="en-US" w:bidi="ar-SA"/>
      </w:rPr>
    </w:lvl>
    <w:lvl w:ilvl="4" w:tplc="A17477EC">
      <w:numFmt w:val="bullet"/>
      <w:lvlText w:val="•"/>
      <w:lvlJc w:val="left"/>
      <w:pPr>
        <w:ind w:left="4012" w:hanging="240"/>
      </w:pPr>
      <w:rPr>
        <w:rFonts w:hint="default"/>
        <w:lang w:val="it-IT" w:eastAsia="en-US" w:bidi="ar-SA"/>
      </w:rPr>
    </w:lvl>
    <w:lvl w:ilvl="5" w:tplc="05C6FC4C">
      <w:numFmt w:val="bullet"/>
      <w:lvlText w:val="•"/>
      <w:lvlJc w:val="left"/>
      <w:pPr>
        <w:ind w:left="4910" w:hanging="240"/>
      </w:pPr>
      <w:rPr>
        <w:rFonts w:hint="default"/>
        <w:lang w:val="it-IT" w:eastAsia="en-US" w:bidi="ar-SA"/>
      </w:rPr>
    </w:lvl>
    <w:lvl w:ilvl="6" w:tplc="99FA8DBC">
      <w:numFmt w:val="bullet"/>
      <w:lvlText w:val="•"/>
      <w:lvlJc w:val="left"/>
      <w:pPr>
        <w:ind w:left="5808" w:hanging="240"/>
      </w:pPr>
      <w:rPr>
        <w:rFonts w:hint="default"/>
        <w:lang w:val="it-IT" w:eastAsia="en-US" w:bidi="ar-SA"/>
      </w:rPr>
    </w:lvl>
    <w:lvl w:ilvl="7" w:tplc="FA227A74">
      <w:numFmt w:val="bullet"/>
      <w:lvlText w:val="•"/>
      <w:lvlJc w:val="left"/>
      <w:pPr>
        <w:ind w:left="6706" w:hanging="240"/>
      </w:pPr>
      <w:rPr>
        <w:rFonts w:hint="default"/>
        <w:lang w:val="it-IT" w:eastAsia="en-US" w:bidi="ar-SA"/>
      </w:rPr>
    </w:lvl>
    <w:lvl w:ilvl="8" w:tplc="13FACA40">
      <w:numFmt w:val="bullet"/>
      <w:lvlText w:val="•"/>
      <w:lvlJc w:val="left"/>
      <w:pPr>
        <w:ind w:left="7604" w:hanging="240"/>
      </w:pPr>
      <w:rPr>
        <w:rFonts w:hint="default"/>
        <w:lang w:val="it-IT" w:eastAsia="en-US" w:bidi="ar-SA"/>
      </w:rPr>
    </w:lvl>
  </w:abstractNum>
  <w:abstractNum w:abstractNumId="5" w15:restartNumberingAfterBreak="0">
    <w:nsid w:val="3DE823D8"/>
    <w:multiLevelType w:val="hybridMultilevel"/>
    <w:tmpl w:val="A4749882"/>
    <w:lvl w:ilvl="0" w:tplc="1E2AA71E">
      <w:start w:val="1"/>
      <w:numFmt w:val="lowerLetter"/>
      <w:lvlText w:val="%1."/>
      <w:lvlJc w:val="left"/>
      <w:pPr>
        <w:ind w:left="179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B8029710">
      <w:numFmt w:val="bullet"/>
      <w:lvlText w:val="•"/>
      <w:lvlJc w:val="left"/>
      <w:pPr>
        <w:ind w:left="1102" w:hanging="250"/>
      </w:pPr>
      <w:rPr>
        <w:rFonts w:hint="default"/>
        <w:lang w:val="it-IT" w:eastAsia="en-US" w:bidi="ar-SA"/>
      </w:rPr>
    </w:lvl>
    <w:lvl w:ilvl="2" w:tplc="ED7AF8FC">
      <w:numFmt w:val="bullet"/>
      <w:lvlText w:val="•"/>
      <w:lvlJc w:val="left"/>
      <w:pPr>
        <w:ind w:left="2024" w:hanging="250"/>
      </w:pPr>
      <w:rPr>
        <w:rFonts w:hint="default"/>
        <w:lang w:val="it-IT" w:eastAsia="en-US" w:bidi="ar-SA"/>
      </w:rPr>
    </w:lvl>
    <w:lvl w:ilvl="3" w:tplc="6520FFE0">
      <w:numFmt w:val="bullet"/>
      <w:lvlText w:val="•"/>
      <w:lvlJc w:val="left"/>
      <w:pPr>
        <w:ind w:left="2946" w:hanging="250"/>
      </w:pPr>
      <w:rPr>
        <w:rFonts w:hint="default"/>
        <w:lang w:val="it-IT" w:eastAsia="en-US" w:bidi="ar-SA"/>
      </w:rPr>
    </w:lvl>
    <w:lvl w:ilvl="4" w:tplc="E692FADE">
      <w:numFmt w:val="bullet"/>
      <w:lvlText w:val="•"/>
      <w:lvlJc w:val="left"/>
      <w:pPr>
        <w:ind w:left="3868" w:hanging="250"/>
      </w:pPr>
      <w:rPr>
        <w:rFonts w:hint="default"/>
        <w:lang w:val="it-IT" w:eastAsia="en-US" w:bidi="ar-SA"/>
      </w:rPr>
    </w:lvl>
    <w:lvl w:ilvl="5" w:tplc="A1281A8E">
      <w:numFmt w:val="bullet"/>
      <w:lvlText w:val="•"/>
      <w:lvlJc w:val="left"/>
      <w:pPr>
        <w:ind w:left="4790" w:hanging="250"/>
      </w:pPr>
      <w:rPr>
        <w:rFonts w:hint="default"/>
        <w:lang w:val="it-IT" w:eastAsia="en-US" w:bidi="ar-SA"/>
      </w:rPr>
    </w:lvl>
    <w:lvl w:ilvl="6" w:tplc="44084AEA">
      <w:numFmt w:val="bullet"/>
      <w:lvlText w:val="•"/>
      <w:lvlJc w:val="left"/>
      <w:pPr>
        <w:ind w:left="5712" w:hanging="250"/>
      </w:pPr>
      <w:rPr>
        <w:rFonts w:hint="default"/>
        <w:lang w:val="it-IT" w:eastAsia="en-US" w:bidi="ar-SA"/>
      </w:rPr>
    </w:lvl>
    <w:lvl w:ilvl="7" w:tplc="44B42060">
      <w:numFmt w:val="bullet"/>
      <w:lvlText w:val="•"/>
      <w:lvlJc w:val="left"/>
      <w:pPr>
        <w:ind w:left="6634" w:hanging="250"/>
      </w:pPr>
      <w:rPr>
        <w:rFonts w:hint="default"/>
        <w:lang w:val="it-IT" w:eastAsia="en-US" w:bidi="ar-SA"/>
      </w:rPr>
    </w:lvl>
    <w:lvl w:ilvl="8" w:tplc="57E09AF4">
      <w:numFmt w:val="bullet"/>
      <w:lvlText w:val="•"/>
      <w:lvlJc w:val="left"/>
      <w:pPr>
        <w:ind w:left="7556" w:hanging="250"/>
      </w:pPr>
      <w:rPr>
        <w:rFonts w:hint="default"/>
        <w:lang w:val="it-IT" w:eastAsia="en-US" w:bidi="ar-SA"/>
      </w:rPr>
    </w:lvl>
  </w:abstractNum>
  <w:abstractNum w:abstractNumId="6" w15:restartNumberingAfterBreak="0">
    <w:nsid w:val="3F6A074C"/>
    <w:multiLevelType w:val="hybridMultilevel"/>
    <w:tmpl w:val="1946D95E"/>
    <w:lvl w:ilvl="0" w:tplc="7A88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14760"/>
    <w:multiLevelType w:val="hybridMultilevel"/>
    <w:tmpl w:val="61A45602"/>
    <w:lvl w:ilvl="0" w:tplc="5BB0E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706F"/>
    <w:multiLevelType w:val="hybridMultilevel"/>
    <w:tmpl w:val="86C2553E"/>
    <w:lvl w:ilvl="0" w:tplc="F6F4B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00915"/>
    <w:multiLevelType w:val="multilevel"/>
    <w:tmpl w:val="41A6D0AE"/>
    <w:lvl w:ilvl="0">
      <w:start w:val="1"/>
      <w:numFmt w:val="decimal"/>
      <w:lvlText w:val="%1."/>
      <w:lvlJc w:val="left"/>
      <w:pPr>
        <w:ind w:left="4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1" w:hanging="303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1471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62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53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4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5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6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17" w:hanging="303"/>
      </w:pPr>
      <w:rPr>
        <w:rFonts w:hint="default"/>
        <w:lang w:val="it-IT" w:eastAsia="en-US" w:bidi="ar-SA"/>
      </w:rPr>
    </w:lvl>
  </w:abstractNum>
  <w:abstractNum w:abstractNumId="10" w15:restartNumberingAfterBreak="0">
    <w:nsid w:val="66EE7947"/>
    <w:multiLevelType w:val="multilevel"/>
    <w:tmpl w:val="B3C06ABA"/>
    <w:lvl w:ilvl="0">
      <w:start w:val="5"/>
      <w:numFmt w:val="decimal"/>
      <w:lvlText w:val="%1."/>
      <w:lvlJc w:val="left"/>
      <w:pPr>
        <w:ind w:left="414" w:hanging="2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1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471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62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53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4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5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6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17" w:hanging="303"/>
      </w:pPr>
      <w:rPr>
        <w:rFonts w:hint="default"/>
        <w:lang w:val="it-IT" w:eastAsia="en-US" w:bidi="ar-SA"/>
      </w:rPr>
    </w:lvl>
  </w:abstractNum>
  <w:abstractNum w:abstractNumId="11" w15:restartNumberingAfterBreak="0">
    <w:nsid w:val="68733ED8"/>
    <w:multiLevelType w:val="multilevel"/>
    <w:tmpl w:val="4BC661C4"/>
    <w:lvl w:ilvl="0">
      <w:start w:val="1"/>
      <w:numFmt w:val="decimal"/>
      <w:lvlText w:val="%1."/>
      <w:lvlJc w:val="left"/>
      <w:pPr>
        <w:ind w:left="42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81" w:hanging="3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471" w:hanging="30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62" w:hanging="30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53" w:hanging="30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4" w:hanging="30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5" w:hanging="30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6" w:hanging="30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17" w:hanging="303"/>
      </w:pPr>
      <w:rPr>
        <w:rFonts w:hint="default"/>
        <w:lang w:val="it-IT" w:eastAsia="en-US" w:bidi="ar-SA"/>
      </w:rPr>
    </w:lvl>
  </w:abstractNum>
  <w:abstractNum w:abstractNumId="12" w15:restartNumberingAfterBreak="0">
    <w:nsid w:val="69D273B5"/>
    <w:multiLevelType w:val="hybridMultilevel"/>
    <w:tmpl w:val="7F66E74C"/>
    <w:lvl w:ilvl="0" w:tplc="D43C98F8">
      <w:start w:val="1"/>
      <w:numFmt w:val="lowerLetter"/>
      <w:lvlText w:val="%1)"/>
      <w:lvlJc w:val="left"/>
      <w:pPr>
        <w:ind w:left="745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C9F07F28">
      <w:numFmt w:val="bullet"/>
      <w:lvlText w:val="•"/>
      <w:lvlJc w:val="left"/>
      <w:pPr>
        <w:ind w:left="1606" w:hanging="567"/>
      </w:pPr>
      <w:rPr>
        <w:rFonts w:hint="default"/>
        <w:lang w:val="it-IT" w:eastAsia="en-US" w:bidi="ar-SA"/>
      </w:rPr>
    </w:lvl>
    <w:lvl w:ilvl="2" w:tplc="ABBE39BE">
      <w:numFmt w:val="bullet"/>
      <w:lvlText w:val="•"/>
      <w:lvlJc w:val="left"/>
      <w:pPr>
        <w:ind w:left="2472" w:hanging="567"/>
      </w:pPr>
      <w:rPr>
        <w:rFonts w:hint="default"/>
        <w:lang w:val="it-IT" w:eastAsia="en-US" w:bidi="ar-SA"/>
      </w:rPr>
    </w:lvl>
    <w:lvl w:ilvl="3" w:tplc="8A960564">
      <w:numFmt w:val="bullet"/>
      <w:lvlText w:val="•"/>
      <w:lvlJc w:val="left"/>
      <w:pPr>
        <w:ind w:left="3338" w:hanging="567"/>
      </w:pPr>
      <w:rPr>
        <w:rFonts w:hint="default"/>
        <w:lang w:val="it-IT" w:eastAsia="en-US" w:bidi="ar-SA"/>
      </w:rPr>
    </w:lvl>
    <w:lvl w:ilvl="4" w:tplc="2B56E20A">
      <w:numFmt w:val="bullet"/>
      <w:lvlText w:val="•"/>
      <w:lvlJc w:val="left"/>
      <w:pPr>
        <w:ind w:left="4204" w:hanging="567"/>
      </w:pPr>
      <w:rPr>
        <w:rFonts w:hint="default"/>
        <w:lang w:val="it-IT" w:eastAsia="en-US" w:bidi="ar-SA"/>
      </w:rPr>
    </w:lvl>
    <w:lvl w:ilvl="5" w:tplc="292AB734">
      <w:numFmt w:val="bullet"/>
      <w:lvlText w:val="•"/>
      <w:lvlJc w:val="left"/>
      <w:pPr>
        <w:ind w:left="5070" w:hanging="567"/>
      </w:pPr>
      <w:rPr>
        <w:rFonts w:hint="default"/>
        <w:lang w:val="it-IT" w:eastAsia="en-US" w:bidi="ar-SA"/>
      </w:rPr>
    </w:lvl>
    <w:lvl w:ilvl="6" w:tplc="F4E6A1B4">
      <w:numFmt w:val="bullet"/>
      <w:lvlText w:val="•"/>
      <w:lvlJc w:val="left"/>
      <w:pPr>
        <w:ind w:left="5936" w:hanging="567"/>
      </w:pPr>
      <w:rPr>
        <w:rFonts w:hint="default"/>
        <w:lang w:val="it-IT" w:eastAsia="en-US" w:bidi="ar-SA"/>
      </w:rPr>
    </w:lvl>
    <w:lvl w:ilvl="7" w:tplc="E0EEAAD8">
      <w:numFmt w:val="bullet"/>
      <w:lvlText w:val="•"/>
      <w:lvlJc w:val="left"/>
      <w:pPr>
        <w:ind w:left="6802" w:hanging="567"/>
      </w:pPr>
      <w:rPr>
        <w:rFonts w:hint="default"/>
        <w:lang w:val="it-IT" w:eastAsia="en-US" w:bidi="ar-SA"/>
      </w:rPr>
    </w:lvl>
    <w:lvl w:ilvl="8" w:tplc="BD784C7E">
      <w:numFmt w:val="bullet"/>
      <w:lvlText w:val="•"/>
      <w:lvlJc w:val="left"/>
      <w:pPr>
        <w:ind w:left="7668" w:hanging="567"/>
      </w:pPr>
      <w:rPr>
        <w:rFonts w:hint="default"/>
        <w:lang w:val="it-IT" w:eastAsia="en-US" w:bidi="ar-SA"/>
      </w:rPr>
    </w:lvl>
  </w:abstractNum>
  <w:num w:numId="1" w16cid:durableId="764156176">
    <w:abstractNumId w:val="7"/>
  </w:num>
  <w:num w:numId="2" w16cid:durableId="1688143201">
    <w:abstractNumId w:val="0"/>
  </w:num>
  <w:num w:numId="3" w16cid:durableId="1647275923">
    <w:abstractNumId w:val="9"/>
  </w:num>
  <w:num w:numId="4" w16cid:durableId="1135220572">
    <w:abstractNumId w:val="3"/>
  </w:num>
  <w:num w:numId="5" w16cid:durableId="2002614682">
    <w:abstractNumId w:val="10"/>
  </w:num>
  <w:num w:numId="6" w16cid:durableId="1431005574">
    <w:abstractNumId w:val="4"/>
  </w:num>
  <w:num w:numId="7" w16cid:durableId="1464079573">
    <w:abstractNumId w:val="11"/>
  </w:num>
  <w:num w:numId="8" w16cid:durableId="686711616">
    <w:abstractNumId w:val="5"/>
  </w:num>
  <w:num w:numId="9" w16cid:durableId="309483863">
    <w:abstractNumId w:val="12"/>
  </w:num>
  <w:num w:numId="10" w16cid:durableId="1129937201">
    <w:abstractNumId w:val="8"/>
  </w:num>
  <w:num w:numId="11" w16cid:durableId="1861895829">
    <w:abstractNumId w:val="6"/>
  </w:num>
  <w:num w:numId="12" w16cid:durableId="1712921407">
    <w:abstractNumId w:val="1"/>
  </w:num>
  <w:num w:numId="13" w16cid:durableId="1218200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74"/>
    <w:rsid w:val="00010FC6"/>
    <w:rsid w:val="00012284"/>
    <w:rsid w:val="00012D06"/>
    <w:rsid w:val="00022EC3"/>
    <w:rsid w:val="00024E95"/>
    <w:rsid w:val="00025130"/>
    <w:rsid w:val="00040C9F"/>
    <w:rsid w:val="00044698"/>
    <w:rsid w:val="00046029"/>
    <w:rsid w:val="00050A9B"/>
    <w:rsid w:val="00053313"/>
    <w:rsid w:val="000534D5"/>
    <w:rsid w:val="00053A23"/>
    <w:rsid w:val="00054E01"/>
    <w:rsid w:val="000553BC"/>
    <w:rsid w:val="000567FA"/>
    <w:rsid w:val="000579F0"/>
    <w:rsid w:val="00062F74"/>
    <w:rsid w:val="00064C30"/>
    <w:rsid w:val="00065856"/>
    <w:rsid w:val="0006783D"/>
    <w:rsid w:val="000711FD"/>
    <w:rsid w:val="000755FE"/>
    <w:rsid w:val="00076B7A"/>
    <w:rsid w:val="000802BE"/>
    <w:rsid w:val="00083943"/>
    <w:rsid w:val="00087C14"/>
    <w:rsid w:val="000A4AA2"/>
    <w:rsid w:val="000F0ABC"/>
    <w:rsid w:val="000F2CA1"/>
    <w:rsid w:val="000F4E5E"/>
    <w:rsid w:val="000F5F32"/>
    <w:rsid w:val="00102737"/>
    <w:rsid w:val="00120FD5"/>
    <w:rsid w:val="001214F9"/>
    <w:rsid w:val="00135595"/>
    <w:rsid w:val="0015319A"/>
    <w:rsid w:val="001637B0"/>
    <w:rsid w:val="00166AD2"/>
    <w:rsid w:val="00166B4E"/>
    <w:rsid w:val="00170E23"/>
    <w:rsid w:val="0017140E"/>
    <w:rsid w:val="00185C17"/>
    <w:rsid w:val="00185FC3"/>
    <w:rsid w:val="0018633E"/>
    <w:rsid w:val="00191174"/>
    <w:rsid w:val="00197B6B"/>
    <w:rsid w:val="001A4C4F"/>
    <w:rsid w:val="001A719A"/>
    <w:rsid w:val="001A78AA"/>
    <w:rsid w:val="001A7B28"/>
    <w:rsid w:val="001B6890"/>
    <w:rsid w:val="001C1BAC"/>
    <w:rsid w:val="001C1BFD"/>
    <w:rsid w:val="001E724E"/>
    <w:rsid w:val="001F15D1"/>
    <w:rsid w:val="001F712C"/>
    <w:rsid w:val="0020589D"/>
    <w:rsid w:val="002059EE"/>
    <w:rsid w:val="0021168A"/>
    <w:rsid w:val="002248D0"/>
    <w:rsid w:val="00232B62"/>
    <w:rsid w:val="00240869"/>
    <w:rsid w:val="00244D91"/>
    <w:rsid w:val="00257FA2"/>
    <w:rsid w:val="00262264"/>
    <w:rsid w:val="00264E6F"/>
    <w:rsid w:val="00266B72"/>
    <w:rsid w:val="00276708"/>
    <w:rsid w:val="002813F2"/>
    <w:rsid w:val="002816AA"/>
    <w:rsid w:val="002856AA"/>
    <w:rsid w:val="002942D0"/>
    <w:rsid w:val="00295A05"/>
    <w:rsid w:val="00295CEC"/>
    <w:rsid w:val="002A0A0D"/>
    <w:rsid w:val="002A3B46"/>
    <w:rsid w:val="002A7B7A"/>
    <w:rsid w:val="002B31C1"/>
    <w:rsid w:val="002B47CD"/>
    <w:rsid w:val="002C2DF4"/>
    <w:rsid w:val="002C7FDA"/>
    <w:rsid w:val="002D35F1"/>
    <w:rsid w:val="002D3B12"/>
    <w:rsid w:val="002D3E7D"/>
    <w:rsid w:val="002D6F0A"/>
    <w:rsid w:val="002F35FA"/>
    <w:rsid w:val="002F6E34"/>
    <w:rsid w:val="003047E5"/>
    <w:rsid w:val="0030595C"/>
    <w:rsid w:val="00307F53"/>
    <w:rsid w:val="0032133D"/>
    <w:rsid w:val="00327BD3"/>
    <w:rsid w:val="003336A3"/>
    <w:rsid w:val="00333E04"/>
    <w:rsid w:val="00335BCE"/>
    <w:rsid w:val="00344141"/>
    <w:rsid w:val="003473FD"/>
    <w:rsid w:val="00350875"/>
    <w:rsid w:val="00353442"/>
    <w:rsid w:val="00354E2C"/>
    <w:rsid w:val="003559CC"/>
    <w:rsid w:val="0035636D"/>
    <w:rsid w:val="00360004"/>
    <w:rsid w:val="00362790"/>
    <w:rsid w:val="00367B74"/>
    <w:rsid w:val="003733FF"/>
    <w:rsid w:val="00390E8A"/>
    <w:rsid w:val="0039669A"/>
    <w:rsid w:val="003A3759"/>
    <w:rsid w:val="003A4D5D"/>
    <w:rsid w:val="003B1899"/>
    <w:rsid w:val="003B6953"/>
    <w:rsid w:val="003B7301"/>
    <w:rsid w:val="003C39BD"/>
    <w:rsid w:val="003C7E15"/>
    <w:rsid w:val="003D126E"/>
    <w:rsid w:val="003D1D8C"/>
    <w:rsid w:val="003D1FA3"/>
    <w:rsid w:val="003E1BE2"/>
    <w:rsid w:val="003E1CD9"/>
    <w:rsid w:val="003E20C3"/>
    <w:rsid w:val="003E5518"/>
    <w:rsid w:val="003E562D"/>
    <w:rsid w:val="003F0ACB"/>
    <w:rsid w:val="003F2F2A"/>
    <w:rsid w:val="003F3A35"/>
    <w:rsid w:val="003F7CE4"/>
    <w:rsid w:val="004008C4"/>
    <w:rsid w:val="00400F4C"/>
    <w:rsid w:val="00412B2F"/>
    <w:rsid w:val="00420760"/>
    <w:rsid w:val="00422922"/>
    <w:rsid w:val="004379C5"/>
    <w:rsid w:val="00442564"/>
    <w:rsid w:val="004428D7"/>
    <w:rsid w:val="00445071"/>
    <w:rsid w:val="004605A8"/>
    <w:rsid w:val="004655DD"/>
    <w:rsid w:val="004740BB"/>
    <w:rsid w:val="0047516F"/>
    <w:rsid w:val="004815F1"/>
    <w:rsid w:val="00486EA0"/>
    <w:rsid w:val="004A2ECE"/>
    <w:rsid w:val="004B0801"/>
    <w:rsid w:val="004B653F"/>
    <w:rsid w:val="004C1AEE"/>
    <w:rsid w:val="004C35EE"/>
    <w:rsid w:val="004C4D42"/>
    <w:rsid w:val="004D1341"/>
    <w:rsid w:val="004D1A88"/>
    <w:rsid w:val="004D253D"/>
    <w:rsid w:val="004E5A4F"/>
    <w:rsid w:val="004F2689"/>
    <w:rsid w:val="004F49A0"/>
    <w:rsid w:val="004F5199"/>
    <w:rsid w:val="00507747"/>
    <w:rsid w:val="005149EE"/>
    <w:rsid w:val="00522503"/>
    <w:rsid w:val="00523E82"/>
    <w:rsid w:val="00524265"/>
    <w:rsid w:val="00525DA9"/>
    <w:rsid w:val="005263B9"/>
    <w:rsid w:val="00526573"/>
    <w:rsid w:val="00533785"/>
    <w:rsid w:val="00535AD3"/>
    <w:rsid w:val="00535AE1"/>
    <w:rsid w:val="00540A75"/>
    <w:rsid w:val="00546180"/>
    <w:rsid w:val="00546B9E"/>
    <w:rsid w:val="00547A66"/>
    <w:rsid w:val="00552C04"/>
    <w:rsid w:val="00557088"/>
    <w:rsid w:val="005618F1"/>
    <w:rsid w:val="005637C7"/>
    <w:rsid w:val="00571138"/>
    <w:rsid w:val="00574111"/>
    <w:rsid w:val="00574407"/>
    <w:rsid w:val="0057639B"/>
    <w:rsid w:val="005813ED"/>
    <w:rsid w:val="00583528"/>
    <w:rsid w:val="00584FEA"/>
    <w:rsid w:val="00591046"/>
    <w:rsid w:val="00593C0A"/>
    <w:rsid w:val="005A506C"/>
    <w:rsid w:val="005A66DC"/>
    <w:rsid w:val="005B05B5"/>
    <w:rsid w:val="005B17C8"/>
    <w:rsid w:val="005B35E7"/>
    <w:rsid w:val="005C7CB5"/>
    <w:rsid w:val="005D1B8A"/>
    <w:rsid w:val="005E17D1"/>
    <w:rsid w:val="005F00EA"/>
    <w:rsid w:val="005F1946"/>
    <w:rsid w:val="005F5CCB"/>
    <w:rsid w:val="005F6BA9"/>
    <w:rsid w:val="00600C85"/>
    <w:rsid w:val="006207C7"/>
    <w:rsid w:val="00625CA5"/>
    <w:rsid w:val="00633320"/>
    <w:rsid w:val="00633BFC"/>
    <w:rsid w:val="00634B9C"/>
    <w:rsid w:val="00640338"/>
    <w:rsid w:val="00642CCE"/>
    <w:rsid w:val="00660C24"/>
    <w:rsid w:val="00673FCA"/>
    <w:rsid w:val="00682F79"/>
    <w:rsid w:val="00683E11"/>
    <w:rsid w:val="00685301"/>
    <w:rsid w:val="00685C04"/>
    <w:rsid w:val="00697E8A"/>
    <w:rsid w:val="006A1993"/>
    <w:rsid w:val="006A415B"/>
    <w:rsid w:val="006B304D"/>
    <w:rsid w:val="006B376A"/>
    <w:rsid w:val="006B66C1"/>
    <w:rsid w:val="006F46BC"/>
    <w:rsid w:val="006F67AF"/>
    <w:rsid w:val="00701795"/>
    <w:rsid w:val="0070202E"/>
    <w:rsid w:val="0070309F"/>
    <w:rsid w:val="00704805"/>
    <w:rsid w:val="00706D3B"/>
    <w:rsid w:val="00716EEA"/>
    <w:rsid w:val="00737874"/>
    <w:rsid w:val="0074002D"/>
    <w:rsid w:val="00740F36"/>
    <w:rsid w:val="007450A8"/>
    <w:rsid w:val="007500DB"/>
    <w:rsid w:val="00765B68"/>
    <w:rsid w:val="0076777C"/>
    <w:rsid w:val="00777F19"/>
    <w:rsid w:val="00777F29"/>
    <w:rsid w:val="007859AC"/>
    <w:rsid w:val="00787CD1"/>
    <w:rsid w:val="0079043A"/>
    <w:rsid w:val="007913E8"/>
    <w:rsid w:val="007974D3"/>
    <w:rsid w:val="007A2E45"/>
    <w:rsid w:val="007A3D1B"/>
    <w:rsid w:val="007A580A"/>
    <w:rsid w:val="007B4360"/>
    <w:rsid w:val="007B66AC"/>
    <w:rsid w:val="007C1369"/>
    <w:rsid w:val="007C2B41"/>
    <w:rsid w:val="007C4AB1"/>
    <w:rsid w:val="007C5628"/>
    <w:rsid w:val="007C708B"/>
    <w:rsid w:val="007D4CC0"/>
    <w:rsid w:val="007E1401"/>
    <w:rsid w:val="007E5E97"/>
    <w:rsid w:val="007F0007"/>
    <w:rsid w:val="007F7216"/>
    <w:rsid w:val="00806003"/>
    <w:rsid w:val="00810B70"/>
    <w:rsid w:val="00812F4A"/>
    <w:rsid w:val="008217AE"/>
    <w:rsid w:val="0083117F"/>
    <w:rsid w:val="00834A45"/>
    <w:rsid w:val="00840A51"/>
    <w:rsid w:val="008427D2"/>
    <w:rsid w:val="0085660A"/>
    <w:rsid w:val="0086306A"/>
    <w:rsid w:val="008645F6"/>
    <w:rsid w:val="0086601D"/>
    <w:rsid w:val="00866B6B"/>
    <w:rsid w:val="00875EC8"/>
    <w:rsid w:val="00877CAD"/>
    <w:rsid w:val="00881D51"/>
    <w:rsid w:val="00897ACC"/>
    <w:rsid w:val="008A065E"/>
    <w:rsid w:val="008A261E"/>
    <w:rsid w:val="008B69AB"/>
    <w:rsid w:val="008E132D"/>
    <w:rsid w:val="008E1688"/>
    <w:rsid w:val="008E6792"/>
    <w:rsid w:val="008F08CF"/>
    <w:rsid w:val="009179C8"/>
    <w:rsid w:val="00921339"/>
    <w:rsid w:val="00922056"/>
    <w:rsid w:val="00922338"/>
    <w:rsid w:val="009252BF"/>
    <w:rsid w:val="00926CD8"/>
    <w:rsid w:val="0092783C"/>
    <w:rsid w:val="00933BA3"/>
    <w:rsid w:val="00947675"/>
    <w:rsid w:val="009560AE"/>
    <w:rsid w:val="0096095D"/>
    <w:rsid w:val="00961EA9"/>
    <w:rsid w:val="00961F0C"/>
    <w:rsid w:val="0097290C"/>
    <w:rsid w:val="00976151"/>
    <w:rsid w:val="0099122F"/>
    <w:rsid w:val="00992075"/>
    <w:rsid w:val="00996772"/>
    <w:rsid w:val="009A37F9"/>
    <w:rsid w:val="009B0E94"/>
    <w:rsid w:val="009B4A07"/>
    <w:rsid w:val="009B5A57"/>
    <w:rsid w:val="009B607D"/>
    <w:rsid w:val="009C300E"/>
    <w:rsid w:val="009C3571"/>
    <w:rsid w:val="009D0226"/>
    <w:rsid w:val="009D28DF"/>
    <w:rsid w:val="009E25D3"/>
    <w:rsid w:val="009E69FA"/>
    <w:rsid w:val="009F0684"/>
    <w:rsid w:val="009F234B"/>
    <w:rsid w:val="009F468A"/>
    <w:rsid w:val="009F511A"/>
    <w:rsid w:val="00A01406"/>
    <w:rsid w:val="00A053A8"/>
    <w:rsid w:val="00A11F51"/>
    <w:rsid w:val="00A14A00"/>
    <w:rsid w:val="00A34DCF"/>
    <w:rsid w:val="00A43A3C"/>
    <w:rsid w:val="00A44DE1"/>
    <w:rsid w:val="00A521F7"/>
    <w:rsid w:val="00A55641"/>
    <w:rsid w:val="00A56EF0"/>
    <w:rsid w:val="00A60A25"/>
    <w:rsid w:val="00A61D45"/>
    <w:rsid w:val="00A6392A"/>
    <w:rsid w:val="00A75DDB"/>
    <w:rsid w:val="00A83D64"/>
    <w:rsid w:val="00A867B8"/>
    <w:rsid w:val="00A87804"/>
    <w:rsid w:val="00A911FD"/>
    <w:rsid w:val="00AA1202"/>
    <w:rsid w:val="00AA2DC5"/>
    <w:rsid w:val="00AA3D0C"/>
    <w:rsid w:val="00AA4E27"/>
    <w:rsid w:val="00AB4A52"/>
    <w:rsid w:val="00AB70B9"/>
    <w:rsid w:val="00AB71ED"/>
    <w:rsid w:val="00AC4270"/>
    <w:rsid w:val="00AC711B"/>
    <w:rsid w:val="00AC7D95"/>
    <w:rsid w:val="00AD464E"/>
    <w:rsid w:val="00AE20C7"/>
    <w:rsid w:val="00B01407"/>
    <w:rsid w:val="00B02A40"/>
    <w:rsid w:val="00B07C97"/>
    <w:rsid w:val="00B1062E"/>
    <w:rsid w:val="00B11D8E"/>
    <w:rsid w:val="00B1449C"/>
    <w:rsid w:val="00B174AD"/>
    <w:rsid w:val="00B213EA"/>
    <w:rsid w:val="00B231F2"/>
    <w:rsid w:val="00B23651"/>
    <w:rsid w:val="00B276C7"/>
    <w:rsid w:val="00B31190"/>
    <w:rsid w:val="00B31BEB"/>
    <w:rsid w:val="00B32816"/>
    <w:rsid w:val="00B3748A"/>
    <w:rsid w:val="00B37E68"/>
    <w:rsid w:val="00B40687"/>
    <w:rsid w:val="00B4409D"/>
    <w:rsid w:val="00B466CB"/>
    <w:rsid w:val="00B51C13"/>
    <w:rsid w:val="00B5203A"/>
    <w:rsid w:val="00B53AA4"/>
    <w:rsid w:val="00B608CD"/>
    <w:rsid w:val="00B639DD"/>
    <w:rsid w:val="00B7400B"/>
    <w:rsid w:val="00B82312"/>
    <w:rsid w:val="00B871C3"/>
    <w:rsid w:val="00B96D06"/>
    <w:rsid w:val="00BA037D"/>
    <w:rsid w:val="00BA34E0"/>
    <w:rsid w:val="00BA4380"/>
    <w:rsid w:val="00BA4C1C"/>
    <w:rsid w:val="00BA4FD8"/>
    <w:rsid w:val="00BB011F"/>
    <w:rsid w:val="00BB67DB"/>
    <w:rsid w:val="00BC2E17"/>
    <w:rsid w:val="00BC4733"/>
    <w:rsid w:val="00BC67FF"/>
    <w:rsid w:val="00BC683C"/>
    <w:rsid w:val="00BD0A3E"/>
    <w:rsid w:val="00BD143A"/>
    <w:rsid w:val="00BD1E94"/>
    <w:rsid w:val="00BE13B7"/>
    <w:rsid w:val="00BE36DE"/>
    <w:rsid w:val="00BE4028"/>
    <w:rsid w:val="00BE51F9"/>
    <w:rsid w:val="00BE700E"/>
    <w:rsid w:val="00BF0A57"/>
    <w:rsid w:val="00BF1C23"/>
    <w:rsid w:val="00BF655D"/>
    <w:rsid w:val="00C0656C"/>
    <w:rsid w:val="00C10B05"/>
    <w:rsid w:val="00C115CA"/>
    <w:rsid w:val="00C12C10"/>
    <w:rsid w:val="00C147AA"/>
    <w:rsid w:val="00C15213"/>
    <w:rsid w:val="00C17269"/>
    <w:rsid w:val="00C22F0E"/>
    <w:rsid w:val="00C31213"/>
    <w:rsid w:val="00C343DA"/>
    <w:rsid w:val="00C36B36"/>
    <w:rsid w:val="00C4647B"/>
    <w:rsid w:val="00C527AD"/>
    <w:rsid w:val="00C570D6"/>
    <w:rsid w:val="00C669F9"/>
    <w:rsid w:val="00C72D52"/>
    <w:rsid w:val="00C77C51"/>
    <w:rsid w:val="00C83FA1"/>
    <w:rsid w:val="00CA0FD9"/>
    <w:rsid w:val="00CA3B21"/>
    <w:rsid w:val="00CA628B"/>
    <w:rsid w:val="00CA6A52"/>
    <w:rsid w:val="00CB4F2B"/>
    <w:rsid w:val="00CB5239"/>
    <w:rsid w:val="00CD2070"/>
    <w:rsid w:val="00CD2C70"/>
    <w:rsid w:val="00CE0832"/>
    <w:rsid w:val="00CE1382"/>
    <w:rsid w:val="00CE2AA7"/>
    <w:rsid w:val="00CE3A2A"/>
    <w:rsid w:val="00CE507A"/>
    <w:rsid w:val="00CE62DE"/>
    <w:rsid w:val="00CF41F5"/>
    <w:rsid w:val="00D04526"/>
    <w:rsid w:val="00D049A8"/>
    <w:rsid w:val="00D10524"/>
    <w:rsid w:val="00D137D6"/>
    <w:rsid w:val="00D204ED"/>
    <w:rsid w:val="00D260D4"/>
    <w:rsid w:val="00D26BAE"/>
    <w:rsid w:val="00D26FEC"/>
    <w:rsid w:val="00D32C60"/>
    <w:rsid w:val="00D36E4A"/>
    <w:rsid w:val="00D42B77"/>
    <w:rsid w:val="00D4363F"/>
    <w:rsid w:val="00D46993"/>
    <w:rsid w:val="00D528C7"/>
    <w:rsid w:val="00D53B87"/>
    <w:rsid w:val="00D60816"/>
    <w:rsid w:val="00D71C5E"/>
    <w:rsid w:val="00D74B66"/>
    <w:rsid w:val="00D74DA1"/>
    <w:rsid w:val="00D75F8C"/>
    <w:rsid w:val="00D768B6"/>
    <w:rsid w:val="00D7775F"/>
    <w:rsid w:val="00D82268"/>
    <w:rsid w:val="00D84E67"/>
    <w:rsid w:val="00D87652"/>
    <w:rsid w:val="00D91047"/>
    <w:rsid w:val="00D937AE"/>
    <w:rsid w:val="00D94AA6"/>
    <w:rsid w:val="00D97C82"/>
    <w:rsid w:val="00DA2F53"/>
    <w:rsid w:val="00DA4D21"/>
    <w:rsid w:val="00DB4899"/>
    <w:rsid w:val="00DB7B25"/>
    <w:rsid w:val="00DD14A0"/>
    <w:rsid w:val="00DF1E19"/>
    <w:rsid w:val="00DF43C0"/>
    <w:rsid w:val="00DF51CF"/>
    <w:rsid w:val="00DF6720"/>
    <w:rsid w:val="00E001D0"/>
    <w:rsid w:val="00E01D7B"/>
    <w:rsid w:val="00E03030"/>
    <w:rsid w:val="00E15452"/>
    <w:rsid w:val="00E164A7"/>
    <w:rsid w:val="00E20246"/>
    <w:rsid w:val="00E249F7"/>
    <w:rsid w:val="00E3173C"/>
    <w:rsid w:val="00E32CE6"/>
    <w:rsid w:val="00E33DEF"/>
    <w:rsid w:val="00E43BDF"/>
    <w:rsid w:val="00E47F68"/>
    <w:rsid w:val="00E5235A"/>
    <w:rsid w:val="00E650F1"/>
    <w:rsid w:val="00E748C1"/>
    <w:rsid w:val="00E8739E"/>
    <w:rsid w:val="00E90705"/>
    <w:rsid w:val="00E92E1F"/>
    <w:rsid w:val="00EA0EA4"/>
    <w:rsid w:val="00EB54FB"/>
    <w:rsid w:val="00EB5F5C"/>
    <w:rsid w:val="00EC4C9B"/>
    <w:rsid w:val="00EC688A"/>
    <w:rsid w:val="00ED1B5B"/>
    <w:rsid w:val="00ED6038"/>
    <w:rsid w:val="00EE7667"/>
    <w:rsid w:val="00EF5A13"/>
    <w:rsid w:val="00EF7246"/>
    <w:rsid w:val="00F05719"/>
    <w:rsid w:val="00F0795D"/>
    <w:rsid w:val="00F13506"/>
    <w:rsid w:val="00F13E6E"/>
    <w:rsid w:val="00F16AE7"/>
    <w:rsid w:val="00F24E39"/>
    <w:rsid w:val="00F25873"/>
    <w:rsid w:val="00F263D7"/>
    <w:rsid w:val="00F32934"/>
    <w:rsid w:val="00F41B2A"/>
    <w:rsid w:val="00F433C9"/>
    <w:rsid w:val="00F517BE"/>
    <w:rsid w:val="00F54184"/>
    <w:rsid w:val="00F54D90"/>
    <w:rsid w:val="00F54DB4"/>
    <w:rsid w:val="00F574AA"/>
    <w:rsid w:val="00F905CF"/>
    <w:rsid w:val="00F95288"/>
    <w:rsid w:val="00F95DCE"/>
    <w:rsid w:val="00F95F07"/>
    <w:rsid w:val="00F97352"/>
    <w:rsid w:val="00FA7F16"/>
    <w:rsid w:val="00FB5155"/>
    <w:rsid w:val="00FC1B75"/>
    <w:rsid w:val="00FC2E82"/>
    <w:rsid w:val="00FC35A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ED44"/>
  <w15:chartTrackingRefBased/>
  <w15:docId w15:val="{4ECD71F3-7134-4F75-B08F-0D97C39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120"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7775F"/>
    <w:pPr>
      <w:keepNext/>
      <w:keepLines/>
      <w:spacing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1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1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4C1AEE"/>
    <w:pPr>
      <w:widowControl w:val="0"/>
      <w:autoSpaceDE w:val="0"/>
      <w:autoSpaceDN w:val="0"/>
      <w:spacing w:after="0" w:line="240" w:lineRule="auto"/>
      <w:ind w:left="481" w:hanging="303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66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6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B520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203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775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1A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C1A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C1A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70AC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C1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C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1AEE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C1AEE"/>
    <w:pPr>
      <w:widowControl w:val="0"/>
      <w:autoSpaceDE w:val="0"/>
      <w:autoSpaceDN w:val="0"/>
      <w:spacing w:after="0" w:line="240" w:lineRule="auto"/>
      <w:ind w:left="481" w:hanging="30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4C1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B5F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5F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5F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5F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5F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F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F5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97B6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FF74-C37B-4D89-BF7C-DB866A5B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Mignogna</dc:creator>
  <cp:keywords/>
  <dc:description/>
  <cp:lastModifiedBy>Cristiana Mignogna</cp:lastModifiedBy>
  <cp:revision>18</cp:revision>
  <dcterms:created xsi:type="dcterms:W3CDTF">2023-06-08T09:00:00Z</dcterms:created>
  <dcterms:modified xsi:type="dcterms:W3CDTF">2023-06-27T20:54:00Z</dcterms:modified>
</cp:coreProperties>
</file>