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4A458" w14:textId="2F1B94C9" w:rsidR="36EFE6F8" w:rsidRPr="00F53C42" w:rsidRDefault="36EFE6F8" w:rsidP="00F53C42">
      <w:pPr>
        <w:pStyle w:val="Titolo"/>
        <w:spacing w:before="600" w:after="120"/>
        <w:jc w:val="center"/>
        <w:rPr>
          <w:b/>
          <w:bCs/>
          <w:sz w:val="28"/>
          <w:szCs w:val="28"/>
        </w:rPr>
      </w:pPr>
      <w:r w:rsidRPr="00F53C42">
        <w:rPr>
          <w:b/>
          <w:bCs/>
          <w:sz w:val="28"/>
          <w:szCs w:val="28"/>
        </w:rPr>
        <w:t>Study on the modulation of the intestinal microbiota induced by nutraceutical preparations designed to improve immune and metabolic function</w:t>
      </w:r>
    </w:p>
    <w:p w14:paraId="00F35372" w14:textId="308230C5" w:rsidR="00C56883" w:rsidRPr="00B61F04" w:rsidRDefault="00C56883" w:rsidP="3AE94E66">
      <w:pPr>
        <w:spacing w:after="0"/>
        <w:jc w:val="center"/>
        <w:rPr>
          <w:sz w:val="20"/>
          <w:szCs w:val="20"/>
          <w:lang w:val="it-IT"/>
        </w:rPr>
      </w:pPr>
      <w:r w:rsidRPr="00B61F04">
        <w:rPr>
          <w:sz w:val="20"/>
          <w:szCs w:val="20"/>
          <w:lang w:val="it-IT"/>
        </w:rPr>
        <w:t>Robin Duncan (</w:t>
      </w:r>
      <w:hyperlink r:id="rId11" w:history="1">
        <w:r w:rsidR="004265E4" w:rsidRPr="004265E4">
          <w:rPr>
            <w:rStyle w:val="Collegamentoipertestuale"/>
            <w:sz w:val="20"/>
            <w:szCs w:val="20"/>
            <w:lang w:val="it-IT"/>
          </w:rPr>
          <w:t>robin.duncan@unimi.it</w:t>
        </w:r>
      </w:hyperlink>
      <w:r w:rsidRPr="00B61F04">
        <w:rPr>
          <w:sz w:val="20"/>
          <w:szCs w:val="20"/>
          <w:lang w:val="it-IT"/>
        </w:rPr>
        <w:t>)</w:t>
      </w:r>
    </w:p>
    <w:p w14:paraId="611E1ACC" w14:textId="0D96864F" w:rsidR="004C2A5E" w:rsidRPr="00B61F04" w:rsidRDefault="004C2A5E" w:rsidP="3AE94E66">
      <w:pPr>
        <w:spacing w:after="0"/>
        <w:jc w:val="center"/>
        <w:rPr>
          <w:sz w:val="20"/>
          <w:szCs w:val="20"/>
          <w:lang w:val="it-IT"/>
        </w:rPr>
      </w:pPr>
      <w:r w:rsidRPr="00B61F04">
        <w:rPr>
          <w:sz w:val="20"/>
          <w:szCs w:val="20"/>
          <w:lang w:val="it-IT"/>
        </w:rPr>
        <w:t xml:space="preserve">Department of Food, Environmental and </w:t>
      </w:r>
      <w:r w:rsidR="12E76658" w:rsidRPr="00B61F04">
        <w:rPr>
          <w:sz w:val="20"/>
          <w:szCs w:val="20"/>
          <w:lang w:val="it-IT"/>
        </w:rPr>
        <w:t>Nutrizionali</w:t>
      </w:r>
      <w:r w:rsidRPr="00B61F04">
        <w:rPr>
          <w:sz w:val="20"/>
          <w:szCs w:val="20"/>
          <w:lang w:val="it-IT"/>
        </w:rPr>
        <w:t xml:space="preserve"> Sciences, Università degli Studi di Milano, </w:t>
      </w:r>
      <w:proofErr w:type="spellStart"/>
      <w:r w:rsidRPr="00B61F04">
        <w:rPr>
          <w:sz w:val="20"/>
          <w:szCs w:val="20"/>
          <w:lang w:val="it-IT"/>
        </w:rPr>
        <w:t>Italy</w:t>
      </w:r>
      <w:proofErr w:type="spellEnd"/>
    </w:p>
    <w:p w14:paraId="5C1EE018" w14:textId="74F14CEA" w:rsidR="77C69484" w:rsidRDefault="3349A04A" w:rsidP="008E0C38">
      <w:pPr>
        <w:spacing w:after="0"/>
        <w:jc w:val="center"/>
        <w:rPr>
          <w:sz w:val="20"/>
          <w:szCs w:val="20"/>
          <w:lang w:val="it-IT"/>
        </w:rPr>
      </w:pPr>
      <w:r w:rsidRPr="00B61F04">
        <w:rPr>
          <w:sz w:val="20"/>
          <w:szCs w:val="20"/>
          <w:lang w:val="it-IT"/>
        </w:rPr>
        <w:t>T</w:t>
      </w:r>
      <w:r w:rsidR="004C2A5E" w:rsidRPr="00B61F04">
        <w:rPr>
          <w:sz w:val="20"/>
          <w:szCs w:val="20"/>
          <w:lang w:val="it-IT"/>
        </w:rPr>
        <w:t>utor: prof. Simone Domenico Guglielmetti (Università degli Studi di Milano)</w:t>
      </w:r>
      <w:r w:rsidR="4AA9A02E" w:rsidRPr="00B61F04">
        <w:rPr>
          <w:sz w:val="20"/>
          <w:szCs w:val="20"/>
          <w:lang w:val="it-IT"/>
        </w:rPr>
        <w:t xml:space="preserve"> </w:t>
      </w:r>
    </w:p>
    <w:p w14:paraId="6820A305" w14:textId="77777777" w:rsidR="008E0C38" w:rsidRPr="00783CD6" w:rsidRDefault="008E0C38" w:rsidP="008E0C38">
      <w:pPr>
        <w:spacing w:after="0"/>
        <w:jc w:val="center"/>
        <w:rPr>
          <w:sz w:val="20"/>
          <w:szCs w:val="20"/>
          <w:lang w:val="it-IT"/>
        </w:rPr>
      </w:pPr>
    </w:p>
    <w:p w14:paraId="2D6BCC5C" w14:textId="588D8768" w:rsidR="00766376" w:rsidRDefault="00B16D7F" w:rsidP="008E0C38">
      <w:pPr>
        <w:spacing w:after="120"/>
        <w:jc w:val="both"/>
        <w:rPr>
          <w:sz w:val="20"/>
          <w:szCs w:val="20"/>
        </w:rPr>
      </w:pPr>
      <w:r w:rsidRPr="00B16D7F">
        <w:rPr>
          <w:sz w:val="20"/>
          <w:szCs w:val="20"/>
        </w:rPr>
        <w:t xml:space="preserve">This project aims to explore the effects of plant extracts (PEs) </w:t>
      </w:r>
      <w:r w:rsidR="00D6579A">
        <w:rPr>
          <w:sz w:val="20"/>
          <w:szCs w:val="20"/>
        </w:rPr>
        <w:t xml:space="preserve">used </w:t>
      </w:r>
      <w:r w:rsidRPr="00B16D7F">
        <w:rPr>
          <w:sz w:val="20"/>
          <w:szCs w:val="20"/>
        </w:rPr>
        <w:t>as dietary</w:t>
      </w:r>
      <w:r w:rsidR="00BF2778">
        <w:rPr>
          <w:sz w:val="20"/>
          <w:szCs w:val="20"/>
        </w:rPr>
        <w:t xml:space="preserve"> supplements</w:t>
      </w:r>
      <w:r w:rsidRPr="00B16D7F">
        <w:rPr>
          <w:sz w:val="20"/>
          <w:szCs w:val="20"/>
        </w:rPr>
        <w:t xml:space="preserve">, gut microbiota and gastrointestinal health. The objective is to determine if these not only alleviate symptoms but also improve overall health and prevent other conditions without adverse effects on gut microbiota. The project begins with </w:t>
      </w:r>
      <w:r w:rsidRPr="00776EC5">
        <w:rPr>
          <w:i/>
          <w:sz w:val="20"/>
          <w:szCs w:val="20"/>
        </w:rPr>
        <w:t>in vitro</w:t>
      </w:r>
      <w:r w:rsidRPr="00B16D7F">
        <w:rPr>
          <w:sz w:val="20"/>
          <w:szCs w:val="20"/>
        </w:rPr>
        <w:t xml:space="preserve"> testing using colonic fermentations to evaluate PEs' effects on gut microbiota populations</w:t>
      </w:r>
      <w:r w:rsidR="00766376">
        <w:rPr>
          <w:sz w:val="20"/>
          <w:szCs w:val="20"/>
        </w:rPr>
        <w:t xml:space="preserve"> and</w:t>
      </w:r>
      <w:r w:rsidRPr="00B16D7F">
        <w:rPr>
          <w:sz w:val="20"/>
          <w:szCs w:val="20"/>
        </w:rPr>
        <w:t xml:space="preserve"> </w:t>
      </w:r>
      <w:r w:rsidR="00766376">
        <w:rPr>
          <w:sz w:val="20"/>
          <w:szCs w:val="20"/>
        </w:rPr>
        <w:t>g</w:t>
      </w:r>
      <w:r w:rsidRPr="00B16D7F">
        <w:rPr>
          <w:sz w:val="20"/>
          <w:szCs w:val="20"/>
        </w:rPr>
        <w:t>rowth tests</w:t>
      </w:r>
      <w:r w:rsidR="00DE3F77">
        <w:rPr>
          <w:sz w:val="20"/>
          <w:szCs w:val="20"/>
        </w:rPr>
        <w:t xml:space="preserve"> on single strains</w:t>
      </w:r>
      <w:r w:rsidRPr="00B16D7F">
        <w:rPr>
          <w:sz w:val="20"/>
          <w:szCs w:val="20"/>
        </w:rPr>
        <w:t xml:space="preserve"> will assess their impact on health-promoting bacteria. The most promising PE will be selected for a human study to investigate its prebiotic effect and influence on health biomarkers.</w:t>
      </w:r>
    </w:p>
    <w:p w14:paraId="7737FE78" w14:textId="489076A6" w:rsidR="2BB2BC8B" w:rsidRPr="008E0C38" w:rsidRDefault="2BB2BC8B" w:rsidP="008E0C38">
      <w:pPr>
        <w:pStyle w:val="Titolo"/>
        <w:spacing w:before="240" w:after="120"/>
        <w:jc w:val="center"/>
        <w:rPr>
          <w:b/>
          <w:bCs/>
          <w:sz w:val="24"/>
          <w:szCs w:val="24"/>
          <w:lang w:val="it-IT"/>
        </w:rPr>
      </w:pPr>
      <w:r w:rsidRPr="008E0C38">
        <w:rPr>
          <w:b/>
          <w:bCs/>
          <w:sz w:val="24"/>
          <w:szCs w:val="24"/>
          <w:lang w:val="it-IT"/>
        </w:rPr>
        <w:t>Studio sulla modulazione del microbiota intestinale indotta da preparazioni nutraceutiche progettate per migliorare la funzione immunitaria e metabolica</w:t>
      </w:r>
    </w:p>
    <w:p w14:paraId="5AE585E5" w14:textId="2BB1CCF4" w:rsidR="00766376" w:rsidRDefault="00766376" w:rsidP="00EA4D46">
      <w:pPr>
        <w:pStyle w:val="Titolo1"/>
        <w:spacing w:before="240" w:after="120"/>
        <w:ind w:right="0"/>
        <w:jc w:val="both"/>
        <w:rPr>
          <w:rFonts w:asciiTheme="minorHAnsi" w:eastAsiaTheme="minorHAnsi" w:hAnsiTheme="minorHAnsi" w:cstheme="minorBidi"/>
          <w:color w:val="auto"/>
          <w:spacing w:val="0"/>
          <w:sz w:val="20"/>
          <w:szCs w:val="20"/>
          <w:lang w:val="it-IT" w:eastAsia="en-US"/>
        </w:rPr>
      </w:pPr>
      <w:r w:rsidRPr="00766376">
        <w:rPr>
          <w:rFonts w:asciiTheme="minorHAnsi" w:eastAsiaTheme="minorHAnsi" w:hAnsiTheme="minorHAnsi" w:cstheme="minorBidi"/>
          <w:color w:val="auto"/>
          <w:spacing w:val="0"/>
          <w:sz w:val="20"/>
          <w:szCs w:val="20"/>
          <w:lang w:val="it-IT" w:eastAsia="en-US"/>
        </w:rPr>
        <w:t>Questo progetto mira a esplorare gli effetti d</w:t>
      </w:r>
      <w:r>
        <w:rPr>
          <w:rFonts w:asciiTheme="minorHAnsi" w:eastAsiaTheme="minorHAnsi" w:hAnsiTheme="minorHAnsi" w:cstheme="minorBidi"/>
          <w:color w:val="auto"/>
          <w:spacing w:val="0"/>
          <w:sz w:val="20"/>
          <w:szCs w:val="20"/>
          <w:lang w:val="it-IT" w:eastAsia="en-US"/>
        </w:rPr>
        <w:t>i</w:t>
      </w:r>
      <w:r w:rsidRPr="00766376">
        <w:rPr>
          <w:rFonts w:asciiTheme="minorHAnsi" w:eastAsiaTheme="minorHAnsi" w:hAnsiTheme="minorHAnsi" w:cstheme="minorBidi"/>
          <w:color w:val="auto"/>
          <w:spacing w:val="0"/>
          <w:sz w:val="20"/>
          <w:szCs w:val="20"/>
          <w:lang w:val="it-IT" w:eastAsia="en-US"/>
        </w:rPr>
        <w:t xml:space="preserve"> estratti vegetali (PE)</w:t>
      </w:r>
      <w:r w:rsidR="00D6579A">
        <w:rPr>
          <w:rFonts w:asciiTheme="minorHAnsi" w:eastAsiaTheme="minorHAnsi" w:hAnsiTheme="minorHAnsi" w:cstheme="minorBidi"/>
          <w:color w:val="auto"/>
          <w:spacing w:val="0"/>
          <w:sz w:val="20"/>
          <w:szCs w:val="20"/>
          <w:lang w:val="it-IT" w:eastAsia="en-US"/>
        </w:rPr>
        <w:t>, usati</w:t>
      </w:r>
      <w:r w:rsidRPr="00766376">
        <w:rPr>
          <w:rFonts w:asciiTheme="minorHAnsi" w:eastAsiaTheme="minorHAnsi" w:hAnsiTheme="minorHAnsi" w:cstheme="minorBidi"/>
          <w:color w:val="auto"/>
          <w:spacing w:val="0"/>
          <w:sz w:val="20"/>
          <w:szCs w:val="20"/>
          <w:lang w:val="it-IT" w:eastAsia="en-US"/>
        </w:rPr>
        <w:t xml:space="preserve"> come integratori alimentari, sul microbiota intestinale</w:t>
      </w:r>
      <w:r w:rsidR="004265E4">
        <w:rPr>
          <w:rFonts w:asciiTheme="minorHAnsi" w:eastAsiaTheme="minorHAnsi" w:hAnsiTheme="minorHAnsi" w:cstheme="minorBidi"/>
          <w:color w:val="auto"/>
          <w:spacing w:val="0"/>
          <w:sz w:val="20"/>
          <w:szCs w:val="20"/>
          <w:lang w:val="it-IT" w:eastAsia="en-US"/>
        </w:rPr>
        <w:t>,</w:t>
      </w:r>
      <w:r w:rsidRPr="00766376">
        <w:rPr>
          <w:rFonts w:asciiTheme="minorHAnsi" w:eastAsiaTheme="minorHAnsi" w:hAnsiTheme="minorHAnsi" w:cstheme="minorBidi"/>
          <w:color w:val="auto"/>
          <w:spacing w:val="0"/>
          <w:sz w:val="20"/>
          <w:szCs w:val="20"/>
          <w:lang w:val="it-IT" w:eastAsia="en-US"/>
        </w:rPr>
        <w:t xml:space="preserve"> sulla salute gastrointestinale</w:t>
      </w:r>
      <w:r>
        <w:rPr>
          <w:rFonts w:asciiTheme="minorHAnsi" w:eastAsiaTheme="minorHAnsi" w:hAnsiTheme="minorHAnsi" w:cstheme="minorBidi"/>
          <w:color w:val="auto"/>
          <w:spacing w:val="0"/>
          <w:sz w:val="20"/>
          <w:szCs w:val="20"/>
          <w:lang w:val="it-IT" w:eastAsia="en-US"/>
        </w:rPr>
        <w:t xml:space="preserve"> e </w:t>
      </w:r>
      <w:r w:rsidRPr="00766376">
        <w:rPr>
          <w:rFonts w:asciiTheme="minorHAnsi" w:eastAsiaTheme="minorHAnsi" w:hAnsiTheme="minorHAnsi" w:cstheme="minorBidi"/>
          <w:color w:val="auto"/>
          <w:spacing w:val="0"/>
          <w:sz w:val="20"/>
          <w:szCs w:val="20"/>
          <w:lang w:val="it-IT" w:eastAsia="en-US"/>
        </w:rPr>
        <w:t xml:space="preserve">determinare se questi non solo alleviano i sintomi, ma </w:t>
      </w:r>
      <w:r>
        <w:rPr>
          <w:rFonts w:asciiTheme="minorHAnsi" w:eastAsiaTheme="minorHAnsi" w:hAnsiTheme="minorHAnsi" w:cstheme="minorBidi"/>
          <w:color w:val="auto"/>
          <w:spacing w:val="0"/>
          <w:sz w:val="20"/>
          <w:szCs w:val="20"/>
          <w:lang w:val="it-IT" w:eastAsia="en-US"/>
        </w:rPr>
        <w:t>possono migliorare lo stato di salut</w:t>
      </w:r>
      <w:r w:rsidR="00BF2778">
        <w:rPr>
          <w:rFonts w:asciiTheme="minorHAnsi" w:eastAsiaTheme="minorHAnsi" w:hAnsiTheme="minorHAnsi" w:cstheme="minorBidi"/>
          <w:color w:val="auto"/>
          <w:spacing w:val="0"/>
          <w:sz w:val="20"/>
          <w:szCs w:val="20"/>
          <w:lang w:val="it-IT" w:eastAsia="en-US"/>
        </w:rPr>
        <w:t>e</w:t>
      </w:r>
      <w:r>
        <w:rPr>
          <w:rFonts w:asciiTheme="minorHAnsi" w:eastAsiaTheme="minorHAnsi" w:hAnsiTheme="minorHAnsi" w:cstheme="minorBidi"/>
          <w:color w:val="auto"/>
          <w:spacing w:val="0"/>
          <w:sz w:val="20"/>
          <w:szCs w:val="20"/>
          <w:lang w:val="it-IT" w:eastAsia="en-US"/>
        </w:rPr>
        <w:t xml:space="preserve"> senza </w:t>
      </w:r>
      <w:r w:rsidRPr="00766376">
        <w:rPr>
          <w:rFonts w:asciiTheme="minorHAnsi" w:eastAsiaTheme="minorHAnsi" w:hAnsiTheme="minorHAnsi" w:cstheme="minorBidi"/>
          <w:color w:val="auto"/>
          <w:spacing w:val="0"/>
          <w:sz w:val="20"/>
          <w:szCs w:val="20"/>
          <w:lang w:val="it-IT" w:eastAsia="en-US"/>
        </w:rPr>
        <w:t xml:space="preserve">effetti negativi sul microbiota intestinale. Il progetto </w:t>
      </w:r>
      <w:r>
        <w:rPr>
          <w:rFonts w:asciiTheme="minorHAnsi" w:eastAsiaTheme="minorHAnsi" w:hAnsiTheme="minorHAnsi" w:cstheme="minorBidi"/>
          <w:color w:val="auto"/>
          <w:spacing w:val="0"/>
          <w:sz w:val="20"/>
          <w:szCs w:val="20"/>
          <w:lang w:val="it-IT" w:eastAsia="en-US"/>
        </w:rPr>
        <w:t>prevede</w:t>
      </w:r>
      <w:r w:rsidRPr="00766376">
        <w:rPr>
          <w:rFonts w:asciiTheme="minorHAnsi" w:eastAsiaTheme="minorHAnsi" w:hAnsiTheme="minorHAnsi" w:cstheme="minorBidi"/>
          <w:color w:val="auto"/>
          <w:spacing w:val="0"/>
          <w:sz w:val="20"/>
          <w:szCs w:val="20"/>
          <w:lang w:val="it-IT" w:eastAsia="en-US"/>
        </w:rPr>
        <w:t xml:space="preserve"> test </w:t>
      </w:r>
      <w:r w:rsidRPr="00776EC5">
        <w:rPr>
          <w:rFonts w:asciiTheme="minorHAnsi" w:eastAsiaTheme="minorHAnsi" w:hAnsiTheme="minorHAnsi" w:cstheme="minorBidi"/>
          <w:i/>
          <w:color w:val="auto"/>
          <w:spacing w:val="0"/>
          <w:sz w:val="20"/>
          <w:szCs w:val="20"/>
          <w:lang w:val="it-IT" w:eastAsia="en-US"/>
        </w:rPr>
        <w:t>in vitro</w:t>
      </w:r>
      <w:r w:rsidRPr="00766376">
        <w:rPr>
          <w:rFonts w:asciiTheme="minorHAnsi" w:eastAsiaTheme="minorHAnsi" w:hAnsiTheme="minorHAnsi" w:cstheme="minorBidi"/>
          <w:color w:val="auto"/>
          <w:spacing w:val="0"/>
          <w:sz w:val="20"/>
          <w:szCs w:val="20"/>
          <w:lang w:val="it-IT" w:eastAsia="en-US"/>
        </w:rPr>
        <w:t xml:space="preserve"> utilizzando fermentazioni </w:t>
      </w:r>
      <w:r>
        <w:rPr>
          <w:rFonts w:asciiTheme="minorHAnsi" w:eastAsiaTheme="minorHAnsi" w:hAnsiTheme="minorHAnsi" w:cstheme="minorBidi"/>
          <w:color w:val="auto"/>
          <w:spacing w:val="0"/>
          <w:sz w:val="20"/>
          <w:szCs w:val="20"/>
          <w:lang w:val="it-IT" w:eastAsia="en-US"/>
        </w:rPr>
        <w:t>coloniche</w:t>
      </w:r>
      <w:r w:rsidRPr="00766376">
        <w:rPr>
          <w:rFonts w:asciiTheme="minorHAnsi" w:eastAsiaTheme="minorHAnsi" w:hAnsiTheme="minorHAnsi" w:cstheme="minorBidi"/>
          <w:color w:val="auto"/>
          <w:spacing w:val="0"/>
          <w:sz w:val="20"/>
          <w:szCs w:val="20"/>
          <w:lang w:val="it-IT" w:eastAsia="en-US"/>
        </w:rPr>
        <w:t xml:space="preserve"> per valutare gli effetti dei PE sulle popolazioni del microbiota intestinale e test di crescita </w:t>
      </w:r>
      <w:r>
        <w:rPr>
          <w:rFonts w:asciiTheme="minorHAnsi" w:eastAsiaTheme="minorHAnsi" w:hAnsiTheme="minorHAnsi" w:cstheme="minorBidi"/>
          <w:color w:val="auto"/>
          <w:spacing w:val="0"/>
          <w:sz w:val="20"/>
          <w:szCs w:val="20"/>
          <w:lang w:val="it-IT" w:eastAsia="en-US"/>
        </w:rPr>
        <w:t>per valutare l’</w:t>
      </w:r>
      <w:r w:rsidRPr="00766376">
        <w:rPr>
          <w:rFonts w:asciiTheme="minorHAnsi" w:eastAsiaTheme="minorHAnsi" w:hAnsiTheme="minorHAnsi" w:cstheme="minorBidi"/>
          <w:color w:val="auto"/>
          <w:spacing w:val="0"/>
          <w:sz w:val="20"/>
          <w:szCs w:val="20"/>
          <w:lang w:val="it-IT" w:eastAsia="en-US"/>
        </w:rPr>
        <w:t>impatto su</w:t>
      </w:r>
      <w:r>
        <w:rPr>
          <w:rFonts w:asciiTheme="minorHAnsi" w:eastAsiaTheme="minorHAnsi" w:hAnsiTheme="minorHAnsi" w:cstheme="minorBidi"/>
          <w:color w:val="auto"/>
          <w:spacing w:val="0"/>
          <w:sz w:val="20"/>
          <w:szCs w:val="20"/>
          <w:lang w:val="it-IT" w:eastAsia="en-US"/>
        </w:rPr>
        <w:t xml:space="preserve"> </w:t>
      </w:r>
      <w:r w:rsidR="00DE3F77">
        <w:rPr>
          <w:rFonts w:asciiTheme="minorHAnsi" w:eastAsiaTheme="minorHAnsi" w:hAnsiTheme="minorHAnsi" w:cstheme="minorBidi"/>
          <w:color w:val="auto"/>
          <w:spacing w:val="0"/>
          <w:sz w:val="20"/>
          <w:szCs w:val="20"/>
          <w:lang w:val="it-IT" w:eastAsia="en-US"/>
        </w:rPr>
        <w:t>singole specie batteriche intestinali note per la loro attività benefica</w:t>
      </w:r>
      <w:r w:rsidRPr="00766376">
        <w:rPr>
          <w:rFonts w:asciiTheme="minorHAnsi" w:eastAsiaTheme="minorHAnsi" w:hAnsiTheme="minorHAnsi" w:cstheme="minorBidi"/>
          <w:color w:val="auto"/>
          <w:spacing w:val="0"/>
          <w:sz w:val="20"/>
          <w:szCs w:val="20"/>
          <w:lang w:val="it-IT" w:eastAsia="en-US"/>
        </w:rPr>
        <w:t>. Il più promettente sarà selezionato per un</w:t>
      </w:r>
      <w:r>
        <w:rPr>
          <w:rFonts w:asciiTheme="minorHAnsi" w:eastAsiaTheme="minorHAnsi" w:hAnsiTheme="minorHAnsi" w:cstheme="minorBidi"/>
          <w:color w:val="auto"/>
          <w:spacing w:val="0"/>
          <w:sz w:val="20"/>
          <w:szCs w:val="20"/>
          <w:lang w:val="it-IT" w:eastAsia="en-US"/>
        </w:rPr>
        <w:t xml:space="preserve"> </w:t>
      </w:r>
      <w:proofErr w:type="spellStart"/>
      <w:r>
        <w:rPr>
          <w:rFonts w:asciiTheme="minorHAnsi" w:eastAsiaTheme="minorHAnsi" w:hAnsiTheme="minorHAnsi" w:cstheme="minorBidi"/>
          <w:color w:val="auto"/>
          <w:spacing w:val="0"/>
          <w:sz w:val="20"/>
          <w:szCs w:val="20"/>
          <w:lang w:val="it-IT" w:eastAsia="en-US"/>
        </w:rPr>
        <w:t>feeding</w:t>
      </w:r>
      <w:proofErr w:type="spellEnd"/>
      <w:r>
        <w:rPr>
          <w:rFonts w:asciiTheme="minorHAnsi" w:eastAsiaTheme="minorHAnsi" w:hAnsiTheme="minorHAnsi" w:cstheme="minorBidi"/>
          <w:color w:val="auto"/>
          <w:spacing w:val="0"/>
          <w:sz w:val="20"/>
          <w:szCs w:val="20"/>
          <w:lang w:val="it-IT" w:eastAsia="en-US"/>
        </w:rPr>
        <w:t xml:space="preserve"> trial</w:t>
      </w:r>
      <w:r w:rsidRPr="00766376">
        <w:rPr>
          <w:rFonts w:asciiTheme="minorHAnsi" w:eastAsiaTheme="minorHAnsi" w:hAnsiTheme="minorHAnsi" w:cstheme="minorBidi"/>
          <w:color w:val="auto"/>
          <w:spacing w:val="0"/>
          <w:sz w:val="20"/>
          <w:szCs w:val="20"/>
          <w:lang w:val="it-IT" w:eastAsia="en-US"/>
        </w:rPr>
        <w:t xml:space="preserve"> per indagare effetto prebiotico e influenza su </w:t>
      </w:r>
      <w:proofErr w:type="spellStart"/>
      <w:r w:rsidRPr="00766376">
        <w:rPr>
          <w:rFonts w:asciiTheme="minorHAnsi" w:eastAsiaTheme="minorHAnsi" w:hAnsiTheme="minorHAnsi" w:cstheme="minorBidi"/>
          <w:color w:val="auto"/>
          <w:spacing w:val="0"/>
          <w:sz w:val="20"/>
          <w:szCs w:val="20"/>
          <w:lang w:val="it-IT" w:eastAsia="en-US"/>
        </w:rPr>
        <w:t>bioma</w:t>
      </w:r>
      <w:r>
        <w:rPr>
          <w:rFonts w:asciiTheme="minorHAnsi" w:eastAsiaTheme="minorHAnsi" w:hAnsiTheme="minorHAnsi" w:cstheme="minorBidi"/>
          <w:color w:val="auto"/>
          <w:spacing w:val="0"/>
          <w:sz w:val="20"/>
          <w:szCs w:val="20"/>
          <w:lang w:val="it-IT" w:eastAsia="en-US"/>
        </w:rPr>
        <w:t>rker</w:t>
      </w:r>
      <w:proofErr w:type="spellEnd"/>
      <w:r>
        <w:rPr>
          <w:rFonts w:asciiTheme="minorHAnsi" w:eastAsiaTheme="minorHAnsi" w:hAnsiTheme="minorHAnsi" w:cstheme="minorBidi"/>
          <w:color w:val="auto"/>
          <w:spacing w:val="0"/>
          <w:sz w:val="20"/>
          <w:szCs w:val="20"/>
          <w:lang w:val="it-IT" w:eastAsia="en-US"/>
        </w:rPr>
        <w:t xml:space="preserve"> </w:t>
      </w:r>
      <w:r w:rsidRPr="00766376">
        <w:rPr>
          <w:rFonts w:asciiTheme="minorHAnsi" w:eastAsiaTheme="minorHAnsi" w:hAnsiTheme="minorHAnsi" w:cstheme="minorBidi"/>
          <w:color w:val="auto"/>
          <w:spacing w:val="0"/>
          <w:sz w:val="20"/>
          <w:szCs w:val="20"/>
          <w:lang w:val="it-IT" w:eastAsia="en-US"/>
        </w:rPr>
        <w:t>della salute.</w:t>
      </w:r>
    </w:p>
    <w:p w14:paraId="095BB6FD" w14:textId="4B5D71DA" w:rsidR="00433DBF" w:rsidRPr="00685084" w:rsidRDefault="00433DBF" w:rsidP="00433DBF">
      <w:pPr>
        <w:pStyle w:val="Titolo1"/>
        <w:spacing w:before="240" w:after="120"/>
        <w:ind w:right="0"/>
        <w:jc w:val="left"/>
        <w:rPr>
          <w:b/>
          <w:bCs/>
          <w:color w:val="000000"/>
          <w:sz w:val="24"/>
          <w:lang w:val="en-GB"/>
        </w:rPr>
      </w:pPr>
      <w:r w:rsidRPr="00685084">
        <w:rPr>
          <w:b/>
          <w:bCs/>
          <w:color w:val="000000"/>
          <w:sz w:val="24"/>
          <w:lang w:val="en-GB"/>
        </w:rPr>
        <w:t>1. State-of-the-Art</w:t>
      </w:r>
    </w:p>
    <w:p w14:paraId="0F1C89DB" w14:textId="277FDF87" w:rsidR="00536991" w:rsidRPr="00536991" w:rsidRDefault="00685084" w:rsidP="00571236">
      <w:pPr>
        <w:jc w:val="both"/>
        <w:rPr>
          <w:sz w:val="20"/>
          <w:szCs w:val="20"/>
        </w:rPr>
      </w:pPr>
      <w:r w:rsidRPr="00685084">
        <w:rPr>
          <w:sz w:val="20"/>
          <w:szCs w:val="20"/>
        </w:rPr>
        <w:t>Plant extracts (PEs) have the ability to affect members of the gut microbiota. This impact can be either negative, targeting beneficial bacteria, or positive, by acting against harmful bacteria or pathogens. For instance, this can be attributed to the antimicrobial or prebiotic activity of certain compounds found in the extracts.</w:t>
      </w:r>
      <w:r>
        <w:rPr>
          <w:sz w:val="20"/>
          <w:szCs w:val="20"/>
        </w:rPr>
        <w:t xml:space="preserve"> </w:t>
      </w:r>
      <w:r w:rsidR="004B2AB3" w:rsidRPr="004B2AB3">
        <w:rPr>
          <w:sz w:val="20"/>
          <w:szCs w:val="20"/>
        </w:rPr>
        <w:t>While</w:t>
      </w:r>
      <w:r w:rsidR="00DE3F77">
        <w:rPr>
          <w:sz w:val="20"/>
          <w:szCs w:val="20"/>
        </w:rPr>
        <w:t xml:space="preserve"> commercially-available</w:t>
      </w:r>
      <w:r w:rsidR="004B2AB3" w:rsidRPr="004B2AB3">
        <w:rPr>
          <w:sz w:val="20"/>
          <w:szCs w:val="20"/>
        </w:rPr>
        <w:t xml:space="preserve"> prebiotic</w:t>
      </w:r>
      <w:r w:rsidR="00571236">
        <w:rPr>
          <w:sz w:val="20"/>
          <w:szCs w:val="20"/>
        </w:rPr>
        <w:t>s</w:t>
      </w:r>
      <w:r w:rsidR="00DE3F77">
        <w:rPr>
          <w:sz w:val="20"/>
          <w:szCs w:val="20"/>
        </w:rPr>
        <w:t xml:space="preserve"> </w:t>
      </w:r>
      <w:r w:rsidR="00571236">
        <w:rPr>
          <w:sz w:val="20"/>
          <w:szCs w:val="20"/>
        </w:rPr>
        <w:t>are</w:t>
      </w:r>
      <w:r w:rsidR="004B2AB3" w:rsidRPr="004B2AB3">
        <w:rPr>
          <w:sz w:val="20"/>
          <w:szCs w:val="20"/>
        </w:rPr>
        <w:t xml:space="preserve"> typically carbohydrates, non-carbohydrate compounds such as polyphenols</w:t>
      </w:r>
      <w:r w:rsidR="004B2AB3">
        <w:rPr>
          <w:sz w:val="20"/>
          <w:szCs w:val="20"/>
        </w:rPr>
        <w:t xml:space="preserve"> </w:t>
      </w:r>
      <w:r w:rsidR="004B2AB3" w:rsidRPr="004B2AB3">
        <w:rPr>
          <w:sz w:val="20"/>
          <w:szCs w:val="20"/>
        </w:rPr>
        <w:t>can also confer health benefits through their metabolization by intestinal microorganisms</w:t>
      </w:r>
      <w:r w:rsidR="004B2AB3">
        <w:rPr>
          <w:sz w:val="20"/>
          <w:szCs w:val="20"/>
        </w:rPr>
        <w:t xml:space="preserve">. </w:t>
      </w:r>
      <w:r w:rsidR="004B2AB3" w:rsidRPr="004B2AB3">
        <w:rPr>
          <w:sz w:val="20"/>
          <w:szCs w:val="20"/>
        </w:rPr>
        <w:t xml:space="preserve">Polyphenols have been observed to increase the levels of </w:t>
      </w:r>
      <w:proofErr w:type="spellStart"/>
      <w:r w:rsidR="004B2AB3" w:rsidRPr="004B2AB3">
        <w:rPr>
          <w:i/>
          <w:sz w:val="20"/>
          <w:szCs w:val="20"/>
        </w:rPr>
        <w:t>Akkermansia</w:t>
      </w:r>
      <w:proofErr w:type="spellEnd"/>
      <w:r w:rsidR="004B2AB3" w:rsidRPr="004B2AB3">
        <w:rPr>
          <w:sz w:val="20"/>
          <w:szCs w:val="20"/>
        </w:rPr>
        <w:t xml:space="preserve"> spp., </w:t>
      </w:r>
      <w:proofErr w:type="spellStart"/>
      <w:r w:rsidR="004B2AB3" w:rsidRPr="004B2AB3">
        <w:rPr>
          <w:sz w:val="20"/>
          <w:szCs w:val="20"/>
        </w:rPr>
        <w:t>bifidobacteria</w:t>
      </w:r>
      <w:proofErr w:type="spellEnd"/>
      <w:r w:rsidR="004B2AB3" w:rsidRPr="004B2AB3">
        <w:rPr>
          <w:sz w:val="20"/>
          <w:szCs w:val="20"/>
        </w:rPr>
        <w:t xml:space="preserve">, and lactobacilli in mice. </w:t>
      </w:r>
      <w:proofErr w:type="spellStart"/>
      <w:r w:rsidR="004B2AB3" w:rsidRPr="004B2AB3">
        <w:rPr>
          <w:sz w:val="20"/>
          <w:szCs w:val="20"/>
        </w:rPr>
        <w:t>Flavonols</w:t>
      </w:r>
      <w:proofErr w:type="spellEnd"/>
      <w:r w:rsidR="004B2AB3" w:rsidRPr="004B2AB3">
        <w:rPr>
          <w:sz w:val="20"/>
          <w:szCs w:val="20"/>
        </w:rPr>
        <w:t xml:space="preserve"> derived from plant sources like cocoa and green tea have also exhibited prebiotic activity</w:t>
      </w:r>
      <w:r w:rsidR="006C5A04">
        <w:rPr>
          <w:sz w:val="20"/>
          <w:szCs w:val="20"/>
        </w:rPr>
        <w:t xml:space="preserve"> (</w:t>
      </w:r>
      <w:proofErr w:type="spellStart"/>
      <w:r w:rsidR="006C5A04" w:rsidRPr="006C5A04">
        <w:rPr>
          <w:sz w:val="20"/>
          <w:szCs w:val="20"/>
        </w:rPr>
        <w:t>Neri-Numa</w:t>
      </w:r>
      <w:proofErr w:type="spellEnd"/>
      <w:r w:rsidR="006C5A04">
        <w:rPr>
          <w:sz w:val="20"/>
          <w:szCs w:val="20"/>
        </w:rPr>
        <w:t xml:space="preserve"> et al., 2020)</w:t>
      </w:r>
      <w:r w:rsidR="004B2AB3" w:rsidRPr="004B2AB3">
        <w:rPr>
          <w:sz w:val="20"/>
          <w:szCs w:val="20"/>
        </w:rPr>
        <w:t xml:space="preserve">. Health can also be influenced by the production of microbial metabolites, which is impacted by food intake. </w:t>
      </w:r>
      <w:r w:rsidR="00757D6A">
        <w:rPr>
          <w:sz w:val="20"/>
          <w:szCs w:val="20"/>
        </w:rPr>
        <w:t>For example</w:t>
      </w:r>
      <w:r w:rsidR="004B2AB3" w:rsidRPr="004B2AB3">
        <w:rPr>
          <w:sz w:val="20"/>
          <w:szCs w:val="20"/>
        </w:rPr>
        <w:t xml:space="preserve">, short-chain fatty acids (SCFAs) and trimethylamine N-oxide (TMAO). SCFAs play a critical role in gut health by providing energy to epithelial cells, supporting nutrient absorption, reducing gut inflammation, and maintaining the gut barrier. </w:t>
      </w:r>
      <w:r w:rsidR="00BB223C">
        <w:rPr>
          <w:sz w:val="20"/>
          <w:szCs w:val="20"/>
        </w:rPr>
        <w:t>E</w:t>
      </w:r>
      <w:r w:rsidR="004B2AB3" w:rsidRPr="004B2AB3">
        <w:rPr>
          <w:sz w:val="20"/>
          <w:szCs w:val="20"/>
        </w:rPr>
        <w:t>levated TMAO levels are associated with an increased risk of cardiovascular diseases, as it promotes inflammation, impairs cholesterol metabolism, and affects platelet function.</w:t>
      </w:r>
      <w:r w:rsidR="796342CC" w:rsidRPr="7EBF0735">
        <w:rPr>
          <w:sz w:val="20"/>
          <w:szCs w:val="20"/>
        </w:rPr>
        <w:t xml:space="preserve"> </w:t>
      </w:r>
      <w:r w:rsidR="00EF6762" w:rsidRPr="00614F3E">
        <w:rPr>
          <w:sz w:val="20"/>
          <w:szCs w:val="20"/>
        </w:rPr>
        <w:t>Analysing</w:t>
      </w:r>
      <w:r w:rsidR="00614F3E" w:rsidRPr="00614F3E">
        <w:rPr>
          <w:sz w:val="20"/>
          <w:szCs w:val="20"/>
        </w:rPr>
        <w:t xml:space="preserve"> the prebiotic effect and modulation of the microbiome </w:t>
      </w:r>
      <w:r w:rsidR="00614F3E" w:rsidRPr="00BB223C">
        <w:rPr>
          <w:i/>
          <w:sz w:val="20"/>
          <w:szCs w:val="20"/>
        </w:rPr>
        <w:t>in vivo</w:t>
      </w:r>
      <w:r w:rsidR="00614F3E" w:rsidRPr="00614F3E">
        <w:rPr>
          <w:sz w:val="20"/>
          <w:szCs w:val="20"/>
        </w:rPr>
        <w:t xml:space="preserve"> poses significant challenges. This is primarily due to the unique nature of each individual's microbiota, making it difficult to make predictions at a population level. To overcome this, techniques have been developed to simulate an active microbiota. One common approach involves using a standardized pool of </w:t>
      </w:r>
      <w:r w:rsidR="00675BBE" w:rsidRPr="00614F3E">
        <w:rPr>
          <w:sz w:val="20"/>
          <w:szCs w:val="20"/>
        </w:rPr>
        <w:t>faecal</w:t>
      </w:r>
      <w:r w:rsidR="00614F3E" w:rsidRPr="00614F3E">
        <w:rPr>
          <w:sz w:val="20"/>
          <w:szCs w:val="20"/>
        </w:rPr>
        <w:t xml:space="preserve"> samples as an inoculum,</w:t>
      </w:r>
      <w:r w:rsidR="00BB223C">
        <w:rPr>
          <w:sz w:val="20"/>
          <w:szCs w:val="20"/>
        </w:rPr>
        <w:t xml:space="preserve"> </w:t>
      </w:r>
      <w:r w:rsidR="00614F3E" w:rsidRPr="00614F3E">
        <w:rPr>
          <w:sz w:val="20"/>
          <w:szCs w:val="20"/>
        </w:rPr>
        <w:t xml:space="preserve">which is then subjected to anaerobic conditions to initiate "colonic fermentations." Another crucial aspect to consider is the viability of the microorganisms in the </w:t>
      </w:r>
      <w:r w:rsidR="00675BBE" w:rsidRPr="00614F3E">
        <w:rPr>
          <w:sz w:val="20"/>
          <w:szCs w:val="20"/>
        </w:rPr>
        <w:t>faecal</w:t>
      </w:r>
      <w:r w:rsidR="00614F3E" w:rsidRPr="00614F3E">
        <w:rPr>
          <w:sz w:val="20"/>
          <w:szCs w:val="20"/>
        </w:rPr>
        <w:t xml:space="preserve"> inoculum</w:t>
      </w:r>
      <w:r w:rsidR="006C5A04">
        <w:rPr>
          <w:sz w:val="20"/>
          <w:szCs w:val="20"/>
        </w:rPr>
        <w:t xml:space="preserve"> (Liu et al., 2021)</w:t>
      </w:r>
      <w:r w:rsidR="00614F3E" w:rsidRPr="00614F3E">
        <w:rPr>
          <w:sz w:val="20"/>
          <w:szCs w:val="20"/>
        </w:rPr>
        <w:t xml:space="preserve">. </w:t>
      </w:r>
      <w:r w:rsidR="00BB223C">
        <w:rPr>
          <w:sz w:val="20"/>
          <w:szCs w:val="20"/>
        </w:rPr>
        <w:t xml:space="preserve">Using </w:t>
      </w:r>
      <w:r w:rsidR="00614F3E" w:rsidRPr="00614F3E">
        <w:rPr>
          <w:sz w:val="20"/>
          <w:szCs w:val="20"/>
        </w:rPr>
        <w:t xml:space="preserve">glycerol-supplemented </w:t>
      </w:r>
      <w:r w:rsidR="00675BBE" w:rsidRPr="00614F3E">
        <w:rPr>
          <w:sz w:val="20"/>
          <w:szCs w:val="20"/>
        </w:rPr>
        <w:t>faecal</w:t>
      </w:r>
      <w:r w:rsidR="00614F3E" w:rsidRPr="00614F3E">
        <w:rPr>
          <w:sz w:val="20"/>
          <w:szCs w:val="20"/>
        </w:rPr>
        <w:t xml:space="preserve"> samples prepared under anaerobic conditions, help</w:t>
      </w:r>
      <w:r w:rsidR="00BB223C">
        <w:rPr>
          <w:sz w:val="20"/>
          <w:szCs w:val="20"/>
        </w:rPr>
        <w:t>s</w:t>
      </w:r>
      <w:r w:rsidR="00614F3E" w:rsidRPr="00614F3E">
        <w:rPr>
          <w:sz w:val="20"/>
          <w:szCs w:val="20"/>
        </w:rPr>
        <w:t xml:space="preserve"> maintain up to 95% viability of the microbial populations for six months</w:t>
      </w:r>
      <w:r w:rsidR="006C5A04">
        <w:rPr>
          <w:sz w:val="20"/>
          <w:szCs w:val="20"/>
        </w:rPr>
        <w:t xml:space="preserve"> (Smirnova, 2019)</w:t>
      </w:r>
      <w:r w:rsidR="00614F3E" w:rsidRPr="00614F3E">
        <w:rPr>
          <w:sz w:val="20"/>
          <w:szCs w:val="20"/>
        </w:rPr>
        <w:t xml:space="preserve">. </w:t>
      </w:r>
      <w:r w:rsidR="00EF6762" w:rsidRPr="00EF6762">
        <w:rPr>
          <w:sz w:val="20"/>
          <w:szCs w:val="20"/>
        </w:rPr>
        <w:t xml:space="preserve">In the context of simulating the microbiota, the </w:t>
      </w:r>
      <w:r w:rsidR="00EF6762" w:rsidRPr="00FB349A">
        <w:rPr>
          <w:i/>
          <w:sz w:val="20"/>
          <w:szCs w:val="20"/>
        </w:rPr>
        <w:t>in vitro</w:t>
      </w:r>
      <w:r w:rsidR="00EF6762" w:rsidRPr="00EF6762">
        <w:rPr>
          <w:sz w:val="20"/>
          <w:szCs w:val="20"/>
        </w:rPr>
        <w:t xml:space="preserve"> digestion protocol proposed by INFOGEST provides us with a standardized tool to simulate the impact on the human gut microbiota when applied to the food under investigation</w:t>
      </w:r>
      <w:r w:rsidR="006C5A04">
        <w:rPr>
          <w:sz w:val="20"/>
          <w:szCs w:val="20"/>
        </w:rPr>
        <w:t xml:space="preserve"> (</w:t>
      </w:r>
      <w:proofErr w:type="spellStart"/>
      <w:r w:rsidR="006C5A04" w:rsidRPr="006C5A04">
        <w:rPr>
          <w:sz w:val="20"/>
          <w:szCs w:val="20"/>
        </w:rPr>
        <w:t>Brodkorb</w:t>
      </w:r>
      <w:proofErr w:type="spellEnd"/>
      <w:r w:rsidR="006C5A04">
        <w:rPr>
          <w:sz w:val="20"/>
          <w:szCs w:val="20"/>
        </w:rPr>
        <w:t xml:space="preserve"> et al., 2019)</w:t>
      </w:r>
      <w:r w:rsidR="00EF6762">
        <w:rPr>
          <w:sz w:val="20"/>
          <w:szCs w:val="20"/>
        </w:rPr>
        <w:t xml:space="preserve">. </w:t>
      </w:r>
      <w:r w:rsidR="00614F3E" w:rsidRPr="00614F3E">
        <w:rPr>
          <w:sz w:val="20"/>
          <w:szCs w:val="20"/>
        </w:rPr>
        <w:t>Furthermore, population shifts</w:t>
      </w:r>
      <w:r w:rsidR="00EF6762">
        <w:rPr>
          <w:sz w:val="20"/>
          <w:szCs w:val="20"/>
        </w:rPr>
        <w:t xml:space="preserve"> analyses</w:t>
      </w:r>
      <w:r w:rsidR="00614F3E" w:rsidRPr="00614F3E">
        <w:rPr>
          <w:sz w:val="20"/>
          <w:szCs w:val="20"/>
        </w:rPr>
        <w:t xml:space="preserve"> have</w:t>
      </w:r>
      <w:r w:rsidR="00EF6762">
        <w:rPr>
          <w:sz w:val="20"/>
          <w:szCs w:val="20"/>
        </w:rPr>
        <w:t xml:space="preserve"> notably</w:t>
      </w:r>
      <w:r w:rsidR="00614F3E" w:rsidRPr="00614F3E">
        <w:rPr>
          <w:sz w:val="20"/>
          <w:szCs w:val="20"/>
        </w:rPr>
        <w:t xml:space="preserve"> advanced</w:t>
      </w:r>
      <w:r w:rsidR="00EF6762">
        <w:rPr>
          <w:sz w:val="20"/>
          <w:szCs w:val="20"/>
        </w:rPr>
        <w:t xml:space="preserve"> in the last decade</w:t>
      </w:r>
      <w:r w:rsidR="00614F3E" w:rsidRPr="00614F3E">
        <w:rPr>
          <w:sz w:val="20"/>
          <w:szCs w:val="20"/>
        </w:rPr>
        <w:t xml:space="preserve">, particularly with the increasing effectiveness and accessibility of next-generation sequencing techniques. For instance, </w:t>
      </w:r>
      <w:proofErr w:type="spellStart"/>
      <w:r w:rsidR="00571236">
        <w:rPr>
          <w:sz w:val="20"/>
          <w:szCs w:val="20"/>
        </w:rPr>
        <w:t>metataxonomics</w:t>
      </w:r>
      <w:proofErr w:type="spellEnd"/>
      <w:r w:rsidR="00571236">
        <w:rPr>
          <w:sz w:val="20"/>
          <w:szCs w:val="20"/>
        </w:rPr>
        <w:t xml:space="preserve"> by </w:t>
      </w:r>
      <w:r w:rsidR="00614F3E" w:rsidRPr="00614F3E">
        <w:rPr>
          <w:sz w:val="20"/>
          <w:szCs w:val="20"/>
        </w:rPr>
        <w:t xml:space="preserve">16S rRNA </w:t>
      </w:r>
      <w:r w:rsidR="00571236">
        <w:rPr>
          <w:sz w:val="20"/>
          <w:szCs w:val="20"/>
        </w:rPr>
        <w:t xml:space="preserve">gene </w:t>
      </w:r>
      <w:r w:rsidR="00614F3E" w:rsidRPr="00614F3E">
        <w:rPr>
          <w:sz w:val="20"/>
          <w:szCs w:val="20"/>
        </w:rPr>
        <w:t xml:space="preserve">profiling can now provide taxonomic </w:t>
      </w:r>
      <w:r w:rsidR="00571236">
        <w:rPr>
          <w:sz w:val="20"/>
          <w:szCs w:val="20"/>
        </w:rPr>
        <w:t>community structure</w:t>
      </w:r>
      <w:r w:rsidR="00571236" w:rsidRPr="00614F3E">
        <w:rPr>
          <w:sz w:val="20"/>
          <w:szCs w:val="20"/>
        </w:rPr>
        <w:t xml:space="preserve"> </w:t>
      </w:r>
      <w:r w:rsidR="00614F3E" w:rsidRPr="00614F3E">
        <w:rPr>
          <w:sz w:val="20"/>
          <w:szCs w:val="20"/>
        </w:rPr>
        <w:t xml:space="preserve">in complex </w:t>
      </w:r>
      <w:r w:rsidR="00571236">
        <w:rPr>
          <w:sz w:val="20"/>
          <w:szCs w:val="20"/>
        </w:rPr>
        <w:t>ecosystems</w:t>
      </w:r>
      <w:r w:rsidR="00571236" w:rsidRPr="00614F3E">
        <w:rPr>
          <w:sz w:val="20"/>
          <w:szCs w:val="20"/>
        </w:rPr>
        <w:t xml:space="preserve"> </w:t>
      </w:r>
      <w:r w:rsidR="00614F3E" w:rsidRPr="00614F3E">
        <w:rPr>
          <w:sz w:val="20"/>
          <w:szCs w:val="20"/>
        </w:rPr>
        <w:t>and offer a detailed understanding of the prokaryotic composition at the family, genus, and even species levels, along with their respective abundances.</w:t>
      </w:r>
      <w:r w:rsidR="00614F3E">
        <w:rPr>
          <w:sz w:val="20"/>
          <w:szCs w:val="20"/>
        </w:rPr>
        <w:t xml:space="preserve"> Giving us new tools to exploit along the classical microbiology and molecular biology ones</w:t>
      </w:r>
      <w:r w:rsidR="7A9E626C" w:rsidRPr="7EBF0735">
        <w:rPr>
          <w:sz w:val="20"/>
          <w:szCs w:val="20"/>
        </w:rPr>
        <w:t>.</w:t>
      </w:r>
      <w:r w:rsidR="00FB349A">
        <w:rPr>
          <w:sz w:val="20"/>
          <w:szCs w:val="20"/>
        </w:rPr>
        <w:t xml:space="preserve"> </w:t>
      </w:r>
      <w:r w:rsidR="00FB349A" w:rsidRPr="00FB349A">
        <w:rPr>
          <w:sz w:val="20"/>
          <w:szCs w:val="20"/>
        </w:rPr>
        <w:t xml:space="preserve">While </w:t>
      </w:r>
      <w:r w:rsidR="00FB349A" w:rsidRPr="00757D6A">
        <w:rPr>
          <w:i/>
          <w:sz w:val="20"/>
          <w:szCs w:val="20"/>
        </w:rPr>
        <w:t>in vitro</w:t>
      </w:r>
      <w:r w:rsidR="00FB349A" w:rsidRPr="00FB349A">
        <w:rPr>
          <w:sz w:val="20"/>
          <w:szCs w:val="20"/>
        </w:rPr>
        <w:t xml:space="preserve"> data holds value, conducting human feeding trials is essential to acquire more reliable knowledge regarding the impact on human health. A human feeding trial </w:t>
      </w:r>
      <w:r w:rsidR="00FB349A">
        <w:rPr>
          <w:sz w:val="20"/>
          <w:szCs w:val="20"/>
        </w:rPr>
        <w:t xml:space="preserve">on one PE </w:t>
      </w:r>
      <w:r w:rsidR="00FB349A" w:rsidRPr="00FB349A">
        <w:rPr>
          <w:sz w:val="20"/>
          <w:szCs w:val="20"/>
        </w:rPr>
        <w:t xml:space="preserve">will be an integral part of this project to ensure comprehensive understanding and </w:t>
      </w:r>
      <w:r w:rsidR="00757D6A">
        <w:rPr>
          <w:sz w:val="20"/>
          <w:szCs w:val="20"/>
        </w:rPr>
        <w:t xml:space="preserve">an </w:t>
      </w:r>
      <w:r w:rsidR="00FB349A" w:rsidRPr="00FB349A">
        <w:rPr>
          <w:sz w:val="20"/>
          <w:szCs w:val="20"/>
        </w:rPr>
        <w:t>accurate evaluation</w:t>
      </w:r>
      <w:r w:rsidR="00FB349A">
        <w:rPr>
          <w:sz w:val="20"/>
          <w:szCs w:val="20"/>
        </w:rPr>
        <w:t>.</w:t>
      </w:r>
    </w:p>
    <w:p w14:paraId="4FF50C94" w14:textId="0AF0A190" w:rsidR="00DD5C7E" w:rsidRPr="00DD5C7E" w:rsidRDefault="0164EACD" w:rsidP="0224ACD0">
      <w:pPr>
        <w:pStyle w:val="Titolo1"/>
        <w:spacing w:before="240" w:after="120"/>
        <w:ind w:right="0"/>
        <w:jc w:val="left"/>
        <w:rPr>
          <w:b/>
          <w:bCs/>
          <w:color w:val="000000" w:themeColor="text1"/>
          <w:sz w:val="24"/>
          <w:szCs w:val="24"/>
          <w:lang w:val="en-GB"/>
        </w:rPr>
      </w:pPr>
      <w:r w:rsidRPr="46940759">
        <w:rPr>
          <w:b/>
          <w:bCs/>
          <w:color w:val="000000" w:themeColor="text1"/>
          <w:sz w:val="24"/>
          <w:szCs w:val="24"/>
          <w:lang w:val="en-GB"/>
        </w:rPr>
        <w:lastRenderedPageBreak/>
        <w:t>2. PhD Thesis Objectives and Milestones</w:t>
      </w:r>
    </w:p>
    <w:p w14:paraId="09E8E6DD" w14:textId="661D2FC6" w:rsidR="5FF3DCFB" w:rsidRDefault="5FF3DCFB" w:rsidP="46940759">
      <w:pPr>
        <w:spacing w:before="240" w:after="120"/>
        <w:jc w:val="both"/>
        <w:rPr>
          <w:sz w:val="20"/>
          <w:szCs w:val="20"/>
        </w:rPr>
      </w:pPr>
      <w:r w:rsidRPr="46940759">
        <w:rPr>
          <w:sz w:val="20"/>
          <w:szCs w:val="20"/>
        </w:rPr>
        <w:t>The main activities of the project are divided into the two work packages</w:t>
      </w:r>
      <w:r w:rsidR="00720BF0">
        <w:rPr>
          <w:sz w:val="20"/>
          <w:szCs w:val="20"/>
        </w:rPr>
        <w:t xml:space="preserve"> (WP)</w:t>
      </w:r>
      <w:r w:rsidRPr="46940759">
        <w:rPr>
          <w:sz w:val="20"/>
          <w:szCs w:val="20"/>
        </w:rPr>
        <w:t xml:space="preserve"> described below.</w:t>
      </w:r>
    </w:p>
    <w:p w14:paraId="5FF66259" w14:textId="62C0D4E1" w:rsidR="00646E08" w:rsidRDefault="00646E08" w:rsidP="00646E08">
      <w:pPr>
        <w:spacing w:after="0"/>
        <w:ind w:left="720"/>
        <w:jc w:val="both"/>
        <w:rPr>
          <w:sz w:val="20"/>
          <w:szCs w:val="20"/>
        </w:rPr>
      </w:pPr>
      <w:r w:rsidRPr="00646E08">
        <w:rPr>
          <w:sz w:val="20"/>
          <w:szCs w:val="20"/>
        </w:rPr>
        <w:t>A)</w:t>
      </w:r>
      <w:r>
        <w:rPr>
          <w:sz w:val="20"/>
          <w:szCs w:val="20"/>
        </w:rPr>
        <w:t xml:space="preserve"> </w:t>
      </w:r>
      <w:r w:rsidR="73D369CA" w:rsidRPr="00646E08">
        <w:rPr>
          <w:sz w:val="20"/>
          <w:szCs w:val="20"/>
        </w:rPr>
        <w:t>Screening of PEs: • Select the PEs for investigation.</w:t>
      </w:r>
      <w:r w:rsidR="00685084" w:rsidRPr="00646E08">
        <w:rPr>
          <w:sz w:val="20"/>
          <w:szCs w:val="20"/>
        </w:rPr>
        <w:t xml:space="preserve"> • Conduct </w:t>
      </w:r>
      <w:r w:rsidR="00685084" w:rsidRPr="00646E08">
        <w:rPr>
          <w:i/>
          <w:sz w:val="20"/>
          <w:szCs w:val="20"/>
        </w:rPr>
        <w:t>in vitro</w:t>
      </w:r>
      <w:r w:rsidR="00685084" w:rsidRPr="00646E08">
        <w:rPr>
          <w:sz w:val="20"/>
          <w:szCs w:val="20"/>
        </w:rPr>
        <w:t xml:space="preserve"> digestion of PEs following the INFOGEST protocol. </w:t>
      </w:r>
      <w:r w:rsidR="73D369CA" w:rsidRPr="00646E08">
        <w:rPr>
          <w:sz w:val="20"/>
          <w:szCs w:val="20"/>
        </w:rPr>
        <w:t xml:space="preserve"> • Prepare a standardized </w:t>
      </w:r>
      <w:r w:rsidR="23F6207D" w:rsidRPr="00646E08">
        <w:rPr>
          <w:sz w:val="20"/>
          <w:szCs w:val="20"/>
        </w:rPr>
        <w:t>faecal</w:t>
      </w:r>
      <w:r w:rsidR="73D369CA" w:rsidRPr="00646E08">
        <w:rPr>
          <w:sz w:val="20"/>
          <w:szCs w:val="20"/>
        </w:rPr>
        <w:t xml:space="preserve"> sample. • Perform "colonic fermentations" using digested and non-digested PEs. • </w:t>
      </w:r>
      <w:r w:rsidR="68EE0D30" w:rsidRPr="00646E08">
        <w:rPr>
          <w:sz w:val="20"/>
          <w:szCs w:val="20"/>
        </w:rPr>
        <w:t>Analyse</w:t>
      </w:r>
      <w:r w:rsidR="73D369CA" w:rsidRPr="00646E08">
        <w:rPr>
          <w:sz w:val="20"/>
          <w:szCs w:val="20"/>
        </w:rPr>
        <w:t xml:space="preserve"> changes in microbial populations using 16S rRNA</w:t>
      </w:r>
      <w:r w:rsidR="00571236">
        <w:rPr>
          <w:sz w:val="20"/>
          <w:szCs w:val="20"/>
        </w:rPr>
        <w:t xml:space="preserve"> gene</w:t>
      </w:r>
      <w:r w:rsidR="73D369CA" w:rsidRPr="00646E08">
        <w:rPr>
          <w:sz w:val="20"/>
          <w:szCs w:val="20"/>
        </w:rPr>
        <w:t xml:space="preserve"> profiling.</w:t>
      </w:r>
    </w:p>
    <w:p w14:paraId="3CA68785" w14:textId="6FAF04B3" w:rsidR="007067FA" w:rsidRPr="00646E08" w:rsidRDefault="73D369CA" w:rsidP="00646E08">
      <w:pPr>
        <w:spacing w:after="0"/>
        <w:ind w:left="720"/>
        <w:jc w:val="both"/>
        <w:rPr>
          <w:sz w:val="20"/>
          <w:szCs w:val="20"/>
        </w:rPr>
      </w:pPr>
      <w:r w:rsidRPr="00646E08">
        <w:rPr>
          <w:sz w:val="20"/>
          <w:szCs w:val="20"/>
        </w:rPr>
        <w:t xml:space="preserve"> •</w:t>
      </w:r>
      <w:r w:rsidR="00A90E29" w:rsidRPr="00646E08">
        <w:rPr>
          <w:sz w:val="20"/>
          <w:szCs w:val="20"/>
        </w:rPr>
        <w:t xml:space="preserve"> </w:t>
      </w:r>
      <w:r w:rsidRPr="00646E08">
        <w:rPr>
          <w:sz w:val="20"/>
          <w:szCs w:val="20"/>
        </w:rPr>
        <w:t xml:space="preserve">Evaluate growth parameters of notable bacteria promoting </w:t>
      </w:r>
      <w:r w:rsidR="00571236">
        <w:rPr>
          <w:sz w:val="20"/>
          <w:szCs w:val="20"/>
        </w:rPr>
        <w:t>host</w:t>
      </w:r>
      <w:r w:rsidR="00571236" w:rsidRPr="00646E08">
        <w:rPr>
          <w:sz w:val="20"/>
          <w:szCs w:val="20"/>
        </w:rPr>
        <w:t xml:space="preserve"> </w:t>
      </w:r>
      <w:r w:rsidRPr="00646E08">
        <w:rPr>
          <w:sz w:val="20"/>
          <w:szCs w:val="20"/>
        </w:rPr>
        <w:t>health in the presence of PEs.</w:t>
      </w:r>
    </w:p>
    <w:p w14:paraId="54B6D912" w14:textId="40244376" w:rsidR="00BB223C" w:rsidRDefault="00646E08" w:rsidP="00BB223C">
      <w:pPr>
        <w:pStyle w:val="Paragrafoelenco"/>
        <w:spacing w:before="240" w:after="120"/>
        <w:jc w:val="both"/>
        <w:rPr>
          <w:sz w:val="20"/>
          <w:szCs w:val="20"/>
        </w:rPr>
      </w:pPr>
      <w:r>
        <w:rPr>
          <w:sz w:val="20"/>
          <w:szCs w:val="20"/>
        </w:rPr>
        <w:t xml:space="preserve">B) </w:t>
      </w:r>
      <w:r w:rsidR="73D369CA" w:rsidRPr="00776EC5">
        <w:rPr>
          <w:i/>
          <w:sz w:val="20"/>
          <w:szCs w:val="20"/>
        </w:rPr>
        <w:t>In vivo</w:t>
      </w:r>
      <w:r w:rsidR="73D369CA" w:rsidRPr="46940759">
        <w:rPr>
          <w:sz w:val="20"/>
          <w:szCs w:val="20"/>
        </w:rPr>
        <w:t xml:space="preserve"> human </w:t>
      </w:r>
      <w:r w:rsidR="00571236">
        <w:rPr>
          <w:sz w:val="20"/>
          <w:szCs w:val="20"/>
        </w:rPr>
        <w:t>intervention</w:t>
      </w:r>
      <w:r w:rsidR="00571236" w:rsidRPr="46940759">
        <w:rPr>
          <w:sz w:val="20"/>
          <w:szCs w:val="20"/>
        </w:rPr>
        <w:t xml:space="preserve"> </w:t>
      </w:r>
      <w:r w:rsidR="73D369CA" w:rsidRPr="46940759">
        <w:rPr>
          <w:sz w:val="20"/>
          <w:szCs w:val="20"/>
        </w:rPr>
        <w:t xml:space="preserve">trial: • Identify the most promising PE for the feeding trial. • Develop and present the trial protocol to the ethics committee. • Recruit healthy individuals to participate. • Conduct a placebo-controlled, randomized, double-blind, cross-over feeding study with the selected PE. • Collect </w:t>
      </w:r>
      <w:r w:rsidR="2173B77B" w:rsidRPr="46940759">
        <w:rPr>
          <w:sz w:val="20"/>
          <w:szCs w:val="20"/>
        </w:rPr>
        <w:t>faecal</w:t>
      </w:r>
      <w:r w:rsidR="73D369CA" w:rsidRPr="46940759">
        <w:rPr>
          <w:sz w:val="20"/>
          <w:szCs w:val="20"/>
        </w:rPr>
        <w:t xml:space="preserve"> and urine samples at various timepoints. • Perform targeted and untargeted metabolomics analyses on the samples, focusing on specific targets relevant to the investigated plant extract (PE</w:t>
      </w:r>
      <w:r w:rsidR="595ED4CF" w:rsidRPr="46940759">
        <w:rPr>
          <w:sz w:val="20"/>
          <w:szCs w:val="20"/>
        </w:rPr>
        <w:t>). •</w:t>
      </w:r>
      <w:r w:rsidR="73D369CA" w:rsidRPr="46940759">
        <w:rPr>
          <w:sz w:val="20"/>
          <w:szCs w:val="20"/>
        </w:rPr>
        <w:t xml:space="preserve"> </w:t>
      </w:r>
      <w:r w:rsidR="646FF35C" w:rsidRPr="46940759">
        <w:rPr>
          <w:sz w:val="20"/>
          <w:szCs w:val="20"/>
        </w:rPr>
        <w:t>Analyse</w:t>
      </w:r>
      <w:r w:rsidR="73D369CA" w:rsidRPr="46940759">
        <w:rPr>
          <w:sz w:val="20"/>
          <w:szCs w:val="20"/>
        </w:rPr>
        <w:t xml:space="preserve"> microbial population shifts in the subjects using 16S rRNA </w:t>
      </w:r>
      <w:r w:rsidR="00571236">
        <w:rPr>
          <w:sz w:val="20"/>
          <w:szCs w:val="20"/>
        </w:rPr>
        <w:t xml:space="preserve">gene </w:t>
      </w:r>
      <w:r w:rsidR="73D369CA" w:rsidRPr="46940759">
        <w:rPr>
          <w:sz w:val="20"/>
          <w:szCs w:val="20"/>
        </w:rPr>
        <w:t>profiling.</w:t>
      </w:r>
    </w:p>
    <w:p w14:paraId="765405A7" w14:textId="758399F9" w:rsidR="00D12A03" w:rsidRPr="00BB223C" w:rsidRDefault="00FB349A" w:rsidP="00BB223C">
      <w:pPr>
        <w:spacing w:before="240" w:after="120"/>
        <w:jc w:val="both"/>
        <w:rPr>
          <w:sz w:val="20"/>
          <w:szCs w:val="20"/>
        </w:rPr>
      </w:pPr>
      <w:r w:rsidRPr="00BB223C">
        <w:rPr>
          <w:sz w:val="20"/>
          <w:szCs w:val="20"/>
        </w:rPr>
        <w:t>This study aims to thoroughly examine the impact of PEs on gut microbiota and the resulting metabolite production. It will significantly contribute to our understanding of how PEs affect gut health and their broader implications for overall well-being. The collected data will help assess the safety of these products concerning the microbiome and gut health, potentially revealing new applications based on observed effec</w:t>
      </w:r>
      <w:r w:rsidR="00743D9F" w:rsidRPr="00BB223C">
        <w:rPr>
          <w:sz w:val="20"/>
          <w:szCs w:val="20"/>
        </w:rPr>
        <w:t>ts</w:t>
      </w:r>
      <w:r w:rsidR="00893BE8" w:rsidRPr="00BB223C">
        <w:rPr>
          <w:sz w:val="20"/>
          <w:szCs w:val="20"/>
        </w:rPr>
        <w:t>.</w:t>
      </w:r>
    </w:p>
    <w:p w14:paraId="4E2A9F9C" w14:textId="3E69299C" w:rsidR="007067FA" w:rsidRPr="00893BE8" w:rsidRDefault="00893BE8" w:rsidP="00105EFE">
      <w:pPr>
        <w:spacing w:before="300" w:after="120"/>
        <w:rPr>
          <w:noProof/>
          <w:sz w:val="18"/>
          <w:szCs w:val="18"/>
        </w:rPr>
      </w:pPr>
      <w:bookmarkStart w:id="0" w:name="_GoBack"/>
      <w:r w:rsidRPr="00893BE8">
        <w:rPr>
          <w:b/>
          <w:sz w:val="18"/>
          <w:szCs w:val="18"/>
        </w:rPr>
        <w:t>Table 1</w:t>
      </w:r>
      <w:r w:rsidRPr="00893BE8">
        <w:rPr>
          <w:sz w:val="18"/>
          <w:szCs w:val="18"/>
        </w:rPr>
        <w:t xml:space="preserve">. </w:t>
      </w:r>
      <w:r w:rsidRPr="00224CAA">
        <w:rPr>
          <w:i/>
          <w:iCs/>
          <w:sz w:val="18"/>
          <w:szCs w:val="18"/>
        </w:rPr>
        <w:t>Gantt diagram of the projec</w:t>
      </w:r>
      <w:bookmarkEnd w:id="0"/>
      <w:r w:rsidRPr="00224CAA">
        <w:rPr>
          <w:i/>
          <w:iCs/>
          <w:sz w:val="18"/>
          <w:szCs w:val="18"/>
        </w:rPr>
        <w:t>t</w:t>
      </w:r>
      <w:r w:rsidR="00105EFE" w:rsidRPr="00105EFE">
        <w:rPr>
          <w:noProof/>
          <w:sz w:val="16"/>
          <w:szCs w:val="16"/>
        </w:rPr>
        <w:drawing>
          <wp:inline distT="0" distB="0" distL="0" distR="0" wp14:anchorId="636E14CB" wp14:editId="61F16FE1">
            <wp:extent cx="5760085" cy="155511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085" cy="1555115"/>
                    </a:xfrm>
                    <a:prstGeom prst="rect">
                      <a:avLst/>
                    </a:prstGeom>
                  </pic:spPr>
                </pic:pic>
              </a:graphicData>
            </a:graphic>
          </wp:inline>
        </w:drawing>
      </w:r>
    </w:p>
    <w:p w14:paraId="169437F0" w14:textId="11787873" w:rsidR="007067FA" w:rsidRDefault="2E51E3E3" w:rsidP="3AE94E66">
      <w:pPr>
        <w:spacing w:before="240" w:after="240"/>
        <w:jc w:val="both"/>
        <w:rPr>
          <w:b/>
          <w:bCs/>
          <w:color w:val="000000"/>
          <w:sz w:val="24"/>
          <w:szCs w:val="24"/>
        </w:rPr>
      </w:pPr>
      <w:r w:rsidRPr="3AE94E66">
        <w:rPr>
          <w:b/>
          <w:bCs/>
          <w:color w:val="000000" w:themeColor="text1"/>
          <w:sz w:val="24"/>
          <w:szCs w:val="24"/>
        </w:rPr>
        <w:t>3. Selected References</w:t>
      </w:r>
    </w:p>
    <w:p w14:paraId="3FDADF6B" w14:textId="03C641C1" w:rsidR="003E0D9E" w:rsidRPr="003E0D9E" w:rsidRDefault="003E0D9E" w:rsidP="000304DD">
      <w:pPr>
        <w:spacing w:after="0"/>
        <w:ind w:left="142" w:hanging="142"/>
        <w:jc w:val="both"/>
        <w:rPr>
          <w:sz w:val="20"/>
          <w:szCs w:val="20"/>
        </w:rPr>
      </w:pPr>
      <w:proofErr w:type="spellStart"/>
      <w:r w:rsidRPr="003E0D9E">
        <w:rPr>
          <w:sz w:val="20"/>
          <w:szCs w:val="20"/>
        </w:rPr>
        <w:t>Brodkorb</w:t>
      </w:r>
      <w:proofErr w:type="spellEnd"/>
      <w:r w:rsidRPr="003E0D9E">
        <w:rPr>
          <w:sz w:val="20"/>
          <w:szCs w:val="20"/>
        </w:rPr>
        <w:t xml:space="preserve">, A., Egger, L., </w:t>
      </w:r>
      <w:proofErr w:type="spellStart"/>
      <w:r w:rsidRPr="003E0D9E">
        <w:rPr>
          <w:sz w:val="20"/>
          <w:szCs w:val="20"/>
        </w:rPr>
        <w:t>Alminger</w:t>
      </w:r>
      <w:proofErr w:type="spellEnd"/>
      <w:r w:rsidRPr="003E0D9E">
        <w:rPr>
          <w:sz w:val="20"/>
          <w:szCs w:val="20"/>
        </w:rPr>
        <w:t xml:space="preserve">, M., </w:t>
      </w:r>
      <w:proofErr w:type="spellStart"/>
      <w:r w:rsidRPr="003E0D9E">
        <w:rPr>
          <w:sz w:val="20"/>
          <w:szCs w:val="20"/>
        </w:rPr>
        <w:t>Alvito</w:t>
      </w:r>
      <w:proofErr w:type="spellEnd"/>
      <w:r w:rsidRPr="003E0D9E">
        <w:rPr>
          <w:sz w:val="20"/>
          <w:szCs w:val="20"/>
        </w:rPr>
        <w:t xml:space="preserve">, P., </w:t>
      </w:r>
      <w:proofErr w:type="spellStart"/>
      <w:r w:rsidRPr="003E0D9E">
        <w:rPr>
          <w:sz w:val="20"/>
          <w:szCs w:val="20"/>
        </w:rPr>
        <w:t>Assunção</w:t>
      </w:r>
      <w:proofErr w:type="spellEnd"/>
      <w:r w:rsidRPr="003E0D9E">
        <w:rPr>
          <w:sz w:val="20"/>
          <w:szCs w:val="20"/>
        </w:rPr>
        <w:t xml:space="preserve">, R., Ballance, S., Bohn, T., </w:t>
      </w:r>
      <w:proofErr w:type="spellStart"/>
      <w:r w:rsidRPr="003E0D9E">
        <w:rPr>
          <w:sz w:val="20"/>
          <w:szCs w:val="20"/>
        </w:rPr>
        <w:t>Bourlieu-Lacanal</w:t>
      </w:r>
      <w:proofErr w:type="spellEnd"/>
      <w:r w:rsidRPr="003E0D9E">
        <w:rPr>
          <w:sz w:val="20"/>
          <w:szCs w:val="20"/>
        </w:rPr>
        <w:t xml:space="preserve">, C., </w:t>
      </w:r>
      <w:proofErr w:type="spellStart"/>
      <w:r w:rsidRPr="003E0D9E">
        <w:rPr>
          <w:sz w:val="20"/>
          <w:szCs w:val="20"/>
        </w:rPr>
        <w:t>Boutrou</w:t>
      </w:r>
      <w:proofErr w:type="spellEnd"/>
      <w:r w:rsidRPr="003E0D9E">
        <w:rPr>
          <w:sz w:val="20"/>
          <w:szCs w:val="20"/>
        </w:rPr>
        <w:t xml:space="preserve">, R., </w:t>
      </w:r>
      <w:proofErr w:type="spellStart"/>
      <w:r w:rsidRPr="003E0D9E">
        <w:rPr>
          <w:sz w:val="20"/>
          <w:szCs w:val="20"/>
        </w:rPr>
        <w:t>Carrière</w:t>
      </w:r>
      <w:proofErr w:type="spellEnd"/>
      <w:r w:rsidRPr="003E0D9E">
        <w:rPr>
          <w:sz w:val="20"/>
          <w:szCs w:val="20"/>
        </w:rPr>
        <w:t xml:space="preserve">, F., Clemente, A., </w:t>
      </w:r>
      <w:proofErr w:type="spellStart"/>
      <w:r w:rsidRPr="003E0D9E">
        <w:rPr>
          <w:sz w:val="20"/>
          <w:szCs w:val="20"/>
        </w:rPr>
        <w:t>Corredig</w:t>
      </w:r>
      <w:proofErr w:type="spellEnd"/>
      <w:r w:rsidRPr="003E0D9E">
        <w:rPr>
          <w:sz w:val="20"/>
          <w:szCs w:val="20"/>
        </w:rPr>
        <w:t xml:space="preserve">, M., Dupont, D., Dufour, C., Edwards, C., Golding, M., </w:t>
      </w:r>
      <w:proofErr w:type="spellStart"/>
      <w:r w:rsidRPr="003E0D9E">
        <w:rPr>
          <w:sz w:val="20"/>
          <w:szCs w:val="20"/>
        </w:rPr>
        <w:t>Karakaya</w:t>
      </w:r>
      <w:proofErr w:type="spellEnd"/>
      <w:r w:rsidRPr="003E0D9E">
        <w:rPr>
          <w:sz w:val="20"/>
          <w:szCs w:val="20"/>
        </w:rPr>
        <w:t xml:space="preserve">, S., </w:t>
      </w:r>
      <w:proofErr w:type="spellStart"/>
      <w:r w:rsidRPr="003E0D9E">
        <w:rPr>
          <w:sz w:val="20"/>
          <w:szCs w:val="20"/>
        </w:rPr>
        <w:t>Kirkhus</w:t>
      </w:r>
      <w:proofErr w:type="spellEnd"/>
      <w:r w:rsidRPr="003E0D9E">
        <w:rPr>
          <w:sz w:val="20"/>
          <w:szCs w:val="20"/>
        </w:rPr>
        <w:t xml:space="preserve">, B., Le </w:t>
      </w:r>
      <w:proofErr w:type="spellStart"/>
      <w:r w:rsidRPr="003E0D9E">
        <w:rPr>
          <w:sz w:val="20"/>
          <w:szCs w:val="20"/>
        </w:rPr>
        <w:t>Feunteun</w:t>
      </w:r>
      <w:proofErr w:type="spellEnd"/>
      <w:r w:rsidRPr="003E0D9E">
        <w:rPr>
          <w:sz w:val="20"/>
          <w:szCs w:val="20"/>
        </w:rPr>
        <w:t xml:space="preserve">, S. and </w:t>
      </w:r>
      <w:proofErr w:type="spellStart"/>
      <w:r w:rsidRPr="003E0D9E">
        <w:rPr>
          <w:sz w:val="20"/>
          <w:szCs w:val="20"/>
        </w:rPr>
        <w:t>Lesmes</w:t>
      </w:r>
      <w:proofErr w:type="spellEnd"/>
      <w:r w:rsidRPr="003E0D9E">
        <w:rPr>
          <w:sz w:val="20"/>
          <w:szCs w:val="20"/>
        </w:rPr>
        <w:t xml:space="preserve">, U. (2019). INFOGEST static in vitro simulation of gastrointestinal food digestion. Nature Protocols, 14. </w:t>
      </w:r>
      <w:r w:rsidR="00685084" w:rsidRPr="003E0D9E">
        <w:rPr>
          <w:sz w:val="20"/>
          <w:szCs w:val="20"/>
        </w:rPr>
        <w:t>https://doi.org/10.1038/s41596-018-0119-1</w:t>
      </w:r>
      <w:r w:rsidRPr="003E0D9E">
        <w:rPr>
          <w:sz w:val="20"/>
          <w:szCs w:val="20"/>
        </w:rPr>
        <w:t>.</w:t>
      </w:r>
    </w:p>
    <w:p w14:paraId="09E3AEAC" w14:textId="47D404EA" w:rsidR="00685084" w:rsidRPr="000304DD" w:rsidRDefault="00685084" w:rsidP="000304DD">
      <w:pPr>
        <w:spacing w:after="0"/>
        <w:ind w:left="142" w:hanging="142"/>
        <w:jc w:val="both"/>
        <w:rPr>
          <w:sz w:val="20"/>
          <w:szCs w:val="20"/>
          <w:lang w:val="it-IT"/>
        </w:rPr>
      </w:pPr>
      <w:r w:rsidRPr="000304DD">
        <w:rPr>
          <w:sz w:val="20"/>
          <w:szCs w:val="20"/>
        </w:rPr>
        <w:t xml:space="preserve">Liu, C., Du, P., Cheng, Y., Guo, Y., Hu, B., Yao, W., Zhu, X. and Qian, H. (2021). </w:t>
      </w:r>
      <w:r w:rsidRPr="000304DD">
        <w:rPr>
          <w:sz w:val="20"/>
          <w:szCs w:val="20"/>
          <w:lang w:val="en-US"/>
        </w:rPr>
        <w:t xml:space="preserve">Study on fecal fermentation characteristics of aloe polysaccharides in vitro and their predictive modeling. </w:t>
      </w:r>
      <w:proofErr w:type="spellStart"/>
      <w:r w:rsidRPr="000304DD">
        <w:rPr>
          <w:sz w:val="20"/>
          <w:szCs w:val="20"/>
          <w:lang w:val="it-IT"/>
        </w:rPr>
        <w:t>Carbohydrate</w:t>
      </w:r>
      <w:proofErr w:type="spellEnd"/>
      <w:r w:rsidRPr="000304DD">
        <w:rPr>
          <w:sz w:val="20"/>
          <w:szCs w:val="20"/>
          <w:lang w:val="it-IT"/>
        </w:rPr>
        <w:t xml:space="preserve"> </w:t>
      </w:r>
      <w:proofErr w:type="spellStart"/>
      <w:r w:rsidRPr="000304DD">
        <w:rPr>
          <w:sz w:val="20"/>
          <w:szCs w:val="20"/>
          <w:lang w:val="it-IT"/>
        </w:rPr>
        <w:t>Polymers</w:t>
      </w:r>
      <w:proofErr w:type="spellEnd"/>
      <w:r w:rsidRPr="000304DD">
        <w:rPr>
          <w:sz w:val="20"/>
          <w:szCs w:val="20"/>
          <w:lang w:val="it-IT"/>
        </w:rPr>
        <w:t>, 256, p.117571. https://doi.org/10.1016/j.carbpol.2020.117571</w:t>
      </w:r>
    </w:p>
    <w:p w14:paraId="537CAB15" w14:textId="1BBFB3D0" w:rsidR="36479A89" w:rsidRDefault="36479A89" w:rsidP="000304DD">
      <w:pPr>
        <w:spacing w:after="0"/>
        <w:ind w:left="142" w:hanging="142"/>
        <w:jc w:val="both"/>
        <w:rPr>
          <w:sz w:val="20"/>
          <w:szCs w:val="20"/>
        </w:rPr>
      </w:pPr>
      <w:r w:rsidRPr="00BF784D">
        <w:rPr>
          <w:sz w:val="20"/>
          <w:szCs w:val="20"/>
          <w:lang w:val="it-IT"/>
        </w:rPr>
        <w:t xml:space="preserve">Neri-Numa, I. A., </w:t>
      </w:r>
      <w:proofErr w:type="spellStart"/>
      <w:r w:rsidRPr="00BF784D">
        <w:rPr>
          <w:sz w:val="20"/>
          <w:szCs w:val="20"/>
          <w:lang w:val="it-IT"/>
        </w:rPr>
        <w:t>Arruda</w:t>
      </w:r>
      <w:proofErr w:type="spellEnd"/>
      <w:r w:rsidRPr="00BF784D">
        <w:rPr>
          <w:sz w:val="20"/>
          <w:szCs w:val="20"/>
          <w:lang w:val="it-IT"/>
        </w:rPr>
        <w:t xml:space="preserve">, H. S., </w:t>
      </w:r>
      <w:proofErr w:type="spellStart"/>
      <w:r w:rsidRPr="00BF784D">
        <w:rPr>
          <w:sz w:val="20"/>
          <w:szCs w:val="20"/>
          <w:lang w:val="it-IT"/>
        </w:rPr>
        <w:t>Geraldi</w:t>
      </w:r>
      <w:proofErr w:type="spellEnd"/>
      <w:r w:rsidRPr="00BF784D">
        <w:rPr>
          <w:sz w:val="20"/>
          <w:szCs w:val="20"/>
          <w:lang w:val="it-IT"/>
        </w:rPr>
        <w:t xml:space="preserve">, M. V., </w:t>
      </w:r>
      <w:proofErr w:type="spellStart"/>
      <w:r w:rsidRPr="00BF784D">
        <w:rPr>
          <w:sz w:val="20"/>
          <w:szCs w:val="20"/>
          <w:lang w:val="it-IT"/>
        </w:rPr>
        <w:t>Maróstica</w:t>
      </w:r>
      <w:proofErr w:type="spellEnd"/>
      <w:r w:rsidRPr="00BF784D">
        <w:rPr>
          <w:sz w:val="20"/>
          <w:szCs w:val="20"/>
          <w:lang w:val="it-IT"/>
        </w:rPr>
        <w:t xml:space="preserve"> </w:t>
      </w:r>
      <w:proofErr w:type="spellStart"/>
      <w:r w:rsidRPr="00BF784D">
        <w:rPr>
          <w:sz w:val="20"/>
          <w:szCs w:val="20"/>
          <w:lang w:val="it-IT"/>
        </w:rPr>
        <w:t>Júnior</w:t>
      </w:r>
      <w:proofErr w:type="spellEnd"/>
      <w:r w:rsidRPr="00BF784D">
        <w:rPr>
          <w:sz w:val="20"/>
          <w:szCs w:val="20"/>
          <w:lang w:val="it-IT"/>
        </w:rPr>
        <w:t xml:space="preserve">, M. R., &amp; Pastore, G. M. (2020). </w:t>
      </w:r>
      <w:r w:rsidRPr="00BF784D">
        <w:rPr>
          <w:sz w:val="20"/>
          <w:szCs w:val="20"/>
        </w:rPr>
        <w:t xml:space="preserve">Natural prebiotic carbohydrates, carotenoids and flavonoids as ingredients in food systems. In Current Opinion in Food Science (Vol. 33, pp. 98–107). Elsevier Ltd. https://doi.org/10.1016/j.cofs.2020.03.004 </w:t>
      </w:r>
    </w:p>
    <w:p w14:paraId="07661BCF" w14:textId="18B52A2A" w:rsidR="4AA1DBCD" w:rsidRPr="00BF784D" w:rsidRDefault="006C5A04" w:rsidP="000304DD">
      <w:pPr>
        <w:spacing w:after="0"/>
        <w:ind w:left="142" w:hanging="142"/>
        <w:jc w:val="both"/>
        <w:rPr>
          <w:sz w:val="20"/>
          <w:szCs w:val="20"/>
        </w:rPr>
      </w:pPr>
      <w:r w:rsidRPr="006C5A04">
        <w:rPr>
          <w:sz w:val="20"/>
          <w:szCs w:val="20"/>
        </w:rPr>
        <w:t xml:space="preserve">Smirnova, D.V., </w:t>
      </w:r>
      <w:proofErr w:type="spellStart"/>
      <w:r w:rsidRPr="006C5A04">
        <w:rPr>
          <w:sz w:val="20"/>
          <w:szCs w:val="20"/>
        </w:rPr>
        <w:t>Zalomova</w:t>
      </w:r>
      <w:proofErr w:type="spellEnd"/>
      <w:r w:rsidRPr="006C5A04">
        <w:rPr>
          <w:sz w:val="20"/>
          <w:szCs w:val="20"/>
        </w:rPr>
        <w:t xml:space="preserve">, L.V., </w:t>
      </w:r>
      <w:proofErr w:type="spellStart"/>
      <w:r w:rsidRPr="006C5A04">
        <w:rPr>
          <w:sz w:val="20"/>
          <w:szCs w:val="20"/>
        </w:rPr>
        <w:t>Zagainova</w:t>
      </w:r>
      <w:proofErr w:type="spellEnd"/>
      <w:r w:rsidRPr="006C5A04">
        <w:rPr>
          <w:sz w:val="20"/>
          <w:szCs w:val="20"/>
        </w:rPr>
        <w:t xml:space="preserve">, A.V., Makarov, V.V., </w:t>
      </w:r>
      <w:proofErr w:type="spellStart"/>
      <w:r w:rsidRPr="006C5A04">
        <w:rPr>
          <w:sz w:val="20"/>
          <w:szCs w:val="20"/>
        </w:rPr>
        <w:t>Mezhevikina</w:t>
      </w:r>
      <w:proofErr w:type="spellEnd"/>
      <w:r w:rsidRPr="006C5A04">
        <w:rPr>
          <w:sz w:val="20"/>
          <w:szCs w:val="20"/>
        </w:rPr>
        <w:t>, L.M., Fesenko, E.E. and Yudin, S.M. (2019). Cryopreservation of the human gut microbiota: Current state and perspectives. International journal of medical microbiology: IJMM, 309(5), pp.259–269. https://doi.org/10.1016/j.ijmm.2019.06.001.</w:t>
      </w:r>
    </w:p>
    <w:sectPr w:rsidR="4AA1DBCD" w:rsidRPr="00BF784D" w:rsidSect="00783CD6">
      <w:headerReference w:type="default" r:id="rId13"/>
      <w:footerReference w:type="defaul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F3030" w14:textId="77777777" w:rsidR="00027897" w:rsidRDefault="00027897">
      <w:pPr>
        <w:spacing w:after="0" w:line="240" w:lineRule="auto"/>
      </w:pPr>
      <w:r>
        <w:separator/>
      </w:r>
    </w:p>
  </w:endnote>
  <w:endnote w:type="continuationSeparator" w:id="0">
    <w:p w14:paraId="5DDC288C" w14:textId="77777777" w:rsidR="00027897" w:rsidRDefault="0002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0027897" w14:paraId="75951F42" w14:textId="77777777" w:rsidTr="46940759">
      <w:trPr>
        <w:trHeight w:val="300"/>
      </w:trPr>
      <w:tc>
        <w:tcPr>
          <w:tcW w:w="3485" w:type="dxa"/>
        </w:tcPr>
        <w:p w14:paraId="513D1659" w14:textId="550960E3" w:rsidR="00027897" w:rsidRDefault="00027897" w:rsidP="46940759">
          <w:pPr>
            <w:pStyle w:val="Intestazione"/>
            <w:ind w:left="-115"/>
          </w:pPr>
        </w:p>
      </w:tc>
      <w:tc>
        <w:tcPr>
          <w:tcW w:w="3485" w:type="dxa"/>
        </w:tcPr>
        <w:p w14:paraId="19987BEA" w14:textId="4B8803D4" w:rsidR="00027897" w:rsidRDefault="00027897" w:rsidP="46940759">
          <w:pPr>
            <w:pStyle w:val="Intestazione"/>
            <w:jc w:val="center"/>
          </w:pPr>
        </w:p>
      </w:tc>
      <w:tc>
        <w:tcPr>
          <w:tcW w:w="3485" w:type="dxa"/>
        </w:tcPr>
        <w:p w14:paraId="01AD31E9" w14:textId="6B465DA9" w:rsidR="00027897" w:rsidRDefault="00027897" w:rsidP="46940759">
          <w:pPr>
            <w:pStyle w:val="Intestazione"/>
            <w:ind w:right="-115"/>
            <w:jc w:val="right"/>
          </w:pPr>
        </w:p>
      </w:tc>
    </w:tr>
  </w:tbl>
  <w:p w14:paraId="3015C521" w14:textId="1594CBDD" w:rsidR="00027897" w:rsidRDefault="00027897" w:rsidP="469407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13826" w14:textId="77777777" w:rsidR="00027897" w:rsidRDefault="00027897">
      <w:pPr>
        <w:spacing w:after="0" w:line="240" w:lineRule="auto"/>
      </w:pPr>
      <w:r>
        <w:separator/>
      </w:r>
    </w:p>
  </w:footnote>
  <w:footnote w:type="continuationSeparator" w:id="0">
    <w:p w14:paraId="2BCC6B8B" w14:textId="77777777" w:rsidR="00027897" w:rsidRDefault="00027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0027897" w14:paraId="3C02DF6A" w14:textId="77777777" w:rsidTr="46940759">
      <w:trPr>
        <w:trHeight w:val="300"/>
      </w:trPr>
      <w:tc>
        <w:tcPr>
          <w:tcW w:w="3485" w:type="dxa"/>
        </w:tcPr>
        <w:p w14:paraId="0E0564C7" w14:textId="5AC096D1" w:rsidR="00027897" w:rsidRDefault="00027897" w:rsidP="46940759">
          <w:pPr>
            <w:pStyle w:val="Intestazione"/>
            <w:ind w:left="-115"/>
          </w:pPr>
        </w:p>
      </w:tc>
      <w:tc>
        <w:tcPr>
          <w:tcW w:w="3485" w:type="dxa"/>
        </w:tcPr>
        <w:p w14:paraId="656F9B08" w14:textId="6D5D3767" w:rsidR="00027897" w:rsidRDefault="00027897" w:rsidP="46940759">
          <w:pPr>
            <w:pStyle w:val="Intestazione"/>
            <w:jc w:val="center"/>
          </w:pPr>
        </w:p>
      </w:tc>
      <w:tc>
        <w:tcPr>
          <w:tcW w:w="3485" w:type="dxa"/>
        </w:tcPr>
        <w:p w14:paraId="31277112" w14:textId="42BF694E" w:rsidR="00027897" w:rsidRDefault="00027897" w:rsidP="46940759">
          <w:pPr>
            <w:pStyle w:val="Intestazione"/>
            <w:ind w:right="-115"/>
            <w:jc w:val="right"/>
          </w:pPr>
        </w:p>
      </w:tc>
    </w:tr>
  </w:tbl>
  <w:p w14:paraId="2B6B774E" w14:textId="5CCFCD71" w:rsidR="00027897" w:rsidRDefault="00027897" w:rsidP="469407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0AD8"/>
    <w:multiLevelType w:val="hybridMultilevel"/>
    <w:tmpl w:val="869CA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171F5E"/>
    <w:multiLevelType w:val="hybridMultilevel"/>
    <w:tmpl w:val="27425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4A824E4"/>
    <w:multiLevelType w:val="hybridMultilevel"/>
    <w:tmpl w:val="12D0F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4E07E93"/>
    <w:multiLevelType w:val="hybridMultilevel"/>
    <w:tmpl w:val="38464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F373972"/>
    <w:multiLevelType w:val="hybridMultilevel"/>
    <w:tmpl w:val="C134683C"/>
    <w:lvl w:ilvl="0" w:tplc="6B702AD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4224836"/>
    <w:multiLevelType w:val="hybridMultilevel"/>
    <w:tmpl w:val="FB522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891B4D"/>
    <w:multiLevelType w:val="hybridMultilevel"/>
    <w:tmpl w:val="2E969660"/>
    <w:lvl w:ilvl="0" w:tplc="6E926994">
      <w:start w:val="1"/>
      <w:numFmt w:val="upperLetter"/>
      <w:lvlText w:val="%1)"/>
      <w:lvlJc w:val="left"/>
      <w:pPr>
        <w:ind w:left="720" w:hanging="360"/>
      </w:pPr>
    </w:lvl>
    <w:lvl w:ilvl="1" w:tplc="D954075C">
      <w:start w:val="1"/>
      <w:numFmt w:val="lowerLetter"/>
      <w:lvlText w:val="%2."/>
      <w:lvlJc w:val="left"/>
      <w:pPr>
        <w:ind w:left="1440" w:hanging="360"/>
      </w:pPr>
    </w:lvl>
    <w:lvl w:ilvl="2" w:tplc="AAFE7B1E">
      <w:start w:val="1"/>
      <w:numFmt w:val="lowerRoman"/>
      <w:lvlText w:val="%3."/>
      <w:lvlJc w:val="right"/>
      <w:pPr>
        <w:ind w:left="2160" w:hanging="180"/>
      </w:pPr>
    </w:lvl>
    <w:lvl w:ilvl="3" w:tplc="8DD0028A">
      <w:start w:val="1"/>
      <w:numFmt w:val="decimal"/>
      <w:lvlText w:val="%4."/>
      <w:lvlJc w:val="left"/>
      <w:pPr>
        <w:ind w:left="2880" w:hanging="360"/>
      </w:pPr>
    </w:lvl>
    <w:lvl w:ilvl="4" w:tplc="B158242A">
      <w:start w:val="1"/>
      <w:numFmt w:val="lowerLetter"/>
      <w:lvlText w:val="%5."/>
      <w:lvlJc w:val="left"/>
      <w:pPr>
        <w:ind w:left="3600" w:hanging="360"/>
      </w:pPr>
    </w:lvl>
    <w:lvl w:ilvl="5" w:tplc="BE5673EE">
      <w:start w:val="1"/>
      <w:numFmt w:val="lowerRoman"/>
      <w:lvlText w:val="%6."/>
      <w:lvlJc w:val="right"/>
      <w:pPr>
        <w:ind w:left="4320" w:hanging="180"/>
      </w:pPr>
    </w:lvl>
    <w:lvl w:ilvl="6" w:tplc="E04C454C">
      <w:start w:val="1"/>
      <w:numFmt w:val="decimal"/>
      <w:lvlText w:val="%7."/>
      <w:lvlJc w:val="left"/>
      <w:pPr>
        <w:ind w:left="5040" w:hanging="360"/>
      </w:pPr>
    </w:lvl>
    <w:lvl w:ilvl="7" w:tplc="C648739A">
      <w:start w:val="1"/>
      <w:numFmt w:val="lowerLetter"/>
      <w:lvlText w:val="%8."/>
      <w:lvlJc w:val="left"/>
      <w:pPr>
        <w:ind w:left="5760" w:hanging="360"/>
      </w:pPr>
    </w:lvl>
    <w:lvl w:ilvl="8" w:tplc="50647DDE">
      <w:start w:val="1"/>
      <w:numFmt w:val="lowerRoman"/>
      <w:lvlText w:val="%9."/>
      <w:lvlJc w:val="right"/>
      <w:pPr>
        <w:ind w:left="6480" w:hanging="180"/>
      </w:pPr>
    </w:lvl>
  </w:abstractNum>
  <w:abstractNum w:abstractNumId="7" w15:restartNumberingAfterBreak="0">
    <w:nsid w:val="7BA11A20"/>
    <w:multiLevelType w:val="hybridMultilevel"/>
    <w:tmpl w:val="0C0EE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EB671E4"/>
    <w:multiLevelType w:val="hybridMultilevel"/>
    <w:tmpl w:val="312E1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8"/>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AF"/>
    <w:rsid w:val="00027897"/>
    <w:rsid w:val="000304DD"/>
    <w:rsid w:val="000571C1"/>
    <w:rsid w:val="00064611"/>
    <w:rsid w:val="000B51A8"/>
    <w:rsid w:val="000F430F"/>
    <w:rsid w:val="00105EFE"/>
    <w:rsid w:val="00120344"/>
    <w:rsid w:val="00135657"/>
    <w:rsid w:val="00137DC6"/>
    <w:rsid w:val="0014529B"/>
    <w:rsid w:val="001454EC"/>
    <w:rsid w:val="0015697B"/>
    <w:rsid w:val="00183FEC"/>
    <w:rsid w:val="00207267"/>
    <w:rsid w:val="00216C82"/>
    <w:rsid w:val="00224CAA"/>
    <w:rsid w:val="00292230"/>
    <w:rsid w:val="002F0DD3"/>
    <w:rsid w:val="003109B8"/>
    <w:rsid w:val="00344124"/>
    <w:rsid w:val="00390215"/>
    <w:rsid w:val="003E0D9E"/>
    <w:rsid w:val="004265E4"/>
    <w:rsid w:val="00433DBF"/>
    <w:rsid w:val="004B2AB3"/>
    <w:rsid w:val="004C2A5E"/>
    <w:rsid w:val="005124D4"/>
    <w:rsid w:val="00536991"/>
    <w:rsid w:val="00571236"/>
    <w:rsid w:val="005724E7"/>
    <w:rsid w:val="00614F3E"/>
    <w:rsid w:val="00626F31"/>
    <w:rsid w:val="00646E08"/>
    <w:rsid w:val="0065133E"/>
    <w:rsid w:val="00675BBE"/>
    <w:rsid w:val="00685084"/>
    <w:rsid w:val="006B5B60"/>
    <w:rsid w:val="006C5A04"/>
    <w:rsid w:val="006D45E6"/>
    <w:rsid w:val="006E18DC"/>
    <w:rsid w:val="007067FA"/>
    <w:rsid w:val="00720BF0"/>
    <w:rsid w:val="00724F53"/>
    <w:rsid w:val="00743D9F"/>
    <w:rsid w:val="0075080F"/>
    <w:rsid w:val="00757D6A"/>
    <w:rsid w:val="00766376"/>
    <w:rsid w:val="00776EC5"/>
    <w:rsid w:val="00783CD6"/>
    <w:rsid w:val="007D015D"/>
    <w:rsid w:val="007D4945"/>
    <w:rsid w:val="007D4D0D"/>
    <w:rsid w:val="007E3530"/>
    <w:rsid w:val="008468F9"/>
    <w:rsid w:val="00893BE8"/>
    <w:rsid w:val="008D36AF"/>
    <w:rsid w:val="008E0C38"/>
    <w:rsid w:val="009735B1"/>
    <w:rsid w:val="009A571B"/>
    <w:rsid w:val="009B4407"/>
    <w:rsid w:val="009C71E8"/>
    <w:rsid w:val="00A027F7"/>
    <w:rsid w:val="00A22B5E"/>
    <w:rsid w:val="00A651AF"/>
    <w:rsid w:val="00A90E29"/>
    <w:rsid w:val="00AC45E7"/>
    <w:rsid w:val="00B16D7F"/>
    <w:rsid w:val="00B61F04"/>
    <w:rsid w:val="00BB223C"/>
    <w:rsid w:val="00BF2778"/>
    <w:rsid w:val="00BF4F1F"/>
    <w:rsid w:val="00BF784D"/>
    <w:rsid w:val="00C1AFC3"/>
    <w:rsid w:val="00C56883"/>
    <w:rsid w:val="00CC78B7"/>
    <w:rsid w:val="00CE4398"/>
    <w:rsid w:val="00D12A03"/>
    <w:rsid w:val="00D325B2"/>
    <w:rsid w:val="00D6579A"/>
    <w:rsid w:val="00D668D6"/>
    <w:rsid w:val="00DD5C7E"/>
    <w:rsid w:val="00DE3F77"/>
    <w:rsid w:val="00E25F6C"/>
    <w:rsid w:val="00E620BF"/>
    <w:rsid w:val="00EA4D46"/>
    <w:rsid w:val="00EF6762"/>
    <w:rsid w:val="00F22BF2"/>
    <w:rsid w:val="00F30D5E"/>
    <w:rsid w:val="00F43342"/>
    <w:rsid w:val="00F53C42"/>
    <w:rsid w:val="00F76BC7"/>
    <w:rsid w:val="00F829BE"/>
    <w:rsid w:val="00FB349A"/>
    <w:rsid w:val="00FE23D3"/>
    <w:rsid w:val="0114C869"/>
    <w:rsid w:val="011AF441"/>
    <w:rsid w:val="013565F4"/>
    <w:rsid w:val="0164EACD"/>
    <w:rsid w:val="01C9312E"/>
    <w:rsid w:val="0224ACD0"/>
    <w:rsid w:val="026A13F9"/>
    <w:rsid w:val="026E659E"/>
    <w:rsid w:val="028F3560"/>
    <w:rsid w:val="033170C9"/>
    <w:rsid w:val="034D8D83"/>
    <w:rsid w:val="0398C4B0"/>
    <w:rsid w:val="0484FFBF"/>
    <w:rsid w:val="04AE19E8"/>
    <w:rsid w:val="04BA4E73"/>
    <w:rsid w:val="0534E098"/>
    <w:rsid w:val="053B7295"/>
    <w:rsid w:val="0561C552"/>
    <w:rsid w:val="056A4967"/>
    <w:rsid w:val="05B17888"/>
    <w:rsid w:val="05E0D710"/>
    <w:rsid w:val="0620D020"/>
    <w:rsid w:val="0627E3DA"/>
    <w:rsid w:val="07156984"/>
    <w:rsid w:val="074D48E9"/>
    <w:rsid w:val="07850110"/>
    <w:rsid w:val="07BC8666"/>
    <w:rsid w:val="084025E8"/>
    <w:rsid w:val="087C007A"/>
    <w:rsid w:val="087F81B7"/>
    <w:rsid w:val="089EDBB1"/>
    <w:rsid w:val="08FC4FD2"/>
    <w:rsid w:val="091CEAAB"/>
    <w:rsid w:val="0950FE0F"/>
    <w:rsid w:val="096134D9"/>
    <w:rsid w:val="0A3DBA8A"/>
    <w:rsid w:val="0A4CEC85"/>
    <w:rsid w:val="0AD04B59"/>
    <w:rsid w:val="0B2A9484"/>
    <w:rsid w:val="0B940189"/>
    <w:rsid w:val="0C15E65C"/>
    <w:rsid w:val="0C9C9ED9"/>
    <w:rsid w:val="0D3FF27D"/>
    <w:rsid w:val="0D5169DB"/>
    <w:rsid w:val="0D96BAD9"/>
    <w:rsid w:val="0DCAE813"/>
    <w:rsid w:val="0DFF6C91"/>
    <w:rsid w:val="0EB7E70F"/>
    <w:rsid w:val="0EF49031"/>
    <w:rsid w:val="0F112BAD"/>
    <w:rsid w:val="0F872B73"/>
    <w:rsid w:val="0F9D3530"/>
    <w:rsid w:val="0FDBD1E8"/>
    <w:rsid w:val="1053B770"/>
    <w:rsid w:val="10906092"/>
    <w:rsid w:val="11700FFC"/>
    <w:rsid w:val="11FA3B43"/>
    <w:rsid w:val="120586C9"/>
    <w:rsid w:val="12568894"/>
    <w:rsid w:val="12865A68"/>
    <w:rsid w:val="12E76658"/>
    <w:rsid w:val="130BE05D"/>
    <w:rsid w:val="13659B6D"/>
    <w:rsid w:val="13BC25A7"/>
    <w:rsid w:val="13D8755C"/>
    <w:rsid w:val="1411F0CF"/>
    <w:rsid w:val="14222AC9"/>
    <w:rsid w:val="142C9B68"/>
    <w:rsid w:val="1454E9C7"/>
    <w:rsid w:val="146F6068"/>
    <w:rsid w:val="151228DE"/>
    <w:rsid w:val="1564365C"/>
    <w:rsid w:val="16E7A81E"/>
    <w:rsid w:val="16F0B98C"/>
    <w:rsid w:val="173C2DEC"/>
    <w:rsid w:val="173D0BA5"/>
    <w:rsid w:val="18C6275A"/>
    <w:rsid w:val="19BFC60F"/>
    <w:rsid w:val="1A34B3EE"/>
    <w:rsid w:val="1AB8E704"/>
    <w:rsid w:val="1B199823"/>
    <w:rsid w:val="1B35E8C8"/>
    <w:rsid w:val="1BAC690F"/>
    <w:rsid w:val="1C174821"/>
    <w:rsid w:val="1C388E03"/>
    <w:rsid w:val="1C8AF883"/>
    <w:rsid w:val="1CD8F1A8"/>
    <w:rsid w:val="1CE4AB30"/>
    <w:rsid w:val="1CFAC7DD"/>
    <w:rsid w:val="1D7D55BB"/>
    <w:rsid w:val="1DC17360"/>
    <w:rsid w:val="1EE409D1"/>
    <w:rsid w:val="1EFAF93B"/>
    <w:rsid w:val="1F8FA54B"/>
    <w:rsid w:val="1FA8A56F"/>
    <w:rsid w:val="1FD3133B"/>
    <w:rsid w:val="1FE7F0B7"/>
    <w:rsid w:val="1FED0946"/>
    <w:rsid w:val="2053E786"/>
    <w:rsid w:val="20772913"/>
    <w:rsid w:val="207A791D"/>
    <w:rsid w:val="208D1138"/>
    <w:rsid w:val="20DA5D1A"/>
    <w:rsid w:val="20E0B43F"/>
    <w:rsid w:val="20FAA088"/>
    <w:rsid w:val="212E6E69"/>
    <w:rsid w:val="215A9805"/>
    <w:rsid w:val="2173B77B"/>
    <w:rsid w:val="21B66FEF"/>
    <w:rsid w:val="2235BBC9"/>
    <w:rsid w:val="224A4243"/>
    <w:rsid w:val="227C5DCF"/>
    <w:rsid w:val="227FFFF5"/>
    <w:rsid w:val="22CA3ECA"/>
    <w:rsid w:val="22D7C68E"/>
    <w:rsid w:val="230F6D86"/>
    <w:rsid w:val="234297DB"/>
    <w:rsid w:val="23A6A7C2"/>
    <w:rsid w:val="23F6207D"/>
    <w:rsid w:val="23F72542"/>
    <w:rsid w:val="245CF8AC"/>
    <w:rsid w:val="24A53C65"/>
    <w:rsid w:val="24C5C20E"/>
    <w:rsid w:val="25160A1F"/>
    <w:rsid w:val="252C1186"/>
    <w:rsid w:val="255211D0"/>
    <w:rsid w:val="2592F5A3"/>
    <w:rsid w:val="25ABEC53"/>
    <w:rsid w:val="262ABD2B"/>
    <w:rsid w:val="268490A2"/>
    <w:rsid w:val="26F3A79C"/>
    <w:rsid w:val="2727B24A"/>
    <w:rsid w:val="279DAFED"/>
    <w:rsid w:val="27BE6AC6"/>
    <w:rsid w:val="27E8E634"/>
    <w:rsid w:val="27F4DC76"/>
    <w:rsid w:val="28750B88"/>
    <w:rsid w:val="28EA8B10"/>
    <w:rsid w:val="29C5DCDC"/>
    <w:rsid w:val="2A7B19E2"/>
    <w:rsid w:val="2AA7E3EE"/>
    <w:rsid w:val="2AC5075F"/>
    <w:rsid w:val="2AF44539"/>
    <w:rsid w:val="2BA6D115"/>
    <w:rsid w:val="2BB2BC8B"/>
    <w:rsid w:val="2BD47251"/>
    <w:rsid w:val="2BD7FC2C"/>
    <w:rsid w:val="2BF18930"/>
    <w:rsid w:val="2C11B898"/>
    <w:rsid w:val="2C1AF9FB"/>
    <w:rsid w:val="2C6E001A"/>
    <w:rsid w:val="2C8453F0"/>
    <w:rsid w:val="2CD196F8"/>
    <w:rsid w:val="2CE10FDE"/>
    <w:rsid w:val="2D2F89BC"/>
    <w:rsid w:val="2D37236B"/>
    <w:rsid w:val="2D7DCB71"/>
    <w:rsid w:val="2DAD7892"/>
    <w:rsid w:val="2DF9C494"/>
    <w:rsid w:val="2E2DAC4A"/>
    <w:rsid w:val="2E51E3E3"/>
    <w:rsid w:val="2EB9D015"/>
    <w:rsid w:val="2EF877AF"/>
    <w:rsid w:val="2F3EB15C"/>
    <w:rsid w:val="2FD4C831"/>
    <w:rsid w:val="2FF16BA9"/>
    <w:rsid w:val="305DA24E"/>
    <w:rsid w:val="30B56C33"/>
    <w:rsid w:val="30C3DBC7"/>
    <w:rsid w:val="313D8469"/>
    <w:rsid w:val="315F8730"/>
    <w:rsid w:val="3202FADF"/>
    <w:rsid w:val="322F1482"/>
    <w:rsid w:val="32381204"/>
    <w:rsid w:val="3266B832"/>
    <w:rsid w:val="32A1D33E"/>
    <w:rsid w:val="3342BB58"/>
    <w:rsid w:val="3349A04A"/>
    <w:rsid w:val="337E80A1"/>
    <w:rsid w:val="33DBB81C"/>
    <w:rsid w:val="33E11173"/>
    <w:rsid w:val="347DEC3E"/>
    <w:rsid w:val="34BBB383"/>
    <w:rsid w:val="3577887D"/>
    <w:rsid w:val="3601D689"/>
    <w:rsid w:val="36479A89"/>
    <w:rsid w:val="36EFE6F8"/>
    <w:rsid w:val="374CD754"/>
    <w:rsid w:val="37DA9CF8"/>
    <w:rsid w:val="381E2C5A"/>
    <w:rsid w:val="383A5CFE"/>
    <w:rsid w:val="3A3B43D3"/>
    <w:rsid w:val="3AE94E66"/>
    <w:rsid w:val="3B376928"/>
    <w:rsid w:val="3BB6B83B"/>
    <w:rsid w:val="3C760A03"/>
    <w:rsid w:val="3CD07541"/>
    <w:rsid w:val="3CDDA159"/>
    <w:rsid w:val="3CE51D57"/>
    <w:rsid w:val="3D11975F"/>
    <w:rsid w:val="3D665A1E"/>
    <w:rsid w:val="3E1CAA08"/>
    <w:rsid w:val="3E6D290B"/>
    <w:rsid w:val="3F6694F4"/>
    <w:rsid w:val="3F70AC0D"/>
    <w:rsid w:val="3F7EBFB6"/>
    <w:rsid w:val="4021EF8F"/>
    <w:rsid w:val="40957E1E"/>
    <w:rsid w:val="40D37D83"/>
    <w:rsid w:val="413A9E9F"/>
    <w:rsid w:val="41758372"/>
    <w:rsid w:val="4181980D"/>
    <w:rsid w:val="421FCC8C"/>
    <w:rsid w:val="422D996B"/>
    <w:rsid w:val="422E0631"/>
    <w:rsid w:val="42FB52EE"/>
    <w:rsid w:val="434276B4"/>
    <w:rsid w:val="434BB3BB"/>
    <w:rsid w:val="437C58CA"/>
    <w:rsid w:val="43A3441D"/>
    <w:rsid w:val="43C1ACC3"/>
    <w:rsid w:val="4470D298"/>
    <w:rsid w:val="447BE86C"/>
    <w:rsid w:val="44CC767C"/>
    <w:rsid w:val="44CD3226"/>
    <w:rsid w:val="4598F7B4"/>
    <w:rsid w:val="464617C9"/>
    <w:rsid w:val="46940759"/>
    <w:rsid w:val="46B5F053"/>
    <w:rsid w:val="46CB4AF3"/>
    <w:rsid w:val="471EC91D"/>
    <w:rsid w:val="47B26E4E"/>
    <w:rsid w:val="47BDA82B"/>
    <w:rsid w:val="486BD0AE"/>
    <w:rsid w:val="487527DB"/>
    <w:rsid w:val="48772556"/>
    <w:rsid w:val="48F72B93"/>
    <w:rsid w:val="490FAF57"/>
    <w:rsid w:val="4985A85F"/>
    <w:rsid w:val="49F807ED"/>
    <w:rsid w:val="4A0EA57E"/>
    <w:rsid w:val="4AA1DBCD"/>
    <w:rsid w:val="4AA9A02E"/>
    <w:rsid w:val="4ACD63A8"/>
    <w:rsid w:val="4B929207"/>
    <w:rsid w:val="4BCCF33F"/>
    <w:rsid w:val="4BD280E1"/>
    <w:rsid w:val="4D3F41D1"/>
    <w:rsid w:val="4D523488"/>
    <w:rsid w:val="4DF435B2"/>
    <w:rsid w:val="4E4E408A"/>
    <w:rsid w:val="4E6D2CEA"/>
    <w:rsid w:val="4EAE8775"/>
    <w:rsid w:val="4EBB3391"/>
    <w:rsid w:val="4F762C5F"/>
    <w:rsid w:val="4F7D1151"/>
    <w:rsid w:val="504E2114"/>
    <w:rsid w:val="50517B13"/>
    <w:rsid w:val="505E0FFC"/>
    <w:rsid w:val="51DE9FCD"/>
    <w:rsid w:val="525361E3"/>
    <w:rsid w:val="5260E9A7"/>
    <w:rsid w:val="52ABFD5D"/>
    <w:rsid w:val="52B4B213"/>
    <w:rsid w:val="52E54284"/>
    <w:rsid w:val="53EF3244"/>
    <w:rsid w:val="5431588E"/>
    <w:rsid w:val="543EDDE6"/>
    <w:rsid w:val="54DCB0CD"/>
    <w:rsid w:val="54FBDCA5"/>
    <w:rsid w:val="55988A69"/>
    <w:rsid w:val="55AD6A7A"/>
    <w:rsid w:val="55BBA488"/>
    <w:rsid w:val="55CC13B0"/>
    <w:rsid w:val="55CD28EF"/>
    <w:rsid w:val="5640743E"/>
    <w:rsid w:val="5687E455"/>
    <w:rsid w:val="5745C790"/>
    <w:rsid w:val="585B9CDD"/>
    <w:rsid w:val="58A34148"/>
    <w:rsid w:val="58A97B0A"/>
    <w:rsid w:val="58DF972B"/>
    <w:rsid w:val="5918C70F"/>
    <w:rsid w:val="5933D08C"/>
    <w:rsid w:val="595ED4CF"/>
    <w:rsid w:val="596D53E5"/>
    <w:rsid w:val="5A109E94"/>
    <w:rsid w:val="5AB7441E"/>
    <w:rsid w:val="5ABDA47C"/>
    <w:rsid w:val="5ABE0C7B"/>
    <w:rsid w:val="5C2DFF5F"/>
    <w:rsid w:val="5C6381DF"/>
    <w:rsid w:val="5C6D785A"/>
    <w:rsid w:val="5D06EE8A"/>
    <w:rsid w:val="5D1FA1DB"/>
    <w:rsid w:val="5D48C775"/>
    <w:rsid w:val="5DD1A2EF"/>
    <w:rsid w:val="5E0948BB"/>
    <w:rsid w:val="5E3B54D9"/>
    <w:rsid w:val="5F8CF026"/>
    <w:rsid w:val="5FD7253A"/>
    <w:rsid w:val="5FF3DCFB"/>
    <w:rsid w:val="60A070BD"/>
    <w:rsid w:val="60CAC85C"/>
    <w:rsid w:val="60EA4213"/>
    <w:rsid w:val="6140E97D"/>
    <w:rsid w:val="61603B1B"/>
    <w:rsid w:val="61DA5FAD"/>
    <w:rsid w:val="62287D88"/>
    <w:rsid w:val="62BFA955"/>
    <w:rsid w:val="62C27674"/>
    <w:rsid w:val="62D2C363"/>
    <w:rsid w:val="62FD374E"/>
    <w:rsid w:val="630EC5FC"/>
    <w:rsid w:val="634BB2D8"/>
    <w:rsid w:val="6418F08C"/>
    <w:rsid w:val="64315C6D"/>
    <w:rsid w:val="646F3A2A"/>
    <w:rsid w:val="646FF35C"/>
    <w:rsid w:val="64814DB9"/>
    <w:rsid w:val="64C3BEBA"/>
    <w:rsid w:val="64F2F81B"/>
    <w:rsid w:val="652293C5"/>
    <w:rsid w:val="65C2AF92"/>
    <w:rsid w:val="660A6425"/>
    <w:rsid w:val="664FE864"/>
    <w:rsid w:val="66DB73E8"/>
    <w:rsid w:val="66F95E3F"/>
    <w:rsid w:val="677B8966"/>
    <w:rsid w:val="67870AA0"/>
    <w:rsid w:val="67CC0044"/>
    <w:rsid w:val="67CCE16C"/>
    <w:rsid w:val="67E2371F"/>
    <w:rsid w:val="685CFC78"/>
    <w:rsid w:val="68EE0D30"/>
    <w:rsid w:val="694204E7"/>
    <w:rsid w:val="695F5078"/>
    <w:rsid w:val="697E0780"/>
    <w:rsid w:val="69BAF45C"/>
    <w:rsid w:val="69E547FE"/>
    <w:rsid w:val="69F2A1D2"/>
    <w:rsid w:val="6A877594"/>
    <w:rsid w:val="6AD2A8C0"/>
    <w:rsid w:val="6AE0220B"/>
    <w:rsid w:val="6AE67421"/>
    <w:rsid w:val="6AF7471E"/>
    <w:rsid w:val="6B1B0007"/>
    <w:rsid w:val="6B56C4BD"/>
    <w:rsid w:val="6B5BE91B"/>
    <w:rsid w:val="6B65398F"/>
    <w:rsid w:val="6B892B1D"/>
    <w:rsid w:val="6C30592E"/>
    <w:rsid w:val="6C77CB77"/>
    <w:rsid w:val="6C7DC8DD"/>
    <w:rsid w:val="6CAC0B60"/>
    <w:rsid w:val="6CB28B5B"/>
    <w:rsid w:val="6CF88A4D"/>
    <w:rsid w:val="6D8C062B"/>
    <w:rsid w:val="6DF64C24"/>
    <w:rsid w:val="6E42C678"/>
    <w:rsid w:val="6ED99E0B"/>
    <w:rsid w:val="6FDBBEB6"/>
    <w:rsid w:val="7025012B"/>
    <w:rsid w:val="70302B0F"/>
    <w:rsid w:val="7044A641"/>
    <w:rsid w:val="70536ABA"/>
    <w:rsid w:val="705BBBC4"/>
    <w:rsid w:val="7156DB71"/>
    <w:rsid w:val="71B7294A"/>
    <w:rsid w:val="71BBCF9C"/>
    <w:rsid w:val="71BE73AC"/>
    <w:rsid w:val="7216F345"/>
    <w:rsid w:val="72ADAEAB"/>
    <w:rsid w:val="731921BF"/>
    <w:rsid w:val="735D5F78"/>
    <w:rsid w:val="737AFEE6"/>
    <w:rsid w:val="73D369CA"/>
    <w:rsid w:val="73F116A4"/>
    <w:rsid w:val="7437CC08"/>
    <w:rsid w:val="748CA400"/>
    <w:rsid w:val="75A01B15"/>
    <w:rsid w:val="763A26AC"/>
    <w:rsid w:val="76B01FB4"/>
    <w:rsid w:val="76B29FA8"/>
    <w:rsid w:val="76B2A1C6"/>
    <w:rsid w:val="76D7ED26"/>
    <w:rsid w:val="772EB2E6"/>
    <w:rsid w:val="77C444C2"/>
    <w:rsid w:val="77C69484"/>
    <w:rsid w:val="788B4DD4"/>
    <w:rsid w:val="79369D07"/>
    <w:rsid w:val="796342CC"/>
    <w:rsid w:val="79BD4920"/>
    <w:rsid w:val="79EC3DA4"/>
    <w:rsid w:val="7A9E626C"/>
    <w:rsid w:val="7ADF4B80"/>
    <w:rsid w:val="7B265FF1"/>
    <w:rsid w:val="7BAB5E49"/>
    <w:rsid w:val="7C075465"/>
    <w:rsid w:val="7C186902"/>
    <w:rsid w:val="7C720053"/>
    <w:rsid w:val="7CD4D119"/>
    <w:rsid w:val="7D78D838"/>
    <w:rsid w:val="7D857EC2"/>
    <w:rsid w:val="7D95811D"/>
    <w:rsid w:val="7DA6D828"/>
    <w:rsid w:val="7E70A17A"/>
    <w:rsid w:val="7E99D5BE"/>
    <w:rsid w:val="7EB37662"/>
    <w:rsid w:val="7EBF0735"/>
    <w:rsid w:val="7F327336"/>
    <w:rsid w:val="7F49A5D6"/>
    <w:rsid w:val="7F8337D8"/>
    <w:rsid w:val="7FC02B34"/>
    <w:rsid w:val="7FD37AE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FB0AED"/>
  <w15:chartTrackingRefBased/>
  <w15:docId w15:val="{9C8DFEF0-A9DB-466C-BCF0-45F4C586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33DBF"/>
    <w:pPr>
      <w:keepNext/>
      <w:widowControl w:val="0"/>
      <w:shd w:val="clear" w:color="auto" w:fill="FFFFFF"/>
      <w:suppressAutoHyphens/>
      <w:spacing w:before="820" w:after="0" w:line="240" w:lineRule="auto"/>
      <w:ind w:right="320"/>
      <w:jc w:val="center"/>
      <w:outlineLvl w:val="0"/>
    </w:pPr>
    <w:rPr>
      <w:rFonts w:ascii="Times New Roman" w:eastAsia="Times New Roman" w:hAnsi="Times New Roman" w:cs="Times New Roman"/>
      <w:color w:val="850C13"/>
      <w:spacing w:val="-2"/>
      <w:sz w:val="52"/>
      <w:szCs w:val="52"/>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2A5E"/>
    <w:rPr>
      <w:color w:val="0563C1" w:themeColor="hyperlink"/>
      <w:u w:val="single"/>
    </w:rPr>
  </w:style>
  <w:style w:type="character" w:styleId="Menzionenonrisolta">
    <w:name w:val="Unresolved Mention"/>
    <w:basedOn w:val="Carpredefinitoparagrafo"/>
    <w:uiPriority w:val="99"/>
    <w:semiHidden/>
    <w:unhideWhenUsed/>
    <w:rsid w:val="004C2A5E"/>
    <w:rPr>
      <w:color w:val="605E5C"/>
      <w:shd w:val="clear" w:color="auto" w:fill="E1DFDD"/>
    </w:rPr>
  </w:style>
  <w:style w:type="character" w:customStyle="1" w:styleId="Titolo1Carattere">
    <w:name w:val="Titolo 1 Carattere"/>
    <w:basedOn w:val="Carpredefinitoparagrafo"/>
    <w:link w:val="Titolo1"/>
    <w:uiPriority w:val="9"/>
    <w:rsid w:val="00433DBF"/>
    <w:rPr>
      <w:rFonts w:ascii="Times New Roman" w:eastAsia="Times New Roman" w:hAnsi="Times New Roman" w:cs="Times New Roman"/>
      <w:color w:val="850C13"/>
      <w:spacing w:val="-2"/>
      <w:sz w:val="52"/>
      <w:szCs w:val="52"/>
      <w:shd w:val="clear" w:color="auto" w:fill="FFFFFF"/>
      <w:lang w:val="en-US" w:eastAsia="zh-CN"/>
    </w:rPr>
  </w:style>
  <w:style w:type="paragraph" w:styleId="Paragrafoelenco">
    <w:name w:val="List Paragraph"/>
    <w:basedOn w:val="Normale"/>
    <w:uiPriority w:val="34"/>
    <w:qFormat/>
    <w:rsid w:val="00183FEC"/>
    <w:pPr>
      <w:ind w:left="720"/>
      <w:contextualSpacing/>
    </w:pPr>
  </w:style>
  <w:style w:type="paragraph" w:styleId="Revisione">
    <w:name w:val="Revision"/>
    <w:hidden/>
    <w:uiPriority w:val="99"/>
    <w:semiHidden/>
    <w:rsid w:val="00E620BF"/>
    <w:pPr>
      <w:spacing w:after="0" w:line="240" w:lineRule="auto"/>
    </w:pPr>
  </w:style>
  <w:style w:type="character" w:styleId="Rimandocommento">
    <w:name w:val="annotation reference"/>
    <w:basedOn w:val="Carpredefinitoparagrafo"/>
    <w:uiPriority w:val="99"/>
    <w:semiHidden/>
    <w:unhideWhenUsed/>
    <w:rsid w:val="00E620BF"/>
    <w:rPr>
      <w:sz w:val="16"/>
      <w:szCs w:val="16"/>
    </w:rPr>
  </w:style>
  <w:style w:type="paragraph" w:styleId="Testocommento">
    <w:name w:val="annotation text"/>
    <w:basedOn w:val="Normale"/>
    <w:link w:val="TestocommentoCarattere"/>
    <w:uiPriority w:val="99"/>
    <w:unhideWhenUsed/>
    <w:rsid w:val="00E620BF"/>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20BF"/>
    <w:rPr>
      <w:sz w:val="20"/>
      <w:szCs w:val="20"/>
    </w:rPr>
  </w:style>
  <w:style w:type="paragraph" w:styleId="Soggettocommento">
    <w:name w:val="annotation subject"/>
    <w:basedOn w:val="Testocommento"/>
    <w:next w:val="Testocommento"/>
    <w:link w:val="SoggettocommentoCarattere"/>
    <w:uiPriority w:val="99"/>
    <w:semiHidden/>
    <w:unhideWhenUsed/>
    <w:rsid w:val="00E620BF"/>
    <w:rPr>
      <w:b/>
      <w:bCs/>
    </w:rPr>
  </w:style>
  <w:style w:type="character" w:customStyle="1" w:styleId="SoggettocommentoCarattere">
    <w:name w:val="Soggetto commento Carattere"/>
    <w:basedOn w:val="TestocommentoCarattere"/>
    <w:link w:val="Soggettocommento"/>
    <w:uiPriority w:val="99"/>
    <w:semiHidden/>
    <w:rsid w:val="00E620BF"/>
    <w:rPr>
      <w:b/>
      <w:bCs/>
      <w:sz w:val="20"/>
      <w:szCs w:val="20"/>
    </w:r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after="0" w:line="240" w:lineRule="auto"/>
    </w:pPr>
  </w:style>
  <w:style w:type="paragraph" w:styleId="Testofumetto">
    <w:name w:val="Balloon Text"/>
    <w:basedOn w:val="Normale"/>
    <w:link w:val="TestofumettoCarattere"/>
    <w:uiPriority w:val="99"/>
    <w:semiHidden/>
    <w:unhideWhenUsed/>
    <w:rsid w:val="000304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04DD"/>
    <w:rPr>
      <w:rFonts w:ascii="Segoe UI" w:hAnsi="Segoe UI" w:cs="Segoe UI"/>
      <w:sz w:val="18"/>
      <w:szCs w:val="18"/>
    </w:rPr>
  </w:style>
  <w:style w:type="paragraph" w:styleId="Titolo">
    <w:name w:val="Title"/>
    <w:basedOn w:val="Normale"/>
    <w:next w:val="Normale"/>
    <w:link w:val="TitoloCarattere"/>
    <w:uiPriority w:val="10"/>
    <w:qFormat/>
    <w:rsid w:val="00F53C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53C4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74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in.duncan@unimi.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zato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fff1bac-9184-4bfa-a16b-5877549c6f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7823839F4131448B3DBB41A47B3480E" ma:contentTypeVersion="15" ma:contentTypeDescription="Creare un nuovo documento." ma:contentTypeScope="" ma:versionID="6e9d2da3ff2928de438a59606f58795e">
  <xsd:schema xmlns:xsd="http://www.w3.org/2001/XMLSchema" xmlns:xs="http://www.w3.org/2001/XMLSchema" xmlns:p="http://schemas.microsoft.com/office/2006/metadata/properties" xmlns:ns3="5fff1bac-9184-4bfa-a16b-5877549c6f22" xmlns:ns4="58b1c14d-76cc-4912-90b0-2bd563262cad" targetNamespace="http://schemas.microsoft.com/office/2006/metadata/properties" ma:root="true" ma:fieldsID="009fc2084016a4c66114c6d307504063" ns3:_="" ns4:_="">
    <xsd:import namespace="5fff1bac-9184-4bfa-a16b-5877549c6f22"/>
    <xsd:import namespace="58b1c14d-76cc-4912-90b0-2bd563262c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f1bac-9184-4bfa-a16b-5877549c6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b1c14d-76cc-4912-90b0-2bd563262ca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5526-EF55-409D-B925-0BACE72CA646}">
  <ds:schemaRef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 ds:uri="58b1c14d-76cc-4912-90b0-2bd563262cad"/>
    <ds:schemaRef ds:uri="5fff1bac-9184-4bfa-a16b-5877549c6f22"/>
    <ds:schemaRef ds:uri="http://purl.org/dc/terms/"/>
  </ds:schemaRefs>
</ds:datastoreItem>
</file>

<file path=customXml/itemProps2.xml><?xml version="1.0" encoding="utf-8"?>
<ds:datastoreItem xmlns:ds="http://schemas.openxmlformats.org/officeDocument/2006/customXml" ds:itemID="{D10E9039-FEDD-45DF-A087-C180D61DFD4E}">
  <ds:schemaRefs>
    <ds:schemaRef ds:uri="http://schemas.microsoft.com/sharepoint/v3/contenttype/forms"/>
  </ds:schemaRefs>
</ds:datastoreItem>
</file>

<file path=customXml/itemProps3.xml><?xml version="1.0" encoding="utf-8"?>
<ds:datastoreItem xmlns:ds="http://schemas.openxmlformats.org/officeDocument/2006/customXml" ds:itemID="{C050A757-8EEF-40B1-838A-724DF702C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f1bac-9184-4bfa-a16b-5877549c6f22"/>
    <ds:schemaRef ds:uri="58b1c14d-76cc-4912-90b0-2bd5632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B60FE-976A-4DF4-92D4-F35CEF15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1209</Words>
  <Characters>6895</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Duncan</dc:creator>
  <cp:keywords/>
  <dc:description/>
  <cp:lastModifiedBy>Robin Duncan</cp:lastModifiedBy>
  <cp:revision>6</cp:revision>
  <dcterms:created xsi:type="dcterms:W3CDTF">2023-06-27T10:11:00Z</dcterms:created>
  <dcterms:modified xsi:type="dcterms:W3CDTF">2023-06-27T13:11:00Z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0x01010067823839F4131448B3DBB41A47B3480E</vt:lpwstr>
  </property>
</Properties>
</file>