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92BD" w14:textId="077CD9A9" w:rsidR="00C12106" w:rsidRPr="005E1FC3" w:rsidRDefault="003416E0" w:rsidP="00145A04">
      <w:pPr>
        <w:pStyle w:val="Titolo"/>
        <w:spacing w:before="600" w:after="120"/>
        <w:jc w:val="center"/>
        <w:rPr>
          <w:rFonts w:ascii="Times New Roman" w:hAnsi="Times New Roman" w:cs="Times New Roman"/>
          <w:b/>
          <w:bCs/>
          <w:sz w:val="28"/>
          <w:szCs w:val="28"/>
          <w:lang w:val="en-US"/>
        </w:rPr>
      </w:pPr>
      <w:r w:rsidRPr="005E1FC3">
        <w:rPr>
          <w:rFonts w:ascii="Times New Roman" w:hAnsi="Times New Roman" w:cs="Times New Roman"/>
          <w:b/>
          <w:bCs/>
          <w:sz w:val="28"/>
          <w:szCs w:val="28"/>
          <w:lang w:val="en-US"/>
        </w:rPr>
        <w:t>Investigation at the boundaries between food processing and nutritional attributes of cereal-based products</w:t>
      </w:r>
    </w:p>
    <w:p w14:paraId="6457E6A6" w14:textId="77777777" w:rsidR="00C12106" w:rsidRPr="007F5D6D" w:rsidRDefault="00C12106" w:rsidP="00C12106">
      <w:pPr>
        <w:jc w:val="center"/>
        <w:rPr>
          <w:rFonts w:ascii="Times New Roman" w:hAnsi="Times New Roman" w:cs="Times New Roman"/>
          <w:sz w:val="20"/>
          <w:szCs w:val="20"/>
          <w:lang w:val="en-US"/>
        </w:rPr>
      </w:pPr>
      <w:r w:rsidRPr="007F5D6D">
        <w:rPr>
          <w:rFonts w:ascii="Times New Roman" w:hAnsi="Times New Roman" w:cs="Times New Roman"/>
          <w:sz w:val="20"/>
          <w:szCs w:val="20"/>
          <w:lang w:val="en-US"/>
        </w:rPr>
        <w:t>PhD Student: Luigi Moriconi</w:t>
      </w:r>
    </w:p>
    <w:p w14:paraId="1B385F99" w14:textId="42F60F70" w:rsidR="00C12106" w:rsidRPr="0034230F" w:rsidRDefault="0034230F" w:rsidP="00C12106">
      <w:pPr>
        <w:jc w:val="center"/>
        <w:rPr>
          <w:rFonts w:ascii="Times New Roman" w:hAnsi="Times New Roman" w:cs="Times New Roman"/>
          <w:sz w:val="20"/>
          <w:szCs w:val="20"/>
          <w:lang w:val="en-US"/>
        </w:rPr>
      </w:pPr>
      <w:r w:rsidRPr="0034230F">
        <w:rPr>
          <w:rFonts w:ascii="Times New Roman" w:hAnsi="Times New Roman" w:cs="Times New Roman"/>
          <w:sz w:val="20"/>
          <w:szCs w:val="20"/>
          <w:lang w:val="en-US"/>
        </w:rPr>
        <w:t>School of Biosciences</w:t>
      </w:r>
      <w:r>
        <w:rPr>
          <w:rFonts w:ascii="Times New Roman" w:hAnsi="Times New Roman" w:cs="Times New Roman"/>
          <w:sz w:val="20"/>
          <w:szCs w:val="20"/>
          <w:lang w:val="en-US"/>
        </w:rPr>
        <w:t xml:space="preserve"> and Veterinary Medicine, </w:t>
      </w:r>
      <w:r w:rsidR="00C12106" w:rsidRPr="0034230F">
        <w:rPr>
          <w:rFonts w:ascii="Times New Roman" w:hAnsi="Times New Roman" w:cs="Times New Roman"/>
          <w:sz w:val="20"/>
          <w:szCs w:val="20"/>
          <w:lang w:val="en-US"/>
        </w:rPr>
        <w:t>University of Camerino, Camerino (MC), Italy</w:t>
      </w:r>
    </w:p>
    <w:p w14:paraId="5CB83CA2" w14:textId="51302911" w:rsidR="00C12106" w:rsidRPr="001831C3" w:rsidRDefault="00C12106" w:rsidP="00C12106">
      <w:pPr>
        <w:jc w:val="center"/>
        <w:rPr>
          <w:rFonts w:ascii="Times New Roman" w:hAnsi="Times New Roman" w:cs="Times New Roman"/>
          <w:sz w:val="20"/>
          <w:szCs w:val="20"/>
        </w:rPr>
      </w:pPr>
      <w:r>
        <w:rPr>
          <w:rFonts w:ascii="Times New Roman" w:hAnsi="Times New Roman" w:cs="Times New Roman"/>
          <w:sz w:val="20"/>
          <w:szCs w:val="20"/>
        </w:rPr>
        <w:t xml:space="preserve">Tutor: </w:t>
      </w:r>
      <w:r w:rsidRPr="001831C3">
        <w:rPr>
          <w:rFonts w:ascii="Times New Roman" w:hAnsi="Times New Roman" w:cs="Times New Roman"/>
          <w:sz w:val="20"/>
          <w:szCs w:val="20"/>
        </w:rPr>
        <w:t>Prof.ssa Elena Vittadini</w:t>
      </w:r>
    </w:p>
    <w:p w14:paraId="22FAFAB4" w14:textId="77777777" w:rsidR="00C12106" w:rsidRPr="003041B8" w:rsidRDefault="00C12106" w:rsidP="00C12106">
      <w:pPr>
        <w:jc w:val="center"/>
        <w:rPr>
          <w:rFonts w:ascii="Times New Roman" w:hAnsi="Times New Roman" w:cs="Times New Roman"/>
          <w:sz w:val="20"/>
          <w:szCs w:val="20"/>
        </w:rPr>
      </w:pPr>
    </w:p>
    <w:p w14:paraId="28156A67" w14:textId="7324F934" w:rsidR="00C12106" w:rsidRDefault="00C12106" w:rsidP="00C12106">
      <w:pPr>
        <w:jc w:val="both"/>
        <w:rPr>
          <w:rFonts w:ascii="Times New Roman" w:hAnsi="Times New Roman" w:cs="Times New Roman"/>
          <w:sz w:val="20"/>
          <w:szCs w:val="20"/>
          <w:lang w:val="en-US"/>
        </w:rPr>
      </w:pPr>
      <w:r w:rsidRPr="008C0F6A">
        <w:rPr>
          <w:rFonts w:ascii="Times New Roman" w:hAnsi="Times New Roman" w:cs="Times New Roman"/>
          <w:sz w:val="20"/>
          <w:szCs w:val="20"/>
          <w:lang w:val="en-US"/>
        </w:rPr>
        <w:t xml:space="preserve">This PhD thesis aims at investigating the effect of transformation processes on the technological, nutritional and biochemical characteristics of cereal-based products. In particular, this </w:t>
      </w:r>
      <w:r w:rsidR="00B2480D">
        <w:rPr>
          <w:rFonts w:ascii="Times New Roman" w:hAnsi="Times New Roman" w:cs="Times New Roman"/>
          <w:sz w:val="20"/>
          <w:szCs w:val="20"/>
          <w:lang w:val="en-US"/>
        </w:rPr>
        <w:t xml:space="preserve">thesis </w:t>
      </w:r>
      <w:r w:rsidR="004A166C">
        <w:rPr>
          <w:rFonts w:ascii="Times New Roman" w:hAnsi="Times New Roman" w:cs="Times New Roman"/>
          <w:sz w:val="20"/>
          <w:szCs w:val="20"/>
          <w:lang w:val="en-US"/>
        </w:rPr>
        <w:t>has</w:t>
      </w:r>
      <w:r w:rsidRPr="008C0F6A">
        <w:rPr>
          <w:rFonts w:ascii="Times New Roman" w:hAnsi="Times New Roman" w:cs="Times New Roman"/>
          <w:sz w:val="20"/>
          <w:szCs w:val="20"/>
          <w:lang w:val="en-US"/>
        </w:rPr>
        <w:t xml:space="preserve"> evaluat</w:t>
      </w:r>
      <w:r w:rsidR="004A166C">
        <w:rPr>
          <w:rFonts w:ascii="Times New Roman" w:hAnsi="Times New Roman" w:cs="Times New Roman"/>
          <w:sz w:val="20"/>
          <w:szCs w:val="20"/>
          <w:lang w:val="en-US"/>
        </w:rPr>
        <w:t>ed:</w:t>
      </w:r>
    </w:p>
    <w:p w14:paraId="589FB8F9" w14:textId="22A46070" w:rsidR="00C12106" w:rsidRPr="007D3645" w:rsidRDefault="00C12106" w:rsidP="00C12106">
      <w:pPr>
        <w:pStyle w:val="Paragrafoelenco"/>
        <w:numPr>
          <w:ilvl w:val="0"/>
          <w:numId w:val="1"/>
        </w:numPr>
        <w:jc w:val="both"/>
        <w:rPr>
          <w:rFonts w:ascii="Times New Roman" w:hAnsi="Times New Roman" w:cs="Times New Roman"/>
          <w:sz w:val="20"/>
          <w:szCs w:val="20"/>
          <w:lang w:val="en-US"/>
        </w:rPr>
      </w:pPr>
      <w:r w:rsidRPr="007D3645">
        <w:rPr>
          <w:rFonts w:ascii="Times New Roman" w:hAnsi="Times New Roman" w:cs="Times New Roman"/>
          <w:sz w:val="20"/>
          <w:szCs w:val="20"/>
          <w:lang w:val="en-US"/>
        </w:rPr>
        <w:t>the effect of soft wheat milling (roller vs. stone milling) on technological/rheological and nutritional (special emphasis on inflammatory activity) quality of flours;</w:t>
      </w:r>
    </w:p>
    <w:p w14:paraId="02881435" w14:textId="5D65F6DB" w:rsidR="00C12106" w:rsidRPr="007D3645" w:rsidRDefault="00C12106" w:rsidP="00C12106">
      <w:pPr>
        <w:pStyle w:val="Paragrafoelenco"/>
        <w:numPr>
          <w:ilvl w:val="0"/>
          <w:numId w:val="1"/>
        </w:numPr>
        <w:jc w:val="both"/>
        <w:rPr>
          <w:rFonts w:ascii="Times New Roman" w:hAnsi="Times New Roman" w:cs="Times New Roman"/>
          <w:sz w:val="20"/>
          <w:szCs w:val="20"/>
          <w:lang w:val="en-US"/>
        </w:rPr>
      </w:pPr>
      <w:r w:rsidRPr="007D3645">
        <w:rPr>
          <w:rFonts w:ascii="Times New Roman" w:hAnsi="Times New Roman" w:cs="Times New Roman"/>
          <w:sz w:val="20"/>
          <w:szCs w:val="20"/>
          <w:lang w:val="en-US"/>
        </w:rPr>
        <w:t>physical-chemical characteristics of acorn and wheat flours, the dough making potential of their mixtures, the effect of acorn flour on bread quality;</w:t>
      </w:r>
    </w:p>
    <w:p w14:paraId="397BF060" w14:textId="3C6669E0" w:rsidR="00C12106" w:rsidRDefault="00C12106" w:rsidP="00C12106">
      <w:pPr>
        <w:pStyle w:val="Paragrafoelenco"/>
        <w:numPr>
          <w:ilvl w:val="0"/>
          <w:numId w:val="1"/>
        </w:numPr>
        <w:jc w:val="both"/>
        <w:rPr>
          <w:rFonts w:ascii="Times New Roman" w:hAnsi="Times New Roman" w:cs="Times New Roman"/>
          <w:sz w:val="20"/>
          <w:szCs w:val="20"/>
          <w:lang w:val="en-US"/>
        </w:rPr>
      </w:pPr>
      <w:r w:rsidRPr="007D3645">
        <w:rPr>
          <w:rFonts w:ascii="Times New Roman" w:hAnsi="Times New Roman" w:cs="Times New Roman"/>
          <w:sz w:val="20"/>
          <w:szCs w:val="20"/>
          <w:lang w:val="en-US"/>
        </w:rPr>
        <w:t>the impact of sorg</w:t>
      </w:r>
      <w:r w:rsidR="009A7141">
        <w:rPr>
          <w:rFonts w:ascii="Times New Roman" w:hAnsi="Times New Roman" w:cs="Times New Roman"/>
          <w:sz w:val="20"/>
          <w:szCs w:val="20"/>
          <w:lang w:val="en-US"/>
        </w:rPr>
        <w:t>h</w:t>
      </w:r>
      <w:r w:rsidRPr="007D3645">
        <w:rPr>
          <w:rFonts w:ascii="Times New Roman" w:hAnsi="Times New Roman" w:cs="Times New Roman"/>
          <w:sz w:val="20"/>
          <w:szCs w:val="20"/>
          <w:lang w:val="en-US"/>
        </w:rPr>
        <w:t>um fermentation and fortification with bottle gourd seeds (germinated or not), on technological properties, nutritional value</w:t>
      </w:r>
      <w:r w:rsidR="00B2480D">
        <w:rPr>
          <w:rFonts w:ascii="Times New Roman" w:hAnsi="Times New Roman" w:cs="Times New Roman"/>
          <w:sz w:val="20"/>
          <w:szCs w:val="20"/>
          <w:lang w:val="en-US"/>
        </w:rPr>
        <w:t xml:space="preserve">, </w:t>
      </w:r>
      <w:r w:rsidRPr="007D3645">
        <w:rPr>
          <w:rFonts w:ascii="Times New Roman" w:hAnsi="Times New Roman" w:cs="Times New Roman"/>
          <w:sz w:val="20"/>
          <w:szCs w:val="20"/>
          <w:lang w:val="en-US"/>
        </w:rPr>
        <w:t>starch</w:t>
      </w:r>
      <w:r w:rsidR="00633F57">
        <w:rPr>
          <w:rFonts w:ascii="Times New Roman" w:hAnsi="Times New Roman" w:cs="Times New Roman"/>
          <w:sz w:val="20"/>
          <w:szCs w:val="20"/>
          <w:lang w:val="en-US"/>
        </w:rPr>
        <w:t xml:space="preserve"> </w:t>
      </w:r>
      <w:r w:rsidRPr="007D3645">
        <w:rPr>
          <w:rFonts w:ascii="Times New Roman" w:hAnsi="Times New Roman" w:cs="Times New Roman"/>
          <w:sz w:val="20"/>
          <w:szCs w:val="20"/>
          <w:lang w:val="en-US"/>
        </w:rPr>
        <w:t>and protein digestibility of sorg</w:t>
      </w:r>
      <w:r w:rsidR="009A7141">
        <w:rPr>
          <w:rFonts w:ascii="Times New Roman" w:hAnsi="Times New Roman" w:cs="Times New Roman"/>
          <w:sz w:val="20"/>
          <w:szCs w:val="20"/>
          <w:lang w:val="en-US"/>
        </w:rPr>
        <w:t>h</w:t>
      </w:r>
      <w:r w:rsidRPr="007D3645">
        <w:rPr>
          <w:rFonts w:ascii="Times New Roman" w:hAnsi="Times New Roman" w:cs="Times New Roman"/>
          <w:sz w:val="20"/>
          <w:szCs w:val="20"/>
          <w:lang w:val="en-US"/>
        </w:rPr>
        <w:t>um porridge.</w:t>
      </w:r>
    </w:p>
    <w:p w14:paraId="2D839E8D" w14:textId="101277B7" w:rsidR="00C12106" w:rsidRPr="00145A04" w:rsidRDefault="003416E0" w:rsidP="00145A04">
      <w:pPr>
        <w:pStyle w:val="Titolo"/>
        <w:spacing w:before="600" w:after="120"/>
        <w:jc w:val="center"/>
        <w:rPr>
          <w:rFonts w:ascii="Times New Roman" w:hAnsi="Times New Roman" w:cs="Times New Roman"/>
          <w:b/>
          <w:bCs/>
          <w:sz w:val="28"/>
          <w:szCs w:val="28"/>
        </w:rPr>
      </w:pPr>
      <w:r w:rsidRPr="00145A04">
        <w:rPr>
          <w:rFonts w:ascii="Times New Roman" w:hAnsi="Times New Roman" w:cs="Times New Roman"/>
          <w:b/>
          <w:bCs/>
          <w:sz w:val="28"/>
          <w:szCs w:val="28"/>
        </w:rPr>
        <w:t>Indagine ai confini tra la trasformazione alimentare e le caratteristiche nutrizionali dei prodotti a base di cereali</w:t>
      </w:r>
    </w:p>
    <w:p w14:paraId="607A9241" w14:textId="77777777" w:rsidR="003416E0" w:rsidRPr="003416E0" w:rsidRDefault="003416E0" w:rsidP="00C12106">
      <w:pPr>
        <w:jc w:val="center"/>
        <w:rPr>
          <w:rFonts w:ascii="Times New Roman" w:hAnsi="Times New Roman" w:cs="Times New Roman"/>
          <w:b/>
          <w:bCs/>
          <w:sz w:val="12"/>
          <w:szCs w:val="12"/>
        </w:rPr>
      </w:pPr>
    </w:p>
    <w:p w14:paraId="48875870" w14:textId="11434703" w:rsidR="00C12106" w:rsidRDefault="00C12106" w:rsidP="00C12106">
      <w:pPr>
        <w:jc w:val="both"/>
        <w:rPr>
          <w:rFonts w:ascii="Times New Roman" w:hAnsi="Times New Roman" w:cs="Times New Roman"/>
          <w:sz w:val="20"/>
          <w:szCs w:val="20"/>
        </w:rPr>
      </w:pPr>
      <w:r w:rsidRPr="00B04DE0">
        <w:rPr>
          <w:rFonts w:ascii="Times New Roman" w:hAnsi="Times New Roman" w:cs="Times New Roman"/>
          <w:sz w:val="20"/>
          <w:szCs w:val="20"/>
        </w:rPr>
        <w:t xml:space="preserve">Questa tesi </w:t>
      </w:r>
      <w:r w:rsidR="004A166C">
        <w:rPr>
          <w:rFonts w:ascii="Times New Roman" w:hAnsi="Times New Roman" w:cs="Times New Roman"/>
          <w:sz w:val="20"/>
          <w:szCs w:val="20"/>
        </w:rPr>
        <w:t>indaga</w:t>
      </w:r>
      <w:r w:rsidRPr="00B04DE0">
        <w:rPr>
          <w:rFonts w:ascii="Times New Roman" w:hAnsi="Times New Roman" w:cs="Times New Roman"/>
          <w:sz w:val="20"/>
          <w:szCs w:val="20"/>
        </w:rPr>
        <w:t xml:space="preserve"> l'effetto </w:t>
      </w:r>
      <w:r w:rsidR="004A166C">
        <w:rPr>
          <w:rFonts w:ascii="Times New Roman" w:hAnsi="Times New Roman" w:cs="Times New Roman"/>
          <w:sz w:val="20"/>
          <w:szCs w:val="20"/>
        </w:rPr>
        <w:t>dei</w:t>
      </w:r>
      <w:r w:rsidRPr="00B04DE0">
        <w:rPr>
          <w:rFonts w:ascii="Times New Roman" w:hAnsi="Times New Roman" w:cs="Times New Roman"/>
          <w:sz w:val="20"/>
          <w:szCs w:val="20"/>
        </w:rPr>
        <w:t xml:space="preserve"> processi di trasformazione sulle caratteristiche tecnologiche, nutrizionali e biochimiche dei prodotti a base di cereali. In particolare, </w:t>
      </w:r>
      <w:r w:rsidR="008844A2">
        <w:rPr>
          <w:rFonts w:ascii="Times New Roman" w:hAnsi="Times New Roman" w:cs="Times New Roman"/>
          <w:sz w:val="20"/>
          <w:szCs w:val="20"/>
        </w:rPr>
        <w:t>è stato valutato</w:t>
      </w:r>
      <w:r w:rsidRPr="00B04DE0">
        <w:rPr>
          <w:rFonts w:ascii="Times New Roman" w:hAnsi="Times New Roman" w:cs="Times New Roman"/>
          <w:sz w:val="20"/>
          <w:szCs w:val="20"/>
        </w:rPr>
        <w:t>:</w:t>
      </w:r>
    </w:p>
    <w:p w14:paraId="0B5894D6" w14:textId="792E1743" w:rsidR="00C12106" w:rsidRPr="00B04DE0" w:rsidRDefault="00C12106" w:rsidP="00C12106">
      <w:pPr>
        <w:pStyle w:val="Paragrafoelenco"/>
        <w:numPr>
          <w:ilvl w:val="0"/>
          <w:numId w:val="2"/>
        </w:numPr>
        <w:jc w:val="both"/>
        <w:rPr>
          <w:rFonts w:ascii="Times New Roman" w:hAnsi="Times New Roman" w:cs="Times New Roman"/>
          <w:sz w:val="20"/>
          <w:szCs w:val="20"/>
        </w:rPr>
      </w:pPr>
      <w:r w:rsidRPr="00B04DE0">
        <w:rPr>
          <w:rFonts w:ascii="Times New Roman" w:hAnsi="Times New Roman" w:cs="Times New Roman"/>
          <w:sz w:val="20"/>
          <w:szCs w:val="20"/>
        </w:rPr>
        <w:t>l'effetto della macinazione</w:t>
      </w:r>
      <w:r w:rsidR="00EE7DC7">
        <w:rPr>
          <w:rFonts w:ascii="Times New Roman" w:hAnsi="Times New Roman" w:cs="Times New Roman"/>
          <w:sz w:val="20"/>
          <w:szCs w:val="20"/>
        </w:rPr>
        <w:t xml:space="preserve"> (cilindri vs. pietra)</w:t>
      </w:r>
      <w:r w:rsidRPr="00B04DE0">
        <w:rPr>
          <w:rFonts w:ascii="Times New Roman" w:hAnsi="Times New Roman" w:cs="Times New Roman"/>
          <w:sz w:val="20"/>
          <w:szCs w:val="20"/>
        </w:rPr>
        <w:t xml:space="preserve"> del grano tenero</w:t>
      </w:r>
      <w:r w:rsidR="00EE7DC7">
        <w:rPr>
          <w:rFonts w:ascii="Times New Roman" w:hAnsi="Times New Roman" w:cs="Times New Roman"/>
          <w:sz w:val="20"/>
          <w:szCs w:val="20"/>
        </w:rPr>
        <w:t xml:space="preserve"> </w:t>
      </w:r>
      <w:r w:rsidRPr="00B04DE0">
        <w:rPr>
          <w:rFonts w:ascii="Times New Roman" w:hAnsi="Times New Roman" w:cs="Times New Roman"/>
          <w:sz w:val="20"/>
          <w:szCs w:val="20"/>
        </w:rPr>
        <w:t>sull</w:t>
      </w:r>
      <w:r w:rsidR="00EE7DC7">
        <w:rPr>
          <w:rFonts w:ascii="Times New Roman" w:hAnsi="Times New Roman" w:cs="Times New Roman"/>
          <w:sz w:val="20"/>
          <w:szCs w:val="20"/>
        </w:rPr>
        <w:t>e</w:t>
      </w:r>
      <w:r w:rsidRPr="00B04DE0">
        <w:rPr>
          <w:rFonts w:ascii="Times New Roman" w:hAnsi="Times New Roman" w:cs="Times New Roman"/>
          <w:sz w:val="20"/>
          <w:szCs w:val="20"/>
        </w:rPr>
        <w:t xml:space="preserve"> qualità tecnologic</w:t>
      </w:r>
      <w:r w:rsidR="00EE7DC7">
        <w:rPr>
          <w:rFonts w:ascii="Times New Roman" w:hAnsi="Times New Roman" w:cs="Times New Roman"/>
          <w:sz w:val="20"/>
          <w:szCs w:val="20"/>
        </w:rPr>
        <w:t>he</w:t>
      </w:r>
      <w:r w:rsidRPr="00B04DE0">
        <w:rPr>
          <w:rFonts w:ascii="Times New Roman" w:hAnsi="Times New Roman" w:cs="Times New Roman"/>
          <w:sz w:val="20"/>
          <w:szCs w:val="20"/>
        </w:rPr>
        <w:t>/reologic</w:t>
      </w:r>
      <w:r w:rsidR="00EE7DC7">
        <w:rPr>
          <w:rFonts w:ascii="Times New Roman" w:hAnsi="Times New Roman" w:cs="Times New Roman"/>
          <w:sz w:val="20"/>
          <w:szCs w:val="20"/>
        </w:rPr>
        <w:t>he</w:t>
      </w:r>
      <w:r w:rsidRPr="00B04DE0">
        <w:rPr>
          <w:rFonts w:ascii="Times New Roman" w:hAnsi="Times New Roman" w:cs="Times New Roman"/>
          <w:sz w:val="20"/>
          <w:szCs w:val="20"/>
        </w:rPr>
        <w:t xml:space="preserve"> e nutrizional</w:t>
      </w:r>
      <w:r w:rsidR="00EE7DC7">
        <w:rPr>
          <w:rFonts w:ascii="Times New Roman" w:hAnsi="Times New Roman" w:cs="Times New Roman"/>
          <w:sz w:val="20"/>
          <w:szCs w:val="20"/>
        </w:rPr>
        <w:t>i</w:t>
      </w:r>
      <w:r w:rsidRPr="00B04DE0">
        <w:rPr>
          <w:rFonts w:ascii="Times New Roman" w:hAnsi="Times New Roman" w:cs="Times New Roman"/>
          <w:sz w:val="20"/>
          <w:szCs w:val="20"/>
        </w:rPr>
        <w:t xml:space="preserve"> (</w:t>
      </w:r>
      <w:r w:rsidR="008844A2">
        <w:rPr>
          <w:rFonts w:ascii="Times New Roman" w:hAnsi="Times New Roman" w:cs="Times New Roman"/>
          <w:sz w:val="20"/>
          <w:szCs w:val="20"/>
        </w:rPr>
        <w:t>in particolare l’</w:t>
      </w:r>
      <w:r w:rsidRPr="00B04DE0">
        <w:rPr>
          <w:rFonts w:ascii="Times New Roman" w:hAnsi="Times New Roman" w:cs="Times New Roman"/>
          <w:sz w:val="20"/>
          <w:szCs w:val="20"/>
        </w:rPr>
        <w:t>attività infiammatoria) delle farine;</w:t>
      </w:r>
    </w:p>
    <w:p w14:paraId="6052888B" w14:textId="783F63BE" w:rsidR="00C12106" w:rsidRPr="00B04DE0" w:rsidRDefault="00DD0F08" w:rsidP="00C12106">
      <w:pPr>
        <w:pStyle w:val="Paragrafoelenco"/>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le </w:t>
      </w:r>
      <w:r w:rsidR="00C12106" w:rsidRPr="00B04DE0">
        <w:rPr>
          <w:rFonts w:ascii="Times New Roman" w:hAnsi="Times New Roman" w:cs="Times New Roman"/>
          <w:sz w:val="20"/>
          <w:szCs w:val="20"/>
        </w:rPr>
        <w:t xml:space="preserve">caratteristiche fisico-chimiche delle farine di ghianda e frumento, il potenziale </w:t>
      </w:r>
      <w:r w:rsidR="00C12106">
        <w:rPr>
          <w:rFonts w:ascii="Times New Roman" w:hAnsi="Times New Roman" w:cs="Times New Roman"/>
          <w:sz w:val="20"/>
          <w:szCs w:val="20"/>
        </w:rPr>
        <w:t>di formazione dell’</w:t>
      </w:r>
      <w:r w:rsidR="00C12106" w:rsidRPr="00B04DE0">
        <w:rPr>
          <w:rFonts w:ascii="Times New Roman" w:hAnsi="Times New Roman" w:cs="Times New Roman"/>
          <w:sz w:val="20"/>
          <w:szCs w:val="20"/>
        </w:rPr>
        <w:t>impast</w:t>
      </w:r>
      <w:r w:rsidR="00C12106">
        <w:rPr>
          <w:rFonts w:ascii="Times New Roman" w:hAnsi="Times New Roman" w:cs="Times New Roman"/>
          <w:sz w:val="20"/>
          <w:szCs w:val="20"/>
        </w:rPr>
        <w:t>o</w:t>
      </w:r>
      <w:r w:rsidR="00C12106" w:rsidRPr="00B04DE0">
        <w:rPr>
          <w:rFonts w:ascii="Times New Roman" w:hAnsi="Times New Roman" w:cs="Times New Roman"/>
          <w:sz w:val="20"/>
          <w:szCs w:val="20"/>
        </w:rPr>
        <w:t xml:space="preserve"> delle loro miscele e l'effetto sulla qualità del pane;</w:t>
      </w:r>
    </w:p>
    <w:p w14:paraId="594D1C2E" w14:textId="7EEF4A2F" w:rsidR="00C12106" w:rsidRPr="00B04DE0" w:rsidRDefault="00C12106" w:rsidP="00C12106">
      <w:pPr>
        <w:pStyle w:val="Paragrafoelenco"/>
        <w:numPr>
          <w:ilvl w:val="0"/>
          <w:numId w:val="2"/>
        </w:numPr>
        <w:jc w:val="both"/>
        <w:rPr>
          <w:rFonts w:ascii="Times New Roman" w:hAnsi="Times New Roman" w:cs="Times New Roman"/>
          <w:sz w:val="20"/>
          <w:szCs w:val="20"/>
        </w:rPr>
      </w:pPr>
      <w:r w:rsidRPr="00B04DE0">
        <w:rPr>
          <w:rFonts w:ascii="Times New Roman" w:hAnsi="Times New Roman" w:cs="Times New Roman"/>
          <w:sz w:val="20"/>
          <w:szCs w:val="20"/>
        </w:rPr>
        <w:t xml:space="preserve">l'impatto della fermentazione e della fortificazione del sorgo con semi di zucca (germinati o </w:t>
      </w:r>
      <w:r w:rsidR="00DD0F08">
        <w:rPr>
          <w:rFonts w:ascii="Times New Roman" w:hAnsi="Times New Roman" w:cs="Times New Roman"/>
          <w:sz w:val="20"/>
          <w:szCs w:val="20"/>
        </w:rPr>
        <w:t>meno</w:t>
      </w:r>
      <w:r w:rsidRPr="00B04DE0">
        <w:rPr>
          <w:rFonts w:ascii="Times New Roman" w:hAnsi="Times New Roman" w:cs="Times New Roman"/>
          <w:sz w:val="20"/>
          <w:szCs w:val="20"/>
        </w:rPr>
        <w:t>), sulle proprietà tecnologiche, valore nutrizionale</w:t>
      </w:r>
      <w:r w:rsidR="00DD0F08">
        <w:rPr>
          <w:rFonts w:ascii="Times New Roman" w:hAnsi="Times New Roman" w:cs="Times New Roman"/>
          <w:sz w:val="20"/>
          <w:szCs w:val="20"/>
        </w:rPr>
        <w:t>,</w:t>
      </w:r>
      <w:r w:rsidRPr="00B04DE0">
        <w:rPr>
          <w:rFonts w:ascii="Times New Roman" w:hAnsi="Times New Roman" w:cs="Times New Roman"/>
          <w:sz w:val="20"/>
          <w:szCs w:val="20"/>
        </w:rPr>
        <w:t xml:space="preserve"> digeribilità dell'amido e delle proteine del porridge di sorgo.</w:t>
      </w:r>
    </w:p>
    <w:p w14:paraId="7E3EE8D3" w14:textId="77777777" w:rsidR="00C12106" w:rsidRPr="008B7C03" w:rsidRDefault="00C12106" w:rsidP="00C12106">
      <w:pPr>
        <w:rPr>
          <w:rFonts w:ascii="Times New Roman" w:hAnsi="Times New Roman" w:cs="Times New Roman"/>
          <w:sz w:val="20"/>
          <w:szCs w:val="20"/>
        </w:rPr>
      </w:pPr>
    </w:p>
    <w:p w14:paraId="28039737" w14:textId="33FA3529" w:rsidR="00C12106" w:rsidRDefault="00C12106" w:rsidP="00BE5323">
      <w:pPr>
        <w:rPr>
          <w:rFonts w:ascii="Times New Roman" w:hAnsi="Times New Roman" w:cs="Times New Roman"/>
          <w:sz w:val="20"/>
          <w:szCs w:val="20"/>
          <w:lang w:val="en-US"/>
        </w:rPr>
      </w:pPr>
      <w:r w:rsidRPr="003041B8">
        <w:rPr>
          <w:rFonts w:ascii="Times New Roman" w:hAnsi="Times New Roman" w:cs="Times New Roman"/>
          <w:b/>
          <w:bCs/>
          <w:sz w:val="20"/>
          <w:szCs w:val="20"/>
          <w:lang w:val="en-US"/>
        </w:rPr>
        <w:t>Key words</w:t>
      </w:r>
      <w:r w:rsidR="00BE5323">
        <w:rPr>
          <w:rFonts w:ascii="Times New Roman" w:hAnsi="Times New Roman" w:cs="Times New Roman"/>
          <w:sz w:val="20"/>
          <w:szCs w:val="20"/>
          <w:lang w:val="en-US"/>
        </w:rPr>
        <w:t xml:space="preserve">: </w:t>
      </w:r>
      <w:r w:rsidRPr="007C45C6">
        <w:rPr>
          <w:rFonts w:ascii="Times New Roman" w:hAnsi="Times New Roman" w:cs="Times New Roman"/>
          <w:sz w:val="20"/>
          <w:szCs w:val="20"/>
          <w:lang w:val="en-US"/>
        </w:rPr>
        <w:t>c</w:t>
      </w:r>
      <w:r>
        <w:rPr>
          <w:rFonts w:ascii="Times New Roman" w:hAnsi="Times New Roman" w:cs="Times New Roman"/>
          <w:sz w:val="20"/>
          <w:szCs w:val="20"/>
          <w:lang w:val="en-US"/>
        </w:rPr>
        <w:t>ereal-based products, milling, nutritional quality, inflammation, digestibility</w:t>
      </w:r>
      <w:r w:rsidR="00BE5323">
        <w:rPr>
          <w:rFonts w:ascii="Times New Roman" w:hAnsi="Times New Roman" w:cs="Times New Roman"/>
          <w:sz w:val="20"/>
          <w:szCs w:val="20"/>
          <w:lang w:val="en-US"/>
        </w:rPr>
        <w:t>.</w:t>
      </w:r>
    </w:p>
    <w:p w14:paraId="36F6EC43" w14:textId="4F8AEB1F" w:rsidR="00213264" w:rsidRPr="00213264" w:rsidRDefault="00213264" w:rsidP="00213264">
      <w:pPr>
        <w:spacing w:before="300" w:after="120"/>
        <w:rPr>
          <w:i/>
          <w:iCs/>
          <w:sz w:val="20"/>
          <w:szCs w:val="20"/>
          <w:lang w:val="en-US"/>
        </w:rPr>
      </w:pPr>
      <w:r w:rsidRPr="00443D40">
        <w:rPr>
          <w:rFonts w:ascii="Times New Roman" w:hAnsi="Times New Roman" w:cs="Times New Roman"/>
          <w:b/>
          <w:bCs/>
          <w:color w:val="000000" w:themeColor="text1"/>
          <w:sz w:val="18"/>
          <w:szCs w:val="18"/>
          <w:u w:val="single"/>
          <w:lang w:val="en-US"/>
        </w:rPr>
        <w:t>Figure 1</w:t>
      </w:r>
      <w:r w:rsidRPr="00443D40">
        <w:rPr>
          <w:rFonts w:ascii="Times New Roman" w:hAnsi="Times New Roman" w:cs="Times New Roman"/>
          <w:color w:val="000000" w:themeColor="text1"/>
          <w:sz w:val="18"/>
          <w:szCs w:val="18"/>
          <w:lang w:val="en-US"/>
        </w:rPr>
        <w:t xml:space="preserve"> </w:t>
      </w:r>
      <w:r w:rsidR="0030174D">
        <w:rPr>
          <w:rFonts w:ascii="Times New Roman" w:hAnsi="Times New Roman" w:cs="Times New Roman"/>
          <w:color w:val="000000" w:themeColor="text1"/>
          <w:sz w:val="18"/>
          <w:szCs w:val="18"/>
          <w:lang w:val="en-US"/>
        </w:rPr>
        <w:tab/>
      </w:r>
      <w:r w:rsidRPr="00847EF7">
        <w:rPr>
          <w:rFonts w:ascii="Times New Roman" w:hAnsi="Times New Roman" w:cs="Times New Roman"/>
          <w:i/>
          <w:iCs/>
          <w:color w:val="000000" w:themeColor="text1"/>
          <w:sz w:val="18"/>
          <w:szCs w:val="18"/>
          <w:lang w:val="en-US"/>
        </w:rPr>
        <w:t xml:space="preserve">Gantt diagram representing this PhD thesis. </w:t>
      </w:r>
      <w:r w:rsidRPr="00847EF7">
        <w:rPr>
          <w:i/>
          <w:iCs/>
          <w:noProof/>
          <w:sz w:val="20"/>
          <w:szCs w:val="20"/>
        </w:rPr>
        <w:drawing>
          <wp:inline distT="0" distB="0" distL="0" distR="0" wp14:anchorId="5D4CD96E" wp14:editId="683E2E9F">
            <wp:extent cx="115200" cy="108000"/>
            <wp:effectExtent l="0" t="0" r="0" b="6350"/>
            <wp:docPr id="54887356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00" cy="108000"/>
                    </a:xfrm>
                    <a:prstGeom prst="rect">
                      <a:avLst/>
                    </a:prstGeom>
                    <a:noFill/>
                    <a:ln>
                      <a:noFill/>
                    </a:ln>
                  </pic:spPr>
                </pic:pic>
              </a:graphicData>
            </a:graphic>
          </wp:inline>
        </w:drawing>
      </w:r>
      <w:r w:rsidRPr="00847EF7">
        <w:rPr>
          <w:rFonts w:ascii="Times New Roman" w:hAnsi="Times New Roman" w:cs="Times New Roman"/>
          <w:i/>
          <w:iCs/>
          <w:color w:val="000000" w:themeColor="text1"/>
          <w:sz w:val="18"/>
          <w:szCs w:val="18"/>
          <w:lang w:val="en-US"/>
        </w:rPr>
        <w:t xml:space="preserve"> activities done, </w:t>
      </w:r>
      <w:r w:rsidRPr="00847EF7">
        <w:rPr>
          <w:i/>
          <w:iCs/>
          <w:noProof/>
          <w:sz w:val="20"/>
          <w:szCs w:val="20"/>
        </w:rPr>
        <w:drawing>
          <wp:inline distT="0" distB="0" distL="0" distR="0" wp14:anchorId="348F658D" wp14:editId="7C379940">
            <wp:extent cx="115920" cy="108000"/>
            <wp:effectExtent l="0" t="0" r="0" b="6350"/>
            <wp:docPr id="96643407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920" cy="108000"/>
                    </a:xfrm>
                    <a:prstGeom prst="rect">
                      <a:avLst/>
                    </a:prstGeom>
                    <a:noFill/>
                    <a:ln>
                      <a:noFill/>
                    </a:ln>
                  </pic:spPr>
                </pic:pic>
              </a:graphicData>
            </a:graphic>
          </wp:inline>
        </w:drawing>
      </w:r>
      <w:r w:rsidRPr="00847EF7">
        <w:rPr>
          <w:rFonts w:ascii="Times New Roman" w:hAnsi="Times New Roman" w:cs="Times New Roman"/>
          <w:i/>
          <w:iCs/>
          <w:color w:val="000000" w:themeColor="text1"/>
          <w:sz w:val="18"/>
          <w:szCs w:val="18"/>
          <w:lang w:val="en-US"/>
        </w:rPr>
        <w:t xml:space="preserve"> activities to be done.</w:t>
      </w:r>
    </w:p>
    <w:p w14:paraId="4D8F13D5" w14:textId="042BF59B" w:rsidR="00C12106" w:rsidRDefault="00BE5323" w:rsidP="00213264">
      <w:pPr>
        <w:spacing w:after="120"/>
        <w:jc w:val="center"/>
        <w:rPr>
          <w:rFonts w:ascii="Times New Roman" w:hAnsi="Times New Roman" w:cs="Times New Roman"/>
          <w:sz w:val="20"/>
          <w:szCs w:val="20"/>
          <w:lang w:val="en-US"/>
        </w:rPr>
      </w:pPr>
      <w:r w:rsidRPr="00BE5323">
        <w:rPr>
          <w:noProof/>
        </w:rPr>
        <w:drawing>
          <wp:inline distT="0" distB="0" distL="0" distR="0" wp14:anchorId="5F9185D4" wp14:editId="5FD378A7">
            <wp:extent cx="5239909" cy="1287595"/>
            <wp:effectExtent l="0" t="0" r="0" b="8255"/>
            <wp:docPr id="44690768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6135" cy="1316155"/>
                    </a:xfrm>
                    <a:prstGeom prst="rect">
                      <a:avLst/>
                    </a:prstGeom>
                    <a:noFill/>
                    <a:ln>
                      <a:noFill/>
                    </a:ln>
                  </pic:spPr>
                </pic:pic>
              </a:graphicData>
            </a:graphic>
          </wp:inline>
        </w:drawing>
      </w:r>
    </w:p>
    <w:p w14:paraId="1759F66D" w14:textId="0E1EC08B" w:rsidR="00BE5323" w:rsidRPr="001616E4" w:rsidRDefault="00BE5323" w:rsidP="001616E4">
      <w:pPr>
        <w:jc w:val="both"/>
        <w:rPr>
          <w:rFonts w:ascii="Times New Roman" w:hAnsi="Times New Roman" w:cs="Times New Roman"/>
          <w:color w:val="000000" w:themeColor="text1"/>
          <w:sz w:val="20"/>
          <w:szCs w:val="20"/>
          <w:lang w:val="en-US"/>
        </w:rPr>
      </w:pPr>
      <w:r w:rsidRPr="00DD37E1">
        <w:rPr>
          <w:rFonts w:ascii="Times New Roman" w:hAnsi="Times New Roman" w:cs="Times New Roman"/>
          <w:color w:val="000000" w:themeColor="text1"/>
          <w:sz w:val="20"/>
          <w:szCs w:val="20"/>
          <w:lang w:val="en-US"/>
        </w:rPr>
        <w:t>Although all projects will be described</w:t>
      </w:r>
      <w:r>
        <w:rPr>
          <w:rFonts w:ascii="Times New Roman" w:hAnsi="Times New Roman" w:cs="Times New Roman"/>
          <w:color w:val="000000" w:themeColor="text1"/>
          <w:sz w:val="20"/>
          <w:szCs w:val="20"/>
          <w:lang w:val="en-US"/>
        </w:rPr>
        <w:t xml:space="preserve"> in this report</w:t>
      </w:r>
      <w:r w:rsidRPr="00DD37E1">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more details will be given</w:t>
      </w:r>
      <w:r w:rsidRPr="00DD37E1">
        <w:rPr>
          <w:rFonts w:ascii="Times New Roman" w:hAnsi="Times New Roman" w:cs="Times New Roman"/>
          <w:color w:val="000000" w:themeColor="text1"/>
          <w:sz w:val="20"/>
          <w:szCs w:val="20"/>
          <w:lang w:val="en-US"/>
        </w:rPr>
        <w:t xml:space="preserve"> on the sorghum</w:t>
      </w:r>
      <w:r w:rsidR="00942046">
        <w:rPr>
          <w:rFonts w:ascii="Times New Roman" w:hAnsi="Times New Roman" w:cs="Times New Roman"/>
          <w:color w:val="000000" w:themeColor="text1"/>
          <w:sz w:val="20"/>
          <w:szCs w:val="20"/>
          <w:lang w:val="en-US"/>
        </w:rPr>
        <w:t xml:space="preserve"> porridge</w:t>
      </w:r>
      <w:r w:rsidRPr="00DD37E1">
        <w:rPr>
          <w:rFonts w:ascii="Times New Roman" w:hAnsi="Times New Roman" w:cs="Times New Roman"/>
          <w:color w:val="000000" w:themeColor="text1"/>
          <w:sz w:val="20"/>
          <w:szCs w:val="20"/>
          <w:lang w:val="en-US"/>
        </w:rPr>
        <w:t xml:space="preserve"> project</w:t>
      </w:r>
      <w:r w:rsidR="00942046">
        <w:rPr>
          <w:rFonts w:ascii="Times New Roman" w:hAnsi="Times New Roman" w:cs="Times New Roman"/>
          <w:color w:val="000000" w:themeColor="text1"/>
          <w:sz w:val="20"/>
          <w:szCs w:val="20"/>
          <w:lang w:val="en-US"/>
        </w:rPr>
        <w:t xml:space="preserve">, </w:t>
      </w:r>
      <w:r w:rsidR="00942046" w:rsidRPr="00942046">
        <w:rPr>
          <w:rFonts w:ascii="Times New Roman" w:hAnsi="Times New Roman" w:cs="Times New Roman"/>
          <w:color w:val="000000" w:themeColor="text1"/>
          <w:sz w:val="20"/>
          <w:szCs w:val="20"/>
          <w:lang w:val="en-US"/>
        </w:rPr>
        <w:t xml:space="preserve">that was object of the </w:t>
      </w:r>
      <w:r w:rsidR="00471E01" w:rsidRPr="00942046">
        <w:rPr>
          <w:rFonts w:ascii="Times New Roman" w:hAnsi="Times New Roman" w:cs="Times New Roman"/>
          <w:color w:val="000000" w:themeColor="text1"/>
          <w:sz w:val="20"/>
          <w:szCs w:val="20"/>
          <w:lang w:val="en-US"/>
        </w:rPr>
        <w:t>third</w:t>
      </w:r>
      <w:r w:rsidR="00471E01">
        <w:rPr>
          <w:rFonts w:ascii="Times New Roman" w:hAnsi="Times New Roman" w:cs="Times New Roman"/>
          <w:color w:val="000000" w:themeColor="text1"/>
          <w:sz w:val="20"/>
          <w:szCs w:val="20"/>
          <w:lang w:val="en-US"/>
        </w:rPr>
        <w:t xml:space="preserve"> </w:t>
      </w:r>
      <w:r w:rsidR="00471E01" w:rsidRPr="00942046">
        <w:rPr>
          <w:rFonts w:ascii="Times New Roman" w:hAnsi="Times New Roman" w:cs="Times New Roman"/>
          <w:color w:val="000000" w:themeColor="text1"/>
          <w:sz w:val="20"/>
          <w:szCs w:val="20"/>
          <w:lang w:val="en-US"/>
        </w:rPr>
        <w:t>year</w:t>
      </w:r>
      <w:r w:rsidR="00942046" w:rsidRPr="00942046">
        <w:rPr>
          <w:rFonts w:ascii="Times New Roman" w:hAnsi="Times New Roman" w:cs="Times New Roman"/>
          <w:color w:val="000000" w:themeColor="text1"/>
          <w:sz w:val="20"/>
          <w:szCs w:val="20"/>
          <w:lang w:val="en-US"/>
        </w:rPr>
        <w:t xml:space="preserve"> research.</w:t>
      </w:r>
    </w:p>
    <w:p w14:paraId="404127DD" w14:textId="56E683F7" w:rsidR="00C12106" w:rsidRPr="0058090F" w:rsidRDefault="00C12106" w:rsidP="001616E4">
      <w:pPr>
        <w:spacing w:before="240" w:after="120"/>
        <w:jc w:val="center"/>
        <w:rPr>
          <w:rFonts w:ascii="Times New Roman" w:hAnsi="Times New Roman" w:cs="Times New Roman"/>
          <w:b/>
          <w:bCs/>
          <w:sz w:val="20"/>
          <w:szCs w:val="20"/>
          <w:lang w:val="en-US"/>
        </w:rPr>
      </w:pPr>
      <w:r w:rsidRPr="006E47E0">
        <w:rPr>
          <w:rFonts w:ascii="Times New Roman" w:hAnsi="Times New Roman" w:cs="Times New Roman"/>
          <w:b/>
          <w:bCs/>
          <w:sz w:val="20"/>
          <w:szCs w:val="20"/>
          <w:lang w:val="en-US"/>
        </w:rPr>
        <w:t xml:space="preserve">I – </w:t>
      </w:r>
      <w:r w:rsidR="003034B0" w:rsidRPr="006E47E0">
        <w:rPr>
          <w:rFonts w:ascii="Times New Roman" w:hAnsi="Times New Roman" w:cs="Times New Roman"/>
          <w:b/>
          <w:bCs/>
          <w:sz w:val="20"/>
          <w:szCs w:val="20"/>
          <w:lang w:val="en-US"/>
        </w:rPr>
        <w:t>“</w:t>
      </w:r>
      <w:r w:rsidR="00C50353" w:rsidRPr="006E47E0">
        <w:rPr>
          <w:rFonts w:ascii="Times New Roman" w:hAnsi="Times New Roman" w:cs="Times New Roman"/>
          <w:b/>
          <w:bCs/>
          <w:sz w:val="20"/>
          <w:szCs w:val="20"/>
          <w:lang w:val="en-US"/>
        </w:rPr>
        <w:t>Soft wheat m</w:t>
      </w:r>
      <w:r w:rsidRPr="006E47E0">
        <w:rPr>
          <w:rFonts w:ascii="Times New Roman" w:hAnsi="Times New Roman" w:cs="Times New Roman"/>
          <w:b/>
          <w:bCs/>
          <w:sz w:val="20"/>
          <w:szCs w:val="20"/>
          <w:lang w:val="en-US"/>
        </w:rPr>
        <w:t>illing</w:t>
      </w:r>
      <w:r w:rsidR="003034B0" w:rsidRPr="006E47E0">
        <w:rPr>
          <w:rFonts w:ascii="Times New Roman" w:hAnsi="Times New Roman" w:cs="Times New Roman"/>
          <w:b/>
          <w:bCs/>
          <w:sz w:val="20"/>
          <w:szCs w:val="20"/>
          <w:lang w:val="en-US"/>
        </w:rPr>
        <w:t>”</w:t>
      </w:r>
      <w:r w:rsidRPr="006E47E0">
        <w:rPr>
          <w:rFonts w:ascii="Times New Roman" w:hAnsi="Times New Roman" w:cs="Times New Roman"/>
          <w:b/>
          <w:bCs/>
          <w:sz w:val="20"/>
          <w:szCs w:val="20"/>
          <w:lang w:val="en-US"/>
        </w:rPr>
        <w:t xml:space="preserve"> project</w:t>
      </w:r>
    </w:p>
    <w:p w14:paraId="7084F6F4" w14:textId="4C3DCA51" w:rsidR="00C12106" w:rsidRDefault="00C12106" w:rsidP="00C12106">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Even if </w:t>
      </w:r>
      <w:r w:rsidRPr="00263BB4">
        <w:rPr>
          <w:rFonts w:ascii="Times New Roman" w:hAnsi="Times New Roman" w:cs="Times New Roman"/>
          <w:sz w:val="20"/>
          <w:szCs w:val="20"/>
          <w:lang w:val="en-US"/>
        </w:rPr>
        <w:t>roller milling (RM) dominate</w:t>
      </w:r>
      <w:r w:rsidR="00FE20DB">
        <w:rPr>
          <w:rFonts w:ascii="Times New Roman" w:hAnsi="Times New Roman" w:cs="Times New Roman"/>
          <w:sz w:val="20"/>
          <w:szCs w:val="20"/>
          <w:lang w:val="en-US"/>
        </w:rPr>
        <w:t>s</w:t>
      </w:r>
      <w:r w:rsidRPr="00263BB4">
        <w:rPr>
          <w:rFonts w:ascii="Times New Roman" w:hAnsi="Times New Roman" w:cs="Times New Roman"/>
          <w:sz w:val="20"/>
          <w:szCs w:val="20"/>
          <w:lang w:val="en-US"/>
        </w:rPr>
        <w:t xml:space="preserve"> in the food </w:t>
      </w:r>
      <w:r w:rsidRPr="00EE20B9">
        <w:rPr>
          <w:rFonts w:ascii="Times New Roman" w:hAnsi="Times New Roman" w:cs="Times New Roman"/>
          <w:sz w:val="20"/>
          <w:szCs w:val="20"/>
          <w:lang w:val="en-US"/>
        </w:rPr>
        <w:t>industry</w:t>
      </w:r>
      <w:r w:rsidR="00FB4D00" w:rsidRPr="00EE20B9">
        <w:rPr>
          <w:rFonts w:ascii="Times New Roman" w:hAnsi="Times New Roman" w:cs="Times New Roman"/>
          <w:sz w:val="20"/>
          <w:szCs w:val="20"/>
          <w:lang w:val="en-US"/>
        </w:rPr>
        <w:t xml:space="preserve"> (Cappelli et al., 2020)</w:t>
      </w:r>
      <w:r w:rsidRPr="00EE20B9">
        <w:rPr>
          <w:rFonts w:ascii="Times New Roman" w:hAnsi="Times New Roman" w:cs="Times New Roman"/>
          <w:sz w:val="20"/>
          <w:szCs w:val="20"/>
          <w:lang w:val="en-US"/>
        </w:rPr>
        <w:t>, interest has grown in the use of SM, due to the widespread opinion that SM flours have a better nutritional profile than RM flours. As the number of small stone mills has increased, it</w:t>
      </w:r>
      <w:r w:rsidR="00347AE4">
        <w:rPr>
          <w:rFonts w:ascii="Times New Roman" w:hAnsi="Times New Roman" w:cs="Times New Roman"/>
          <w:sz w:val="20"/>
          <w:szCs w:val="20"/>
          <w:lang w:val="en-US"/>
        </w:rPr>
        <w:t xml:space="preserve"> i</w:t>
      </w:r>
      <w:r w:rsidRPr="00EE20B9">
        <w:rPr>
          <w:rFonts w:ascii="Times New Roman" w:hAnsi="Times New Roman" w:cs="Times New Roman"/>
          <w:sz w:val="20"/>
          <w:szCs w:val="20"/>
          <w:lang w:val="en-US"/>
        </w:rPr>
        <w:t>s important to understand if there is a real difference between flour obtained by these milling systems</w:t>
      </w:r>
      <w:r w:rsidRPr="00EE20B9">
        <w:rPr>
          <w:rFonts w:ascii="Times New Roman" w:hAnsi="Times New Roman" w:cs="Times New Roman"/>
          <w:color w:val="000000" w:themeColor="text1"/>
          <w:sz w:val="20"/>
          <w:szCs w:val="20"/>
          <w:lang w:val="en-US"/>
        </w:rPr>
        <w:t xml:space="preserve">. </w:t>
      </w:r>
      <w:r w:rsidR="00FE20DB" w:rsidRPr="00EE20B9">
        <w:rPr>
          <w:rFonts w:ascii="Times New Roman" w:hAnsi="Times New Roman" w:cs="Times New Roman"/>
          <w:color w:val="000000" w:themeColor="text1"/>
          <w:sz w:val="20"/>
          <w:szCs w:val="20"/>
          <w:lang w:val="en-US"/>
        </w:rPr>
        <w:t>F</w:t>
      </w:r>
      <w:r w:rsidRPr="00EE20B9">
        <w:rPr>
          <w:rFonts w:ascii="Times New Roman" w:hAnsi="Times New Roman" w:cs="Times New Roman"/>
          <w:color w:val="000000" w:themeColor="text1"/>
          <w:sz w:val="20"/>
          <w:szCs w:val="20"/>
          <w:lang w:val="en-US"/>
        </w:rPr>
        <w:t xml:space="preserve">ew </w:t>
      </w:r>
      <w:r w:rsidR="00FE20DB" w:rsidRPr="00EE20B9">
        <w:rPr>
          <w:rFonts w:ascii="Times New Roman" w:hAnsi="Times New Roman" w:cs="Times New Roman"/>
          <w:color w:val="000000" w:themeColor="text1"/>
          <w:sz w:val="20"/>
          <w:szCs w:val="20"/>
          <w:lang w:val="en-US"/>
        </w:rPr>
        <w:t>studies compare the effect of</w:t>
      </w:r>
      <w:r w:rsidRPr="00EE20B9">
        <w:rPr>
          <w:rFonts w:ascii="Times New Roman" w:hAnsi="Times New Roman" w:cs="Times New Roman"/>
          <w:color w:val="000000" w:themeColor="text1"/>
          <w:sz w:val="20"/>
          <w:szCs w:val="20"/>
          <w:lang w:val="en-US"/>
        </w:rPr>
        <w:t xml:space="preserve"> RM and SM</w:t>
      </w:r>
      <w:r w:rsidR="00FE20DB" w:rsidRPr="00EE20B9">
        <w:rPr>
          <w:rFonts w:ascii="Times New Roman" w:hAnsi="Times New Roman" w:cs="Times New Roman"/>
          <w:color w:val="000000" w:themeColor="text1"/>
          <w:sz w:val="20"/>
          <w:szCs w:val="20"/>
          <w:lang w:val="en-US"/>
        </w:rPr>
        <w:t xml:space="preserve"> on flour quality</w:t>
      </w:r>
      <w:r w:rsidRPr="00EE20B9">
        <w:rPr>
          <w:rFonts w:ascii="Times New Roman" w:hAnsi="Times New Roman" w:cs="Times New Roman"/>
          <w:color w:val="000000" w:themeColor="text1"/>
          <w:sz w:val="20"/>
          <w:szCs w:val="20"/>
          <w:lang w:val="en-US"/>
        </w:rPr>
        <w:t xml:space="preserve"> </w:t>
      </w:r>
      <w:r w:rsidR="00FE20DB" w:rsidRPr="00EE20B9">
        <w:rPr>
          <w:rFonts w:ascii="Times New Roman" w:hAnsi="Times New Roman" w:cs="Times New Roman"/>
          <w:color w:val="000000" w:themeColor="text1"/>
          <w:sz w:val="20"/>
          <w:szCs w:val="20"/>
          <w:lang w:val="en-US"/>
        </w:rPr>
        <w:t xml:space="preserve">are present in the literature and the </w:t>
      </w:r>
      <w:r w:rsidR="003034B0" w:rsidRPr="00EE20B9">
        <w:rPr>
          <w:rFonts w:ascii="Times New Roman" w:hAnsi="Times New Roman" w:cs="Times New Roman"/>
          <w:color w:val="000000" w:themeColor="text1"/>
          <w:sz w:val="20"/>
          <w:szCs w:val="20"/>
          <w:lang w:val="en-US"/>
        </w:rPr>
        <w:t>fi</w:t>
      </w:r>
      <w:r w:rsidR="00FE20DB" w:rsidRPr="00EE20B9">
        <w:rPr>
          <w:rFonts w:ascii="Times New Roman" w:hAnsi="Times New Roman" w:cs="Times New Roman"/>
          <w:color w:val="000000" w:themeColor="text1"/>
          <w:sz w:val="20"/>
          <w:szCs w:val="20"/>
          <w:lang w:val="en-US"/>
        </w:rPr>
        <w:t xml:space="preserve">ndings could be ascribable to the use of different wheat batches. </w:t>
      </w:r>
      <w:r w:rsidRPr="00EE20B9">
        <w:rPr>
          <w:rFonts w:ascii="Times New Roman" w:hAnsi="Times New Roman" w:cs="Times New Roman"/>
          <w:color w:val="000000" w:themeColor="text1"/>
          <w:sz w:val="20"/>
          <w:szCs w:val="20"/>
          <w:lang w:val="en-US"/>
        </w:rPr>
        <w:t xml:space="preserve">RM and SM </w:t>
      </w:r>
      <w:r w:rsidR="00FE20DB" w:rsidRPr="00EE20B9">
        <w:rPr>
          <w:rFonts w:ascii="Times New Roman" w:hAnsi="Times New Roman" w:cs="Times New Roman"/>
          <w:color w:val="000000" w:themeColor="text1"/>
          <w:sz w:val="20"/>
          <w:szCs w:val="20"/>
          <w:lang w:val="en-US"/>
        </w:rPr>
        <w:t>effect was, therefore,</w:t>
      </w:r>
      <w:r w:rsidRPr="00EE20B9">
        <w:rPr>
          <w:rFonts w:ascii="Times New Roman" w:hAnsi="Times New Roman" w:cs="Times New Roman"/>
          <w:color w:val="000000" w:themeColor="text1"/>
          <w:sz w:val="20"/>
          <w:szCs w:val="20"/>
          <w:lang w:val="en-US"/>
        </w:rPr>
        <w:t xml:space="preserve"> </w:t>
      </w:r>
      <w:r w:rsidR="00FE20DB" w:rsidRPr="00EE20B9">
        <w:rPr>
          <w:rFonts w:ascii="Times New Roman" w:hAnsi="Times New Roman" w:cs="Times New Roman"/>
          <w:color w:val="000000" w:themeColor="text1"/>
          <w:sz w:val="20"/>
          <w:szCs w:val="20"/>
          <w:lang w:val="en-US"/>
        </w:rPr>
        <w:t xml:space="preserve">studied </w:t>
      </w:r>
      <w:r w:rsidRPr="00EE20B9">
        <w:rPr>
          <w:rFonts w:ascii="Times New Roman" w:hAnsi="Times New Roman" w:cs="Times New Roman"/>
          <w:color w:val="000000" w:themeColor="text1"/>
          <w:sz w:val="20"/>
          <w:szCs w:val="20"/>
          <w:lang w:val="en-US"/>
        </w:rPr>
        <w:t>using a single soft wheat variety (Bologna)</w:t>
      </w:r>
      <w:r w:rsidR="00FE20DB" w:rsidRPr="00EE20B9">
        <w:rPr>
          <w:rFonts w:ascii="Times New Roman" w:hAnsi="Times New Roman" w:cs="Times New Roman"/>
          <w:color w:val="000000" w:themeColor="text1"/>
          <w:sz w:val="20"/>
          <w:szCs w:val="20"/>
          <w:lang w:val="en-US"/>
        </w:rPr>
        <w:t xml:space="preserve">. </w:t>
      </w:r>
      <w:r w:rsidRPr="00EE20B9">
        <w:rPr>
          <w:rFonts w:ascii="Times New Roman" w:hAnsi="Times New Roman" w:cs="Times New Roman"/>
          <w:color w:val="000000" w:themeColor="text1"/>
          <w:sz w:val="20"/>
          <w:szCs w:val="20"/>
          <w:lang w:val="en-US"/>
        </w:rPr>
        <w:t>RM and SM apply different physical forces (RM generates shear, compression and tearing forces, while SM generates shear, compression and abrasion forces) and temperatures to the flour (higher heat generation in SM), influencing flour properties, in particular protein stability through oxidative stress.</w:t>
      </w:r>
      <w:r w:rsidR="00FE20DB" w:rsidRPr="00EE20B9">
        <w:rPr>
          <w:rFonts w:ascii="Times New Roman" w:hAnsi="Times New Roman" w:cs="Times New Roman"/>
          <w:color w:val="000000" w:themeColor="text1"/>
          <w:sz w:val="20"/>
          <w:szCs w:val="20"/>
          <w:lang w:val="en-US"/>
        </w:rPr>
        <w:t xml:space="preserve"> </w:t>
      </w:r>
      <w:r w:rsidRPr="00EE20B9">
        <w:rPr>
          <w:rFonts w:ascii="Times New Roman" w:hAnsi="Times New Roman" w:cs="Times New Roman"/>
          <w:color w:val="000000" w:themeColor="text1"/>
          <w:sz w:val="20"/>
          <w:szCs w:val="20"/>
          <w:lang w:val="en-US"/>
        </w:rPr>
        <w:t xml:space="preserve">The alteration in the protein stability can affect the technological qualities and the amylase-trypsin-inhibitors (ATIs), </w:t>
      </w:r>
      <w:r w:rsidR="00FE20DB" w:rsidRPr="00EE20B9">
        <w:rPr>
          <w:rFonts w:ascii="Times New Roman" w:hAnsi="Times New Roman" w:cs="Times New Roman"/>
          <w:color w:val="000000" w:themeColor="text1"/>
          <w:sz w:val="20"/>
          <w:szCs w:val="20"/>
          <w:lang w:val="en-US"/>
        </w:rPr>
        <w:t>that have</w:t>
      </w:r>
      <w:r w:rsidRPr="00EE20B9">
        <w:rPr>
          <w:rFonts w:ascii="Times New Roman" w:hAnsi="Times New Roman" w:cs="Times New Roman"/>
          <w:color w:val="000000" w:themeColor="text1"/>
          <w:sz w:val="20"/>
          <w:szCs w:val="20"/>
          <w:lang w:val="en-US"/>
        </w:rPr>
        <w:t xml:space="preserve"> been associated with non-celiac wheat sensitivity</w:t>
      </w:r>
      <w:r w:rsidR="003034B0" w:rsidRPr="00EE20B9">
        <w:rPr>
          <w:rFonts w:ascii="Times New Roman" w:hAnsi="Times New Roman" w:cs="Times New Roman"/>
          <w:color w:val="000000" w:themeColor="text1"/>
          <w:sz w:val="20"/>
          <w:szCs w:val="20"/>
          <w:lang w:val="en-US"/>
        </w:rPr>
        <w:t xml:space="preserve"> (NCWS)</w:t>
      </w:r>
      <w:r w:rsidR="00FB4D00" w:rsidRPr="00EE20B9">
        <w:rPr>
          <w:rFonts w:ascii="Times New Roman" w:hAnsi="Times New Roman" w:cs="Times New Roman"/>
          <w:color w:val="000000" w:themeColor="text1"/>
          <w:sz w:val="20"/>
          <w:szCs w:val="20"/>
          <w:lang w:val="en-US"/>
        </w:rPr>
        <w:t xml:space="preserve"> (Volta et al. 2019)</w:t>
      </w:r>
      <w:r w:rsidRPr="00EE20B9">
        <w:rPr>
          <w:rFonts w:ascii="Times New Roman" w:hAnsi="Times New Roman" w:cs="Times New Roman"/>
          <w:color w:val="000000" w:themeColor="text1"/>
          <w:sz w:val="20"/>
          <w:szCs w:val="20"/>
          <w:lang w:val="en-US"/>
        </w:rPr>
        <w:t>.</w:t>
      </w:r>
    </w:p>
    <w:p w14:paraId="4A4744CD" w14:textId="179B03FC" w:rsidR="00C12106" w:rsidRPr="001616E4" w:rsidRDefault="00C12106" w:rsidP="00C12106">
      <w:pPr>
        <w:jc w:val="both"/>
        <w:rPr>
          <w:rFonts w:ascii="Times New Roman" w:hAnsi="Times New Roman" w:cs="Times New Roman"/>
          <w:color w:val="000000" w:themeColor="text1"/>
          <w:sz w:val="20"/>
          <w:szCs w:val="20"/>
          <w:lang w:val="en-US"/>
        </w:rPr>
      </w:pPr>
      <w:r>
        <w:rPr>
          <w:rFonts w:ascii="Times New Roman" w:hAnsi="Times New Roman" w:cs="Times New Roman"/>
          <w:sz w:val="20"/>
          <w:szCs w:val="20"/>
          <w:lang w:val="en-US"/>
        </w:rPr>
        <w:t xml:space="preserve">The aim of this project was to </w:t>
      </w:r>
      <w:r w:rsidRPr="00C91DAF">
        <w:rPr>
          <w:rFonts w:ascii="Times New Roman" w:hAnsi="Times New Roman" w:cs="Times New Roman"/>
          <w:sz w:val="20"/>
          <w:szCs w:val="20"/>
          <w:lang w:val="en-US"/>
        </w:rPr>
        <w:t xml:space="preserve">evaluate </w:t>
      </w:r>
      <w:r w:rsidR="00FE20DB">
        <w:rPr>
          <w:rFonts w:ascii="Times New Roman" w:hAnsi="Times New Roman" w:cs="Times New Roman"/>
          <w:sz w:val="20"/>
          <w:szCs w:val="20"/>
          <w:lang w:val="en-US"/>
        </w:rPr>
        <w:t xml:space="preserve">how RM and SM </w:t>
      </w:r>
      <w:r w:rsidRPr="00C91DAF">
        <w:rPr>
          <w:rFonts w:ascii="Times New Roman" w:hAnsi="Times New Roman" w:cs="Times New Roman"/>
          <w:sz w:val="20"/>
          <w:szCs w:val="20"/>
          <w:lang w:val="en-US"/>
        </w:rPr>
        <w:t>affect</w:t>
      </w:r>
      <w:r w:rsidRPr="00090A1D">
        <w:rPr>
          <w:rFonts w:ascii="Times New Roman" w:hAnsi="Times New Roman" w:cs="Times New Roman"/>
          <w:sz w:val="20"/>
          <w:szCs w:val="20"/>
          <w:lang w:val="en-US"/>
        </w:rPr>
        <w:t xml:space="preserve"> </w:t>
      </w:r>
      <w:r w:rsidRPr="00E94559">
        <w:rPr>
          <w:rFonts w:ascii="Times New Roman" w:hAnsi="Times New Roman" w:cs="Times New Roman"/>
          <w:sz w:val="20"/>
          <w:szCs w:val="20"/>
          <w:lang w:val="en-US"/>
        </w:rPr>
        <w:t xml:space="preserve">rheological-structural-nutritional </w:t>
      </w:r>
      <w:r w:rsidRPr="00C02884">
        <w:rPr>
          <w:rFonts w:ascii="Times New Roman" w:hAnsi="Times New Roman" w:cs="Times New Roman"/>
          <w:sz w:val="20"/>
          <w:szCs w:val="20"/>
          <w:lang w:val="en-US"/>
        </w:rPr>
        <w:t>properties, attitude for breadmaking (bread volume, specific volume, texture profile analysis and moisture content), hygienic</w:t>
      </w:r>
      <w:r w:rsidRPr="00E94559">
        <w:rPr>
          <w:rFonts w:ascii="Times New Roman" w:hAnsi="Times New Roman" w:cs="Times New Roman"/>
          <w:sz w:val="20"/>
          <w:szCs w:val="20"/>
          <w:lang w:val="en-US"/>
        </w:rPr>
        <w:t xml:space="preserve"> </w:t>
      </w:r>
      <w:r w:rsidRPr="00E94559">
        <w:rPr>
          <w:rFonts w:ascii="Times New Roman" w:hAnsi="Times New Roman" w:cs="Times New Roman"/>
          <w:sz w:val="20"/>
          <w:szCs w:val="20"/>
          <w:lang w:val="en-US"/>
        </w:rPr>
        <w:lastRenderedPageBreak/>
        <w:t>quality,</w:t>
      </w:r>
      <w:r>
        <w:rPr>
          <w:rFonts w:ascii="Times New Roman" w:hAnsi="Times New Roman" w:cs="Times New Roman"/>
          <w:sz w:val="20"/>
          <w:szCs w:val="20"/>
          <w:lang w:val="en-US"/>
        </w:rPr>
        <w:t xml:space="preserve"> and </w:t>
      </w:r>
      <w:r w:rsidRPr="00C91DAF">
        <w:rPr>
          <w:rFonts w:ascii="Times New Roman" w:hAnsi="Times New Roman" w:cs="Times New Roman"/>
          <w:sz w:val="20"/>
          <w:szCs w:val="20"/>
          <w:lang w:val="en-US"/>
        </w:rPr>
        <w:t xml:space="preserve">ATIs’ extractability, </w:t>
      </w:r>
      <w:r>
        <w:rPr>
          <w:rFonts w:ascii="Times New Roman" w:hAnsi="Times New Roman" w:cs="Times New Roman"/>
          <w:sz w:val="20"/>
          <w:szCs w:val="20"/>
          <w:lang w:val="en-US"/>
        </w:rPr>
        <w:t>oxidative stat</w:t>
      </w:r>
      <w:r w:rsidR="004F7F77">
        <w:rPr>
          <w:rFonts w:ascii="Times New Roman" w:hAnsi="Times New Roman" w:cs="Times New Roman"/>
          <w:sz w:val="20"/>
          <w:szCs w:val="20"/>
          <w:lang w:val="en-US"/>
        </w:rPr>
        <w:t>e</w:t>
      </w:r>
      <w:r w:rsidRPr="00C91DAF">
        <w:rPr>
          <w:rFonts w:ascii="Times New Roman" w:hAnsi="Times New Roman" w:cs="Times New Roman"/>
          <w:sz w:val="20"/>
          <w:szCs w:val="20"/>
          <w:lang w:val="en-US"/>
        </w:rPr>
        <w:t xml:space="preserve"> and, possibly, their pro-inflammatory activity</w:t>
      </w:r>
      <w:r w:rsidR="00FE20DB">
        <w:rPr>
          <w:rFonts w:ascii="Times New Roman" w:hAnsi="Times New Roman" w:cs="Times New Roman"/>
          <w:sz w:val="20"/>
          <w:szCs w:val="20"/>
          <w:lang w:val="en-US"/>
        </w:rPr>
        <w:t xml:space="preserve">, </w:t>
      </w:r>
      <w:r w:rsidR="00FE20DB" w:rsidRPr="003034B0">
        <w:rPr>
          <w:rFonts w:ascii="Times New Roman" w:hAnsi="Times New Roman" w:cs="Times New Roman"/>
          <w:sz w:val="20"/>
          <w:szCs w:val="20"/>
          <w:lang w:val="en-US"/>
        </w:rPr>
        <w:t xml:space="preserve">of </w:t>
      </w:r>
      <w:r w:rsidR="00FE20DB" w:rsidRPr="0058090F">
        <w:rPr>
          <w:rFonts w:ascii="Times New Roman" w:hAnsi="Times New Roman" w:cs="Times New Roman"/>
          <w:sz w:val="20"/>
          <w:szCs w:val="20"/>
          <w:lang w:val="en-US"/>
        </w:rPr>
        <w:t>whole grain flour (WGF)</w:t>
      </w:r>
      <w:r w:rsidRPr="003034B0">
        <w:rPr>
          <w:rFonts w:ascii="Times New Roman" w:hAnsi="Times New Roman" w:cs="Times New Roman"/>
          <w:sz w:val="20"/>
          <w:szCs w:val="20"/>
          <w:lang w:val="en-US"/>
        </w:rPr>
        <w:t>.</w:t>
      </w:r>
      <w:r w:rsidR="002919B8" w:rsidRPr="003034B0">
        <w:rPr>
          <w:rFonts w:ascii="Times New Roman" w:hAnsi="Times New Roman" w:cs="Times New Roman"/>
          <w:sz w:val="20"/>
          <w:szCs w:val="20"/>
          <w:lang w:val="en-US"/>
        </w:rPr>
        <w:t xml:space="preserve"> </w:t>
      </w:r>
      <w:r w:rsidRPr="003034B0">
        <w:rPr>
          <w:rFonts w:ascii="Times New Roman" w:hAnsi="Times New Roman" w:cs="Times New Roman"/>
          <w:sz w:val="20"/>
          <w:szCs w:val="20"/>
          <w:lang w:val="en-US"/>
        </w:rPr>
        <w:t>All</w:t>
      </w:r>
      <w:r w:rsidRPr="00F02775">
        <w:rPr>
          <w:rFonts w:ascii="Times New Roman" w:hAnsi="Times New Roman" w:cs="Times New Roman"/>
          <w:sz w:val="20"/>
          <w:szCs w:val="20"/>
          <w:lang w:val="en-US"/>
        </w:rPr>
        <w:t xml:space="preserve"> flours showed high hygienic quality (mycotoxin below LOD and LOQ). WGF from RM had larger particle size than WGF from SM; more refined flours had smaller particle size. Dough development time, crumb hardness and moisture content were significantly higher in RM WGF, whereas bread volume, specific volume, springiness and resilience were higher in SM WGF. As for flours from the same mill, WGF was significantly higher in dough tenacity/extensibility ratio, water absorption and crumb hardness than more refined flours, whereas it was lower in </w:t>
      </w:r>
      <w:r w:rsidRPr="004D4103">
        <w:rPr>
          <w:rFonts w:ascii="Times New Roman" w:hAnsi="Times New Roman" w:cs="Times New Roman"/>
          <w:color w:val="000000" w:themeColor="text1"/>
          <w:sz w:val="20"/>
          <w:szCs w:val="20"/>
          <w:lang w:val="en-US"/>
        </w:rPr>
        <w:t>resilience.</w:t>
      </w:r>
      <w:r>
        <w:rPr>
          <w:rFonts w:ascii="Times New Roman" w:hAnsi="Times New Roman" w:cs="Times New Roman"/>
          <w:color w:val="000000" w:themeColor="text1"/>
          <w:sz w:val="20"/>
          <w:szCs w:val="20"/>
          <w:lang w:val="en-US"/>
        </w:rPr>
        <w:t xml:space="preserve"> </w:t>
      </w:r>
      <w:r w:rsidRPr="004D4103">
        <w:rPr>
          <w:rFonts w:ascii="Times New Roman" w:hAnsi="Times New Roman" w:cs="Times New Roman"/>
          <w:color w:val="000000" w:themeColor="text1"/>
          <w:sz w:val="20"/>
          <w:szCs w:val="20"/>
          <w:lang w:val="en-US"/>
        </w:rPr>
        <w:t>Alkylresorcinols content was significantly higher in SM WGF than RM WGF, and inversely related to the refinement degree.</w:t>
      </w:r>
      <w:r>
        <w:rPr>
          <w:rFonts w:ascii="Times New Roman" w:hAnsi="Times New Roman" w:cs="Times New Roman"/>
          <w:color w:val="000000" w:themeColor="text1"/>
          <w:sz w:val="20"/>
          <w:szCs w:val="20"/>
          <w:lang w:val="en-US"/>
        </w:rPr>
        <w:t xml:space="preserve"> </w:t>
      </w:r>
      <w:r w:rsidRPr="004D4103">
        <w:rPr>
          <w:rFonts w:ascii="Times New Roman" w:hAnsi="Times New Roman" w:cs="Times New Roman"/>
          <w:color w:val="000000" w:themeColor="text1"/>
          <w:sz w:val="20"/>
          <w:szCs w:val="20"/>
          <w:lang w:val="en-US"/>
        </w:rPr>
        <w:t xml:space="preserve">On the other hand, </w:t>
      </w:r>
      <w:r>
        <w:rPr>
          <w:rFonts w:ascii="Times New Roman" w:hAnsi="Times New Roman" w:cs="Times New Roman"/>
          <w:color w:val="000000" w:themeColor="text1"/>
          <w:sz w:val="20"/>
          <w:szCs w:val="20"/>
          <w:lang w:val="en-US"/>
        </w:rPr>
        <w:t>a</w:t>
      </w:r>
      <w:r w:rsidRPr="004D4103">
        <w:rPr>
          <w:rFonts w:ascii="Times New Roman" w:hAnsi="Times New Roman" w:cs="Times New Roman"/>
          <w:color w:val="000000" w:themeColor="text1"/>
          <w:sz w:val="20"/>
          <w:szCs w:val="20"/>
          <w:lang w:val="en-US"/>
        </w:rPr>
        <w:t>lthough RM and SM of wheat grains resulted in comparable levels of total ATIs, the two milling types differently affected the oxidative stat</w:t>
      </w:r>
      <w:r w:rsidR="004F7F77">
        <w:rPr>
          <w:rFonts w:ascii="Times New Roman" w:hAnsi="Times New Roman" w:cs="Times New Roman"/>
          <w:color w:val="000000" w:themeColor="text1"/>
          <w:sz w:val="20"/>
          <w:szCs w:val="20"/>
          <w:lang w:val="en-US"/>
        </w:rPr>
        <w:t>e</w:t>
      </w:r>
      <w:r w:rsidRPr="004D4103">
        <w:rPr>
          <w:rFonts w:ascii="Times New Roman" w:hAnsi="Times New Roman" w:cs="Times New Roman"/>
          <w:color w:val="000000" w:themeColor="text1"/>
          <w:sz w:val="20"/>
          <w:szCs w:val="20"/>
          <w:lang w:val="en-US"/>
        </w:rPr>
        <w:t xml:space="preserve"> of proteins, with SM flours showing higher levels of 3-nitrotyrosine, dityrosines and carbonyls compared with RM. In turn and interestingly, increased levels in these biomarkers were associated with a higher release of pro-inflammatory cytokines upon treatment of intestinal epithelial cells (Caco-2) with ATI</w:t>
      </w:r>
      <w:r>
        <w:rPr>
          <w:rFonts w:ascii="Times New Roman" w:hAnsi="Times New Roman" w:cs="Times New Roman"/>
          <w:color w:val="000000" w:themeColor="text1"/>
          <w:sz w:val="20"/>
          <w:szCs w:val="20"/>
          <w:lang w:val="en-US"/>
        </w:rPr>
        <w:t>s</w:t>
      </w:r>
      <w:r w:rsidRPr="004D4103">
        <w:rPr>
          <w:rFonts w:ascii="Times New Roman" w:hAnsi="Times New Roman" w:cs="Times New Roman"/>
          <w:color w:val="000000" w:themeColor="text1"/>
          <w:sz w:val="20"/>
          <w:szCs w:val="20"/>
          <w:lang w:val="en-US"/>
        </w:rPr>
        <w:t xml:space="preserve"> enriched extracts.</w:t>
      </w:r>
    </w:p>
    <w:p w14:paraId="2B275899" w14:textId="6FF9A4D0" w:rsidR="00C12106" w:rsidRPr="0058090F" w:rsidRDefault="00C12106" w:rsidP="001616E4">
      <w:pPr>
        <w:spacing w:before="240" w:after="120"/>
        <w:jc w:val="center"/>
        <w:rPr>
          <w:rFonts w:ascii="Times New Roman" w:hAnsi="Times New Roman" w:cs="Times New Roman"/>
          <w:b/>
          <w:bCs/>
          <w:sz w:val="20"/>
          <w:szCs w:val="20"/>
          <w:lang w:val="en-US"/>
        </w:rPr>
      </w:pPr>
      <w:r w:rsidRPr="006E47E0">
        <w:rPr>
          <w:rFonts w:ascii="Times New Roman" w:hAnsi="Times New Roman" w:cs="Times New Roman"/>
          <w:b/>
          <w:bCs/>
          <w:sz w:val="20"/>
          <w:szCs w:val="20"/>
          <w:lang w:val="en-US"/>
        </w:rPr>
        <w:t xml:space="preserve">II – </w:t>
      </w:r>
      <w:r w:rsidR="003034B0" w:rsidRPr="006E47E0">
        <w:rPr>
          <w:rFonts w:ascii="Times New Roman" w:hAnsi="Times New Roman" w:cs="Times New Roman"/>
          <w:b/>
          <w:bCs/>
          <w:sz w:val="20"/>
          <w:szCs w:val="20"/>
          <w:lang w:val="en-US"/>
        </w:rPr>
        <w:t>“</w:t>
      </w:r>
      <w:r w:rsidRPr="006E47E0">
        <w:rPr>
          <w:rFonts w:ascii="Times New Roman" w:hAnsi="Times New Roman" w:cs="Times New Roman"/>
          <w:b/>
          <w:bCs/>
          <w:sz w:val="20"/>
          <w:szCs w:val="20"/>
          <w:lang w:val="en-US"/>
        </w:rPr>
        <w:t xml:space="preserve">Acorn </w:t>
      </w:r>
      <w:r w:rsidR="003034B0" w:rsidRPr="006E47E0">
        <w:rPr>
          <w:rFonts w:ascii="Times New Roman" w:hAnsi="Times New Roman" w:cs="Times New Roman"/>
          <w:b/>
          <w:bCs/>
          <w:sz w:val="20"/>
          <w:szCs w:val="20"/>
          <w:lang w:val="en-US"/>
        </w:rPr>
        <w:t>in bread</w:t>
      </w:r>
      <w:r w:rsidR="001616E4" w:rsidRPr="006E47E0">
        <w:rPr>
          <w:rFonts w:ascii="Times New Roman" w:hAnsi="Times New Roman" w:cs="Times New Roman"/>
          <w:b/>
          <w:bCs/>
          <w:sz w:val="20"/>
          <w:szCs w:val="20"/>
          <w:lang w:val="en-US"/>
        </w:rPr>
        <w:t>”</w:t>
      </w:r>
      <w:r w:rsidR="003034B0" w:rsidRPr="006E47E0">
        <w:rPr>
          <w:rFonts w:ascii="Times New Roman" w:hAnsi="Times New Roman" w:cs="Times New Roman"/>
          <w:b/>
          <w:bCs/>
          <w:sz w:val="20"/>
          <w:szCs w:val="20"/>
          <w:lang w:val="en-US"/>
        </w:rPr>
        <w:t xml:space="preserve"> </w:t>
      </w:r>
      <w:r w:rsidRPr="006E47E0">
        <w:rPr>
          <w:rFonts w:ascii="Times New Roman" w:hAnsi="Times New Roman" w:cs="Times New Roman"/>
          <w:b/>
          <w:bCs/>
          <w:sz w:val="20"/>
          <w:szCs w:val="20"/>
          <w:lang w:val="en-US"/>
        </w:rPr>
        <w:t>project</w:t>
      </w:r>
    </w:p>
    <w:p w14:paraId="5760BF02" w14:textId="0CD99A5C" w:rsidR="00C12106" w:rsidRPr="00EE20B9" w:rsidRDefault="00C12106" w:rsidP="002919B8">
      <w:pPr>
        <w:tabs>
          <w:tab w:val="left" w:pos="3489"/>
        </w:tabs>
        <w:jc w:val="both"/>
        <w:rPr>
          <w:rFonts w:ascii="Times New Roman" w:hAnsi="Times New Roman" w:cs="Times New Roman"/>
          <w:sz w:val="20"/>
          <w:szCs w:val="20"/>
          <w:lang w:val="en-US"/>
        </w:rPr>
      </w:pPr>
      <w:r w:rsidRPr="00D77629">
        <w:rPr>
          <w:rFonts w:ascii="Times New Roman" w:hAnsi="Times New Roman" w:cs="Times New Roman"/>
          <w:color w:val="000000" w:themeColor="text1"/>
          <w:sz w:val="20"/>
          <w:szCs w:val="20"/>
          <w:lang w:val="en-US"/>
        </w:rPr>
        <w:t xml:space="preserve">Acorns are a neglected and sustainable food source that should be given more attention due to its </w:t>
      </w:r>
      <w:r w:rsidR="002919B8">
        <w:rPr>
          <w:rFonts w:ascii="Times New Roman" w:hAnsi="Times New Roman" w:cs="Times New Roman"/>
          <w:color w:val="000000" w:themeColor="text1"/>
          <w:sz w:val="20"/>
          <w:szCs w:val="20"/>
          <w:lang w:val="en-US"/>
        </w:rPr>
        <w:t>interesting content of</w:t>
      </w:r>
      <w:r w:rsidRPr="00D77629">
        <w:rPr>
          <w:rFonts w:ascii="Times New Roman" w:hAnsi="Times New Roman" w:cs="Times New Roman"/>
          <w:color w:val="000000" w:themeColor="text1"/>
          <w:sz w:val="20"/>
          <w:szCs w:val="20"/>
          <w:lang w:val="en-US"/>
        </w:rPr>
        <w:t xml:space="preserve"> bioactive </w:t>
      </w:r>
      <w:r w:rsidRPr="00EE20B9">
        <w:rPr>
          <w:rFonts w:ascii="Times New Roman" w:hAnsi="Times New Roman" w:cs="Times New Roman"/>
          <w:color w:val="000000" w:themeColor="text1"/>
          <w:sz w:val="20"/>
          <w:szCs w:val="20"/>
          <w:lang w:val="en-US"/>
        </w:rPr>
        <w:t>substances</w:t>
      </w:r>
      <w:r w:rsidR="006E0014" w:rsidRPr="00EE20B9">
        <w:rPr>
          <w:rFonts w:ascii="Times New Roman" w:hAnsi="Times New Roman" w:cs="Times New Roman"/>
          <w:color w:val="000000" w:themeColor="text1"/>
          <w:sz w:val="20"/>
          <w:szCs w:val="20"/>
          <w:lang w:val="en-US"/>
        </w:rPr>
        <w:t xml:space="preserve"> (</w:t>
      </w:r>
      <w:r w:rsidR="00AE75C4" w:rsidRPr="00EE20B9">
        <w:rPr>
          <w:rFonts w:ascii="Times New Roman" w:hAnsi="Times New Roman" w:cs="Times New Roman"/>
          <w:color w:val="000000" w:themeColor="text1"/>
          <w:sz w:val="20"/>
          <w:szCs w:val="20"/>
          <w:lang w:val="en-US"/>
        </w:rPr>
        <w:t>Beltrão Martins, 2020</w:t>
      </w:r>
      <w:r w:rsidR="006E0014" w:rsidRPr="00EE20B9">
        <w:rPr>
          <w:rFonts w:ascii="Times New Roman" w:hAnsi="Times New Roman" w:cs="Times New Roman"/>
          <w:color w:val="000000" w:themeColor="text1"/>
          <w:sz w:val="20"/>
          <w:szCs w:val="20"/>
          <w:lang w:val="en-US"/>
        </w:rPr>
        <w:t>)</w:t>
      </w:r>
      <w:r w:rsidRPr="00EE20B9">
        <w:rPr>
          <w:rFonts w:ascii="Times New Roman" w:hAnsi="Times New Roman" w:cs="Times New Roman"/>
          <w:color w:val="000000" w:themeColor="text1"/>
          <w:sz w:val="20"/>
          <w:szCs w:val="20"/>
          <w:lang w:val="en-US"/>
        </w:rPr>
        <w:t xml:space="preserve">. Application of acorn flour (AF) in leavened products </w:t>
      </w:r>
      <w:r w:rsidR="002919B8" w:rsidRPr="00EE20B9">
        <w:rPr>
          <w:rFonts w:ascii="Times New Roman" w:hAnsi="Times New Roman" w:cs="Times New Roman"/>
          <w:color w:val="000000" w:themeColor="text1"/>
          <w:sz w:val="20"/>
          <w:szCs w:val="20"/>
          <w:lang w:val="en-US"/>
        </w:rPr>
        <w:t xml:space="preserve">is </w:t>
      </w:r>
      <w:r w:rsidRPr="00EE20B9">
        <w:rPr>
          <w:rFonts w:ascii="Times New Roman" w:hAnsi="Times New Roman" w:cs="Times New Roman"/>
          <w:color w:val="000000" w:themeColor="text1"/>
          <w:sz w:val="20"/>
          <w:szCs w:val="20"/>
          <w:lang w:val="en-US"/>
        </w:rPr>
        <w:t>currently limited. The aim of this research was to examine physical-chemical properties of acorn and wheat flours, the ability of their mixtures to make dough, and the impact of acorn flour (0</w:t>
      </w:r>
      <w:r w:rsidR="00C63F8A" w:rsidRPr="00EE20B9">
        <w:rPr>
          <w:rFonts w:ascii="Times New Roman" w:hAnsi="Times New Roman" w:cs="Times New Roman"/>
          <w:color w:val="000000" w:themeColor="text1"/>
          <w:sz w:val="20"/>
          <w:szCs w:val="20"/>
          <w:lang w:val="en-US"/>
        </w:rPr>
        <w:t>-</w:t>
      </w:r>
      <w:r w:rsidRPr="00EE20B9">
        <w:rPr>
          <w:rFonts w:ascii="Times New Roman" w:hAnsi="Times New Roman" w:cs="Times New Roman"/>
          <w:color w:val="000000" w:themeColor="text1"/>
          <w:sz w:val="20"/>
          <w:szCs w:val="20"/>
          <w:lang w:val="en-US"/>
        </w:rPr>
        <w:t>50%) on bread quality (volume, texture, and moisture). Acorn flour contained 56% carbohydrates, 6.6% protein, 6.0% fiber and 20.1% fat. Compared to wheat flour (WF), AF showed higher water (69,6%) and oil holding (45,5%) capacity, a higher gelatinization temperature (72°C), and a lower peak viscosity (324 BU, visco amylograph). AF</w:t>
      </w:r>
      <w:r w:rsidR="00C63F8A" w:rsidRPr="00EE20B9">
        <w:rPr>
          <w:rFonts w:ascii="Times New Roman" w:hAnsi="Times New Roman" w:cs="Times New Roman"/>
          <w:color w:val="000000" w:themeColor="text1"/>
          <w:sz w:val="20"/>
          <w:szCs w:val="20"/>
          <w:lang w:val="en-US"/>
        </w:rPr>
        <w:t>-</w:t>
      </w:r>
      <w:r w:rsidRPr="00EE20B9">
        <w:rPr>
          <w:rFonts w:ascii="Times New Roman" w:hAnsi="Times New Roman" w:cs="Times New Roman"/>
          <w:color w:val="000000" w:themeColor="text1"/>
          <w:sz w:val="20"/>
          <w:szCs w:val="20"/>
          <w:lang w:val="en-US"/>
        </w:rPr>
        <w:t>WF mixtures form</w:t>
      </w:r>
      <w:r w:rsidR="002919B8" w:rsidRPr="00EE20B9">
        <w:rPr>
          <w:rFonts w:ascii="Times New Roman" w:hAnsi="Times New Roman" w:cs="Times New Roman"/>
          <w:color w:val="000000" w:themeColor="text1"/>
          <w:sz w:val="20"/>
          <w:szCs w:val="20"/>
          <w:lang w:val="en-US"/>
        </w:rPr>
        <w:t>ed</w:t>
      </w:r>
      <w:r w:rsidRPr="00EE20B9">
        <w:rPr>
          <w:rFonts w:ascii="Times New Roman" w:hAnsi="Times New Roman" w:cs="Times New Roman"/>
          <w:color w:val="000000" w:themeColor="text1"/>
          <w:sz w:val="20"/>
          <w:szCs w:val="20"/>
          <w:lang w:val="en-US"/>
        </w:rPr>
        <w:t xml:space="preserve"> workable dough</w:t>
      </w:r>
      <w:r w:rsidR="002919B8" w:rsidRPr="00EE20B9">
        <w:rPr>
          <w:rFonts w:ascii="Times New Roman" w:hAnsi="Times New Roman" w:cs="Times New Roman"/>
          <w:color w:val="000000" w:themeColor="text1"/>
          <w:sz w:val="20"/>
          <w:szCs w:val="20"/>
          <w:lang w:val="en-US"/>
        </w:rPr>
        <w:t>es</w:t>
      </w:r>
      <w:r w:rsidRPr="00EE20B9">
        <w:rPr>
          <w:rFonts w:ascii="Times New Roman" w:hAnsi="Times New Roman" w:cs="Times New Roman"/>
          <w:color w:val="000000" w:themeColor="text1"/>
          <w:sz w:val="20"/>
          <w:szCs w:val="20"/>
          <w:lang w:val="en-US"/>
        </w:rPr>
        <w:t xml:space="preserve"> up to 20% substitution (Farinograph analysis) with increased water absorption, development time and comparable stability as compared to WF. AF addition to wheat in bread enhanced bread crumb hardness, darkness, moisture content, and decreased specific volume and cohesiveness. AF addition accelerated hardening and retarded cohesiveness loss of bread crumb during storage. Addition of an extra 3% water in bread formulation increased dough development time and stability, resulting in a softer bread with higher specific volume.</w:t>
      </w:r>
      <w:r w:rsidRPr="00EE20B9">
        <w:rPr>
          <w:rFonts w:ascii="Times New Roman" w:hAnsi="Times New Roman" w:cs="Times New Roman"/>
          <w:sz w:val="20"/>
          <w:szCs w:val="20"/>
          <w:lang w:val="en-US"/>
        </w:rPr>
        <w:t xml:space="preserve"> In the coming weeks the </w:t>
      </w:r>
      <w:r w:rsidR="002919B8" w:rsidRPr="00EE20B9">
        <w:rPr>
          <w:rFonts w:ascii="Times New Roman" w:hAnsi="Times New Roman" w:cs="Times New Roman"/>
          <w:sz w:val="20"/>
          <w:szCs w:val="20"/>
          <w:lang w:val="en-US"/>
        </w:rPr>
        <w:t>in</w:t>
      </w:r>
      <w:r w:rsidR="00DA668A">
        <w:rPr>
          <w:rFonts w:ascii="Times New Roman" w:hAnsi="Times New Roman" w:cs="Times New Roman"/>
          <w:sz w:val="20"/>
          <w:szCs w:val="20"/>
          <w:lang w:val="en-US"/>
        </w:rPr>
        <w:t xml:space="preserve"> </w:t>
      </w:r>
      <w:r w:rsidR="002919B8" w:rsidRPr="00EE20B9">
        <w:rPr>
          <w:rFonts w:ascii="Times New Roman" w:hAnsi="Times New Roman" w:cs="Times New Roman"/>
          <w:sz w:val="20"/>
          <w:szCs w:val="20"/>
          <w:lang w:val="en-US"/>
        </w:rPr>
        <w:t xml:space="preserve">vitro starch </w:t>
      </w:r>
      <w:r w:rsidRPr="00EE20B9">
        <w:rPr>
          <w:rFonts w:ascii="Times New Roman" w:hAnsi="Times New Roman" w:cs="Times New Roman"/>
          <w:sz w:val="20"/>
          <w:szCs w:val="20"/>
          <w:lang w:val="en-US"/>
        </w:rPr>
        <w:t>digestibility and the composition of the bio</w:t>
      </w:r>
      <w:r w:rsidR="00C63F8A" w:rsidRPr="00EE20B9">
        <w:rPr>
          <w:rFonts w:ascii="Times New Roman" w:hAnsi="Times New Roman" w:cs="Times New Roman"/>
          <w:sz w:val="20"/>
          <w:szCs w:val="20"/>
          <w:lang w:val="en-US"/>
        </w:rPr>
        <w:t>-</w:t>
      </w:r>
      <w:r w:rsidRPr="00EE20B9">
        <w:rPr>
          <w:rFonts w:ascii="Times New Roman" w:hAnsi="Times New Roman" w:cs="Times New Roman"/>
          <w:sz w:val="20"/>
          <w:szCs w:val="20"/>
          <w:lang w:val="en-US"/>
        </w:rPr>
        <w:t>active substances will be evaluated. The effect of sourdough processing in acorn</w:t>
      </w:r>
      <w:r w:rsidR="00C63F8A" w:rsidRPr="00EE20B9">
        <w:rPr>
          <w:rFonts w:ascii="Times New Roman" w:hAnsi="Times New Roman" w:cs="Times New Roman"/>
          <w:sz w:val="20"/>
          <w:szCs w:val="20"/>
          <w:lang w:val="en-US"/>
        </w:rPr>
        <w:t>-</w:t>
      </w:r>
      <w:r w:rsidRPr="00EE20B9">
        <w:rPr>
          <w:rFonts w:ascii="Times New Roman" w:hAnsi="Times New Roman" w:cs="Times New Roman"/>
          <w:sz w:val="20"/>
          <w:szCs w:val="20"/>
          <w:lang w:val="en-US"/>
        </w:rPr>
        <w:t>enriched bread will also be evaluated.</w:t>
      </w:r>
    </w:p>
    <w:p w14:paraId="358C8CA3" w14:textId="77777777" w:rsidR="00C12106" w:rsidRPr="00EE20B9" w:rsidRDefault="00C12106" w:rsidP="00C12106">
      <w:pPr>
        <w:jc w:val="both"/>
        <w:rPr>
          <w:rFonts w:ascii="Times New Roman" w:hAnsi="Times New Roman" w:cs="Times New Roman"/>
          <w:sz w:val="20"/>
          <w:szCs w:val="20"/>
          <w:lang w:val="en-US"/>
        </w:rPr>
      </w:pPr>
    </w:p>
    <w:p w14:paraId="6BFC2C0B" w14:textId="5831D922" w:rsidR="00C12106" w:rsidRPr="00EE20B9" w:rsidRDefault="00C12106" w:rsidP="00C12106">
      <w:pPr>
        <w:jc w:val="center"/>
        <w:rPr>
          <w:rFonts w:ascii="Times New Roman" w:hAnsi="Times New Roman" w:cs="Times New Roman"/>
          <w:b/>
          <w:bCs/>
          <w:sz w:val="24"/>
          <w:szCs w:val="24"/>
          <w:lang w:val="en-US"/>
        </w:rPr>
      </w:pPr>
      <w:r w:rsidRPr="00EE20B9">
        <w:rPr>
          <w:rFonts w:ascii="Times New Roman" w:hAnsi="Times New Roman" w:cs="Times New Roman"/>
          <w:b/>
          <w:bCs/>
          <w:sz w:val="24"/>
          <w:szCs w:val="24"/>
          <w:lang w:val="en-US"/>
        </w:rPr>
        <w:t xml:space="preserve">III – </w:t>
      </w:r>
      <w:r w:rsidR="003034B0" w:rsidRPr="00EE20B9">
        <w:rPr>
          <w:rFonts w:ascii="Times New Roman" w:hAnsi="Times New Roman" w:cs="Times New Roman"/>
          <w:b/>
          <w:bCs/>
          <w:sz w:val="24"/>
          <w:szCs w:val="24"/>
          <w:lang w:val="en-US"/>
        </w:rPr>
        <w:t>“</w:t>
      </w:r>
      <w:r w:rsidRPr="00EE20B9">
        <w:rPr>
          <w:rFonts w:ascii="Times New Roman" w:hAnsi="Times New Roman" w:cs="Times New Roman"/>
          <w:b/>
          <w:bCs/>
          <w:sz w:val="24"/>
          <w:szCs w:val="24"/>
          <w:lang w:val="en-US"/>
        </w:rPr>
        <w:t>Sorghum</w:t>
      </w:r>
      <w:r w:rsidR="003034B0" w:rsidRPr="00EE20B9">
        <w:rPr>
          <w:rFonts w:ascii="Times New Roman" w:hAnsi="Times New Roman" w:cs="Times New Roman"/>
          <w:b/>
          <w:bCs/>
          <w:sz w:val="24"/>
          <w:szCs w:val="24"/>
          <w:lang w:val="en-US"/>
        </w:rPr>
        <w:t xml:space="preserve"> porridge”</w:t>
      </w:r>
      <w:r w:rsidRPr="00EE20B9">
        <w:rPr>
          <w:rFonts w:ascii="Times New Roman" w:hAnsi="Times New Roman" w:cs="Times New Roman"/>
          <w:b/>
          <w:bCs/>
          <w:sz w:val="24"/>
          <w:szCs w:val="24"/>
          <w:lang w:val="en-US"/>
        </w:rPr>
        <w:t xml:space="preserve"> project</w:t>
      </w:r>
    </w:p>
    <w:p w14:paraId="05D232F3" w14:textId="40140D9B" w:rsidR="00C12106" w:rsidRPr="00EE20B9" w:rsidRDefault="00115A64" w:rsidP="00841656">
      <w:pPr>
        <w:pStyle w:val="Titolo1"/>
        <w:numPr>
          <w:ilvl w:val="0"/>
          <w:numId w:val="7"/>
        </w:numPr>
        <w:spacing w:after="120"/>
        <w:ind w:left="714" w:hanging="357"/>
        <w:rPr>
          <w:rFonts w:ascii="Times New Roman" w:hAnsi="Times New Roman" w:cs="Times New Roman"/>
          <w:b/>
          <w:bCs/>
          <w:color w:val="000000" w:themeColor="text1"/>
          <w:sz w:val="24"/>
          <w:szCs w:val="24"/>
          <w:lang w:val="en-US"/>
        </w:rPr>
      </w:pPr>
      <w:r w:rsidRPr="00EE20B9">
        <w:rPr>
          <w:rFonts w:ascii="Times New Roman" w:hAnsi="Times New Roman" w:cs="Times New Roman"/>
          <w:b/>
          <w:bCs/>
          <w:color w:val="000000" w:themeColor="text1"/>
          <w:sz w:val="24"/>
          <w:szCs w:val="24"/>
          <w:lang w:val="en-US"/>
        </w:rPr>
        <w:t>Introduction</w:t>
      </w:r>
    </w:p>
    <w:p w14:paraId="5F6F79E9" w14:textId="4E692F1F" w:rsidR="00C12106" w:rsidRPr="0040479F" w:rsidRDefault="00C44A0E" w:rsidP="0082137F">
      <w:pPr>
        <w:jc w:val="both"/>
        <w:rPr>
          <w:rFonts w:ascii="Times New Roman" w:hAnsi="Times New Roman" w:cs="Times New Roman"/>
          <w:sz w:val="20"/>
          <w:szCs w:val="20"/>
          <w:lang w:val="en-US"/>
        </w:rPr>
      </w:pPr>
      <w:r w:rsidRPr="00EE20B9">
        <w:rPr>
          <w:rFonts w:ascii="Times New Roman" w:hAnsi="Times New Roman" w:cs="Times New Roman"/>
          <w:sz w:val="20"/>
          <w:szCs w:val="20"/>
          <w:lang w:val="en-US"/>
        </w:rPr>
        <w:t>Sorg</w:t>
      </w:r>
      <w:r w:rsidR="00994ADA">
        <w:rPr>
          <w:rFonts w:ascii="Times New Roman" w:hAnsi="Times New Roman" w:cs="Times New Roman"/>
          <w:sz w:val="20"/>
          <w:szCs w:val="20"/>
          <w:lang w:val="en-US"/>
        </w:rPr>
        <w:t>h</w:t>
      </w:r>
      <w:r w:rsidRPr="00EE20B9">
        <w:rPr>
          <w:rFonts w:ascii="Times New Roman" w:hAnsi="Times New Roman" w:cs="Times New Roman"/>
          <w:sz w:val="20"/>
          <w:szCs w:val="20"/>
          <w:lang w:val="en-US"/>
        </w:rPr>
        <w:t>um porridge is a common homemade complementary food in Africa, but it frequently lacks essential amino acids and is often too thick, making it difficult</w:t>
      </w:r>
      <w:r w:rsidR="00C12106" w:rsidRPr="00EE20B9">
        <w:rPr>
          <w:rFonts w:ascii="Times New Roman" w:hAnsi="Times New Roman" w:cs="Times New Roman"/>
          <w:sz w:val="20"/>
          <w:szCs w:val="20"/>
          <w:lang w:val="en-US"/>
        </w:rPr>
        <w:t xml:space="preserve"> to swallow and digest for infants 6</w:t>
      </w:r>
      <w:r w:rsidR="009A605A" w:rsidRPr="00EE20B9">
        <w:rPr>
          <w:rFonts w:ascii="Times New Roman" w:hAnsi="Times New Roman" w:cs="Times New Roman"/>
          <w:sz w:val="20"/>
          <w:szCs w:val="20"/>
          <w:lang w:val="en-US"/>
        </w:rPr>
        <w:t>-</w:t>
      </w:r>
      <w:r w:rsidR="00C12106" w:rsidRPr="00EE20B9">
        <w:rPr>
          <w:rFonts w:ascii="Times New Roman" w:hAnsi="Times New Roman" w:cs="Times New Roman"/>
          <w:sz w:val="20"/>
          <w:szCs w:val="20"/>
          <w:lang w:val="en-US"/>
        </w:rPr>
        <w:t>12 months (Oladiran</w:t>
      </w:r>
      <w:r w:rsidR="00915ED8">
        <w:rPr>
          <w:rFonts w:ascii="Times New Roman" w:hAnsi="Times New Roman" w:cs="Times New Roman"/>
          <w:sz w:val="20"/>
          <w:szCs w:val="20"/>
          <w:lang w:val="en-US"/>
        </w:rPr>
        <w:t xml:space="preserve"> and </w:t>
      </w:r>
      <w:r w:rsidR="00EE3E2C">
        <w:rPr>
          <w:rFonts w:ascii="Times New Roman" w:hAnsi="Times New Roman" w:cs="Times New Roman"/>
          <w:sz w:val="20"/>
          <w:szCs w:val="20"/>
          <w:lang w:val="en-US"/>
        </w:rPr>
        <w:t>Emmambux</w:t>
      </w:r>
      <w:r w:rsidR="00915ED8">
        <w:rPr>
          <w:rFonts w:ascii="Times New Roman" w:hAnsi="Times New Roman" w:cs="Times New Roman"/>
          <w:sz w:val="20"/>
          <w:szCs w:val="20"/>
          <w:lang w:val="en-US"/>
        </w:rPr>
        <w:t>,</w:t>
      </w:r>
      <w:r w:rsidR="00C12106" w:rsidRPr="00EE20B9">
        <w:rPr>
          <w:rFonts w:ascii="Times New Roman" w:hAnsi="Times New Roman" w:cs="Times New Roman"/>
          <w:sz w:val="20"/>
          <w:szCs w:val="20"/>
          <w:lang w:val="en-US"/>
        </w:rPr>
        <w:t xml:space="preserve"> 202</w:t>
      </w:r>
      <w:r w:rsidR="007F5D6D" w:rsidRPr="00EE20B9">
        <w:rPr>
          <w:rFonts w:ascii="Times New Roman" w:hAnsi="Times New Roman" w:cs="Times New Roman"/>
          <w:sz w:val="20"/>
          <w:szCs w:val="20"/>
          <w:lang w:val="en-US"/>
        </w:rPr>
        <w:t>0</w:t>
      </w:r>
      <w:r w:rsidR="00C12106" w:rsidRPr="00EE20B9">
        <w:rPr>
          <w:rFonts w:ascii="Times New Roman" w:hAnsi="Times New Roman" w:cs="Times New Roman"/>
          <w:sz w:val="20"/>
          <w:szCs w:val="20"/>
          <w:lang w:val="en-US"/>
        </w:rPr>
        <w:t>).</w:t>
      </w:r>
      <w:r w:rsidR="00075974" w:rsidRPr="00EE20B9">
        <w:rPr>
          <w:rFonts w:ascii="Times New Roman" w:hAnsi="Times New Roman" w:cs="Times New Roman"/>
          <w:sz w:val="20"/>
          <w:szCs w:val="20"/>
          <w:lang w:val="en-US"/>
        </w:rPr>
        <w:t xml:space="preserve"> This project aims at improving sorg</w:t>
      </w:r>
      <w:r w:rsidR="00994ADA">
        <w:rPr>
          <w:rFonts w:ascii="Times New Roman" w:hAnsi="Times New Roman" w:cs="Times New Roman"/>
          <w:sz w:val="20"/>
          <w:szCs w:val="20"/>
          <w:lang w:val="en-US"/>
        </w:rPr>
        <w:t>h</w:t>
      </w:r>
      <w:r w:rsidR="00075974" w:rsidRPr="00EE20B9">
        <w:rPr>
          <w:rFonts w:ascii="Times New Roman" w:hAnsi="Times New Roman" w:cs="Times New Roman"/>
          <w:sz w:val="20"/>
          <w:szCs w:val="20"/>
          <w:lang w:val="en-US"/>
        </w:rPr>
        <w:t>um porridge properties for complementary food by means of endogenous sorg</w:t>
      </w:r>
      <w:r w:rsidR="009A605A" w:rsidRPr="00EE20B9">
        <w:rPr>
          <w:rFonts w:ascii="Times New Roman" w:hAnsi="Times New Roman" w:cs="Times New Roman"/>
          <w:sz w:val="20"/>
          <w:szCs w:val="20"/>
          <w:lang w:val="en-US"/>
        </w:rPr>
        <w:t>h</w:t>
      </w:r>
      <w:r w:rsidR="00075974" w:rsidRPr="00EE20B9">
        <w:rPr>
          <w:rFonts w:ascii="Times New Roman" w:hAnsi="Times New Roman" w:cs="Times New Roman"/>
          <w:sz w:val="20"/>
          <w:szCs w:val="20"/>
          <w:lang w:val="en-US"/>
        </w:rPr>
        <w:t>um f</w:t>
      </w:r>
      <w:r w:rsidR="00C12106" w:rsidRPr="00EE20B9">
        <w:rPr>
          <w:rFonts w:ascii="Times New Roman" w:hAnsi="Times New Roman" w:cs="Times New Roman"/>
          <w:sz w:val="20"/>
          <w:szCs w:val="20"/>
          <w:lang w:val="en-US"/>
        </w:rPr>
        <w:t xml:space="preserve">ermentation </w:t>
      </w:r>
      <w:r w:rsidR="00075974" w:rsidRPr="00EE20B9">
        <w:rPr>
          <w:rFonts w:ascii="Times New Roman" w:hAnsi="Times New Roman" w:cs="Times New Roman"/>
          <w:sz w:val="20"/>
          <w:szCs w:val="20"/>
          <w:lang w:val="en-US"/>
        </w:rPr>
        <w:t xml:space="preserve">(to </w:t>
      </w:r>
      <w:r w:rsidR="00C12106" w:rsidRPr="00EE20B9">
        <w:rPr>
          <w:rFonts w:ascii="Times New Roman" w:hAnsi="Times New Roman" w:cs="Times New Roman"/>
          <w:sz w:val="20"/>
          <w:szCs w:val="20"/>
          <w:lang w:val="en-US"/>
        </w:rPr>
        <w:t xml:space="preserve">break down </w:t>
      </w:r>
      <w:r w:rsidR="00075974" w:rsidRPr="00EE20B9">
        <w:rPr>
          <w:rFonts w:ascii="Times New Roman" w:hAnsi="Times New Roman" w:cs="Times New Roman"/>
          <w:sz w:val="20"/>
          <w:szCs w:val="20"/>
          <w:lang w:val="en-US"/>
        </w:rPr>
        <w:t>phyta</w:t>
      </w:r>
      <w:r w:rsidR="00FF705D" w:rsidRPr="00EE20B9">
        <w:rPr>
          <w:rFonts w:ascii="Times New Roman" w:hAnsi="Times New Roman" w:cs="Times New Roman"/>
          <w:sz w:val="20"/>
          <w:szCs w:val="20"/>
          <w:lang w:val="en-US"/>
        </w:rPr>
        <w:t>t</w:t>
      </w:r>
      <w:r w:rsidR="00075974" w:rsidRPr="00EE20B9">
        <w:rPr>
          <w:rFonts w:ascii="Times New Roman" w:hAnsi="Times New Roman" w:cs="Times New Roman"/>
          <w:sz w:val="20"/>
          <w:szCs w:val="20"/>
          <w:lang w:val="en-US"/>
        </w:rPr>
        <w:t xml:space="preserve">es and </w:t>
      </w:r>
      <w:r w:rsidR="00FF705D" w:rsidRPr="00EE20B9">
        <w:rPr>
          <w:rFonts w:ascii="Times New Roman" w:hAnsi="Times New Roman" w:cs="Times New Roman"/>
          <w:sz w:val="20"/>
          <w:szCs w:val="20"/>
          <w:lang w:val="en-US"/>
        </w:rPr>
        <w:t xml:space="preserve">induce </w:t>
      </w:r>
      <w:r w:rsidR="00075974" w:rsidRPr="00EE20B9">
        <w:rPr>
          <w:rFonts w:ascii="Times New Roman" w:hAnsi="Times New Roman" w:cs="Times New Roman"/>
          <w:sz w:val="20"/>
          <w:szCs w:val="20"/>
          <w:lang w:val="en-US"/>
        </w:rPr>
        <w:t>textural thinning)</w:t>
      </w:r>
      <w:r w:rsidR="005648AF" w:rsidRPr="00EE20B9">
        <w:rPr>
          <w:rFonts w:ascii="Times New Roman" w:hAnsi="Times New Roman" w:cs="Times New Roman"/>
          <w:sz w:val="20"/>
          <w:szCs w:val="20"/>
          <w:lang w:val="en-US"/>
        </w:rPr>
        <w:t xml:space="preserve"> and bottle gourd seeds</w:t>
      </w:r>
      <w:r w:rsidR="00FF705D" w:rsidRPr="00EE20B9">
        <w:rPr>
          <w:rFonts w:ascii="Times New Roman" w:hAnsi="Times New Roman" w:cs="Times New Roman"/>
          <w:sz w:val="20"/>
          <w:szCs w:val="20"/>
          <w:lang w:val="en-US"/>
        </w:rPr>
        <w:t xml:space="preserve"> fortification</w:t>
      </w:r>
      <w:r w:rsidR="005648AF" w:rsidRPr="0040479F" w:rsidDel="00075974">
        <w:rPr>
          <w:rFonts w:ascii="Times New Roman" w:hAnsi="Times New Roman" w:cs="Times New Roman"/>
          <w:sz w:val="20"/>
          <w:szCs w:val="20"/>
          <w:lang w:val="en-US"/>
        </w:rPr>
        <w:t xml:space="preserve"> </w:t>
      </w:r>
      <w:r w:rsidR="00FF705D">
        <w:rPr>
          <w:rFonts w:ascii="Times New Roman" w:hAnsi="Times New Roman" w:cs="Times New Roman"/>
          <w:sz w:val="20"/>
          <w:szCs w:val="20"/>
          <w:lang w:val="en-US"/>
        </w:rPr>
        <w:t>(rich in</w:t>
      </w:r>
      <w:r w:rsidR="00AC1BCA" w:rsidRPr="0040479F">
        <w:rPr>
          <w:rFonts w:ascii="Times New Roman" w:hAnsi="Times New Roman" w:cs="Times New Roman"/>
          <w:sz w:val="20"/>
          <w:szCs w:val="20"/>
          <w:lang w:val="en-US"/>
        </w:rPr>
        <w:t xml:space="preserve"> essential amino acids</w:t>
      </w:r>
      <w:r w:rsidR="00FF705D">
        <w:rPr>
          <w:rFonts w:ascii="Times New Roman" w:hAnsi="Times New Roman" w:cs="Times New Roman"/>
          <w:sz w:val="20"/>
          <w:szCs w:val="20"/>
          <w:lang w:val="en-US"/>
        </w:rPr>
        <w:t xml:space="preserve">; also </w:t>
      </w:r>
      <w:r w:rsidR="005648AF">
        <w:rPr>
          <w:rFonts w:ascii="Times New Roman" w:hAnsi="Times New Roman" w:cs="Times New Roman"/>
          <w:sz w:val="20"/>
          <w:szCs w:val="20"/>
          <w:lang w:val="en-US"/>
        </w:rPr>
        <w:t>germinated [</w:t>
      </w:r>
      <w:r w:rsidR="00AC1BCA" w:rsidRPr="0040479F">
        <w:rPr>
          <w:rFonts w:ascii="Times New Roman" w:hAnsi="Times New Roman" w:cs="Times New Roman"/>
          <w:sz w:val="20"/>
          <w:szCs w:val="20"/>
          <w:lang w:val="en-US"/>
        </w:rPr>
        <w:t>increase protein digestibility</w:t>
      </w:r>
      <w:r w:rsidR="00AC1BCA">
        <w:rPr>
          <w:rFonts w:ascii="Times New Roman" w:hAnsi="Times New Roman" w:cs="Times New Roman"/>
          <w:sz w:val="20"/>
          <w:szCs w:val="20"/>
          <w:lang w:val="en-US"/>
        </w:rPr>
        <w:t>, α</w:t>
      </w:r>
      <w:r w:rsidR="00AC1BCA" w:rsidRPr="0040479F">
        <w:rPr>
          <w:rFonts w:ascii="Times New Roman" w:hAnsi="Times New Roman" w:cs="Times New Roman"/>
          <w:sz w:val="20"/>
          <w:szCs w:val="20"/>
          <w:lang w:val="en-US"/>
        </w:rPr>
        <w:t xml:space="preserve">-amylase </w:t>
      </w:r>
      <w:r w:rsidR="00AC1BCA">
        <w:rPr>
          <w:rFonts w:ascii="Times New Roman" w:hAnsi="Times New Roman" w:cs="Times New Roman"/>
          <w:sz w:val="20"/>
          <w:szCs w:val="20"/>
          <w:lang w:val="en-US"/>
        </w:rPr>
        <w:t>thinning action</w:t>
      </w:r>
      <w:r w:rsidR="005648AF">
        <w:rPr>
          <w:rFonts w:ascii="Times New Roman" w:hAnsi="Times New Roman" w:cs="Times New Roman"/>
          <w:sz w:val="20"/>
          <w:szCs w:val="20"/>
          <w:lang w:val="en-US"/>
        </w:rPr>
        <w:t>]).</w:t>
      </w:r>
      <w:r w:rsidR="00456B3F">
        <w:rPr>
          <w:rFonts w:ascii="Times New Roman" w:hAnsi="Times New Roman" w:cs="Times New Roman"/>
          <w:sz w:val="20"/>
          <w:szCs w:val="20"/>
          <w:lang w:val="en-US"/>
        </w:rPr>
        <w:t xml:space="preserve"> </w:t>
      </w:r>
      <w:r w:rsidR="00FF705D">
        <w:rPr>
          <w:rFonts w:ascii="Times New Roman" w:hAnsi="Times New Roman" w:cs="Times New Roman"/>
          <w:sz w:val="20"/>
          <w:szCs w:val="20"/>
          <w:lang w:val="en-US"/>
        </w:rPr>
        <w:t>C</w:t>
      </w:r>
      <w:r w:rsidR="00FF705D" w:rsidRPr="0040479F">
        <w:rPr>
          <w:rFonts w:ascii="Times New Roman" w:hAnsi="Times New Roman" w:cs="Times New Roman"/>
          <w:sz w:val="20"/>
          <w:szCs w:val="20"/>
          <w:lang w:val="en-US"/>
        </w:rPr>
        <w:t xml:space="preserve">omplementary </w:t>
      </w:r>
      <w:r w:rsidR="00FF705D">
        <w:rPr>
          <w:rFonts w:ascii="Times New Roman" w:hAnsi="Times New Roman" w:cs="Times New Roman"/>
          <w:sz w:val="20"/>
          <w:szCs w:val="20"/>
          <w:lang w:val="en-US"/>
        </w:rPr>
        <w:t>sorg</w:t>
      </w:r>
      <w:r w:rsidR="00994ADA">
        <w:rPr>
          <w:rFonts w:ascii="Times New Roman" w:hAnsi="Times New Roman" w:cs="Times New Roman"/>
          <w:sz w:val="20"/>
          <w:szCs w:val="20"/>
          <w:lang w:val="en-US"/>
        </w:rPr>
        <w:t>h</w:t>
      </w:r>
      <w:r w:rsidR="00FF705D">
        <w:rPr>
          <w:rFonts w:ascii="Times New Roman" w:hAnsi="Times New Roman" w:cs="Times New Roman"/>
          <w:sz w:val="20"/>
          <w:szCs w:val="20"/>
          <w:lang w:val="en-US"/>
        </w:rPr>
        <w:t xml:space="preserve">um </w:t>
      </w:r>
      <w:r w:rsidR="00FF705D" w:rsidRPr="0040479F">
        <w:rPr>
          <w:rFonts w:ascii="Times New Roman" w:hAnsi="Times New Roman" w:cs="Times New Roman"/>
          <w:sz w:val="20"/>
          <w:szCs w:val="20"/>
          <w:lang w:val="en-US"/>
        </w:rPr>
        <w:t>porridge</w:t>
      </w:r>
      <w:r w:rsidR="00FF705D">
        <w:rPr>
          <w:rFonts w:ascii="Times New Roman" w:hAnsi="Times New Roman" w:cs="Times New Roman"/>
          <w:sz w:val="20"/>
          <w:szCs w:val="20"/>
          <w:lang w:val="en-US"/>
        </w:rPr>
        <w:t xml:space="preserve"> </w:t>
      </w:r>
      <w:r w:rsidR="002B5B32">
        <w:rPr>
          <w:rFonts w:ascii="Times New Roman" w:hAnsi="Times New Roman" w:cs="Times New Roman"/>
          <w:sz w:val="20"/>
          <w:szCs w:val="20"/>
          <w:lang w:val="en-US"/>
        </w:rPr>
        <w:t>was</w:t>
      </w:r>
      <w:r w:rsidR="00FF705D">
        <w:rPr>
          <w:rFonts w:ascii="Times New Roman" w:hAnsi="Times New Roman" w:cs="Times New Roman"/>
          <w:sz w:val="20"/>
          <w:szCs w:val="20"/>
          <w:lang w:val="en-US"/>
        </w:rPr>
        <w:t xml:space="preserve"> characteri</w:t>
      </w:r>
      <w:r w:rsidR="00EE3E2C">
        <w:rPr>
          <w:rFonts w:ascii="Times New Roman" w:hAnsi="Times New Roman" w:cs="Times New Roman"/>
          <w:sz w:val="20"/>
          <w:szCs w:val="20"/>
          <w:lang w:val="en-US"/>
        </w:rPr>
        <w:t>s</w:t>
      </w:r>
      <w:r w:rsidR="00FF705D">
        <w:rPr>
          <w:rFonts w:ascii="Times New Roman" w:hAnsi="Times New Roman" w:cs="Times New Roman"/>
          <w:sz w:val="20"/>
          <w:szCs w:val="20"/>
          <w:lang w:val="en-US"/>
        </w:rPr>
        <w:t xml:space="preserve">ed for </w:t>
      </w:r>
      <w:r w:rsidR="00C12106" w:rsidRPr="0040479F">
        <w:rPr>
          <w:rFonts w:ascii="Times New Roman" w:hAnsi="Times New Roman" w:cs="Times New Roman"/>
          <w:sz w:val="20"/>
          <w:szCs w:val="20"/>
          <w:lang w:val="en-US"/>
        </w:rPr>
        <w:t xml:space="preserve">functional, </w:t>
      </w:r>
      <w:r w:rsidR="00FF705D" w:rsidRPr="0040479F">
        <w:rPr>
          <w:rFonts w:ascii="Times New Roman" w:hAnsi="Times New Roman" w:cs="Times New Roman"/>
          <w:sz w:val="20"/>
          <w:szCs w:val="20"/>
          <w:lang w:val="en-US"/>
        </w:rPr>
        <w:t>nutritional</w:t>
      </w:r>
      <w:r w:rsidR="00FF705D">
        <w:rPr>
          <w:rFonts w:ascii="Times New Roman" w:hAnsi="Times New Roman" w:cs="Times New Roman"/>
          <w:sz w:val="20"/>
          <w:szCs w:val="20"/>
          <w:lang w:val="en-US"/>
        </w:rPr>
        <w:t>/</w:t>
      </w:r>
      <w:r w:rsidR="00C12106" w:rsidRPr="0040479F">
        <w:rPr>
          <w:rFonts w:ascii="Times New Roman" w:hAnsi="Times New Roman" w:cs="Times New Roman"/>
          <w:sz w:val="20"/>
          <w:szCs w:val="20"/>
          <w:lang w:val="en-US"/>
        </w:rPr>
        <w:t>anti-nutritional</w:t>
      </w:r>
      <w:r w:rsidR="00FF705D">
        <w:rPr>
          <w:rFonts w:ascii="Times New Roman" w:hAnsi="Times New Roman" w:cs="Times New Roman"/>
          <w:sz w:val="20"/>
          <w:szCs w:val="20"/>
          <w:lang w:val="en-US"/>
        </w:rPr>
        <w:t xml:space="preserve"> properties</w:t>
      </w:r>
      <w:r w:rsidR="00EE3E2C">
        <w:rPr>
          <w:rFonts w:ascii="Times New Roman" w:hAnsi="Times New Roman" w:cs="Times New Roman"/>
          <w:sz w:val="20"/>
          <w:szCs w:val="20"/>
          <w:lang w:val="en-US"/>
        </w:rPr>
        <w:t>.</w:t>
      </w:r>
    </w:p>
    <w:p w14:paraId="52A4C579" w14:textId="0F560CDA" w:rsidR="00C12106" w:rsidRDefault="00115A64" w:rsidP="00841656">
      <w:pPr>
        <w:pStyle w:val="Titolo1"/>
        <w:numPr>
          <w:ilvl w:val="0"/>
          <w:numId w:val="7"/>
        </w:numPr>
        <w:spacing w:after="120"/>
        <w:ind w:left="714" w:hanging="357"/>
        <w:rPr>
          <w:rFonts w:ascii="Times New Roman" w:hAnsi="Times New Roman" w:cs="Times New Roman"/>
          <w:b/>
          <w:bCs/>
          <w:color w:val="000000" w:themeColor="text1"/>
          <w:sz w:val="24"/>
          <w:szCs w:val="24"/>
          <w:lang w:val="en-US"/>
        </w:rPr>
      </w:pPr>
      <w:bookmarkStart w:id="0" w:name="_Hlk137120404"/>
      <w:r w:rsidRPr="004B725E">
        <w:rPr>
          <w:rFonts w:ascii="Times New Roman" w:hAnsi="Times New Roman" w:cs="Times New Roman"/>
          <w:b/>
          <w:bCs/>
          <w:color w:val="000000" w:themeColor="text1"/>
          <w:sz w:val="24"/>
          <w:szCs w:val="24"/>
          <w:lang w:val="en-US"/>
        </w:rPr>
        <w:t>Methodology</w:t>
      </w:r>
    </w:p>
    <w:p w14:paraId="689857E7" w14:textId="530760B0" w:rsidR="00213264" w:rsidRDefault="00213264" w:rsidP="00E26A5A">
      <w:pPr>
        <w:spacing w:before="300" w:after="300"/>
        <w:ind w:left="709" w:hanging="709"/>
        <w:rPr>
          <w:rFonts w:ascii="Times New Roman" w:hAnsi="Times New Roman" w:cs="Times New Roman"/>
          <w:i/>
          <w:iCs/>
          <w:sz w:val="18"/>
          <w:szCs w:val="18"/>
          <w:lang w:val="en-US"/>
        </w:rPr>
      </w:pPr>
      <w:r w:rsidRPr="00213264">
        <w:rPr>
          <w:rFonts w:ascii="Times New Roman" w:hAnsi="Times New Roman" w:cs="Times New Roman"/>
          <w:b/>
          <w:bCs/>
          <w:sz w:val="18"/>
          <w:szCs w:val="18"/>
          <w:u w:val="single"/>
          <w:lang w:val="en-US"/>
        </w:rPr>
        <w:t>Figure 2</w:t>
      </w:r>
      <w:r w:rsidRPr="00213264">
        <w:rPr>
          <w:rFonts w:ascii="Times New Roman" w:hAnsi="Times New Roman" w:cs="Times New Roman"/>
          <w:sz w:val="18"/>
          <w:szCs w:val="18"/>
          <w:lang w:val="en-US"/>
        </w:rPr>
        <w:t xml:space="preserve"> </w:t>
      </w:r>
      <w:r w:rsidR="00A81730">
        <w:rPr>
          <w:rFonts w:ascii="Times New Roman" w:hAnsi="Times New Roman" w:cs="Times New Roman"/>
          <w:i/>
          <w:iCs/>
          <w:sz w:val="18"/>
          <w:szCs w:val="18"/>
          <w:lang w:val="en-US"/>
        </w:rPr>
        <w:t>Samples preparation a</w:t>
      </w:r>
      <w:r w:rsidR="00DA2AF4">
        <w:rPr>
          <w:rFonts w:ascii="Times New Roman" w:hAnsi="Times New Roman" w:cs="Times New Roman"/>
          <w:i/>
          <w:iCs/>
          <w:sz w:val="18"/>
          <w:szCs w:val="18"/>
          <w:lang w:val="en-US"/>
        </w:rPr>
        <w:t>nd analyses</w:t>
      </w:r>
      <w:r w:rsidRPr="00213264">
        <w:rPr>
          <w:rFonts w:ascii="Times New Roman" w:hAnsi="Times New Roman" w:cs="Times New Roman"/>
          <w:i/>
          <w:iCs/>
          <w:sz w:val="18"/>
          <w:szCs w:val="18"/>
          <w:lang w:val="en-US"/>
        </w:rPr>
        <w:t xml:space="preserve">. </w:t>
      </w:r>
      <w:r w:rsidR="00EB2A57" w:rsidRPr="00DA2AF4">
        <w:rPr>
          <w:rFonts w:ascii="Times New Roman" w:hAnsi="Times New Roman" w:cs="Times New Roman"/>
          <w:i/>
          <w:iCs/>
          <w:sz w:val="18"/>
          <w:szCs w:val="18"/>
          <w:lang w:val="en-US"/>
        </w:rPr>
        <w:t>S</w:t>
      </w:r>
      <w:r w:rsidR="00EB2A57">
        <w:rPr>
          <w:rFonts w:ascii="Times New Roman" w:hAnsi="Times New Roman" w:cs="Times New Roman"/>
          <w:i/>
          <w:iCs/>
          <w:sz w:val="18"/>
          <w:szCs w:val="18"/>
          <w:lang w:val="en-US"/>
        </w:rPr>
        <w:t>S</w:t>
      </w:r>
      <w:r w:rsidR="00EB2A57" w:rsidRPr="00DA2AF4">
        <w:rPr>
          <w:rFonts w:ascii="Times New Roman" w:hAnsi="Times New Roman" w:cs="Times New Roman"/>
          <w:i/>
          <w:iCs/>
          <w:sz w:val="18"/>
          <w:szCs w:val="18"/>
          <w:lang w:val="en-US"/>
        </w:rPr>
        <w:t xml:space="preserve">: Sorghum </w:t>
      </w:r>
      <w:r w:rsidR="00EB2A57">
        <w:rPr>
          <w:rFonts w:ascii="Times New Roman" w:hAnsi="Times New Roman" w:cs="Times New Roman"/>
          <w:i/>
          <w:iCs/>
          <w:sz w:val="18"/>
          <w:szCs w:val="18"/>
          <w:lang w:val="en-US"/>
        </w:rPr>
        <w:t>slurry</w:t>
      </w:r>
      <w:r w:rsidR="00EB2A57" w:rsidRPr="00DA2AF4">
        <w:rPr>
          <w:rFonts w:ascii="Times New Roman" w:hAnsi="Times New Roman" w:cs="Times New Roman"/>
          <w:i/>
          <w:iCs/>
          <w:sz w:val="18"/>
          <w:szCs w:val="18"/>
          <w:lang w:val="en-US"/>
        </w:rPr>
        <w:t>, FS</w:t>
      </w:r>
      <w:r w:rsidR="00EB2A57">
        <w:rPr>
          <w:rFonts w:ascii="Times New Roman" w:hAnsi="Times New Roman" w:cs="Times New Roman"/>
          <w:i/>
          <w:iCs/>
          <w:sz w:val="18"/>
          <w:szCs w:val="18"/>
          <w:lang w:val="en-US"/>
        </w:rPr>
        <w:t>S</w:t>
      </w:r>
      <w:r w:rsidR="00EB2A57" w:rsidRPr="00DA2AF4">
        <w:rPr>
          <w:rFonts w:ascii="Times New Roman" w:hAnsi="Times New Roman" w:cs="Times New Roman"/>
          <w:i/>
          <w:iCs/>
          <w:sz w:val="18"/>
          <w:szCs w:val="18"/>
          <w:lang w:val="en-US"/>
        </w:rPr>
        <w:t>: Fermented S</w:t>
      </w:r>
      <w:r w:rsidR="00EB2A57">
        <w:rPr>
          <w:rFonts w:ascii="Times New Roman" w:hAnsi="Times New Roman" w:cs="Times New Roman"/>
          <w:i/>
          <w:iCs/>
          <w:sz w:val="18"/>
          <w:szCs w:val="18"/>
          <w:lang w:val="en-US"/>
        </w:rPr>
        <w:t>S</w:t>
      </w:r>
      <w:r w:rsidR="00EB2A57" w:rsidRPr="00DA2AF4">
        <w:rPr>
          <w:rFonts w:ascii="Times New Roman" w:hAnsi="Times New Roman" w:cs="Times New Roman"/>
          <w:i/>
          <w:iCs/>
          <w:sz w:val="18"/>
          <w:szCs w:val="18"/>
          <w:lang w:val="en-US"/>
        </w:rPr>
        <w:t>, CnG</w:t>
      </w:r>
      <w:r w:rsidR="00F41F06">
        <w:rPr>
          <w:rFonts w:ascii="Times New Roman" w:hAnsi="Times New Roman" w:cs="Times New Roman"/>
          <w:i/>
          <w:iCs/>
          <w:sz w:val="18"/>
          <w:szCs w:val="18"/>
          <w:lang w:val="en-US"/>
        </w:rPr>
        <w:t>S</w:t>
      </w:r>
      <w:r w:rsidR="00EB2A57" w:rsidRPr="00DA2AF4">
        <w:rPr>
          <w:rFonts w:ascii="Times New Roman" w:hAnsi="Times New Roman" w:cs="Times New Roman"/>
          <w:i/>
          <w:iCs/>
          <w:sz w:val="18"/>
          <w:szCs w:val="18"/>
          <w:lang w:val="en-US"/>
        </w:rPr>
        <w:t>: Composited S</w:t>
      </w:r>
      <w:r w:rsidR="00EB2A57">
        <w:rPr>
          <w:rFonts w:ascii="Times New Roman" w:hAnsi="Times New Roman" w:cs="Times New Roman"/>
          <w:i/>
          <w:iCs/>
          <w:sz w:val="18"/>
          <w:szCs w:val="18"/>
          <w:lang w:val="en-US"/>
        </w:rPr>
        <w:t>S</w:t>
      </w:r>
      <w:r w:rsidR="00EB2A57" w:rsidRPr="00DA2AF4">
        <w:rPr>
          <w:rFonts w:ascii="Times New Roman" w:hAnsi="Times New Roman" w:cs="Times New Roman"/>
          <w:i/>
          <w:iCs/>
          <w:sz w:val="18"/>
          <w:szCs w:val="18"/>
          <w:lang w:val="en-US"/>
        </w:rPr>
        <w:t xml:space="preserve"> (fermentation + non-germinated seed flour), CG</w:t>
      </w:r>
      <w:r w:rsidR="00F41F06">
        <w:rPr>
          <w:rFonts w:ascii="Times New Roman" w:hAnsi="Times New Roman" w:cs="Times New Roman"/>
          <w:i/>
          <w:iCs/>
          <w:sz w:val="18"/>
          <w:szCs w:val="18"/>
          <w:lang w:val="en-US"/>
        </w:rPr>
        <w:t>S</w:t>
      </w:r>
      <w:r w:rsidR="00EB2A57" w:rsidRPr="00DA2AF4">
        <w:rPr>
          <w:rFonts w:ascii="Times New Roman" w:hAnsi="Times New Roman" w:cs="Times New Roman"/>
          <w:i/>
          <w:iCs/>
          <w:sz w:val="18"/>
          <w:szCs w:val="18"/>
          <w:lang w:val="en-US"/>
        </w:rPr>
        <w:t>: Composited S</w:t>
      </w:r>
      <w:r w:rsidR="00EB2A57">
        <w:rPr>
          <w:rFonts w:ascii="Times New Roman" w:hAnsi="Times New Roman" w:cs="Times New Roman"/>
          <w:i/>
          <w:iCs/>
          <w:sz w:val="18"/>
          <w:szCs w:val="18"/>
          <w:lang w:val="en-US"/>
        </w:rPr>
        <w:t>S</w:t>
      </w:r>
      <w:r w:rsidR="00EB2A57" w:rsidRPr="00DA2AF4">
        <w:rPr>
          <w:rFonts w:ascii="Times New Roman" w:hAnsi="Times New Roman" w:cs="Times New Roman"/>
          <w:i/>
          <w:iCs/>
          <w:sz w:val="18"/>
          <w:szCs w:val="18"/>
          <w:lang w:val="en-US"/>
        </w:rPr>
        <w:t xml:space="preserve"> (fermentation + germinated seed flour)</w:t>
      </w:r>
      <w:r w:rsidR="00C04315">
        <w:rPr>
          <w:rFonts w:ascii="Times New Roman" w:hAnsi="Times New Roman" w:cs="Times New Roman"/>
          <w:i/>
          <w:iCs/>
          <w:sz w:val="18"/>
          <w:szCs w:val="18"/>
          <w:lang w:val="en-US"/>
        </w:rPr>
        <w:t xml:space="preserve">. </w:t>
      </w:r>
      <w:r w:rsidR="00C04315">
        <w:rPr>
          <w:rFonts w:ascii="Times New Roman" w:hAnsi="Times New Roman" w:cs="Times New Roman"/>
          <w:i/>
          <w:iCs/>
          <w:sz w:val="18"/>
          <w:szCs w:val="18"/>
          <w:lang w:val="en-US"/>
        </w:rPr>
        <w:tab/>
      </w:r>
      <w:r w:rsidR="00C04315">
        <w:rPr>
          <w:rFonts w:ascii="Times New Roman" w:hAnsi="Times New Roman" w:cs="Times New Roman"/>
          <w:i/>
          <w:iCs/>
          <w:sz w:val="18"/>
          <w:szCs w:val="18"/>
          <w:lang w:val="en-US"/>
        </w:rPr>
        <w:tab/>
        <w:t xml:space="preserve">        </w:t>
      </w:r>
      <w:r w:rsidR="00DA2AF4" w:rsidRPr="00DA2AF4">
        <w:rPr>
          <w:rFonts w:ascii="Times New Roman" w:hAnsi="Times New Roman" w:cs="Times New Roman"/>
          <w:i/>
          <w:iCs/>
          <w:sz w:val="18"/>
          <w:szCs w:val="18"/>
          <w:lang w:val="en-US"/>
        </w:rPr>
        <w:t>SP: Sorghum porridge, FSP: Fermented SP, CnG</w:t>
      </w:r>
      <w:r w:rsidR="00A81730">
        <w:rPr>
          <w:rFonts w:ascii="Times New Roman" w:hAnsi="Times New Roman" w:cs="Times New Roman"/>
          <w:i/>
          <w:iCs/>
          <w:sz w:val="18"/>
          <w:szCs w:val="18"/>
          <w:lang w:val="en-US"/>
        </w:rPr>
        <w:t>P</w:t>
      </w:r>
      <w:r w:rsidR="00DA2AF4" w:rsidRPr="00DA2AF4">
        <w:rPr>
          <w:rFonts w:ascii="Times New Roman" w:hAnsi="Times New Roman" w:cs="Times New Roman"/>
          <w:i/>
          <w:iCs/>
          <w:sz w:val="18"/>
          <w:szCs w:val="18"/>
          <w:lang w:val="en-US"/>
        </w:rPr>
        <w:t>: Composited SP (fermentation + non-germinated seed flour), CGP: Composited SP (fermentation + germinated seed flour).</w:t>
      </w:r>
    </w:p>
    <w:p w14:paraId="656C71A9" w14:textId="470E5F56" w:rsidR="00A027A2" w:rsidRPr="00213264" w:rsidRDefault="008A02BB" w:rsidP="00A027A2">
      <w:pPr>
        <w:spacing w:before="300" w:after="300"/>
        <w:ind w:left="709" w:hanging="709"/>
        <w:jc w:val="center"/>
        <w:rPr>
          <w:rFonts w:ascii="Times New Roman" w:hAnsi="Times New Roman" w:cs="Times New Roman"/>
          <w:i/>
          <w:iCs/>
          <w:sz w:val="18"/>
          <w:szCs w:val="18"/>
          <w:lang w:val="en-US"/>
        </w:rPr>
      </w:pPr>
      <w:r>
        <w:rPr>
          <w:rFonts w:ascii="Times New Roman" w:hAnsi="Times New Roman" w:cs="Times New Roman"/>
          <w:i/>
          <w:iCs/>
          <w:noProof/>
          <w:sz w:val="18"/>
          <w:szCs w:val="18"/>
          <w:lang w:val="en-US"/>
        </w:rPr>
        <w:drawing>
          <wp:inline distT="0" distB="0" distL="0" distR="0" wp14:anchorId="111FC493" wp14:editId="2A73EECB">
            <wp:extent cx="4051300" cy="2228536"/>
            <wp:effectExtent l="0" t="0" r="6350" b="635"/>
            <wp:docPr id="28544241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8178" cy="2243321"/>
                    </a:xfrm>
                    <a:prstGeom prst="rect">
                      <a:avLst/>
                    </a:prstGeom>
                    <a:noFill/>
                  </pic:spPr>
                </pic:pic>
              </a:graphicData>
            </a:graphic>
          </wp:inline>
        </w:drawing>
      </w:r>
    </w:p>
    <w:p w14:paraId="26448DD5" w14:textId="1B3C670F" w:rsidR="00C12106" w:rsidRDefault="00115A64" w:rsidP="00841656">
      <w:pPr>
        <w:pStyle w:val="Titolo1"/>
        <w:numPr>
          <w:ilvl w:val="0"/>
          <w:numId w:val="7"/>
        </w:numPr>
        <w:spacing w:after="120"/>
        <w:ind w:left="714" w:hanging="357"/>
        <w:rPr>
          <w:rFonts w:ascii="Times New Roman" w:hAnsi="Times New Roman" w:cs="Times New Roman"/>
          <w:b/>
          <w:bCs/>
          <w:color w:val="000000" w:themeColor="text1"/>
          <w:sz w:val="24"/>
          <w:szCs w:val="24"/>
          <w:lang w:val="en-US"/>
        </w:rPr>
      </w:pPr>
      <w:bookmarkStart w:id="1" w:name="_Hlk137120702"/>
      <w:bookmarkEnd w:id="0"/>
      <w:r w:rsidRPr="004B725E">
        <w:rPr>
          <w:rFonts w:ascii="Times New Roman" w:hAnsi="Times New Roman" w:cs="Times New Roman"/>
          <w:b/>
          <w:bCs/>
          <w:color w:val="000000" w:themeColor="text1"/>
          <w:sz w:val="24"/>
          <w:szCs w:val="24"/>
          <w:lang w:val="en-US"/>
        </w:rPr>
        <w:lastRenderedPageBreak/>
        <w:t xml:space="preserve">Results </w:t>
      </w:r>
      <w:r>
        <w:rPr>
          <w:rFonts w:ascii="Times New Roman" w:hAnsi="Times New Roman" w:cs="Times New Roman"/>
          <w:b/>
          <w:bCs/>
          <w:color w:val="000000" w:themeColor="text1"/>
          <w:sz w:val="24"/>
          <w:szCs w:val="24"/>
          <w:lang w:val="en-US"/>
        </w:rPr>
        <w:t>a</w:t>
      </w:r>
      <w:r w:rsidRPr="004B725E">
        <w:rPr>
          <w:rFonts w:ascii="Times New Roman" w:hAnsi="Times New Roman" w:cs="Times New Roman"/>
          <w:b/>
          <w:bCs/>
          <w:color w:val="000000" w:themeColor="text1"/>
          <w:sz w:val="24"/>
          <w:szCs w:val="24"/>
          <w:lang w:val="en-US"/>
        </w:rPr>
        <w:t>nd Discussion</w:t>
      </w:r>
    </w:p>
    <w:p w14:paraId="7A7CBC45" w14:textId="7494729C" w:rsidR="00C12106" w:rsidRPr="00115A64" w:rsidRDefault="00115A64" w:rsidP="00775AAC">
      <w:pPr>
        <w:pStyle w:val="Titolo2"/>
        <w:spacing w:before="0"/>
        <w:ind w:firstLine="708"/>
        <w:rPr>
          <w:rFonts w:ascii="Times New Roman" w:hAnsi="Times New Roman" w:cs="Times New Roman"/>
          <w:b/>
          <w:bCs/>
          <w:lang w:val="en-US"/>
        </w:rPr>
      </w:pPr>
      <w:r>
        <w:rPr>
          <w:rFonts w:ascii="Times New Roman" w:hAnsi="Times New Roman" w:cs="Times New Roman"/>
          <w:b/>
          <w:bCs/>
          <w:color w:val="000000" w:themeColor="text1"/>
          <w:sz w:val="20"/>
          <w:szCs w:val="20"/>
          <w:lang w:val="en-US"/>
        </w:rPr>
        <w:t xml:space="preserve">3.1 </w:t>
      </w:r>
      <w:r w:rsidR="00C327F7" w:rsidRPr="00115A64">
        <w:rPr>
          <w:rFonts w:ascii="Times New Roman" w:hAnsi="Times New Roman" w:cs="Times New Roman"/>
          <w:b/>
          <w:bCs/>
          <w:color w:val="000000" w:themeColor="text1"/>
          <w:sz w:val="20"/>
          <w:szCs w:val="20"/>
          <w:lang w:val="en-US"/>
        </w:rPr>
        <w:t>Functional properties</w:t>
      </w:r>
    </w:p>
    <w:bookmarkEnd w:id="1"/>
    <w:p w14:paraId="7162525C" w14:textId="05B59D03" w:rsidR="00C12106" w:rsidRDefault="00C12106" w:rsidP="00C12106">
      <w:pPr>
        <w:jc w:val="both"/>
        <w:rPr>
          <w:rFonts w:ascii="Times New Roman" w:hAnsi="Times New Roman" w:cs="Times New Roman"/>
          <w:sz w:val="20"/>
          <w:szCs w:val="20"/>
          <w:lang w:val="en-US"/>
        </w:rPr>
      </w:pPr>
      <w:r w:rsidRPr="0022306B">
        <w:rPr>
          <w:rFonts w:ascii="Times New Roman" w:hAnsi="Times New Roman" w:cs="Times New Roman"/>
          <w:sz w:val="20"/>
          <w:szCs w:val="20"/>
          <w:lang w:val="en-US"/>
        </w:rPr>
        <w:t xml:space="preserve">Only </w:t>
      </w:r>
      <w:r w:rsidR="00C04315">
        <w:rPr>
          <w:rFonts w:ascii="Times New Roman" w:hAnsi="Times New Roman" w:cs="Times New Roman"/>
          <w:sz w:val="20"/>
          <w:szCs w:val="20"/>
          <w:lang w:val="en-US"/>
        </w:rPr>
        <w:t>CnGS</w:t>
      </w:r>
      <w:r w:rsidRPr="0022306B">
        <w:rPr>
          <w:rFonts w:ascii="Times New Roman" w:hAnsi="Times New Roman" w:cs="Times New Roman"/>
          <w:sz w:val="20"/>
          <w:szCs w:val="20"/>
          <w:lang w:val="en-US"/>
        </w:rPr>
        <w:t xml:space="preserve"> significantly reduced the </w:t>
      </w:r>
      <w:r w:rsidR="001D6415">
        <w:rPr>
          <w:rFonts w:ascii="Times New Roman" w:hAnsi="Times New Roman" w:cs="Times New Roman"/>
          <w:sz w:val="20"/>
          <w:szCs w:val="20"/>
          <w:lang w:val="en-US"/>
        </w:rPr>
        <w:t>water absorption capacity (</w:t>
      </w:r>
      <w:r w:rsidRPr="0022306B">
        <w:rPr>
          <w:rFonts w:ascii="Times New Roman" w:hAnsi="Times New Roman" w:cs="Times New Roman"/>
          <w:sz w:val="20"/>
          <w:szCs w:val="20"/>
          <w:lang w:val="en-US"/>
        </w:rPr>
        <w:t>WAC</w:t>
      </w:r>
      <w:r w:rsidR="001D6415">
        <w:rPr>
          <w:rFonts w:ascii="Times New Roman" w:hAnsi="Times New Roman" w:cs="Times New Roman"/>
          <w:sz w:val="20"/>
          <w:szCs w:val="20"/>
          <w:lang w:val="en-US"/>
        </w:rPr>
        <w:t>)</w:t>
      </w:r>
      <w:r w:rsidR="00C25812">
        <w:rPr>
          <w:rFonts w:ascii="Times New Roman" w:hAnsi="Times New Roman" w:cs="Times New Roman"/>
          <w:sz w:val="20"/>
          <w:szCs w:val="20"/>
          <w:lang w:val="en-US"/>
        </w:rPr>
        <w:t xml:space="preserve"> (Table 1)</w:t>
      </w:r>
      <w:r w:rsidRPr="0022306B">
        <w:rPr>
          <w:rFonts w:ascii="Times New Roman" w:hAnsi="Times New Roman" w:cs="Times New Roman"/>
          <w:sz w:val="20"/>
          <w:szCs w:val="20"/>
          <w:lang w:val="en-US"/>
        </w:rPr>
        <w:t>. O</w:t>
      </w:r>
      <w:r w:rsidR="001D6415">
        <w:rPr>
          <w:rFonts w:ascii="Times New Roman" w:hAnsi="Times New Roman" w:cs="Times New Roman"/>
          <w:sz w:val="20"/>
          <w:szCs w:val="20"/>
          <w:lang w:val="en-US"/>
        </w:rPr>
        <w:t>il absorption capacity (O</w:t>
      </w:r>
      <w:r w:rsidRPr="0022306B">
        <w:rPr>
          <w:rFonts w:ascii="Times New Roman" w:hAnsi="Times New Roman" w:cs="Times New Roman"/>
          <w:sz w:val="20"/>
          <w:szCs w:val="20"/>
          <w:lang w:val="en-US"/>
        </w:rPr>
        <w:t>AC</w:t>
      </w:r>
      <w:r w:rsidR="001D6415">
        <w:rPr>
          <w:rFonts w:ascii="Times New Roman" w:hAnsi="Times New Roman" w:cs="Times New Roman"/>
          <w:sz w:val="20"/>
          <w:szCs w:val="20"/>
          <w:lang w:val="en-US"/>
        </w:rPr>
        <w:t>)</w:t>
      </w:r>
      <w:r w:rsidRPr="0022306B">
        <w:rPr>
          <w:rFonts w:ascii="Times New Roman" w:hAnsi="Times New Roman" w:cs="Times New Roman"/>
          <w:sz w:val="20"/>
          <w:szCs w:val="20"/>
          <w:lang w:val="en-US"/>
        </w:rPr>
        <w:t xml:space="preserve"> was not significantly different among samples.</w:t>
      </w:r>
    </w:p>
    <w:p w14:paraId="72738D86" w14:textId="1608DF9C" w:rsidR="00F86274" w:rsidRPr="0022306B" w:rsidRDefault="00F86274" w:rsidP="00C12106">
      <w:pPr>
        <w:jc w:val="both"/>
        <w:rPr>
          <w:rFonts w:ascii="Times New Roman" w:hAnsi="Times New Roman" w:cs="Times New Roman"/>
          <w:sz w:val="20"/>
          <w:szCs w:val="20"/>
          <w:lang w:val="en-US"/>
        </w:rPr>
      </w:pPr>
      <w:r w:rsidRPr="0022306B">
        <w:rPr>
          <w:rFonts w:ascii="Times New Roman" w:hAnsi="Times New Roman" w:cs="Times New Roman"/>
          <w:sz w:val="20"/>
          <w:szCs w:val="20"/>
          <w:lang w:val="en-US"/>
        </w:rPr>
        <w:t xml:space="preserve">The extent of </w:t>
      </w:r>
      <w:r>
        <w:rPr>
          <w:rFonts w:ascii="Times New Roman" w:hAnsi="Times New Roman" w:cs="Times New Roman"/>
          <w:sz w:val="20"/>
          <w:szCs w:val="20"/>
          <w:lang w:val="en-US"/>
        </w:rPr>
        <w:t>water solubility capacity (</w:t>
      </w:r>
      <w:r w:rsidRPr="0022306B">
        <w:rPr>
          <w:rFonts w:ascii="Times New Roman" w:hAnsi="Times New Roman" w:cs="Times New Roman"/>
          <w:sz w:val="20"/>
          <w:szCs w:val="20"/>
          <w:lang w:val="en-US"/>
        </w:rPr>
        <w:t>WS</w:t>
      </w:r>
      <w:r>
        <w:rPr>
          <w:rFonts w:ascii="Times New Roman" w:hAnsi="Times New Roman" w:cs="Times New Roman"/>
          <w:sz w:val="20"/>
          <w:szCs w:val="20"/>
          <w:lang w:val="en-US"/>
        </w:rPr>
        <w:t>C)</w:t>
      </w:r>
      <w:r w:rsidRPr="0022306B">
        <w:rPr>
          <w:rFonts w:ascii="Times New Roman" w:hAnsi="Times New Roman" w:cs="Times New Roman"/>
          <w:sz w:val="20"/>
          <w:szCs w:val="20"/>
          <w:lang w:val="en-US"/>
        </w:rPr>
        <w:t>, of CnG</w:t>
      </w:r>
      <w:r w:rsidR="00C04315">
        <w:rPr>
          <w:rFonts w:ascii="Times New Roman" w:hAnsi="Times New Roman" w:cs="Times New Roman"/>
          <w:sz w:val="20"/>
          <w:szCs w:val="20"/>
          <w:lang w:val="en-US"/>
        </w:rPr>
        <w:t>S</w:t>
      </w:r>
      <w:r w:rsidRPr="0022306B">
        <w:rPr>
          <w:rFonts w:ascii="Times New Roman" w:hAnsi="Times New Roman" w:cs="Times New Roman"/>
          <w:sz w:val="20"/>
          <w:szCs w:val="20"/>
          <w:lang w:val="en-US"/>
        </w:rPr>
        <w:t xml:space="preserve"> and CG</w:t>
      </w:r>
      <w:r w:rsidR="00C04315">
        <w:rPr>
          <w:rFonts w:ascii="Times New Roman" w:hAnsi="Times New Roman" w:cs="Times New Roman"/>
          <w:sz w:val="20"/>
          <w:szCs w:val="20"/>
          <w:lang w:val="en-US"/>
        </w:rPr>
        <w:t>S</w:t>
      </w:r>
      <w:r w:rsidRPr="0022306B">
        <w:rPr>
          <w:rFonts w:ascii="Times New Roman" w:hAnsi="Times New Roman" w:cs="Times New Roman"/>
          <w:sz w:val="20"/>
          <w:szCs w:val="20"/>
          <w:lang w:val="en-US"/>
        </w:rPr>
        <w:t xml:space="preserve"> </w:t>
      </w:r>
      <w:r w:rsidR="002B5B32">
        <w:rPr>
          <w:rFonts w:ascii="Times New Roman" w:hAnsi="Times New Roman" w:cs="Times New Roman"/>
          <w:sz w:val="20"/>
          <w:szCs w:val="20"/>
          <w:lang w:val="en-US"/>
        </w:rPr>
        <w:t>suggest</w:t>
      </w:r>
      <w:r w:rsidRPr="0022306B">
        <w:rPr>
          <w:rFonts w:ascii="Times New Roman" w:hAnsi="Times New Roman" w:cs="Times New Roman"/>
          <w:sz w:val="20"/>
          <w:szCs w:val="20"/>
          <w:lang w:val="en-US"/>
        </w:rPr>
        <w:t xml:space="preserve"> high digestibility of food, which is ideal for infant foods. Fermentation and germination significantly reduced the bulk density</w:t>
      </w:r>
      <w:r>
        <w:rPr>
          <w:rFonts w:ascii="Times New Roman" w:hAnsi="Times New Roman" w:cs="Times New Roman"/>
          <w:sz w:val="20"/>
          <w:szCs w:val="20"/>
          <w:lang w:val="en-US"/>
        </w:rPr>
        <w:t xml:space="preserve"> (BD)</w:t>
      </w:r>
      <w:r w:rsidRPr="0022306B">
        <w:rPr>
          <w:rFonts w:ascii="Times New Roman" w:hAnsi="Times New Roman" w:cs="Times New Roman"/>
          <w:sz w:val="20"/>
          <w:szCs w:val="20"/>
          <w:lang w:val="en-US"/>
        </w:rPr>
        <w:t xml:space="preserve"> of the composited samples for both fermented and blended flour</w:t>
      </w:r>
      <w:r w:rsidR="001D6415">
        <w:rPr>
          <w:rFonts w:ascii="Times New Roman" w:hAnsi="Times New Roman" w:cs="Times New Roman"/>
          <w:sz w:val="20"/>
          <w:szCs w:val="20"/>
          <w:lang w:val="en-US"/>
        </w:rPr>
        <w:t>.</w:t>
      </w:r>
      <w:r w:rsidRPr="001D6415">
        <w:rPr>
          <w:rFonts w:ascii="Times New Roman" w:hAnsi="Times New Roman" w:cs="Times New Roman"/>
          <w:color w:val="FF0000"/>
          <w:sz w:val="20"/>
          <w:szCs w:val="20"/>
          <w:lang w:val="en-US"/>
        </w:rPr>
        <w:t xml:space="preserve"> </w:t>
      </w:r>
      <w:r w:rsidRPr="0022306B">
        <w:rPr>
          <w:rFonts w:ascii="Times New Roman" w:hAnsi="Times New Roman" w:cs="Times New Roman"/>
          <w:sz w:val="20"/>
          <w:szCs w:val="20"/>
          <w:lang w:val="en-US"/>
        </w:rPr>
        <w:t xml:space="preserve">Germination and fermentation </w:t>
      </w:r>
      <w:bookmarkStart w:id="2" w:name="_Hlk137239040"/>
      <w:r w:rsidRPr="0022306B">
        <w:rPr>
          <w:rFonts w:ascii="Times New Roman" w:hAnsi="Times New Roman" w:cs="Times New Roman"/>
          <w:sz w:val="20"/>
          <w:szCs w:val="20"/>
          <w:lang w:val="en-US"/>
        </w:rPr>
        <w:t>significantly</w:t>
      </w:r>
      <w:bookmarkEnd w:id="2"/>
      <w:r w:rsidRPr="0022306B">
        <w:rPr>
          <w:rFonts w:ascii="Times New Roman" w:hAnsi="Times New Roman" w:cs="Times New Roman"/>
          <w:sz w:val="20"/>
          <w:szCs w:val="20"/>
          <w:lang w:val="en-US"/>
        </w:rPr>
        <w:t xml:space="preserve"> reduced the pH and significantly </w:t>
      </w:r>
      <w:r w:rsidRPr="00EE20B9">
        <w:rPr>
          <w:rFonts w:ascii="Times New Roman" w:hAnsi="Times New Roman" w:cs="Times New Roman"/>
          <w:sz w:val="20"/>
          <w:szCs w:val="20"/>
          <w:lang w:val="en-US"/>
        </w:rPr>
        <w:t>increased α- amylase activity. It is evident that microbes during fermentation and hydration activation during germination cause an increase in endogenous α-amylases. The partial hydrolysis of carbohydrates during the processes improves energy sources for lactic acid bacteria and subsequent reduction in pH (Chaves-López et al., 2020)</w:t>
      </w:r>
      <w:r w:rsidR="00C44A0E" w:rsidRPr="00EE20B9">
        <w:rPr>
          <w:rFonts w:ascii="Times New Roman" w:hAnsi="Times New Roman" w:cs="Times New Roman"/>
          <w:sz w:val="20"/>
          <w:szCs w:val="20"/>
          <w:lang w:val="en-US"/>
        </w:rPr>
        <w:t xml:space="preserve">, representing </w:t>
      </w:r>
      <w:r w:rsidRPr="00EE20B9">
        <w:rPr>
          <w:rFonts w:ascii="Times New Roman" w:hAnsi="Times New Roman" w:cs="Times New Roman"/>
          <w:sz w:val="20"/>
          <w:szCs w:val="20"/>
          <w:lang w:val="en-US"/>
        </w:rPr>
        <w:t>an efficient way to inhibit food-borne pathogens for the designed infant food.</w:t>
      </w:r>
    </w:p>
    <w:p w14:paraId="6C3E4602" w14:textId="5984568A" w:rsidR="00213264" w:rsidRPr="002F1F18" w:rsidRDefault="00213264" w:rsidP="00E26A5A">
      <w:pPr>
        <w:spacing w:before="300" w:after="300"/>
        <w:ind w:left="709" w:hanging="709"/>
        <w:rPr>
          <w:rFonts w:ascii="Times New Roman" w:hAnsi="Times New Roman" w:cs="Times New Roman"/>
          <w:sz w:val="18"/>
          <w:szCs w:val="18"/>
          <w:lang w:val="en-US"/>
        </w:rPr>
      </w:pPr>
      <w:r w:rsidRPr="002F1F18">
        <w:rPr>
          <w:rFonts w:ascii="Times New Roman" w:hAnsi="Times New Roman" w:cs="Times New Roman"/>
          <w:b/>
          <w:bCs/>
          <w:sz w:val="18"/>
          <w:szCs w:val="18"/>
          <w:u w:val="single"/>
          <w:lang w:val="en-US"/>
        </w:rPr>
        <w:t>Table 1</w:t>
      </w:r>
      <w:r w:rsidRPr="002F1F18">
        <w:rPr>
          <w:rFonts w:ascii="Times New Roman" w:hAnsi="Times New Roman" w:cs="Times New Roman"/>
          <w:b/>
          <w:bCs/>
          <w:sz w:val="18"/>
          <w:szCs w:val="18"/>
          <w:lang w:val="en-US"/>
        </w:rPr>
        <w:t xml:space="preserve"> </w:t>
      </w:r>
      <w:r w:rsidR="0030174D">
        <w:rPr>
          <w:rFonts w:ascii="Times New Roman" w:hAnsi="Times New Roman" w:cs="Times New Roman"/>
          <w:b/>
          <w:bCs/>
          <w:sz w:val="18"/>
          <w:szCs w:val="18"/>
          <w:lang w:val="en-US"/>
        </w:rPr>
        <w:tab/>
      </w:r>
      <w:r w:rsidRPr="00847EF7">
        <w:rPr>
          <w:rFonts w:ascii="Times New Roman" w:hAnsi="Times New Roman" w:cs="Times New Roman"/>
          <w:i/>
          <w:iCs/>
          <w:sz w:val="18"/>
          <w:szCs w:val="18"/>
          <w:lang w:val="en-US"/>
        </w:rPr>
        <w:t xml:space="preserve">Functional properties of blended flour samples. </w:t>
      </w:r>
      <w:bookmarkStart w:id="3" w:name="_Hlk137140723"/>
      <w:r w:rsidR="0039731C" w:rsidRPr="00DA2AF4">
        <w:rPr>
          <w:rFonts w:ascii="Times New Roman" w:hAnsi="Times New Roman" w:cs="Times New Roman"/>
          <w:i/>
          <w:iCs/>
          <w:sz w:val="18"/>
          <w:szCs w:val="18"/>
          <w:lang w:val="en-US"/>
        </w:rPr>
        <w:t>S</w:t>
      </w:r>
      <w:r w:rsidR="0039731C">
        <w:rPr>
          <w:rFonts w:ascii="Times New Roman" w:hAnsi="Times New Roman" w:cs="Times New Roman"/>
          <w:i/>
          <w:iCs/>
          <w:sz w:val="18"/>
          <w:szCs w:val="18"/>
          <w:lang w:val="en-US"/>
        </w:rPr>
        <w:t>S</w:t>
      </w:r>
      <w:r w:rsidR="0039731C" w:rsidRPr="00DA2AF4">
        <w:rPr>
          <w:rFonts w:ascii="Times New Roman" w:hAnsi="Times New Roman" w:cs="Times New Roman"/>
          <w:i/>
          <w:iCs/>
          <w:sz w:val="18"/>
          <w:szCs w:val="18"/>
          <w:lang w:val="en-US"/>
        </w:rPr>
        <w:t xml:space="preserve">: Sorghum </w:t>
      </w:r>
      <w:r w:rsidR="0039731C">
        <w:rPr>
          <w:rFonts w:ascii="Times New Roman" w:hAnsi="Times New Roman" w:cs="Times New Roman"/>
          <w:i/>
          <w:iCs/>
          <w:sz w:val="18"/>
          <w:szCs w:val="18"/>
          <w:lang w:val="en-US"/>
        </w:rPr>
        <w:t>slurry</w:t>
      </w:r>
      <w:r w:rsidR="0039731C" w:rsidRPr="00DA2AF4">
        <w:rPr>
          <w:rFonts w:ascii="Times New Roman" w:hAnsi="Times New Roman" w:cs="Times New Roman"/>
          <w:i/>
          <w:iCs/>
          <w:sz w:val="18"/>
          <w:szCs w:val="18"/>
          <w:lang w:val="en-US"/>
        </w:rPr>
        <w:t>, FS</w:t>
      </w:r>
      <w:r w:rsidR="0039731C">
        <w:rPr>
          <w:rFonts w:ascii="Times New Roman" w:hAnsi="Times New Roman" w:cs="Times New Roman"/>
          <w:i/>
          <w:iCs/>
          <w:sz w:val="18"/>
          <w:szCs w:val="18"/>
          <w:lang w:val="en-US"/>
        </w:rPr>
        <w:t>S</w:t>
      </w:r>
      <w:r w:rsidR="0039731C" w:rsidRPr="00DA2AF4">
        <w:rPr>
          <w:rFonts w:ascii="Times New Roman" w:hAnsi="Times New Roman" w:cs="Times New Roman"/>
          <w:i/>
          <w:iCs/>
          <w:sz w:val="18"/>
          <w:szCs w:val="18"/>
          <w:lang w:val="en-US"/>
        </w:rPr>
        <w:t>: Fermented S</w:t>
      </w:r>
      <w:r w:rsidR="0039731C">
        <w:rPr>
          <w:rFonts w:ascii="Times New Roman" w:hAnsi="Times New Roman" w:cs="Times New Roman"/>
          <w:i/>
          <w:iCs/>
          <w:sz w:val="18"/>
          <w:szCs w:val="18"/>
          <w:lang w:val="en-US"/>
        </w:rPr>
        <w:t>S</w:t>
      </w:r>
      <w:r w:rsidR="0039731C" w:rsidRPr="00DA2AF4">
        <w:rPr>
          <w:rFonts w:ascii="Times New Roman" w:hAnsi="Times New Roman" w:cs="Times New Roman"/>
          <w:i/>
          <w:iCs/>
          <w:sz w:val="18"/>
          <w:szCs w:val="18"/>
          <w:lang w:val="en-US"/>
        </w:rPr>
        <w:t>, CnG</w:t>
      </w:r>
      <w:r w:rsidR="0039731C">
        <w:rPr>
          <w:rFonts w:ascii="Times New Roman" w:hAnsi="Times New Roman" w:cs="Times New Roman"/>
          <w:i/>
          <w:iCs/>
          <w:sz w:val="18"/>
          <w:szCs w:val="18"/>
          <w:lang w:val="en-US"/>
        </w:rPr>
        <w:t>S</w:t>
      </w:r>
      <w:r w:rsidR="0039731C" w:rsidRPr="00DA2AF4">
        <w:rPr>
          <w:rFonts w:ascii="Times New Roman" w:hAnsi="Times New Roman" w:cs="Times New Roman"/>
          <w:i/>
          <w:iCs/>
          <w:sz w:val="18"/>
          <w:szCs w:val="18"/>
          <w:lang w:val="en-US"/>
        </w:rPr>
        <w:t>: Composited S</w:t>
      </w:r>
      <w:r w:rsidR="0039731C">
        <w:rPr>
          <w:rFonts w:ascii="Times New Roman" w:hAnsi="Times New Roman" w:cs="Times New Roman"/>
          <w:i/>
          <w:iCs/>
          <w:sz w:val="18"/>
          <w:szCs w:val="18"/>
          <w:lang w:val="en-US"/>
        </w:rPr>
        <w:t>S</w:t>
      </w:r>
      <w:r w:rsidR="0039731C" w:rsidRPr="00DA2AF4">
        <w:rPr>
          <w:rFonts w:ascii="Times New Roman" w:hAnsi="Times New Roman" w:cs="Times New Roman"/>
          <w:i/>
          <w:iCs/>
          <w:sz w:val="18"/>
          <w:szCs w:val="18"/>
          <w:lang w:val="en-US"/>
        </w:rPr>
        <w:t xml:space="preserve"> (fermentation + non-germinated seed flour), CG</w:t>
      </w:r>
      <w:r w:rsidR="0039731C">
        <w:rPr>
          <w:rFonts w:ascii="Times New Roman" w:hAnsi="Times New Roman" w:cs="Times New Roman"/>
          <w:i/>
          <w:iCs/>
          <w:sz w:val="18"/>
          <w:szCs w:val="18"/>
          <w:lang w:val="en-US"/>
        </w:rPr>
        <w:t>S</w:t>
      </w:r>
      <w:r w:rsidR="0039731C" w:rsidRPr="00DA2AF4">
        <w:rPr>
          <w:rFonts w:ascii="Times New Roman" w:hAnsi="Times New Roman" w:cs="Times New Roman"/>
          <w:i/>
          <w:iCs/>
          <w:sz w:val="18"/>
          <w:szCs w:val="18"/>
          <w:lang w:val="en-US"/>
        </w:rPr>
        <w:t>: Composited S</w:t>
      </w:r>
      <w:r w:rsidR="0039731C">
        <w:rPr>
          <w:rFonts w:ascii="Times New Roman" w:hAnsi="Times New Roman" w:cs="Times New Roman"/>
          <w:i/>
          <w:iCs/>
          <w:sz w:val="18"/>
          <w:szCs w:val="18"/>
          <w:lang w:val="en-US"/>
        </w:rPr>
        <w:t>S</w:t>
      </w:r>
      <w:r w:rsidR="0039731C" w:rsidRPr="00DA2AF4">
        <w:rPr>
          <w:rFonts w:ascii="Times New Roman" w:hAnsi="Times New Roman" w:cs="Times New Roman"/>
          <w:i/>
          <w:iCs/>
          <w:sz w:val="18"/>
          <w:szCs w:val="18"/>
          <w:lang w:val="en-US"/>
        </w:rPr>
        <w:t xml:space="preserve"> (fermentation + germinated seed flour)</w:t>
      </w:r>
      <w:r w:rsidR="0039731C">
        <w:rPr>
          <w:rFonts w:ascii="Times New Roman" w:hAnsi="Times New Roman" w:cs="Times New Roman"/>
          <w:i/>
          <w:iCs/>
          <w:sz w:val="18"/>
          <w:szCs w:val="18"/>
          <w:lang w:val="en-US"/>
        </w:rPr>
        <w:t>.</w:t>
      </w:r>
      <w:r w:rsidR="0039731C">
        <w:rPr>
          <w:rFonts w:ascii="Times New Roman" w:hAnsi="Times New Roman" w:cs="Times New Roman"/>
          <w:i/>
          <w:iCs/>
          <w:sz w:val="18"/>
          <w:szCs w:val="18"/>
          <w:lang w:val="en-US"/>
        </w:rPr>
        <w:t xml:space="preserve">      </w:t>
      </w:r>
      <w:r w:rsidRPr="00847EF7">
        <w:rPr>
          <w:rFonts w:ascii="Times New Roman" w:hAnsi="Times New Roman" w:cs="Times New Roman"/>
          <w:i/>
          <w:iCs/>
          <w:sz w:val="18"/>
          <w:szCs w:val="18"/>
          <w:lang w:val="en-US"/>
        </w:rPr>
        <w:t>WAC: water absorption capacity, WSC: water solubility capacity, OAC: oil absorption capacity, BD: bulk density</w:t>
      </w:r>
      <w:bookmarkEnd w:id="3"/>
      <w:r w:rsidRPr="00847EF7">
        <w:rPr>
          <w:rFonts w:ascii="Times New Roman" w:hAnsi="Times New Roman" w:cs="Times New Roman"/>
          <w:i/>
          <w:iCs/>
          <w:sz w:val="18"/>
          <w:szCs w:val="18"/>
          <w:lang w:val="en-US"/>
        </w:rPr>
        <w:t>.</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4"/>
        <w:gridCol w:w="1295"/>
        <w:gridCol w:w="1295"/>
        <w:gridCol w:w="1295"/>
      </w:tblGrid>
      <w:tr w:rsidR="00C12106" w:rsidRPr="00592AA7" w14:paraId="3C5D79FD" w14:textId="77777777" w:rsidTr="00213264">
        <w:trPr>
          <w:jc w:val="center"/>
        </w:trPr>
        <w:tc>
          <w:tcPr>
            <w:tcW w:w="1294" w:type="dxa"/>
            <w:tcBorders>
              <w:top w:val="single" w:sz="4" w:space="0" w:color="auto"/>
              <w:bottom w:val="single" w:sz="4" w:space="0" w:color="auto"/>
            </w:tcBorders>
            <w:vAlign w:val="center"/>
          </w:tcPr>
          <w:p w14:paraId="386F5314" w14:textId="7CC5104B" w:rsidR="00C12106" w:rsidRPr="00592AA7" w:rsidRDefault="0039731C" w:rsidP="005C159A">
            <w:pPr>
              <w:jc w:val="center"/>
              <w:rPr>
                <w:sz w:val="18"/>
                <w:szCs w:val="18"/>
                <w:lang w:val="en-US"/>
              </w:rPr>
            </w:pPr>
            <w:r>
              <w:rPr>
                <w:sz w:val="18"/>
                <w:szCs w:val="18"/>
                <w:lang w:val="en-US"/>
              </w:rPr>
              <w:t>Slurry</w:t>
            </w:r>
          </w:p>
        </w:tc>
        <w:tc>
          <w:tcPr>
            <w:tcW w:w="1294" w:type="dxa"/>
            <w:tcBorders>
              <w:top w:val="single" w:sz="4" w:space="0" w:color="auto"/>
              <w:bottom w:val="single" w:sz="4" w:space="0" w:color="auto"/>
            </w:tcBorders>
            <w:vAlign w:val="center"/>
          </w:tcPr>
          <w:p w14:paraId="21D2EB5A" w14:textId="77777777" w:rsidR="00C12106" w:rsidRPr="00592AA7" w:rsidRDefault="00C12106" w:rsidP="005C159A">
            <w:pPr>
              <w:jc w:val="center"/>
              <w:rPr>
                <w:sz w:val="18"/>
                <w:szCs w:val="18"/>
                <w:lang w:val="en-US"/>
              </w:rPr>
            </w:pPr>
            <w:r w:rsidRPr="00592AA7">
              <w:rPr>
                <w:sz w:val="18"/>
                <w:szCs w:val="18"/>
                <w:lang w:val="en-US"/>
              </w:rPr>
              <w:t>WAC (g/g)</w:t>
            </w:r>
          </w:p>
        </w:tc>
        <w:tc>
          <w:tcPr>
            <w:tcW w:w="1294" w:type="dxa"/>
            <w:tcBorders>
              <w:top w:val="single" w:sz="4" w:space="0" w:color="auto"/>
              <w:bottom w:val="single" w:sz="4" w:space="0" w:color="auto"/>
            </w:tcBorders>
            <w:vAlign w:val="center"/>
          </w:tcPr>
          <w:p w14:paraId="339BA14E" w14:textId="77777777" w:rsidR="00C12106" w:rsidRPr="00592AA7" w:rsidRDefault="00C12106" w:rsidP="005C159A">
            <w:pPr>
              <w:jc w:val="center"/>
              <w:rPr>
                <w:sz w:val="18"/>
                <w:szCs w:val="18"/>
                <w:lang w:val="en-US"/>
              </w:rPr>
            </w:pPr>
            <w:r w:rsidRPr="00592AA7">
              <w:rPr>
                <w:sz w:val="18"/>
                <w:szCs w:val="18"/>
                <w:lang w:val="en-US"/>
              </w:rPr>
              <w:t>WS</w:t>
            </w:r>
            <w:r>
              <w:rPr>
                <w:sz w:val="18"/>
                <w:szCs w:val="18"/>
                <w:lang w:val="en-US"/>
              </w:rPr>
              <w:t>C</w:t>
            </w:r>
            <w:r w:rsidRPr="00592AA7">
              <w:rPr>
                <w:sz w:val="18"/>
                <w:szCs w:val="18"/>
                <w:lang w:val="en-US"/>
              </w:rPr>
              <w:t xml:space="preserve"> (g/g)</w:t>
            </w:r>
          </w:p>
        </w:tc>
        <w:tc>
          <w:tcPr>
            <w:tcW w:w="1294" w:type="dxa"/>
            <w:tcBorders>
              <w:top w:val="single" w:sz="4" w:space="0" w:color="auto"/>
              <w:bottom w:val="single" w:sz="4" w:space="0" w:color="auto"/>
            </w:tcBorders>
            <w:vAlign w:val="center"/>
          </w:tcPr>
          <w:p w14:paraId="7487FD5B" w14:textId="77777777" w:rsidR="00C12106" w:rsidRPr="00592AA7" w:rsidRDefault="00C12106" w:rsidP="005C159A">
            <w:pPr>
              <w:jc w:val="center"/>
              <w:rPr>
                <w:sz w:val="18"/>
                <w:szCs w:val="18"/>
                <w:lang w:val="en-US"/>
              </w:rPr>
            </w:pPr>
            <w:r w:rsidRPr="00592AA7">
              <w:rPr>
                <w:sz w:val="18"/>
                <w:szCs w:val="18"/>
                <w:lang w:val="en-US"/>
              </w:rPr>
              <w:t>OAC (g/g)</w:t>
            </w:r>
          </w:p>
        </w:tc>
        <w:tc>
          <w:tcPr>
            <w:tcW w:w="1295" w:type="dxa"/>
            <w:tcBorders>
              <w:top w:val="single" w:sz="4" w:space="0" w:color="auto"/>
              <w:bottom w:val="single" w:sz="4" w:space="0" w:color="auto"/>
            </w:tcBorders>
            <w:vAlign w:val="center"/>
          </w:tcPr>
          <w:p w14:paraId="200F8BF7" w14:textId="77777777" w:rsidR="00C12106" w:rsidRPr="00592AA7" w:rsidRDefault="00C12106" w:rsidP="005C159A">
            <w:pPr>
              <w:jc w:val="center"/>
              <w:rPr>
                <w:sz w:val="18"/>
                <w:szCs w:val="18"/>
                <w:lang w:val="en-US"/>
              </w:rPr>
            </w:pPr>
            <w:r w:rsidRPr="00592AA7">
              <w:rPr>
                <w:sz w:val="18"/>
                <w:szCs w:val="18"/>
                <w:lang w:val="en-US"/>
              </w:rPr>
              <w:t>BD (g/ml)</w:t>
            </w:r>
          </w:p>
        </w:tc>
        <w:tc>
          <w:tcPr>
            <w:tcW w:w="1295" w:type="dxa"/>
            <w:tcBorders>
              <w:top w:val="single" w:sz="4" w:space="0" w:color="auto"/>
              <w:bottom w:val="single" w:sz="4" w:space="0" w:color="auto"/>
            </w:tcBorders>
            <w:vAlign w:val="center"/>
          </w:tcPr>
          <w:p w14:paraId="0F79389B" w14:textId="77777777" w:rsidR="00C12106" w:rsidRPr="00592AA7" w:rsidRDefault="00C12106" w:rsidP="005C159A">
            <w:pPr>
              <w:jc w:val="center"/>
              <w:rPr>
                <w:sz w:val="18"/>
                <w:szCs w:val="18"/>
                <w:lang w:val="en-US"/>
              </w:rPr>
            </w:pPr>
            <w:r w:rsidRPr="00592AA7">
              <w:rPr>
                <w:sz w:val="18"/>
                <w:szCs w:val="18"/>
                <w:lang w:val="en-US"/>
              </w:rPr>
              <w:t>pH</w:t>
            </w:r>
          </w:p>
        </w:tc>
        <w:tc>
          <w:tcPr>
            <w:tcW w:w="1295" w:type="dxa"/>
            <w:tcBorders>
              <w:top w:val="single" w:sz="4" w:space="0" w:color="auto"/>
              <w:bottom w:val="single" w:sz="4" w:space="0" w:color="auto"/>
            </w:tcBorders>
            <w:vAlign w:val="center"/>
          </w:tcPr>
          <w:p w14:paraId="387D5CCA" w14:textId="77777777" w:rsidR="00C12106" w:rsidRPr="00592AA7" w:rsidRDefault="00C12106" w:rsidP="005C159A">
            <w:pPr>
              <w:jc w:val="center"/>
              <w:rPr>
                <w:sz w:val="18"/>
                <w:szCs w:val="18"/>
                <w:lang w:val="en-US"/>
              </w:rPr>
            </w:pPr>
            <w:r w:rsidRPr="00592AA7">
              <w:rPr>
                <w:sz w:val="18"/>
                <w:szCs w:val="18"/>
                <w:lang w:val="en-US"/>
              </w:rPr>
              <w:t>α-amylase activity</w:t>
            </w:r>
          </w:p>
        </w:tc>
      </w:tr>
      <w:tr w:rsidR="00C12106" w:rsidRPr="00592AA7" w14:paraId="3CB20369" w14:textId="77777777" w:rsidTr="00213264">
        <w:trPr>
          <w:jc w:val="center"/>
        </w:trPr>
        <w:tc>
          <w:tcPr>
            <w:tcW w:w="1294" w:type="dxa"/>
            <w:tcBorders>
              <w:top w:val="single" w:sz="4" w:space="0" w:color="auto"/>
            </w:tcBorders>
          </w:tcPr>
          <w:p w14:paraId="691DB91F" w14:textId="6DD499EC" w:rsidR="00C12106" w:rsidRPr="00592AA7" w:rsidRDefault="00C12106" w:rsidP="005C159A">
            <w:pPr>
              <w:jc w:val="center"/>
              <w:rPr>
                <w:sz w:val="18"/>
                <w:szCs w:val="18"/>
                <w:lang w:val="en-US"/>
              </w:rPr>
            </w:pPr>
            <w:r w:rsidRPr="00592AA7">
              <w:rPr>
                <w:sz w:val="18"/>
                <w:szCs w:val="18"/>
                <w:lang w:val="en-US"/>
              </w:rPr>
              <w:t>S</w:t>
            </w:r>
            <w:r w:rsidR="0039731C">
              <w:rPr>
                <w:sz w:val="18"/>
                <w:szCs w:val="18"/>
                <w:lang w:val="en-US"/>
              </w:rPr>
              <w:t>S</w:t>
            </w:r>
          </w:p>
        </w:tc>
        <w:tc>
          <w:tcPr>
            <w:tcW w:w="1294" w:type="dxa"/>
            <w:tcBorders>
              <w:top w:val="single" w:sz="4" w:space="0" w:color="auto"/>
            </w:tcBorders>
            <w:vAlign w:val="bottom"/>
          </w:tcPr>
          <w:p w14:paraId="3453CEC7" w14:textId="77777777" w:rsidR="00C12106" w:rsidRPr="00592AA7" w:rsidRDefault="00C12106" w:rsidP="005C159A">
            <w:pPr>
              <w:jc w:val="center"/>
              <w:rPr>
                <w:sz w:val="18"/>
                <w:szCs w:val="18"/>
                <w:lang w:val="en-US"/>
              </w:rPr>
            </w:pPr>
            <w:r w:rsidRPr="00592AA7">
              <w:rPr>
                <w:sz w:val="18"/>
                <w:szCs w:val="18"/>
                <w:lang w:val="en-US"/>
              </w:rPr>
              <w:t>5.38 ± 0.75</w:t>
            </w:r>
            <w:r w:rsidRPr="00592AA7">
              <w:rPr>
                <w:sz w:val="18"/>
                <w:szCs w:val="18"/>
                <w:vertAlign w:val="superscript"/>
                <w:lang w:val="en-US"/>
              </w:rPr>
              <w:t>b</w:t>
            </w:r>
          </w:p>
        </w:tc>
        <w:tc>
          <w:tcPr>
            <w:tcW w:w="1294" w:type="dxa"/>
            <w:tcBorders>
              <w:top w:val="single" w:sz="4" w:space="0" w:color="auto"/>
            </w:tcBorders>
            <w:vAlign w:val="bottom"/>
          </w:tcPr>
          <w:p w14:paraId="0E306D15" w14:textId="77777777" w:rsidR="00C12106" w:rsidRPr="00592AA7" w:rsidRDefault="00C12106" w:rsidP="005C159A">
            <w:pPr>
              <w:jc w:val="center"/>
              <w:rPr>
                <w:sz w:val="18"/>
                <w:szCs w:val="18"/>
                <w:lang w:val="en-US"/>
              </w:rPr>
            </w:pPr>
            <w:r w:rsidRPr="00592AA7">
              <w:rPr>
                <w:sz w:val="18"/>
                <w:szCs w:val="18"/>
                <w:lang w:val="en-US"/>
              </w:rPr>
              <w:t>3.01±0.20</w:t>
            </w:r>
            <w:r w:rsidRPr="00592AA7">
              <w:rPr>
                <w:sz w:val="18"/>
                <w:szCs w:val="18"/>
                <w:vertAlign w:val="superscript"/>
                <w:lang w:val="en-US"/>
              </w:rPr>
              <w:t>a</w:t>
            </w:r>
          </w:p>
        </w:tc>
        <w:tc>
          <w:tcPr>
            <w:tcW w:w="1294" w:type="dxa"/>
            <w:tcBorders>
              <w:top w:val="single" w:sz="4" w:space="0" w:color="auto"/>
            </w:tcBorders>
            <w:vAlign w:val="bottom"/>
          </w:tcPr>
          <w:p w14:paraId="72D5685C" w14:textId="77777777" w:rsidR="00C12106" w:rsidRPr="00592AA7" w:rsidRDefault="00C12106" w:rsidP="005C159A">
            <w:pPr>
              <w:jc w:val="center"/>
              <w:rPr>
                <w:sz w:val="18"/>
                <w:szCs w:val="18"/>
                <w:lang w:val="en-US"/>
              </w:rPr>
            </w:pPr>
            <w:r w:rsidRPr="00592AA7">
              <w:rPr>
                <w:sz w:val="18"/>
                <w:szCs w:val="18"/>
                <w:lang w:val="en-US"/>
              </w:rPr>
              <w:t>1.70±0.04</w:t>
            </w:r>
            <w:r w:rsidRPr="00592AA7">
              <w:rPr>
                <w:sz w:val="18"/>
                <w:szCs w:val="18"/>
                <w:vertAlign w:val="superscript"/>
                <w:lang w:val="en-US"/>
              </w:rPr>
              <w:t>a</w:t>
            </w:r>
          </w:p>
        </w:tc>
        <w:tc>
          <w:tcPr>
            <w:tcW w:w="1295" w:type="dxa"/>
            <w:tcBorders>
              <w:top w:val="single" w:sz="4" w:space="0" w:color="auto"/>
            </w:tcBorders>
            <w:vAlign w:val="bottom"/>
          </w:tcPr>
          <w:p w14:paraId="0011984C" w14:textId="77777777" w:rsidR="00C12106" w:rsidRPr="00592AA7" w:rsidRDefault="00C12106" w:rsidP="005C159A">
            <w:pPr>
              <w:jc w:val="center"/>
              <w:rPr>
                <w:sz w:val="18"/>
                <w:szCs w:val="18"/>
                <w:lang w:val="en-US"/>
              </w:rPr>
            </w:pPr>
            <w:r w:rsidRPr="00592AA7">
              <w:rPr>
                <w:sz w:val="18"/>
                <w:szCs w:val="18"/>
                <w:lang w:val="en-US"/>
              </w:rPr>
              <w:t>0.86±0.03</w:t>
            </w:r>
            <w:r w:rsidRPr="00592AA7">
              <w:rPr>
                <w:sz w:val="18"/>
                <w:szCs w:val="18"/>
                <w:vertAlign w:val="superscript"/>
                <w:lang w:val="en-US"/>
              </w:rPr>
              <w:t>b</w:t>
            </w:r>
          </w:p>
        </w:tc>
        <w:tc>
          <w:tcPr>
            <w:tcW w:w="1295" w:type="dxa"/>
            <w:tcBorders>
              <w:top w:val="single" w:sz="4" w:space="0" w:color="auto"/>
            </w:tcBorders>
            <w:vAlign w:val="center"/>
          </w:tcPr>
          <w:p w14:paraId="3E0C4D4A" w14:textId="77777777" w:rsidR="00C12106" w:rsidRPr="00592AA7" w:rsidRDefault="00C12106" w:rsidP="005C159A">
            <w:pPr>
              <w:jc w:val="center"/>
              <w:rPr>
                <w:sz w:val="18"/>
                <w:szCs w:val="18"/>
                <w:lang w:val="en-US"/>
              </w:rPr>
            </w:pPr>
            <w:r w:rsidRPr="00592AA7">
              <w:rPr>
                <w:sz w:val="18"/>
                <w:szCs w:val="18"/>
                <w:lang w:val="en-US"/>
              </w:rPr>
              <w:t>6.33±0.03</w:t>
            </w:r>
            <w:r w:rsidRPr="00592AA7">
              <w:rPr>
                <w:sz w:val="18"/>
                <w:szCs w:val="18"/>
                <w:vertAlign w:val="superscript"/>
                <w:lang w:val="en-US"/>
              </w:rPr>
              <w:t>c</w:t>
            </w:r>
          </w:p>
        </w:tc>
        <w:tc>
          <w:tcPr>
            <w:tcW w:w="1295" w:type="dxa"/>
            <w:tcBorders>
              <w:top w:val="single" w:sz="4" w:space="0" w:color="auto"/>
            </w:tcBorders>
          </w:tcPr>
          <w:p w14:paraId="78FDD3C4" w14:textId="77777777" w:rsidR="00C12106" w:rsidRPr="00592AA7" w:rsidRDefault="00C12106" w:rsidP="005C159A">
            <w:pPr>
              <w:jc w:val="center"/>
              <w:rPr>
                <w:sz w:val="18"/>
                <w:szCs w:val="18"/>
                <w:lang w:val="en-US"/>
              </w:rPr>
            </w:pPr>
            <w:r w:rsidRPr="00592AA7">
              <w:rPr>
                <w:sz w:val="18"/>
                <w:szCs w:val="18"/>
                <w:lang w:val="en-US"/>
              </w:rPr>
              <w:t>0.31±0.15</w:t>
            </w:r>
            <w:r w:rsidRPr="00592AA7">
              <w:rPr>
                <w:sz w:val="18"/>
                <w:szCs w:val="18"/>
                <w:vertAlign w:val="superscript"/>
                <w:lang w:val="en-US"/>
              </w:rPr>
              <w:t>a</w:t>
            </w:r>
          </w:p>
        </w:tc>
      </w:tr>
      <w:tr w:rsidR="00C12106" w:rsidRPr="00592AA7" w14:paraId="585CF808" w14:textId="77777777" w:rsidTr="00C12106">
        <w:trPr>
          <w:jc w:val="center"/>
        </w:trPr>
        <w:tc>
          <w:tcPr>
            <w:tcW w:w="1294" w:type="dxa"/>
          </w:tcPr>
          <w:p w14:paraId="14399AB4" w14:textId="7D52C252" w:rsidR="00C12106" w:rsidRPr="00592AA7" w:rsidRDefault="00C12106" w:rsidP="005C159A">
            <w:pPr>
              <w:jc w:val="center"/>
              <w:rPr>
                <w:sz w:val="18"/>
                <w:szCs w:val="18"/>
                <w:lang w:val="en-US"/>
              </w:rPr>
            </w:pPr>
            <w:r w:rsidRPr="00592AA7">
              <w:rPr>
                <w:sz w:val="18"/>
                <w:szCs w:val="18"/>
                <w:lang w:val="en-US"/>
              </w:rPr>
              <w:t>FS</w:t>
            </w:r>
            <w:r w:rsidR="0039731C">
              <w:rPr>
                <w:sz w:val="18"/>
                <w:szCs w:val="18"/>
                <w:lang w:val="en-US"/>
              </w:rPr>
              <w:t>S</w:t>
            </w:r>
          </w:p>
        </w:tc>
        <w:tc>
          <w:tcPr>
            <w:tcW w:w="1294" w:type="dxa"/>
            <w:vAlign w:val="bottom"/>
          </w:tcPr>
          <w:p w14:paraId="00F0B0C7" w14:textId="77777777" w:rsidR="00C12106" w:rsidRPr="00592AA7" w:rsidRDefault="00C12106" w:rsidP="005C159A">
            <w:pPr>
              <w:jc w:val="center"/>
              <w:rPr>
                <w:sz w:val="18"/>
                <w:szCs w:val="18"/>
                <w:lang w:val="en-US"/>
              </w:rPr>
            </w:pPr>
            <w:r w:rsidRPr="00592AA7">
              <w:rPr>
                <w:sz w:val="18"/>
                <w:szCs w:val="18"/>
                <w:lang w:val="en-US"/>
              </w:rPr>
              <w:t>5.02 ± 0.17</w:t>
            </w:r>
            <w:r w:rsidRPr="00592AA7">
              <w:rPr>
                <w:sz w:val="18"/>
                <w:szCs w:val="18"/>
                <w:vertAlign w:val="superscript"/>
                <w:lang w:val="en-US"/>
              </w:rPr>
              <w:t>a,b</w:t>
            </w:r>
          </w:p>
        </w:tc>
        <w:tc>
          <w:tcPr>
            <w:tcW w:w="1294" w:type="dxa"/>
            <w:vAlign w:val="bottom"/>
          </w:tcPr>
          <w:p w14:paraId="2CBA7D6A" w14:textId="77777777" w:rsidR="00C12106" w:rsidRPr="00592AA7" w:rsidRDefault="00C12106" w:rsidP="005C159A">
            <w:pPr>
              <w:jc w:val="center"/>
              <w:rPr>
                <w:sz w:val="18"/>
                <w:szCs w:val="18"/>
                <w:lang w:val="en-US"/>
              </w:rPr>
            </w:pPr>
            <w:r w:rsidRPr="00592AA7">
              <w:rPr>
                <w:sz w:val="18"/>
                <w:szCs w:val="18"/>
                <w:lang w:val="en-US"/>
              </w:rPr>
              <w:t>4.74±1.83</w:t>
            </w:r>
            <w:r w:rsidRPr="00592AA7">
              <w:rPr>
                <w:sz w:val="18"/>
                <w:szCs w:val="18"/>
                <w:vertAlign w:val="superscript"/>
                <w:lang w:val="en-US"/>
              </w:rPr>
              <w:t>b</w:t>
            </w:r>
          </w:p>
        </w:tc>
        <w:tc>
          <w:tcPr>
            <w:tcW w:w="1294" w:type="dxa"/>
            <w:vAlign w:val="bottom"/>
          </w:tcPr>
          <w:p w14:paraId="096A0B0D" w14:textId="77777777" w:rsidR="00C12106" w:rsidRPr="00592AA7" w:rsidRDefault="00C12106" w:rsidP="005C159A">
            <w:pPr>
              <w:jc w:val="center"/>
              <w:rPr>
                <w:sz w:val="18"/>
                <w:szCs w:val="18"/>
                <w:lang w:val="en-US"/>
              </w:rPr>
            </w:pPr>
            <w:r w:rsidRPr="00592AA7">
              <w:rPr>
                <w:sz w:val="18"/>
                <w:szCs w:val="18"/>
                <w:lang w:val="en-US"/>
              </w:rPr>
              <w:t>1.92±0.11</w:t>
            </w:r>
            <w:r w:rsidRPr="00592AA7">
              <w:rPr>
                <w:sz w:val="18"/>
                <w:szCs w:val="18"/>
                <w:vertAlign w:val="superscript"/>
                <w:lang w:val="en-US"/>
              </w:rPr>
              <w:t>a</w:t>
            </w:r>
          </w:p>
        </w:tc>
        <w:tc>
          <w:tcPr>
            <w:tcW w:w="1295" w:type="dxa"/>
            <w:vAlign w:val="bottom"/>
          </w:tcPr>
          <w:p w14:paraId="4436B1E6" w14:textId="77777777" w:rsidR="00C12106" w:rsidRPr="00592AA7" w:rsidRDefault="00C12106" w:rsidP="005C159A">
            <w:pPr>
              <w:jc w:val="center"/>
              <w:rPr>
                <w:sz w:val="18"/>
                <w:szCs w:val="18"/>
                <w:lang w:val="en-US"/>
              </w:rPr>
            </w:pPr>
            <w:r w:rsidRPr="00592AA7">
              <w:rPr>
                <w:sz w:val="18"/>
                <w:szCs w:val="18"/>
                <w:lang w:val="en-US"/>
              </w:rPr>
              <w:t>0.71±0.02</w:t>
            </w:r>
            <w:r w:rsidRPr="00592AA7">
              <w:rPr>
                <w:sz w:val="18"/>
                <w:szCs w:val="18"/>
                <w:vertAlign w:val="superscript"/>
                <w:lang w:val="en-US"/>
              </w:rPr>
              <w:t>a</w:t>
            </w:r>
          </w:p>
        </w:tc>
        <w:tc>
          <w:tcPr>
            <w:tcW w:w="1295" w:type="dxa"/>
            <w:vAlign w:val="center"/>
          </w:tcPr>
          <w:p w14:paraId="0153A148" w14:textId="77777777" w:rsidR="00C12106" w:rsidRPr="00592AA7" w:rsidRDefault="00C12106" w:rsidP="005C159A">
            <w:pPr>
              <w:jc w:val="center"/>
              <w:rPr>
                <w:sz w:val="18"/>
                <w:szCs w:val="18"/>
                <w:lang w:val="en-US"/>
              </w:rPr>
            </w:pPr>
            <w:r w:rsidRPr="00592AA7">
              <w:rPr>
                <w:sz w:val="18"/>
                <w:szCs w:val="18"/>
                <w:lang w:val="en-US"/>
              </w:rPr>
              <w:t>3.84±0.07</w:t>
            </w:r>
            <w:r w:rsidRPr="00592AA7">
              <w:rPr>
                <w:sz w:val="18"/>
                <w:szCs w:val="18"/>
                <w:vertAlign w:val="superscript"/>
                <w:lang w:val="en-US"/>
              </w:rPr>
              <w:t>a</w:t>
            </w:r>
          </w:p>
        </w:tc>
        <w:tc>
          <w:tcPr>
            <w:tcW w:w="1295" w:type="dxa"/>
          </w:tcPr>
          <w:p w14:paraId="005F055A" w14:textId="77777777" w:rsidR="00C12106" w:rsidRPr="00592AA7" w:rsidRDefault="00C12106" w:rsidP="005C159A">
            <w:pPr>
              <w:jc w:val="center"/>
              <w:rPr>
                <w:sz w:val="18"/>
                <w:szCs w:val="18"/>
                <w:lang w:val="en-US"/>
              </w:rPr>
            </w:pPr>
            <w:r w:rsidRPr="00592AA7">
              <w:rPr>
                <w:sz w:val="18"/>
                <w:szCs w:val="18"/>
                <w:lang w:val="en-US"/>
              </w:rPr>
              <w:t>3.37±1.33</w:t>
            </w:r>
            <w:r w:rsidRPr="00592AA7">
              <w:rPr>
                <w:sz w:val="18"/>
                <w:szCs w:val="18"/>
                <w:vertAlign w:val="superscript"/>
                <w:lang w:val="en-US"/>
              </w:rPr>
              <w:t>b</w:t>
            </w:r>
          </w:p>
        </w:tc>
      </w:tr>
      <w:tr w:rsidR="00C12106" w:rsidRPr="00592AA7" w14:paraId="588692F5" w14:textId="77777777" w:rsidTr="00C12106">
        <w:trPr>
          <w:jc w:val="center"/>
        </w:trPr>
        <w:tc>
          <w:tcPr>
            <w:tcW w:w="1294" w:type="dxa"/>
          </w:tcPr>
          <w:p w14:paraId="01A421F0" w14:textId="6AF5AD70" w:rsidR="00C12106" w:rsidRPr="00592AA7" w:rsidRDefault="00C12106" w:rsidP="005C159A">
            <w:pPr>
              <w:jc w:val="center"/>
              <w:rPr>
                <w:sz w:val="18"/>
                <w:szCs w:val="18"/>
                <w:lang w:val="en-US"/>
              </w:rPr>
            </w:pPr>
            <w:r w:rsidRPr="00592AA7">
              <w:rPr>
                <w:sz w:val="18"/>
                <w:szCs w:val="18"/>
                <w:lang w:val="en-US"/>
              </w:rPr>
              <w:t>CnG</w:t>
            </w:r>
            <w:r w:rsidR="0039731C">
              <w:rPr>
                <w:sz w:val="18"/>
                <w:szCs w:val="18"/>
                <w:lang w:val="en-US"/>
              </w:rPr>
              <w:t>S</w:t>
            </w:r>
          </w:p>
        </w:tc>
        <w:tc>
          <w:tcPr>
            <w:tcW w:w="1294" w:type="dxa"/>
            <w:vAlign w:val="bottom"/>
          </w:tcPr>
          <w:p w14:paraId="10B6A5CB" w14:textId="77777777" w:rsidR="00C12106" w:rsidRPr="00592AA7" w:rsidRDefault="00C12106" w:rsidP="005C159A">
            <w:pPr>
              <w:jc w:val="center"/>
              <w:rPr>
                <w:sz w:val="18"/>
                <w:szCs w:val="18"/>
                <w:lang w:val="en-US"/>
              </w:rPr>
            </w:pPr>
            <w:r w:rsidRPr="00592AA7">
              <w:rPr>
                <w:sz w:val="18"/>
                <w:szCs w:val="18"/>
                <w:lang w:val="en-US"/>
              </w:rPr>
              <w:t>4.40 ± 0.33</w:t>
            </w:r>
            <w:r w:rsidRPr="00592AA7">
              <w:rPr>
                <w:sz w:val="18"/>
                <w:szCs w:val="18"/>
                <w:vertAlign w:val="superscript"/>
                <w:lang w:val="en-US"/>
              </w:rPr>
              <w:t>a</w:t>
            </w:r>
          </w:p>
        </w:tc>
        <w:tc>
          <w:tcPr>
            <w:tcW w:w="1294" w:type="dxa"/>
            <w:vAlign w:val="bottom"/>
          </w:tcPr>
          <w:p w14:paraId="4A0319AA" w14:textId="77777777" w:rsidR="00C12106" w:rsidRPr="00592AA7" w:rsidRDefault="00C12106" w:rsidP="005C159A">
            <w:pPr>
              <w:jc w:val="center"/>
              <w:rPr>
                <w:sz w:val="18"/>
                <w:szCs w:val="18"/>
                <w:lang w:val="en-US"/>
              </w:rPr>
            </w:pPr>
            <w:r w:rsidRPr="00592AA7">
              <w:rPr>
                <w:sz w:val="18"/>
                <w:szCs w:val="18"/>
                <w:lang w:val="en-US"/>
              </w:rPr>
              <w:t>5.57±0.82</w:t>
            </w:r>
            <w:r w:rsidRPr="00592AA7">
              <w:rPr>
                <w:sz w:val="18"/>
                <w:szCs w:val="18"/>
                <w:vertAlign w:val="superscript"/>
                <w:lang w:val="en-US"/>
              </w:rPr>
              <w:t>b,c</w:t>
            </w:r>
          </w:p>
        </w:tc>
        <w:tc>
          <w:tcPr>
            <w:tcW w:w="1294" w:type="dxa"/>
            <w:vAlign w:val="bottom"/>
          </w:tcPr>
          <w:p w14:paraId="73FC6795" w14:textId="77777777" w:rsidR="00C12106" w:rsidRPr="00592AA7" w:rsidRDefault="00C12106" w:rsidP="005C159A">
            <w:pPr>
              <w:jc w:val="center"/>
              <w:rPr>
                <w:sz w:val="18"/>
                <w:szCs w:val="18"/>
                <w:lang w:val="en-US"/>
              </w:rPr>
            </w:pPr>
            <w:r w:rsidRPr="00592AA7">
              <w:rPr>
                <w:sz w:val="18"/>
                <w:szCs w:val="18"/>
                <w:lang w:val="en-US"/>
              </w:rPr>
              <w:t>1.72±0.04</w:t>
            </w:r>
            <w:r w:rsidRPr="00592AA7">
              <w:rPr>
                <w:sz w:val="18"/>
                <w:szCs w:val="18"/>
                <w:vertAlign w:val="superscript"/>
                <w:lang w:val="en-US"/>
              </w:rPr>
              <w:t>a</w:t>
            </w:r>
          </w:p>
        </w:tc>
        <w:tc>
          <w:tcPr>
            <w:tcW w:w="1295" w:type="dxa"/>
            <w:vAlign w:val="bottom"/>
          </w:tcPr>
          <w:p w14:paraId="351EB8F7" w14:textId="77777777" w:rsidR="00C12106" w:rsidRPr="00592AA7" w:rsidRDefault="00C12106" w:rsidP="005C159A">
            <w:pPr>
              <w:jc w:val="center"/>
              <w:rPr>
                <w:sz w:val="18"/>
                <w:szCs w:val="18"/>
                <w:lang w:val="en-US"/>
              </w:rPr>
            </w:pPr>
            <w:r w:rsidRPr="00592AA7">
              <w:rPr>
                <w:sz w:val="18"/>
                <w:szCs w:val="18"/>
                <w:lang w:val="en-US"/>
              </w:rPr>
              <w:t>0.74±0.06</w:t>
            </w:r>
            <w:r w:rsidRPr="00592AA7">
              <w:rPr>
                <w:sz w:val="18"/>
                <w:szCs w:val="18"/>
                <w:vertAlign w:val="superscript"/>
                <w:lang w:val="en-US"/>
              </w:rPr>
              <w:t>a</w:t>
            </w:r>
          </w:p>
        </w:tc>
        <w:tc>
          <w:tcPr>
            <w:tcW w:w="1295" w:type="dxa"/>
            <w:vAlign w:val="center"/>
          </w:tcPr>
          <w:p w14:paraId="76AA9CB1" w14:textId="77777777" w:rsidR="00C12106" w:rsidRPr="00592AA7" w:rsidRDefault="00C12106" w:rsidP="005C159A">
            <w:pPr>
              <w:jc w:val="center"/>
              <w:rPr>
                <w:sz w:val="18"/>
                <w:szCs w:val="18"/>
                <w:lang w:val="en-US"/>
              </w:rPr>
            </w:pPr>
            <w:r w:rsidRPr="00592AA7">
              <w:rPr>
                <w:sz w:val="18"/>
                <w:szCs w:val="18"/>
                <w:lang w:val="en-US"/>
              </w:rPr>
              <w:t>4.42±0.01</w:t>
            </w:r>
            <w:r w:rsidRPr="00592AA7">
              <w:rPr>
                <w:sz w:val="18"/>
                <w:szCs w:val="18"/>
                <w:vertAlign w:val="superscript"/>
                <w:lang w:val="en-US"/>
              </w:rPr>
              <w:t>b</w:t>
            </w:r>
          </w:p>
        </w:tc>
        <w:tc>
          <w:tcPr>
            <w:tcW w:w="1295" w:type="dxa"/>
          </w:tcPr>
          <w:p w14:paraId="0A4A1EA7" w14:textId="77777777" w:rsidR="00C12106" w:rsidRPr="00592AA7" w:rsidRDefault="00C12106" w:rsidP="005C159A">
            <w:pPr>
              <w:jc w:val="center"/>
              <w:rPr>
                <w:sz w:val="18"/>
                <w:szCs w:val="18"/>
                <w:lang w:val="en-US"/>
              </w:rPr>
            </w:pPr>
            <w:r w:rsidRPr="00592AA7">
              <w:rPr>
                <w:sz w:val="18"/>
                <w:szCs w:val="18"/>
                <w:lang w:val="en-US"/>
              </w:rPr>
              <w:t>3.12±0.44</w:t>
            </w:r>
            <w:r w:rsidRPr="00592AA7">
              <w:rPr>
                <w:sz w:val="18"/>
                <w:szCs w:val="18"/>
                <w:vertAlign w:val="superscript"/>
                <w:lang w:val="en-US"/>
              </w:rPr>
              <w:t>b</w:t>
            </w:r>
          </w:p>
        </w:tc>
      </w:tr>
      <w:tr w:rsidR="00C12106" w:rsidRPr="00592AA7" w14:paraId="19D3B747" w14:textId="77777777" w:rsidTr="00C12106">
        <w:trPr>
          <w:jc w:val="center"/>
        </w:trPr>
        <w:tc>
          <w:tcPr>
            <w:tcW w:w="1294" w:type="dxa"/>
            <w:tcBorders>
              <w:bottom w:val="single" w:sz="4" w:space="0" w:color="auto"/>
            </w:tcBorders>
          </w:tcPr>
          <w:p w14:paraId="3DC093E0" w14:textId="6E0B8005" w:rsidR="00C12106" w:rsidRPr="00592AA7" w:rsidRDefault="00C12106" w:rsidP="005C159A">
            <w:pPr>
              <w:jc w:val="center"/>
              <w:rPr>
                <w:sz w:val="18"/>
                <w:szCs w:val="18"/>
                <w:lang w:val="en-US"/>
              </w:rPr>
            </w:pPr>
            <w:r w:rsidRPr="00592AA7">
              <w:rPr>
                <w:sz w:val="18"/>
                <w:szCs w:val="18"/>
                <w:lang w:val="en-US"/>
              </w:rPr>
              <w:t>CG</w:t>
            </w:r>
            <w:r w:rsidR="0039731C">
              <w:rPr>
                <w:sz w:val="18"/>
                <w:szCs w:val="18"/>
                <w:lang w:val="en-US"/>
              </w:rPr>
              <w:t>S</w:t>
            </w:r>
          </w:p>
        </w:tc>
        <w:tc>
          <w:tcPr>
            <w:tcW w:w="1294" w:type="dxa"/>
            <w:tcBorders>
              <w:bottom w:val="single" w:sz="4" w:space="0" w:color="auto"/>
            </w:tcBorders>
            <w:vAlign w:val="bottom"/>
          </w:tcPr>
          <w:p w14:paraId="1FF5CE2C" w14:textId="77777777" w:rsidR="00C12106" w:rsidRPr="00592AA7" w:rsidRDefault="00C12106" w:rsidP="005C159A">
            <w:pPr>
              <w:jc w:val="center"/>
              <w:rPr>
                <w:sz w:val="18"/>
                <w:szCs w:val="18"/>
                <w:lang w:val="en-US"/>
              </w:rPr>
            </w:pPr>
            <w:r w:rsidRPr="00592AA7">
              <w:rPr>
                <w:sz w:val="18"/>
                <w:szCs w:val="18"/>
                <w:lang w:val="en-US"/>
              </w:rPr>
              <w:t>4.94 ± 0.26</w:t>
            </w:r>
            <w:r w:rsidRPr="00592AA7">
              <w:rPr>
                <w:sz w:val="18"/>
                <w:szCs w:val="18"/>
                <w:vertAlign w:val="superscript"/>
                <w:lang w:val="en-US"/>
              </w:rPr>
              <w:t>a,b</w:t>
            </w:r>
          </w:p>
        </w:tc>
        <w:tc>
          <w:tcPr>
            <w:tcW w:w="1294" w:type="dxa"/>
            <w:tcBorders>
              <w:bottom w:val="single" w:sz="4" w:space="0" w:color="auto"/>
            </w:tcBorders>
            <w:vAlign w:val="bottom"/>
          </w:tcPr>
          <w:p w14:paraId="33F320A3" w14:textId="77777777" w:rsidR="00C12106" w:rsidRPr="00592AA7" w:rsidRDefault="00C12106" w:rsidP="005C159A">
            <w:pPr>
              <w:jc w:val="center"/>
              <w:rPr>
                <w:sz w:val="18"/>
                <w:szCs w:val="18"/>
                <w:lang w:val="en-US"/>
              </w:rPr>
            </w:pPr>
            <w:r w:rsidRPr="00592AA7">
              <w:rPr>
                <w:sz w:val="18"/>
                <w:szCs w:val="18"/>
                <w:lang w:val="en-US"/>
              </w:rPr>
              <w:t>6.94±0.40</w:t>
            </w:r>
            <w:r w:rsidRPr="00592AA7">
              <w:rPr>
                <w:sz w:val="18"/>
                <w:szCs w:val="18"/>
                <w:vertAlign w:val="superscript"/>
                <w:lang w:val="en-US"/>
              </w:rPr>
              <w:t>c</w:t>
            </w:r>
          </w:p>
        </w:tc>
        <w:tc>
          <w:tcPr>
            <w:tcW w:w="1294" w:type="dxa"/>
            <w:tcBorders>
              <w:bottom w:val="single" w:sz="4" w:space="0" w:color="auto"/>
            </w:tcBorders>
            <w:vAlign w:val="bottom"/>
          </w:tcPr>
          <w:p w14:paraId="1137DEF7" w14:textId="77777777" w:rsidR="00C12106" w:rsidRPr="00592AA7" w:rsidRDefault="00C12106" w:rsidP="005C159A">
            <w:pPr>
              <w:jc w:val="center"/>
              <w:rPr>
                <w:sz w:val="18"/>
                <w:szCs w:val="18"/>
                <w:lang w:val="en-US"/>
              </w:rPr>
            </w:pPr>
            <w:r w:rsidRPr="00592AA7">
              <w:rPr>
                <w:sz w:val="18"/>
                <w:szCs w:val="18"/>
                <w:lang w:val="en-US"/>
              </w:rPr>
              <w:t>1.84±0.08</w:t>
            </w:r>
            <w:r w:rsidRPr="00592AA7">
              <w:rPr>
                <w:sz w:val="18"/>
                <w:szCs w:val="18"/>
                <w:vertAlign w:val="superscript"/>
                <w:lang w:val="en-US"/>
              </w:rPr>
              <w:t>a</w:t>
            </w:r>
          </w:p>
        </w:tc>
        <w:tc>
          <w:tcPr>
            <w:tcW w:w="1295" w:type="dxa"/>
            <w:tcBorders>
              <w:bottom w:val="single" w:sz="4" w:space="0" w:color="auto"/>
            </w:tcBorders>
            <w:vAlign w:val="bottom"/>
          </w:tcPr>
          <w:p w14:paraId="277163BA" w14:textId="77777777" w:rsidR="00C12106" w:rsidRPr="00592AA7" w:rsidRDefault="00C12106" w:rsidP="005C159A">
            <w:pPr>
              <w:jc w:val="center"/>
              <w:rPr>
                <w:sz w:val="18"/>
                <w:szCs w:val="18"/>
                <w:lang w:val="en-US"/>
              </w:rPr>
            </w:pPr>
            <w:r w:rsidRPr="00592AA7">
              <w:rPr>
                <w:sz w:val="18"/>
                <w:szCs w:val="18"/>
                <w:lang w:val="en-US"/>
              </w:rPr>
              <w:t>0.71±0.03</w:t>
            </w:r>
            <w:r w:rsidRPr="00592AA7">
              <w:rPr>
                <w:sz w:val="18"/>
                <w:szCs w:val="18"/>
                <w:vertAlign w:val="superscript"/>
                <w:lang w:val="en-US"/>
              </w:rPr>
              <w:t>a</w:t>
            </w:r>
          </w:p>
        </w:tc>
        <w:tc>
          <w:tcPr>
            <w:tcW w:w="1295" w:type="dxa"/>
            <w:tcBorders>
              <w:bottom w:val="single" w:sz="4" w:space="0" w:color="auto"/>
            </w:tcBorders>
            <w:vAlign w:val="center"/>
          </w:tcPr>
          <w:p w14:paraId="440BA0AD" w14:textId="77777777" w:rsidR="00C12106" w:rsidRPr="00592AA7" w:rsidRDefault="00C12106" w:rsidP="005C159A">
            <w:pPr>
              <w:jc w:val="center"/>
              <w:rPr>
                <w:sz w:val="18"/>
                <w:szCs w:val="18"/>
                <w:lang w:val="en-US"/>
              </w:rPr>
            </w:pPr>
            <w:r w:rsidRPr="00592AA7">
              <w:rPr>
                <w:sz w:val="18"/>
                <w:szCs w:val="18"/>
                <w:lang w:val="en-US"/>
              </w:rPr>
              <w:t>4.51±0.05</w:t>
            </w:r>
            <w:r w:rsidRPr="00592AA7">
              <w:rPr>
                <w:sz w:val="18"/>
                <w:szCs w:val="18"/>
                <w:vertAlign w:val="superscript"/>
                <w:lang w:val="en-US"/>
              </w:rPr>
              <w:t>b</w:t>
            </w:r>
          </w:p>
        </w:tc>
        <w:tc>
          <w:tcPr>
            <w:tcW w:w="1295" w:type="dxa"/>
            <w:tcBorders>
              <w:bottom w:val="single" w:sz="4" w:space="0" w:color="auto"/>
            </w:tcBorders>
          </w:tcPr>
          <w:p w14:paraId="0D1FD8FA" w14:textId="77777777" w:rsidR="00C12106" w:rsidRPr="00592AA7" w:rsidRDefault="00C12106" w:rsidP="005C159A">
            <w:pPr>
              <w:jc w:val="center"/>
              <w:rPr>
                <w:sz w:val="18"/>
                <w:szCs w:val="18"/>
                <w:lang w:val="en-US"/>
              </w:rPr>
            </w:pPr>
            <w:r w:rsidRPr="00592AA7">
              <w:rPr>
                <w:sz w:val="18"/>
                <w:szCs w:val="18"/>
                <w:lang w:val="en-US"/>
              </w:rPr>
              <w:t>2.84±0.42</w:t>
            </w:r>
            <w:r w:rsidRPr="00592AA7">
              <w:rPr>
                <w:sz w:val="18"/>
                <w:szCs w:val="18"/>
                <w:vertAlign w:val="superscript"/>
                <w:lang w:val="en-US"/>
              </w:rPr>
              <w:t>b</w:t>
            </w:r>
          </w:p>
        </w:tc>
      </w:tr>
    </w:tbl>
    <w:p w14:paraId="11B5D1E1" w14:textId="77777777" w:rsidR="00213264" w:rsidRDefault="00213264" w:rsidP="00775AAC">
      <w:pPr>
        <w:pStyle w:val="Titolo2"/>
        <w:spacing w:before="0"/>
        <w:ind w:left="720"/>
        <w:rPr>
          <w:rFonts w:ascii="Times New Roman" w:hAnsi="Times New Roman" w:cs="Times New Roman"/>
          <w:b/>
          <w:bCs/>
          <w:color w:val="000000" w:themeColor="text1"/>
          <w:sz w:val="20"/>
          <w:szCs w:val="20"/>
          <w:lang w:val="en-US"/>
        </w:rPr>
      </w:pPr>
    </w:p>
    <w:p w14:paraId="28021740" w14:textId="763606F5" w:rsidR="002E1E84" w:rsidRPr="0030669A" w:rsidRDefault="00724FB3" w:rsidP="00775AAC">
      <w:pPr>
        <w:pStyle w:val="Titolo2"/>
        <w:spacing w:before="0"/>
        <w:ind w:left="720"/>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 xml:space="preserve">3.2 </w:t>
      </w:r>
      <w:r w:rsidR="00E63F31" w:rsidRPr="00115A64">
        <w:rPr>
          <w:rFonts w:ascii="Times New Roman" w:hAnsi="Times New Roman" w:cs="Times New Roman"/>
          <w:b/>
          <w:bCs/>
          <w:color w:val="000000" w:themeColor="text1"/>
          <w:sz w:val="20"/>
          <w:szCs w:val="20"/>
          <w:lang w:val="en-US"/>
        </w:rPr>
        <w:t>Biochemical properties</w:t>
      </w:r>
    </w:p>
    <w:p w14:paraId="216C1CE3" w14:textId="2F1E9E32" w:rsidR="00F86274" w:rsidRDefault="00402F17" w:rsidP="00F86274">
      <w:pPr>
        <w:jc w:val="both"/>
        <w:rPr>
          <w:rFonts w:ascii="Times New Roman" w:hAnsi="Times New Roman" w:cs="Times New Roman"/>
          <w:sz w:val="20"/>
          <w:szCs w:val="20"/>
          <w:lang w:val="en-US"/>
        </w:rPr>
      </w:pPr>
      <w:r>
        <w:rPr>
          <w:rFonts w:ascii="Times New Roman" w:hAnsi="Times New Roman" w:cs="Times New Roman"/>
          <w:sz w:val="20"/>
          <w:szCs w:val="20"/>
          <w:lang w:val="en-US"/>
        </w:rPr>
        <w:t>T</w:t>
      </w:r>
      <w:r w:rsidR="00F86274" w:rsidRPr="0022306B">
        <w:rPr>
          <w:rFonts w:ascii="Times New Roman" w:hAnsi="Times New Roman" w:cs="Times New Roman"/>
          <w:sz w:val="20"/>
          <w:szCs w:val="20"/>
          <w:lang w:val="en-US"/>
        </w:rPr>
        <w:t>he combin</w:t>
      </w:r>
      <w:r w:rsidR="000E6E66">
        <w:rPr>
          <w:rFonts w:ascii="Times New Roman" w:hAnsi="Times New Roman" w:cs="Times New Roman"/>
          <w:sz w:val="20"/>
          <w:szCs w:val="20"/>
          <w:lang w:val="en-US"/>
        </w:rPr>
        <w:t>ed</w:t>
      </w:r>
      <w:r w:rsidR="00F86274" w:rsidRPr="0022306B">
        <w:rPr>
          <w:rFonts w:ascii="Times New Roman" w:hAnsi="Times New Roman" w:cs="Times New Roman"/>
          <w:sz w:val="20"/>
          <w:szCs w:val="20"/>
          <w:lang w:val="en-US"/>
        </w:rPr>
        <w:t xml:space="preserve"> treatments increase</w:t>
      </w:r>
      <w:r w:rsidR="004D202D">
        <w:rPr>
          <w:rFonts w:ascii="Times New Roman" w:hAnsi="Times New Roman" w:cs="Times New Roman"/>
          <w:sz w:val="20"/>
          <w:szCs w:val="20"/>
          <w:lang w:val="en-US"/>
        </w:rPr>
        <w:t>d</w:t>
      </w:r>
      <w:r w:rsidR="00F86274" w:rsidRPr="0022306B">
        <w:rPr>
          <w:rFonts w:ascii="Times New Roman" w:hAnsi="Times New Roman" w:cs="Times New Roman"/>
          <w:sz w:val="20"/>
          <w:szCs w:val="20"/>
          <w:lang w:val="en-US"/>
        </w:rPr>
        <w:t xml:space="preserve"> the ash content of the samples</w:t>
      </w:r>
      <w:r w:rsidR="00BC42B8">
        <w:rPr>
          <w:rFonts w:ascii="Times New Roman" w:hAnsi="Times New Roman" w:cs="Times New Roman"/>
          <w:sz w:val="20"/>
          <w:szCs w:val="20"/>
          <w:lang w:val="en-US"/>
        </w:rPr>
        <w:t xml:space="preserve"> (Table 2)</w:t>
      </w:r>
      <w:r w:rsidR="00F86274" w:rsidRPr="0022306B">
        <w:rPr>
          <w:rFonts w:ascii="Times New Roman" w:hAnsi="Times New Roman" w:cs="Times New Roman"/>
          <w:sz w:val="20"/>
          <w:szCs w:val="20"/>
          <w:lang w:val="en-US"/>
        </w:rPr>
        <w:t xml:space="preserve">, which </w:t>
      </w:r>
      <w:r w:rsidRPr="00402F17">
        <w:rPr>
          <w:rFonts w:ascii="Times New Roman" w:hAnsi="Times New Roman" w:cs="Times New Roman"/>
          <w:sz w:val="20"/>
          <w:szCs w:val="20"/>
          <w:lang w:val="en-US"/>
        </w:rPr>
        <w:t xml:space="preserve">is expected to </w:t>
      </w:r>
      <w:r w:rsidR="00F86274" w:rsidRPr="0022306B">
        <w:rPr>
          <w:rFonts w:ascii="Times New Roman" w:hAnsi="Times New Roman" w:cs="Times New Roman"/>
          <w:sz w:val="20"/>
          <w:szCs w:val="20"/>
          <w:lang w:val="en-US"/>
        </w:rPr>
        <w:t>parallel the mineral contents, which are crucial for infant wellbeing. There was no significant difference for fibre</w:t>
      </w:r>
      <w:r w:rsidR="002B5B32">
        <w:rPr>
          <w:rFonts w:ascii="Times New Roman" w:hAnsi="Times New Roman" w:cs="Times New Roman"/>
          <w:sz w:val="20"/>
          <w:szCs w:val="20"/>
          <w:lang w:val="en-US"/>
        </w:rPr>
        <w:t xml:space="preserve"> (presence </w:t>
      </w:r>
      <w:r w:rsidR="00F86274" w:rsidRPr="0022306B">
        <w:rPr>
          <w:rFonts w:ascii="Times New Roman" w:hAnsi="Times New Roman" w:cs="Times New Roman"/>
          <w:sz w:val="20"/>
          <w:szCs w:val="20"/>
          <w:lang w:val="en-US"/>
        </w:rPr>
        <w:t xml:space="preserve">not preferable </w:t>
      </w:r>
      <w:r w:rsidR="002B5B32">
        <w:rPr>
          <w:rFonts w:ascii="Times New Roman" w:hAnsi="Times New Roman" w:cs="Times New Roman"/>
          <w:sz w:val="20"/>
          <w:szCs w:val="20"/>
          <w:lang w:val="en-US"/>
        </w:rPr>
        <w:t xml:space="preserve">in complentatry food </w:t>
      </w:r>
      <w:r w:rsidR="00F86274" w:rsidRPr="0022306B">
        <w:rPr>
          <w:rFonts w:ascii="Times New Roman" w:hAnsi="Times New Roman" w:cs="Times New Roman"/>
          <w:sz w:val="20"/>
          <w:szCs w:val="20"/>
          <w:lang w:val="en-US"/>
        </w:rPr>
        <w:t>due to its dietary bulk and indigestibility</w:t>
      </w:r>
      <w:bookmarkStart w:id="4" w:name="_Hlk137120739"/>
      <w:r w:rsidR="002B5B32">
        <w:rPr>
          <w:rFonts w:ascii="Times New Roman" w:hAnsi="Times New Roman" w:cs="Times New Roman"/>
          <w:sz w:val="20"/>
          <w:szCs w:val="20"/>
          <w:lang w:val="en-US"/>
        </w:rPr>
        <w:t>)</w:t>
      </w:r>
      <w:r w:rsidR="00215D4F">
        <w:rPr>
          <w:rFonts w:ascii="Times New Roman" w:hAnsi="Times New Roman" w:cs="Times New Roman"/>
          <w:sz w:val="20"/>
          <w:szCs w:val="20"/>
          <w:lang w:val="en-US"/>
        </w:rPr>
        <w:t>.</w:t>
      </w:r>
      <w:r w:rsidR="002B5B32">
        <w:rPr>
          <w:rFonts w:ascii="Times New Roman" w:hAnsi="Times New Roman" w:cs="Times New Roman"/>
          <w:sz w:val="20"/>
          <w:szCs w:val="20"/>
          <w:lang w:val="en-US"/>
        </w:rPr>
        <w:t xml:space="preserve"> </w:t>
      </w:r>
      <w:bookmarkEnd w:id="4"/>
      <w:r w:rsidR="00F86274" w:rsidRPr="0022306B">
        <w:rPr>
          <w:rFonts w:ascii="Times New Roman" w:hAnsi="Times New Roman" w:cs="Times New Roman"/>
          <w:sz w:val="20"/>
          <w:szCs w:val="20"/>
          <w:lang w:val="en-US"/>
        </w:rPr>
        <w:t xml:space="preserve">The protein content of </w:t>
      </w:r>
      <w:r w:rsidR="00035D7F">
        <w:rPr>
          <w:rFonts w:ascii="Times New Roman" w:hAnsi="Times New Roman" w:cs="Times New Roman"/>
          <w:sz w:val="20"/>
          <w:szCs w:val="20"/>
          <w:lang w:val="en-US"/>
        </w:rPr>
        <w:t>the</w:t>
      </w:r>
      <w:r w:rsidR="000E6E66">
        <w:rPr>
          <w:rFonts w:ascii="Times New Roman" w:hAnsi="Times New Roman" w:cs="Times New Roman"/>
          <w:sz w:val="20"/>
          <w:szCs w:val="20"/>
          <w:lang w:val="en-US"/>
        </w:rPr>
        <w:t xml:space="preserve"> combined treatments </w:t>
      </w:r>
      <w:r w:rsidR="00F86274" w:rsidRPr="0022306B">
        <w:rPr>
          <w:rFonts w:ascii="Times New Roman" w:hAnsi="Times New Roman" w:cs="Times New Roman"/>
          <w:sz w:val="20"/>
          <w:szCs w:val="20"/>
          <w:lang w:val="en-US"/>
        </w:rPr>
        <w:t>samples was significantly higher than that of only fermented samples, while the carbohydrate content of only fermentation was higher than the fermentation-germination combination</w:t>
      </w:r>
      <w:r w:rsidR="001E25A6">
        <w:rPr>
          <w:rFonts w:ascii="Times New Roman" w:hAnsi="Times New Roman" w:cs="Times New Roman"/>
          <w:sz w:val="20"/>
          <w:szCs w:val="20"/>
          <w:lang w:val="en-US"/>
        </w:rPr>
        <w:t>.</w:t>
      </w:r>
      <w:r w:rsidR="005B156A">
        <w:rPr>
          <w:rFonts w:ascii="Times New Roman" w:hAnsi="Times New Roman" w:cs="Times New Roman"/>
          <w:sz w:val="20"/>
          <w:szCs w:val="20"/>
          <w:lang w:val="en-US"/>
        </w:rPr>
        <w:t xml:space="preserve"> </w:t>
      </w:r>
      <w:r w:rsidR="00F86274" w:rsidRPr="0022306B">
        <w:rPr>
          <w:rFonts w:ascii="Times New Roman" w:hAnsi="Times New Roman" w:cs="Times New Roman"/>
          <w:sz w:val="20"/>
          <w:szCs w:val="20"/>
          <w:lang w:val="en-US"/>
        </w:rPr>
        <w:t xml:space="preserve">The reduction in carbohydrates was expected due to the activation of α-amylase content and because they are the main source of nutrients for microorganisms during the glycolysis </w:t>
      </w:r>
      <w:r w:rsidR="00F86274" w:rsidRPr="00EE20B9">
        <w:rPr>
          <w:rFonts w:ascii="Times New Roman" w:hAnsi="Times New Roman" w:cs="Times New Roman"/>
          <w:sz w:val="20"/>
          <w:szCs w:val="20"/>
          <w:lang w:val="en-US"/>
        </w:rPr>
        <w:t>pathway (Simwaka et al., 2017).</w:t>
      </w:r>
      <w:r w:rsidR="002B5B32">
        <w:rPr>
          <w:rFonts w:ascii="Times New Roman" w:hAnsi="Times New Roman" w:cs="Times New Roman"/>
          <w:sz w:val="20"/>
          <w:szCs w:val="20"/>
          <w:lang w:val="en-US"/>
        </w:rPr>
        <w:t xml:space="preserve"> </w:t>
      </w:r>
      <w:r w:rsidR="00F86274" w:rsidRPr="0022306B">
        <w:rPr>
          <w:rFonts w:ascii="Times New Roman" w:hAnsi="Times New Roman" w:cs="Times New Roman"/>
          <w:sz w:val="20"/>
          <w:szCs w:val="20"/>
          <w:lang w:val="en-US"/>
        </w:rPr>
        <w:t xml:space="preserve">The fat content of the </w:t>
      </w:r>
      <w:r w:rsidR="000E6E66" w:rsidRPr="0022306B">
        <w:rPr>
          <w:rFonts w:ascii="Times New Roman" w:hAnsi="Times New Roman" w:cs="Times New Roman"/>
          <w:sz w:val="20"/>
          <w:szCs w:val="20"/>
          <w:lang w:val="en-US"/>
        </w:rPr>
        <w:t>combin</w:t>
      </w:r>
      <w:r w:rsidR="000E6E66">
        <w:rPr>
          <w:rFonts w:ascii="Times New Roman" w:hAnsi="Times New Roman" w:cs="Times New Roman"/>
          <w:sz w:val="20"/>
          <w:szCs w:val="20"/>
          <w:lang w:val="en-US"/>
        </w:rPr>
        <w:t>ed</w:t>
      </w:r>
      <w:r w:rsidR="000E6E66" w:rsidRPr="0022306B">
        <w:rPr>
          <w:rFonts w:ascii="Times New Roman" w:hAnsi="Times New Roman" w:cs="Times New Roman"/>
          <w:sz w:val="20"/>
          <w:szCs w:val="20"/>
          <w:lang w:val="en-US"/>
        </w:rPr>
        <w:t xml:space="preserve"> treatments</w:t>
      </w:r>
      <w:r w:rsidR="000E6E66">
        <w:rPr>
          <w:rFonts w:ascii="Times New Roman" w:hAnsi="Times New Roman" w:cs="Times New Roman"/>
          <w:sz w:val="20"/>
          <w:szCs w:val="20"/>
          <w:lang w:val="en-US"/>
        </w:rPr>
        <w:t xml:space="preserve"> </w:t>
      </w:r>
      <w:r w:rsidR="00D41ACE">
        <w:rPr>
          <w:rFonts w:ascii="Times New Roman" w:hAnsi="Times New Roman" w:cs="Times New Roman"/>
          <w:sz w:val="20"/>
          <w:szCs w:val="20"/>
          <w:lang w:val="en-US"/>
        </w:rPr>
        <w:t>is higher</w:t>
      </w:r>
      <w:r w:rsidR="00F86274" w:rsidRPr="0022306B">
        <w:rPr>
          <w:rFonts w:ascii="Times New Roman" w:hAnsi="Times New Roman" w:cs="Times New Roman"/>
          <w:sz w:val="20"/>
          <w:szCs w:val="20"/>
          <w:lang w:val="en-US"/>
        </w:rPr>
        <w:t xml:space="preserve"> when compared to fermentation alone. The</w:t>
      </w:r>
      <w:r w:rsidR="00035D7F">
        <w:rPr>
          <w:rFonts w:ascii="Times New Roman" w:hAnsi="Times New Roman" w:cs="Times New Roman"/>
          <w:sz w:val="20"/>
          <w:szCs w:val="20"/>
          <w:lang w:val="en-US"/>
        </w:rPr>
        <w:t xml:space="preserve"> </w:t>
      </w:r>
      <w:r w:rsidR="00F86274" w:rsidRPr="0022306B">
        <w:rPr>
          <w:rFonts w:ascii="Times New Roman" w:hAnsi="Times New Roman" w:cs="Times New Roman"/>
          <w:sz w:val="20"/>
          <w:szCs w:val="20"/>
          <w:lang w:val="en-US"/>
        </w:rPr>
        <w:t>reduction in crude fat for germination was expected because of the biochemical and physiological changes such as increased lipolytic enzyme activity for hydrolysis of triglycerides to fatty acids and glycerol (</w:t>
      </w:r>
      <w:r w:rsidR="00F86274" w:rsidRPr="00D23AD8">
        <w:rPr>
          <w:rFonts w:ascii="Times New Roman" w:hAnsi="Times New Roman" w:cs="Times New Roman"/>
          <w:sz w:val="20"/>
          <w:szCs w:val="20"/>
          <w:lang w:val="en-US"/>
        </w:rPr>
        <w:t>Simwaka et al., 2017).</w:t>
      </w:r>
    </w:p>
    <w:p w14:paraId="69AF6406" w14:textId="363FC9B0" w:rsidR="004B0C1C" w:rsidRPr="00213264" w:rsidRDefault="00213264" w:rsidP="00E26A5A">
      <w:pPr>
        <w:spacing w:before="300" w:after="300"/>
        <w:ind w:left="709" w:hanging="709"/>
        <w:rPr>
          <w:rFonts w:ascii="Times New Roman" w:hAnsi="Times New Roman" w:cs="Times New Roman"/>
          <w:i/>
          <w:iCs/>
          <w:sz w:val="18"/>
          <w:szCs w:val="18"/>
          <w:lang w:val="en-US"/>
        </w:rPr>
      </w:pPr>
      <w:r w:rsidRPr="002F1F18">
        <w:rPr>
          <w:rFonts w:ascii="Times New Roman" w:hAnsi="Times New Roman" w:cs="Times New Roman"/>
          <w:b/>
          <w:bCs/>
          <w:sz w:val="18"/>
          <w:szCs w:val="18"/>
          <w:u w:val="single"/>
          <w:lang w:val="en-US"/>
        </w:rPr>
        <w:t>Table 2</w:t>
      </w:r>
      <w:r w:rsidRPr="002F1F18">
        <w:rPr>
          <w:rFonts w:ascii="Times New Roman" w:hAnsi="Times New Roman" w:cs="Times New Roman"/>
          <w:sz w:val="18"/>
          <w:szCs w:val="18"/>
          <w:lang w:val="en-US"/>
        </w:rPr>
        <w:t xml:space="preserve"> </w:t>
      </w:r>
      <w:r w:rsidR="0030174D">
        <w:rPr>
          <w:rFonts w:ascii="Times New Roman" w:hAnsi="Times New Roman" w:cs="Times New Roman"/>
          <w:sz w:val="18"/>
          <w:szCs w:val="18"/>
          <w:lang w:val="en-US"/>
        </w:rPr>
        <w:tab/>
      </w:r>
      <w:r w:rsidRPr="00847EF7">
        <w:rPr>
          <w:rFonts w:ascii="Times New Roman" w:hAnsi="Times New Roman" w:cs="Times New Roman"/>
          <w:i/>
          <w:iCs/>
          <w:sz w:val="18"/>
          <w:szCs w:val="18"/>
          <w:lang w:val="en-US"/>
        </w:rPr>
        <w:t xml:space="preserve">Proximate composition of porridge samples. </w:t>
      </w:r>
      <w:r w:rsidR="00A90D48" w:rsidRPr="00DA2AF4">
        <w:rPr>
          <w:rFonts w:ascii="Times New Roman" w:hAnsi="Times New Roman" w:cs="Times New Roman"/>
          <w:i/>
          <w:iCs/>
          <w:sz w:val="18"/>
          <w:szCs w:val="18"/>
          <w:lang w:val="en-US"/>
        </w:rPr>
        <w:t>SP: Sorghum porridge, FSP: Fermented SP, CnG</w:t>
      </w:r>
      <w:r w:rsidR="00A90D48">
        <w:rPr>
          <w:rFonts w:ascii="Times New Roman" w:hAnsi="Times New Roman" w:cs="Times New Roman"/>
          <w:i/>
          <w:iCs/>
          <w:sz w:val="18"/>
          <w:szCs w:val="18"/>
          <w:lang w:val="en-US"/>
        </w:rPr>
        <w:t>P</w:t>
      </w:r>
      <w:r w:rsidR="00A90D48" w:rsidRPr="00DA2AF4">
        <w:rPr>
          <w:rFonts w:ascii="Times New Roman" w:hAnsi="Times New Roman" w:cs="Times New Roman"/>
          <w:i/>
          <w:iCs/>
          <w:sz w:val="18"/>
          <w:szCs w:val="18"/>
          <w:lang w:val="en-US"/>
        </w:rPr>
        <w:t>: Composited SP (fermentation + non-germinated seed flour), CGP: Composited SP (fermentation + germinated seed flour).</w:t>
      </w:r>
      <w:r w:rsidR="00A90D48">
        <w:rPr>
          <w:rFonts w:ascii="Times New Roman" w:hAnsi="Times New Roman" w:cs="Times New Roman"/>
          <w:i/>
          <w:iCs/>
          <w:sz w:val="18"/>
          <w:szCs w:val="18"/>
          <w:lang w:val="en-US"/>
        </w:rPr>
        <w:t xml:space="preserve">      </w:t>
      </w:r>
      <w:r w:rsidRPr="00847EF7">
        <w:rPr>
          <w:rFonts w:ascii="Times New Roman" w:hAnsi="Times New Roman" w:cs="Times New Roman"/>
          <w:i/>
          <w:iCs/>
          <w:sz w:val="18"/>
          <w:szCs w:val="18"/>
          <w:lang w:val="en-US"/>
        </w:rPr>
        <w:t>nGS: non-germinated seed, GS: germinated seed.</w:t>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1123"/>
        <w:gridCol w:w="1126"/>
        <w:gridCol w:w="1110"/>
        <w:gridCol w:w="1126"/>
        <w:gridCol w:w="1126"/>
        <w:gridCol w:w="1196"/>
        <w:gridCol w:w="1185"/>
      </w:tblGrid>
      <w:tr w:rsidR="004B0C1C" w14:paraId="1EA89F3A" w14:textId="77777777" w:rsidTr="00213264">
        <w:trPr>
          <w:jc w:val="right"/>
        </w:trPr>
        <w:tc>
          <w:tcPr>
            <w:tcW w:w="1069" w:type="dxa"/>
            <w:vMerge w:val="restart"/>
            <w:tcBorders>
              <w:top w:val="single" w:sz="4" w:space="0" w:color="auto"/>
              <w:bottom w:val="single" w:sz="4" w:space="0" w:color="auto"/>
            </w:tcBorders>
          </w:tcPr>
          <w:p w14:paraId="6C71A743" w14:textId="7F1040D6" w:rsidR="004B0C1C" w:rsidRDefault="004B0C1C" w:rsidP="005C159A">
            <w:pPr>
              <w:jc w:val="center"/>
              <w:rPr>
                <w:sz w:val="20"/>
                <w:szCs w:val="20"/>
                <w:lang w:val="en-US"/>
              </w:rPr>
            </w:pPr>
            <w:r w:rsidRPr="00DE6833">
              <w:rPr>
                <w:sz w:val="18"/>
                <w:szCs w:val="18"/>
                <w:lang w:val="en-US"/>
              </w:rPr>
              <w:t>Porridge</w:t>
            </w:r>
          </w:p>
        </w:tc>
        <w:tc>
          <w:tcPr>
            <w:tcW w:w="6807" w:type="dxa"/>
            <w:gridSpan w:val="6"/>
            <w:tcBorders>
              <w:top w:val="single" w:sz="4" w:space="0" w:color="auto"/>
              <w:bottom w:val="single" w:sz="4" w:space="0" w:color="auto"/>
            </w:tcBorders>
          </w:tcPr>
          <w:p w14:paraId="5F2A97F2" w14:textId="77777777" w:rsidR="004B0C1C" w:rsidRDefault="004B0C1C" w:rsidP="005C159A">
            <w:pPr>
              <w:jc w:val="center"/>
              <w:rPr>
                <w:sz w:val="20"/>
                <w:szCs w:val="20"/>
                <w:lang w:val="en-US"/>
              </w:rPr>
            </w:pPr>
            <w:r w:rsidRPr="00DE6833">
              <w:rPr>
                <w:rFonts w:eastAsia="Times New Roman"/>
                <w:sz w:val="18"/>
                <w:szCs w:val="18"/>
                <w:lang w:val="en-US" w:bidi="th-TH"/>
              </w:rPr>
              <w:t>Nutritional composition g/100g</w:t>
            </w:r>
          </w:p>
        </w:tc>
        <w:tc>
          <w:tcPr>
            <w:tcW w:w="1185" w:type="dxa"/>
            <w:vMerge w:val="restart"/>
            <w:tcBorders>
              <w:top w:val="single" w:sz="4" w:space="0" w:color="auto"/>
              <w:bottom w:val="single" w:sz="4" w:space="0" w:color="auto"/>
            </w:tcBorders>
          </w:tcPr>
          <w:p w14:paraId="0013FA42" w14:textId="77777777" w:rsidR="004B0C1C" w:rsidRPr="00DE6833" w:rsidRDefault="004B0C1C" w:rsidP="005C159A">
            <w:pPr>
              <w:jc w:val="center"/>
              <w:rPr>
                <w:rFonts w:eastAsia="Times New Roman"/>
                <w:sz w:val="18"/>
                <w:szCs w:val="18"/>
                <w:lang w:val="en-US" w:bidi="th-TH"/>
              </w:rPr>
            </w:pPr>
            <w:r w:rsidRPr="00DE6833">
              <w:rPr>
                <w:rFonts w:eastAsia="Times New Roman"/>
                <w:sz w:val="18"/>
                <w:szCs w:val="18"/>
                <w:lang w:val="en-US" w:bidi="th-TH"/>
              </w:rPr>
              <w:t>Energy</w:t>
            </w:r>
          </w:p>
          <w:p w14:paraId="19745334" w14:textId="77777777" w:rsidR="004B0C1C" w:rsidRDefault="004B0C1C" w:rsidP="005C159A">
            <w:pPr>
              <w:jc w:val="center"/>
              <w:rPr>
                <w:sz w:val="20"/>
                <w:szCs w:val="20"/>
                <w:lang w:val="en-US"/>
              </w:rPr>
            </w:pPr>
            <w:r w:rsidRPr="00DE6833">
              <w:rPr>
                <w:rFonts w:eastAsia="Times New Roman"/>
                <w:sz w:val="18"/>
                <w:szCs w:val="18"/>
                <w:lang w:val="en-US" w:bidi="th-TH"/>
              </w:rPr>
              <w:t>kJ/100 g</w:t>
            </w:r>
          </w:p>
        </w:tc>
      </w:tr>
      <w:tr w:rsidR="004B0C1C" w14:paraId="07E6DA84" w14:textId="77777777" w:rsidTr="00213264">
        <w:trPr>
          <w:jc w:val="right"/>
        </w:trPr>
        <w:tc>
          <w:tcPr>
            <w:tcW w:w="1069" w:type="dxa"/>
            <w:vMerge/>
            <w:tcBorders>
              <w:top w:val="single" w:sz="4" w:space="0" w:color="auto"/>
              <w:bottom w:val="single" w:sz="4" w:space="0" w:color="auto"/>
            </w:tcBorders>
          </w:tcPr>
          <w:p w14:paraId="45F13115" w14:textId="77777777" w:rsidR="004B0C1C" w:rsidRDefault="004B0C1C" w:rsidP="005C159A">
            <w:pPr>
              <w:jc w:val="both"/>
              <w:rPr>
                <w:sz w:val="20"/>
                <w:szCs w:val="20"/>
                <w:lang w:val="en-US"/>
              </w:rPr>
            </w:pPr>
          </w:p>
        </w:tc>
        <w:tc>
          <w:tcPr>
            <w:tcW w:w="1123" w:type="dxa"/>
            <w:tcBorders>
              <w:top w:val="single" w:sz="4" w:space="0" w:color="auto"/>
              <w:bottom w:val="single" w:sz="4" w:space="0" w:color="auto"/>
            </w:tcBorders>
            <w:vAlign w:val="center"/>
          </w:tcPr>
          <w:p w14:paraId="50F4BF0E" w14:textId="77777777" w:rsidR="004B0C1C" w:rsidRDefault="004B0C1C" w:rsidP="005C159A">
            <w:pPr>
              <w:jc w:val="center"/>
              <w:rPr>
                <w:sz w:val="20"/>
                <w:szCs w:val="20"/>
                <w:lang w:val="en-US"/>
              </w:rPr>
            </w:pPr>
            <w:r w:rsidRPr="00DE6833">
              <w:rPr>
                <w:rFonts w:eastAsia="Times New Roman"/>
                <w:sz w:val="18"/>
                <w:szCs w:val="18"/>
                <w:lang w:val="en-US" w:bidi="th-TH"/>
              </w:rPr>
              <w:t>Moisture</w:t>
            </w:r>
          </w:p>
        </w:tc>
        <w:tc>
          <w:tcPr>
            <w:tcW w:w="1126" w:type="dxa"/>
            <w:tcBorders>
              <w:top w:val="single" w:sz="4" w:space="0" w:color="auto"/>
              <w:bottom w:val="single" w:sz="4" w:space="0" w:color="auto"/>
            </w:tcBorders>
            <w:vAlign w:val="center"/>
          </w:tcPr>
          <w:p w14:paraId="5852606A" w14:textId="77777777" w:rsidR="004B0C1C" w:rsidRDefault="004B0C1C" w:rsidP="005C159A">
            <w:pPr>
              <w:jc w:val="center"/>
              <w:rPr>
                <w:sz w:val="20"/>
                <w:szCs w:val="20"/>
                <w:lang w:val="en-US"/>
              </w:rPr>
            </w:pPr>
            <w:r w:rsidRPr="00DE6833">
              <w:rPr>
                <w:rFonts w:eastAsia="Times New Roman"/>
                <w:sz w:val="18"/>
                <w:szCs w:val="18"/>
                <w:lang w:val="en-US" w:bidi="th-TH"/>
              </w:rPr>
              <w:t>Fibre</w:t>
            </w:r>
          </w:p>
        </w:tc>
        <w:tc>
          <w:tcPr>
            <w:tcW w:w="1110" w:type="dxa"/>
            <w:tcBorders>
              <w:top w:val="single" w:sz="4" w:space="0" w:color="auto"/>
              <w:bottom w:val="single" w:sz="4" w:space="0" w:color="auto"/>
            </w:tcBorders>
            <w:vAlign w:val="center"/>
          </w:tcPr>
          <w:p w14:paraId="6B49A4A9" w14:textId="77777777" w:rsidR="004B0C1C" w:rsidRDefault="004B0C1C" w:rsidP="005C159A">
            <w:pPr>
              <w:jc w:val="center"/>
              <w:rPr>
                <w:sz w:val="20"/>
                <w:szCs w:val="20"/>
                <w:lang w:val="en-US"/>
              </w:rPr>
            </w:pPr>
            <w:r w:rsidRPr="00DE6833">
              <w:rPr>
                <w:rFonts w:eastAsia="Times New Roman"/>
                <w:sz w:val="18"/>
                <w:szCs w:val="18"/>
                <w:lang w:val="en-US" w:bidi="th-TH"/>
              </w:rPr>
              <w:t>Ash</w:t>
            </w:r>
          </w:p>
        </w:tc>
        <w:tc>
          <w:tcPr>
            <w:tcW w:w="1126" w:type="dxa"/>
            <w:tcBorders>
              <w:top w:val="single" w:sz="4" w:space="0" w:color="auto"/>
              <w:bottom w:val="single" w:sz="4" w:space="0" w:color="auto"/>
            </w:tcBorders>
            <w:vAlign w:val="center"/>
          </w:tcPr>
          <w:p w14:paraId="033EE5A7" w14:textId="77777777" w:rsidR="004B0C1C" w:rsidRDefault="004B0C1C" w:rsidP="005C159A">
            <w:pPr>
              <w:jc w:val="center"/>
              <w:rPr>
                <w:sz w:val="20"/>
                <w:szCs w:val="20"/>
                <w:lang w:val="en-US"/>
              </w:rPr>
            </w:pPr>
            <w:r w:rsidRPr="00DE6833">
              <w:rPr>
                <w:rFonts w:eastAsia="Times New Roman"/>
                <w:sz w:val="18"/>
                <w:szCs w:val="18"/>
                <w:lang w:val="en-US" w:bidi="th-TH"/>
              </w:rPr>
              <w:t>Protein</w:t>
            </w:r>
          </w:p>
        </w:tc>
        <w:tc>
          <w:tcPr>
            <w:tcW w:w="1126" w:type="dxa"/>
            <w:tcBorders>
              <w:top w:val="single" w:sz="4" w:space="0" w:color="auto"/>
              <w:bottom w:val="single" w:sz="4" w:space="0" w:color="auto"/>
            </w:tcBorders>
            <w:vAlign w:val="center"/>
          </w:tcPr>
          <w:p w14:paraId="1EFCEDB2" w14:textId="77777777" w:rsidR="004B0C1C" w:rsidRDefault="004B0C1C" w:rsidP="005C159A">
            <w:pPr>
              <w:jc w:val="center"/>
              <w:rPr>
                <w:sz w:val="20"/>
                <w:szCs w:val="20"/>
                <w:lang w:val="en-US"/>
              </w:rPr>
            </w:pPr>
            <w:r w:rsidRPr="00DE6833">
              <w:rPr>
                <w:rFonts w:eastAsia="Times New Roman"/>
                <w:sz w:val="18"/>
                <w:szCs w:val="18"/>
                <w:lang w:val="en-US" w:bidi="th-TH"/>
              </w:rPr>
              <w:t>Fat</w:t>
            </w:r>
          </w:p>
        </w:tc>
        <w:tc>
          <w:tcPr>
            <w:tcW w:w="1196" w:type="dxa"/>
            <w:tcBorders>
              <w:top w:val="single" w:sz="4" w:space="0" w:color="auto"/>
              <w:bottom w:val="single" w:sz="4" w:space="0" w:color="auto"/>
            </w:tcBorders>
            <w:vAlign w:val="center"/>
          </w:tcPr>
          <w:p w14:paraId="683777B7" w14:textId="77777777" w:rsidR="004B0C1C" w:rsidRDefault="004B0C1C" w:rsidP="005C159A">
            <w:pPr>
              <w:jc w:val="center"/>
              <w:rPr>
                <w:sz w:val="20"/>
                <w:szCs w:val="20"/>
                <w:lang w:val="en-US"/>
              </w:rPr>
            </w:pPr>
            <w:r w:rsidRPr="00DE6833">
              <w:rPr>
                <w:rFonts w:eastAsia="Times New Roman"/>
                <w:sz w:val="18"/>
                <w:szCs w:val="18"/>
                <w:lang w:val="en-US" w:bidi="th-TH"/>
              </w:rPr>
              <w:t>Carbohydrate</w:t>
            </w:r>
          </w:p>
        </w:tc>
        <w:tc>
          <w:tcPr>
            <w:tcW w:w="1185" w:type="dxa"/>
            <w:vMerge/>
            <w:tcBorders>
              <w:bottom w:val="single" w:sz="4" w:space="0" w:color="auto"/>
            </w:tcBorders>
          </w:tcPr>
          <w:p w14:paraId="32F8A536" w14:textId="77777777" w:rsidR="004B0C1C" w:rsidRPr="004B0C1C" w:rsidRDefault="004B0C1C" w:rsidP="005C159A">
            <w:pPr>
              <w:jc w:val="center"/>
              <w:rPr>
                <w:rFonts w:eastAsia="Times New Roman"/>
                <w:sz w:val="18"/>
                <w:szCs w:val="18"/>
                <w:lang w:val="en-US" w:bidi="th-TH"/>
              </w:rPr>
            </w:pPr>
          </w:p>
        </w:tc>
      </w:tr>
      <w:tr w:rsidR="004B0C1C" w14:paraId="671A7527" w14:textId="77777777" w:rsidTr="00213264">
        <w:trPr>
          <w:jc w:val="right"/>
        </w:trPr>
        <w:tc>
          <w:tcPr>
            <w:tcW w:w="1069" w:type="dxa"/>
            <w:tcBorders>
              <w:top w:val="single" w:sz="4" w:space="0" w:color="auto"/>
            </w:tcBorders>
          </w:tcPr>
          <w:p w14:paraId="3E59C1E2" w14:textId="77777777" w:rsidR="004B0C1C" w:rsidRDefault="004B0C1C" w:rsidP="005C159A">
            <w:pPr>
              <w:jc w:val="center"/>
              <w:rPr>
                <w:sz w:val="20"/>
                <w:szCs w:val="20"/>
                <w:lang w:val="en-US"/>
              </w:rPr>
            </w:pPr>
            <w:r w:rsidRPr="00DE6833">
              <w:rPr>
                <w:rFonts w:eastAsia="Times New Roman"/>
                <w:sz w:val="18"/>
                <w:szCs w:val="18"/>
                <w:lang w:val="en-US" w:bidi="th-TH"/>
              </w:rPr>
              <w:t>SP</w:t>
            </w:r>
          </w:p>
        </w:tc>
        <w:tc>
          <w:tcPr>
            <w:tcW w:w="1123" w:type="dxa"/>
            <w:tcBorders>
              <w:top w:val="single" w:sz="4" w:space="0" w:color="auto"/>
            </w:tcBorders>
          </w:tcPr>
          <w:p w14:paraId="146FE354" w14:textId="77777777" w:rsidR="004B0C1C" w:rsidRDefault="004B0C1C" w:rsidP="005C159A">
            <w:pPr>
              <w:jc w:val="center"/>
              <w:rPr>
                <w:sz w:val="20"/>
                <w:szCs w:val="20"/>
                <w:lang w:val="en-US"/>
              </w:rPr>
            </w:pPr>
            <w:r w:rsidRPr="00DE6833">
              <w:rPr>
                <w:rFonts w:eastAsia="Times New Roman"/>
                <w:sz w:val="18"/>
                <w:szCs w:val="18"/>
                <w:lang w:val="en-US" w:bidi="th-TH"/>
              </w:rPr>
              <w:t>9.43±1.06</w:t>
            </w:r>
            <w:r w:rsidRPr="00DE6833">
              <w:rPr>
                <w:rFonts w:eastAsia="Times New Roman"/>
                <w:sz w:val="18"/>
                <w:szCs w:val="18"/>
                <w:vertAlign w:val="superscript"/>
                <w:lang w:val="en-US" w:bidi="th-TH"/>
              </w:rPr>
              <w:t>c</w:t>
            </w:r>
          </w:p>
        </w:tc>
        <w:tc>
          <w:tcPr>
            <w:tcW w:w="1126" w:type="dxa"/>
            <w:tcBorders>
              <w:top w:val="single" w:sz="4" w:space="0" w:color="auto"/>
            </w:tcBorders>
          </w:tcPr>
          <w:p w14:paraId="2370DA65" w14:textId="77777777" w:rsidR="004B0C1C" w:rsidRDefault="004B0C1C" w:rsidP="005C159A">
            <w:pPr>
              <w:jc w:val="center"/>
              <w:rPr>
                <w:sz w:val="20"/>
                <w:szCs w:val="20"/>
                <w:lang w:val="en-US"/>
              </w:rPr>
            </w:pPr>
            <w:r w:rsidRPr="00DE6833">
              <w:rPr>
                <w:rFonts w:eastAsia="Times New Roman"/>
                <w:sz w:val="18"/>
                <w:szCs w:val="18"/>
                <w:lang w:val="en-US" w:bidi="th-TH"/>
              </w:rPr>
              <w:t>1.92±0.36</w:t>
            </w:r>
            <w:r w:rsidRPr="00DE6833">
              <w:rPr>
                <w:rFonts w:eastAsia="Times New Roman"/>
                <w:sz w:val="18"/>
                <w:szCs w:val="18"/>
                <w:vertAlign w:val="superscript"/>
                <w:lang w:val="en-US" w:bidi="th-TH"/>
              </w:rPr>
              <w:t>a</w:t>
            </w:r>
          </w:p>
        </w:tc>
        <w:tc>
          <w:tcPr>
            <w:tcW w:w="1110" w:type="dxa"/>
            <w:tcBorders>
              <w:top w:val="single" w:sz="4" w:space="0" w:color="auto"/>
            </w:tcBorders>
          </w:tcPr>
          <w:p w14:paraId="3B77161B" w14:textId="77777777" w:rsidR="004B0C1C" w:rsidRDefault="004B0C1C" w:rsidP="005C159A">
            <w:pPr>
              <w:jc w:val="center"/>
              <w:rPr>
                <w:sz w:val="20"/>
                <w:szCs w:val="20"/>
                <w:lang w:val="en-US"/>
              </w:rPr>
            </w:pPr>
            <w:r w:rsidRPr="00DE6833">
              <w:rPr>
                <w:rFonts w:eastAsia="Times New Roman"/>
                <w:sz w:val="18"/>
                <w:szCs w:val="18"/>
                <w:lang w:val="en-US" w:bidi="th-TH"/>
              </w:rPr>
              <w:t>0.25±0.13</w:t>
            </w:r>
            <w:r w:rsidRPr="00DE6833">
              <w:rPr>
                <w:rFonts w:eastAsia="Times New Roman"/>
                <w:sz w:val="18"/>
                <w:szCs w:val="18"/>
                <w:vertAlign w:val="superscript"/>
                <w:lang w:val="en-US" w:bidi="th-TH"/>
              </w:rPr>
              <w:t>a</w:t>
            </w:r>
          </w:p>
        </w:tc>
        <w:tc>
          <w:tcPr>
            <w:tcW w:w="1126" w:type="dxa"/>
            <w:tcBorders>
              <w:top w:val="single" w:sz="4" w:space="0" w:color="auto"/>
            </w:tcBorders>
          </w:tcPr>
          <w:p w14:paraId="6297D33D" w14:textId="77777777" w:rsidR="004B0C1C" w:rsidRDefault="004B0C1C" w:rsidP="005C159A">
            <w:pPr>
              <w:jc w:val="center"/>
              <w:rPr>
                <w:sz w:val="20"/>
                <w:szCs w:val="20"/>
                <w:lang w:val="en-US"/>
              </w:rPr>
            </w:pPr>
            <w:r w:rsidRPr="00DE6833">
              <w:rPr>
                <w:rFonts w:eastAsia="Times New Roman"/>
                <w:sz w:val="18"/>
                <w:szCs w:val="18"/>
                <w:lang w:val="en-US" w:bidi="th-TH"/>
              </w:rPr>
              <w:t>10.63±0.4</w:t>
            </w:r>
            <w:r w:rsidRPr="00DE6833">
              <w:rPr>
                <w:rFonts w:eastAsia="Times New Roman"/>
                <w:sz w:val="18"/>
                <w:szCs w:val="18"/>
                <w:vertAlign w:val="superscript"/>
                <w:lang w:val="en-US" w:bidi="th-TH"/>
              </w:rPr>
              <w:t>a</w:t>
            </w:r>
          </w:p>
        </w:tc>
        <w:tc>
          <w:tcPr>
            <w:tcW w:w="1126" w:type="dxa"/>
            <w:tcBorders>
              <w:top w:val="single" w:sz="4" w:space="0" w:color="auto"/>
            </w:tcBorders>
          </w:tcPr>
          <w:p w14:paraId="758FA54C" w14:textId="77777777" w:rsidR="004B0C1C" w:rsidRDefault="004B0C1C" w:rsidP="005C159A">
            <w:pPr>
              <w:jc w:val="center"/>
              <w:rPr>
                <w:sz w:val="20"/>
                <w:szCs w:val="20"/>
                <w:lang w:val="en-US"/>
              </w:rPr>
            </w:pPr>
            <w:r w:rsidRPr="00DE6833">
              <w:rPr>
                <w:rFonts w:eastAsia="Times New Roman"/>
                <w:sz w:val="18"/>
                <w:szCs w:val="18"/>
                <w:lang w:val="en-US" w:bidi="th-TH"/>
              </w:rPr>
              <w:t>2.04±0.12</w:t>
            </w:r>
            <w:r w:rsidRPr="00DE6833">
              <w:rPr>
                <w:rFonts w:eastAsia="Times New Roman"/>
                <w:sz w:val="18"/>
                <w:szCs w:val="18"/>
                <w:vertAlign w:val="superscript"/>
                <w:lang w:val="en-US" w:bidi="th-TH"/>
              </w:rPr>
              <w:t>a</w:t>
            </w:r>
          </w:p>
        </w:tc>
        <w:tc>
          <w:tcPr>
            <w:tcW w:w="1196" w:type="dxa"/>
            <w:tcBorders>
              <w:top w:val="single" w:sz="4" w:space="0" w:color="auto"/>
            </w:tcBorders>
          </w:tcPr>
          <w:p w14:paraId="22C54228" w14:textId="77777777" w:rsidR="004B0C1C" w:rsidRDefault="004B0C1C" w:rsidP="005C159A">
            <w:pPr>
              <w:jc w:val="center"/>
              <w:rPr>
                <w:sz w:val="20"/>
                <w:szCs w:val="20"/>
                <w:lang w:val="en-US"/>
              </w:rPr>
            </w:pPr>
            <w:r w:rsidRPr="00DE6833">
              <w:rPr>
                <w:rFonts w:eastAsia="Times New Roman"/>
                <w:sz w:val="18"/>
                <w:szCs w:val="18"/>
                <w:lang w:val="en-US" w:bidi="th-TH"/>
              </w:rPr>
              <w:t>74.37±1.06</w:t>
            </w:r>
            <w:r w:rsidRPr="00DE6833">
              <w:rPr>
                <w:rFonts w:eastAsia="Times New Roman"/>
                <w:sz w:val="18"/>
                <w:szCs w:val="18"/>
                <w:vertAlign w:val="superscript"/>
                <w:lang w:val="en-US" w:bidi="th-TH"/>
              </w:rPr>
              <w:t>c</w:t>
            </w:r>
          </w:p>
        </w:tc>
        <w:tc>
          <w:tcPr>
            <w:tcW w:w="1185" w:type="dxa"/>
            <w:tcBorders>
              <w:top w:val="single" w:sz="4" w:space="0" w:color="auto"/>
            </w:tcBorders>
          </w:tcPr>
          <w:p w14:paraId="0487C197" w14:textId="77777777" w:rsidR="004B0C1C" w:rsidRDefault="004B0C1C" w:rsidP="005C159A">
            <w:pPr>
              <w:jc w:val="center"/>
              <w:rPr>
                <w:sz w:val="20"/>
                <w:szCs w:val="20"/>
                <w:lang w:val="en-US"/>
              </w:rPr>
            </w:pPr>
            <w:r w:rsidRPr="00DE6833">
              <w:rPr>
                <w:rFonts w:eastAsia="Times New Roman"/>
                <w:sz w:val="18"/>
                <w:szCs w:val="18"/>
                <w:lang w:val="en-US" w:bidi="th-TH"/>
              </w:rPr>
              <w:t>1497.8±20.3</w:t>
            </w:r>
            <w:r w:rsidRPr="00DE6833">
              <w:rPr>
                <w:rFonts w:eastAsia="Times New Roman"/>
                <w:sz w:val="18"/>
                <w:szCs w:val="18"/>
                <w:vertAlign w:val="superscript"/>
                <w:lang w:val="en-US" w:bidi="th-TH"/>
              </w:rPr>
              <w:t>a</w:t>
            </w:r>
          </w:p>
        </w:tc>
      </w:tr>
      <w:tr w:rsidR="004B0C1C" w14:paraId="71E92254" w14:textId="77777777" w:rsidTr="005C159A">
        <w:trPr>
          <w:jc w:val="right"/>
        </w:trPr>
        <w:tc>
          <w:tcPr>
            <w:tcW w:w="1069" w:type="dxa"/>
          </w:tcPr>
          <w:p w14:paraId="7D0D34F4" w14:textId="77777777" w:rsidR="004B0C1C" w:rsidRDefault="004B0C1C" w:rsidP="005C159A">
            <w:pPr>
              <w:jc w:val="center"/>
              <w:rPr>
                <w:sz w:val="20"/>
                <w:szCs w:val="20"/>
                <w:lang w:val="en-US"/>
              </w:rPr>
            </w:pPr>
            <w:r w:rsidRPr="00DE6833">
              <w:rPr>
                <w:rFonts w:eastAsia="Times New Roman"/>
                <w:sz w:val="18"/>
                <w:szCs w:val="18"/>
                <w:lang w:val="en-US" w:bidi="th-TH"/>
              </w:rPr>
              <w:t>FSP</w:t>
            </w:r>
          </w:p>
        </w:tc>
        <w:tc>
          <w:tcPr>
            <w:tcW w:w="1123" w:type="dxa"/>
          </w:tcPr>
          <w:p w14:paraId="7EB56208" w14:textId="77777777" w:rsidR="004B0C1C" w:rsidRDefault="004B0C1C" w:rsidP="005C159A">
            <w:pPr>
              <w:jc w:val="center"/>
              <w:rPr>
                <w:sz w:val="20"/>
                <w:szCs w:val="20"/>
                <w:lang w:val="en-US"/>
              </w:rPr>
            </w:pPr>
            <w:r w:rsidRPr="00DE6833">
              <w:rPr>
                <w:rFonts w:eastAsia="Times New Roman"/>
                <w:sz w:val="18"/>
                <w:szCs w:val="18"/>
                <w:lang w:val="en-US" w:bidi="th-TH"/>
              </w:rPr>
              <w:t>6.84±1.52</w:t>
            </w:r>
            <w:r w:rsidRPr="00DE6833">
              <w:rPr>
                <w:rFonts w:eastAsia="Times New Roman"/>
                <w:sz w:val="18"/>
                <w:szCs w:val="18"/>
                <w:vertAlign w:val="superscript"/>
                <w:lang w:val="en-US" w:bidi="th-TH"/>
              </w:rPr>
              <w:t>b</w:t>
            </w:r>
          </w:p>
        </w:tc>
        <w:tc>
          <w:tcPr>
            <w:tcW w:w="1126" w:type="dxa"/>
          </w:tcPr>
          <w:p w14:paraId="0F7ED49B" w14:textId="77777777" w:rsidR="004B0C1C" w:rsidRDefault="004B0C1C" w:rsidP="005C159A">
            <w:pPr>
              <w:jc w:val="center"/>
              <w:rPr>
                <w:sz w:val="20"/>
                <w:szCs w:val="20"/>
                <w:lang w:val="en-US"/>
              </w:rPr>
            </w:pPr>
            <w:r w:rsidRPr="00DE6833">
              <w:rPr>
                <w:rFonts w:eastAsia="Times New Roman"/>
                <w:sz w:val="18"/>
                <w:szCs w:val="18"/>
                <w:lang w:val="en-US" w:bidi="th-TH"/>
              </w:rPr>
              <w:t>1.91±0.12</w:t>
            </w:r>
            <w:r w:rsidRPr="00DE6833">
              <w:rPr>
                <w:rFonts w:eastAsia="Times New Roman"/>
                <w:sz w:val="18"/>
                <w:szCs w:val="18"/>
                <w:vertAlign w:val="superscript"/>
                <w:lang w:val="en-US" w:bidi="th-TH"/>
              </w:rPr>
              <w:t>a</w:t>
            </w:r>
          </w:p>
        </w:tc>
        <w:tc>
          <w:tcPr>
            <w:tcW w:w="1110" w:type="dxa"/>
          </w:tcPr>
          <w:p w14:paraId="0FAEEFFD" w14:textId="77777777" w:rsidR="004B0C1C" w:rsidRDefault="004B0C1C" w:rsidP="005C159A">
            <w:pPr>
              <w:jc w:val="center"/>
              <w:rPr>
                <w:sz w:val="20"/>
                <w:szCs w:val="20"/>
                <w:lang w:val="en-US"/>
              </w:rPr>
            </w:pPr>
            <w:r w:rsidRPr="00DE6833">
              <w:rPr>
                <w:rFonts w:eastAsia="Times New Roman"/>
                <w:sz w:val="18"/>
                <w:szCs w:val="18"/>
                <w:lang w:val="en-US" w:bidi="th-TH"/>
              </w:rPr>
              <w:t>0.83±0.99</w:t>
            </w:r>
            <w:r w:rsidRPr="00DE6833">
              <w:rPr>
                <w:rFonts w:eastAsia="Times New Roman"/>
                <w:sz w:val="18"/>
                <w:szCs w:val="18"/>
                <w:vertAlign w:val="superscript"/>
                <w:lang w:val="en-US" w:bidi="th-TH"/>
              </w:rPr>
              <w:t>a</w:t>
            </w:r>
          </w:p>
        </w:tc>
        <w:tc>
          <w:tcPr>
            <w:tcW w:w="1126" w:type="dxa"/>
          </w:tcPr>
          <w:p w14:paraId="453980CC" w14:textId="77777777" w:rsidR="004B0C1C" w:rsidRDefault="004B0C1C" w:rsidP="005C159A">
            <w:pPr>
              <w:jc w:val="center"/>
              <w:rPr>
                <w:sz w:val="20"/>
                <w:szCs w:val="20"/>
                <w:lang w:val="en-US"/>
              </w:rPr>
            </w:pPr>
            <w:r w:rsidRPr="00DE6833">
              <w:rPr>
                <w:rFonts w:eastAsia="Times New Roman"/>
                <w:sz w:val="18"/>
                <w:szCs w:val="18"/>
                <w:lang w:val="en-US" w:bidi="th-TH"/>
              </w:rPr>
              <w:t>9.84±2.2</w:t>
            </w:r>
            <w:r w:rsidRPr="00DE6833">
              <w:rPr>
                <w:rFonts w:eastAsia="Times New Roman"/>
                <w:sz w:val="18"/>
                <w:szCs w:val="18"/>
                <w:vertAlign w:val="superscript"/>
                <w:lang w:val="en-US" w:bidi="th-TH"/>
              </w:rPr>
              <w:t>a</w:t>
            </w:r>
          </w:p>
        </w:tc>
        <w:tc>
          <w:tcPr>
            <w:tcW w:w="1126" w:type="dxa"/>
          </w:tcPr>
          <w:p w14:paraId="4A0EDB50" w14:textId="77777777" w:rsidR="004B0C1C" w:rsidRDefault="004B0C1C" w:rsidP="005C159A">
            <w:pPr>
              <w:jc w:val="center"/>
              <w:rPr>
                <w:sz w:val="20"/>
                <w:szCs w:val="20"/>
                <w:lang w:val="en-US"/>
              </w:rPr>
            </w:pPr>
            <w:r w:rsidRPr="00DE6833">
              <w:rPr>
                <w:rFonts w:eastAsia="Times New Roman"/>
                <w:sz w:val="18"/>
                <w:szCs w:val="18"/>
                <w:lang w:val="en-US" w:bidi="th-TH"/>
              </w:rPr>
              <w:t>2.81±0.85</w:t>
            </w:r>
            <w:r w:rsidRPr="00DE6833">
              <w:rPr>
                <w:rFonts w:eastAsia="Times New Roman"/>
                <w:sz w:val="18"/>
                <w:szCs w:val="18"/>
                <w:vertAlign w:val="superscript"/>
                <w:lang w:val="en-US" w:bidi="th-TH"/>
              </w:rPr>
              <w:t>a</w:t>
            </w:r>
          </w:p>
        </w:tc>
        <w:tc>
          <w:tcPr>
            <w:tcW w:w="1196" w:type="dxa"/>
          </w:tcPr>
          <w:p w14:paraId="370077A9" w14:textId="77777777" w:rsidR="004B0C1C" w:rsidRDefault="004B0C1C" w:rsidP="005C159A">
            <w:pPr>
              <w:jc w:val="center"/>
              <w:rPr>
                <w:sz w:val="20"/>
                <w:szCs w:val="20"/>
                <w:lang w:val="en-US"/>
              </w:rPr>
            </w:pPr>
            <w:r w:rsidRPr="00DE6833">
              <w:rPr>
                <w:rFonts w:eastAsia="Times New Roman"/>
                <w:sz w:val="18"/>
                <w:szCs w:val="18"/>
                <w:lang w:val="en-US" w:bidi="th-TH"/>
              </w:rPr>
              <w:t>76.40±2.15</w:t>
            </w:r>
            <w:r w:rsidRPr="00DE6833">
              <w:rPr>
                <w:rFonts w:eastAsia="Times New Roman"/>
                <w:sz w:val="18"/>
                <w:szCs w:val="18"/>
                <w:vertAlign w:val="superscript"/>
                <w:lang w:val="en-US" w:bidi="th-TH"/>
              </w:rPr>
              <w:t>c</w:t>
            </w:r>
          </w:p>
        </w:tc>
        <w:tc>
          <w:tcPr>
            <w:tcW w:w="1185" w:type="dxa"/>
          </w:tcPr>
          <w:p w14:paraId="27FB61F1" w14:textId="77777777" w:rsidR="004B0C1C" w:rsidRDefault="004B0C1C" w:rsidP="005C159A">
            <w:pPr>
              <w:jc w:val="center"/>
              <w:rPr>
                <w:sz w:val="20"/>
                <w:szCs w:val="20"/>
                <w:lang w:val="en-US"/>
              </w:rPr>
            </w:pPr>
            <w:r w:rsidRPr="00DE6833">
              <w:rPr>
                <w:rFonts w:eastAsia="Times New Roman"/>
                <w:sz w:val="18"/>
                <w:szCs w:val="18"/>
                <w:lang w:val="en-US" w:bidi="th-TH"/>
              </w:rPr>
              <w:t>1547.6±40.7</w:t>
            </w:r>
            <w:r w:rsidRPr="00DE6833">
              <w:rPr>
                <w:rFonts w:eastAsia="Times New Roman"/>
                <w:sz w:val="18"/>
                <w:szCs w:val="18"/>
                <w:vertAlign w:val="superscript"/>
                <w:lang w:val="en-US" w:bidi="th-TH"/>
              </w:rPr>
              <w:t>b</w:t>
            </w:r>
          </w:p>
        </w:tc>
      </w:tr>
      <w:tr w:rsidR="004B0C1C" w14:paraId="0ACEE1BF" w14:textId="77777777" w:rsidTr="005C159A">
        <w:trPr>
          <w:jc w:val="right"/>
        </w:trPr>
        <w:tc>
          <w:tcPr>
            <w:tcW w:w="1069" w:type="dxa"/>
          </w:tcPr>
          <w:p w14:paraId="17D6F12C" w14:textId="69CD7675" w:rsidR="004B0C1C" w:rsidRDefault="004B0C1C" w:rsidP="005C159A">
            <w:pPr>
              <w:jc w:val="center"/>
              <w:rPr>
                <w:sz w:val="20"/>
                <w:szCs w:val="20"/>
                <w:lang w:val="en-US"/>
              </w:rPr>
            </w:pPr>
            <w:r w:rsidRPr="00DE6833">
              <w:rPr>
                <w:rFonts w:eastAsia="Times New Roman"/>
                <w:sz w:val="18"/>
                <w:szCs w:val="18"/>
                <w:lang w:val="en-US" w:bidi="th-TH"/>
              </w:rPr>
              <w:t>CnG</w:t>
            </w:r>
            <w:r w:rsidR="002B12E1">
              <w:rPr>
                <w:rFonts w:eastAsia="Times New Roman"/>
                <w:sz w:val="18"/>
                <w:szCs w:val="18"/>
                <w:lang w:val="en-US" w:bidi="th-TH"/>
              </w:rPr>
              <w:t>P</w:t>
            </w:r>
          </w:p>
        </w:tc>
        <w:tc>
          <w:tcPr>
            <w:tcW w:w="1123" w:type="dxa"/>
          </w:tcPr>
          <w:p w14:paraId="2BEED3D1" w14:textId="77777777" w:rsidR="004B0C1C" w:rsidRDefault="004B0C1C" w:rsidP="005C159A">
            <w:pPr>
              <w:jc w:val="center"/>
              <w:rPr>
                <w:sz w:val="20"/>
                <w:szCs w:val="20"/>
                <w:lang w:val="en-US"/>
              </w:rPr>
            </w:pPr>
            <w:r w:rsidRPr="00DE6833">
              <w:rPr>
                <w:rFonts w:eastAsia="Times New Roman"/>
                <w:sz w:val="18"/>
                <w:szCs w:val="18"/>
                <w:lang w:val="en-US" w:bidi="th-TH"/>
              </w:rPr>
              <w:t>4.18±1.40</w:t>
            </w:r>
            <w:r w:rsidRPr="00DE6833">
              <w:rPr>
                <w:rFonts w:eastAsia="Times New Roman"/>
                <w:sz w:val="18"/>
                <w:szCs w:val="18"/>
                <w:vertAlign w:val="superscript"/>
                <w:lang w:val="en-US" w:bidi="th-TH"/>
              </w:rPr>
              <w:t>a</w:t>
            </w:r>
          </w:p>
        </w:tc>
        <w:tc>
          <w:tcPr>
            <w:tcW w:w="1126" w:type="dxa"/>
          </w:tcPr>
          <w:p w14:paraId="0440C090" w14:textId="77777777" w:rsidR="004B0C1C" w:rsidRDefault="004B0C1C" w:rsidP="005C159A">
            <w:pPr>
              <w:jc w:val="center"/>
              <w:rPr>
                <w:sz w:val="20"/>
                <w:szCs w:val="20"/>
                <w:lang w:val="en-US"/>
              </w:rPr>
            </w:pPr>
            <w:r w:rsidRPr="00DE6833">
              <w:rPr>
                <w:rFonts w:eastAsia="Times New Roman"/>
                <w:sz w:val="18"/>
                <w:szCs w:val="18"/>
                <w:lang w:val="en-US" w:bidi="th-TH"/>
              </w:rPr>
              <w:t>1.78±0.19</w:t>
            </w:r>
            <w:r w:rsidRPr="00DE6833">
              <w:rPr>
                <w:rFonts w:eastAsia="Times New Roman"/>
                <w:sz w:val="18"/>
                <w:szCs w:val="18"/>
                <w:vertAlign w:val="superscript"/>
                <w:lang w:val="en-US" w:bidi="th-TH"/>
              </w:rPr>
              <w:t>a</w:t>
            </w:r>
          </w:p>
        </w:tc>
        <w:tc>
          <w:tcPr>
            <w:tcW w:w="1110" w:type="dxa"/>
          </w:tcPr>
          <w:p w14:paraId="4327FA4D" w14:textId="77777777" w:rsidR="004B0C1C" w:rsidRDefault="004B0C1C" w:rsidP="005C159A">
            <w:pPr>
              <w:jc w:val="center"/>
              <w:rPr>
                <w:sz w:val="20"/>
                <w:szCs w:val="20"/>
                <w:lang w:val="en-US"/>
              </w:rPr>
            </w:pPr>
            <w:r w:rsidRPr="00DE6833">
              <w:rPr>
                <w:rFonts w:eastAsia="Times New Roman"/>
                <w:sz w:val="18"/>
                <w:szCs w:val="18"/>
                <w:lang w:val="en-US" w:bidi="th-TH"/>
              </w:rPr>
              <w:t>1.08±0.19</w:t>
            </w:r>
            <w:r w:rsidRPr="00DE6833">
              <w:rPr>
                <w:rFonts w:eastAsia="Times New Roman"/>
                <w:sz w:val="18"/>
                <w:szCs w:val="18"/>
                <w:vertAlign w:val="superscript"/>
                <w:lang w:val="en-US" w:bidi="th-TH"/>
              </w:rPr>
              <w:t>a</w:t>
            </w:r>
          </w:p>
        </w:tc>
        <w:tc>
          <w:tcPr>
            <w:tcW w:w="1126" w:type="dxa"/>
          </w:tcPr>
          <w:p w14:paraId="6FBA3955" w14:textId="77777777" w:rsidR="004B0C1C" w:rsidRDefault="004B0C1C" w:rsidP="005C159A">
            <w:pPr>
              <w:jc w:val="center"/>
              <w:rPr>
                <w:sz w:val="20"/>
                <w:szCs w:val="20"/>
                <w:lang w:val="en-US"/>
              </w:rPr>
            </w:pPr>
            <w:r w:rsidRPr="00DE6833">
              <w:rPr>
                <w:rFonts w:eastAsia="Times New Roman"/>
                <w:sz w:val="18"/>
                <w:szCs w:val="18"/>
                <w:lang w:val="en-US" w:bidi="th-TH"/>
              </w:rPr>
              <w:t>17.94±0.96</w:t>
            </w:r>
            <w:r w:rsidRPr="00DE6833">
              <w:rPr>
                <w:rFonts w:eastAsia="Times New Roman"/>
                <w:sz w:val="18"/>
                <w:szCs w:val="18"/>
                <w:vertAlign w:val="superscript"/>
                <w:lang w:val="en-US" w:bidi="th-TH"/>
              </w:rPr>
              <w:t>b</w:t>
            </w:r>
          </w:p>
        </w:tc>
        <w:tc>
          <w:tcPr>
            <w:tcW w:w="1126" w:type="dxa"/>
          </w:tcPr>
          <w:p w14:paraId="56365828" w14:textId="77777777" w:rsidR="004B0C1C" w:rsidRDefault="004B0C1C" w:rsidP="005C159A">
            <w:pPr>
              <w:jc w:val="center"/>
              <w:rPr>
                <w:sz w:val="20"/>
                <w:szCs w:val="20"/>
                <w:lang w:val="en-US"/>
              </w:rPr>
            </w:pPr>
            <w:r w:rsidRPr="00DE6833">
              <w:rPr>
                <w:rFonts w:eastAsia="Times New Roman"/>
                <w:sz w:val="18"/>
                <w:szCs w:val="18"/>
                <w:lang w:val="en-US" w:bidi="th-TH"/>
              </w:rPr>
              <w:t>14.86±1.01</w:t>
            </w:r>
            <w:r w:rsidRPr="00DE6833">
              <w:rPr>
                <w:rFonts w:eastAsia="Times New Roman"/>
                <w:sz w:val="18"/>
                <w:szCs w:val="18"/>
                <w:vertAlign w:val="superscript"/>
                <w:lang w:val="en-US" w:bidi="th-TH"/>
              </w:rPr>
              <w:t>c</w:t>
            </w:r>
          </w:p>
        </w:tc>
        <w:tc>
          <w:tcPr>
            <w:tcW w:w="1196" w:type="dxa"/>
          </w:tcPr>
          <w:p w14:paraId="7DE0CE1E" w14:textId="77777777" w:rsidR="004B0C1C" w:rsidRDefault="004B0C1C" w:rsidP="005C159A">
            <w:pPr>
              <w:jc w:val="center"/>
              <w:rPr>
                <w:sz w:val="20"/>
                <w:szCs w:val="20"/>
                <w:lang w:val="en-US"/>
              </w:rPr>
            </w:pPr>
            <w:r w:rsidRPr="00DE6833">
              <w:rPr>
                <w:rFonts w:eastAsia="Times New Roman"/>
                <w:sz w:val="18"/>
                <w:szCs w:val="18"/>
                <w:lang w:val="en-US" w:bidi="th-TH"/>
              </w:rPr>
              <w:t>58.66±1.35</w:t>
            </w:r>
            <w:r w:rsidRPr="00DE6833">
              <w:rPr>
                <w:rFonts w:eastAsia="Times New Roman"/>
                <w:sz w:val="18"/>
                <w:szCs w:val="18"/>
                <w:vertAlign w:val="superscript"/>
                <w:lang w:val="en-US" w:bidi="th-TH"/>
              </w:rPr>
              <w:t>a</w:t>
            </w:r>
          </w:p>
        </w:tc>
        <w:tc>
          <w:tcPr>
            <w:tcW w:w="1185" w:type="dxa"/>
          </w:tcPr>
          <w:p w14:paraId="34506210" w14:textId="77777777" w:rsidR="004B0C1C" w:rsidRDefault="004B0C1C" w:rsidP="005C159A">
            <w:pPr>
              <w:jc w:val="center"/>
              <w:rPr>
                <w:sz w:val="20"/>
                <w:szCs w:val="20"/>
                <w:lang w:val="en-US"/>
              </w:rPr>
            </w:pPr>
            <w:r w:rsidRPr="00DE6833">
              <w:rPr>
                <w:rFonts w:eastAsia="Times New Roman"/>
                <w:sz w:val="18"/>
                <w:szCs w:val="18"/>
                <w:lang w:val="en-US" w:bidi="th-TH"/>
              </w:rPr>
              <w:t>1839.6±44.4</w:t>
            </w:r>
            <w:r w:rsidRPr="00DE6833">
              <w:rPr>
                <w:rFonts w:eastAsia="Times New Roman"/>
                <w:sz w:val="18"/>
                <w:szCs w:val="18"/>
                <w:vertAlign w:val="superscript"/>
                <w:lang w:val="en-US" w:bidi="th-TH"/>
              </w:rPr>
              <w:t>d</w:t>
            </w:r>
          </w:p>
        </w:tc>
      </w:tr>
      <w:tr w:rsidR="004B0C1C" w14:paraId="2D810691" w14:textId="77777777" w:rsidTr="005C159A">
        <w:trPr>
          <w:jc w:val="right"/>
        </w:trPr>
        <w:tc>
          <w:tcPr>
            <w:tcW w:w="1069" w:type="dxa"/>
          </w:tcPr>
          <w:p w14:paraId="3DB71F60" w14:textId="77777777" w:rsidR="004B0C1C" w:rsidRDefault="004B0C1C" w:rsidP="005C159A">
            <w:pPr>
              <w:jc w:val="center"/>
              <w:rPr>
                <w:sz w:val="20"/>
                <w:szCs w:val="20"/>
                <w:lang w:val="en-US"/>
              </w:rPr>
            </w:pPr>
            <w:r w:rsidRPr="00DE6833">
              <w:rPr>
                <w:rFonts w:eastAsia="Times New Roman"/>
                <w:sz w:val="18"/>
                <w:szCs w:val="18"/>
                <w:lang w:val="en-US" w:bidi="th-TH"/>
              </w:rPr>
              <w:t>CGP</w:t>
            </w:r>
          </w:p>
        </w:tc>
        <w:tc>
          <w:tcPr>
            <w:tcW w:w="1123" w:type="dxa"/>
          </w:tcPr>
          <w:p w14:paraId="353B6830" w14:textId="77777777" w:rsidR="004B0C1C" w:rsidRDefault="004B0C1C" w:rsidP="005C159A">
            <w:pPr>
              <w:jc w:val="center"/>
              <w:rPr>
                <w:sz w:val="20"/>
                <w:szCs w:val="20"/>
                <w:lang w:val="en-US"/>
              </w:rPr>
            </w:pPr>
            <w:r w:rsidRPr="00DE6833">
              <w:rPr>
                <w:rFonts w:eastAsia="Times New Roman"/>
                <w:sz w:val="18"/>
                <w:szCs w:val="18"/>
                <w:lang w:val="en-US" w:bidi="th-TH"/>
              </w:rPr>
              <w:t>3.69±0.19</w:t>
            </w:r>
            <w:r w:rsidRPr="00DE6833">
              <w:rPr>
                <w:rFonts w:eastAsia="Times New Roman"/>
                <w:sz w:val="18"/>
                <w:szCs w:val="18"/>
                <w:vertAlign w:val="superscript"/>
                <w:lang w:val="en-US" w:bidi="th-TH"/>
              </w:rPr>
              <w:t>a</w:t>
            </w:r>
          </w:p>
        </w:tc>
        <w:tc>
          <w:tcPr>
            <w:tcW w:w="1126" w:type="dxa"/>
          </w:tcPr>
          <w:p w14:paraId="4318C9C3" w14:textId="77777777" w:rsidR="004B0C1C" w:rsidRDefault="004B0C1C" w:rsidP="005C159A">
            <w:pPr>
              <w:jc w:val="center"/>
              <w:rPr>
                <w:sz w:val="20"/>
                <w:szCs w:val="20"/>
                <w:lang w:val="en-US"/>
              </w:rPr>
            </w:pPr>
            <w:r w:rsidRPr="00DE6833">
              <w:rPr>
                <w:rFonts w:eastAsia="Times New Roman"/>
                <w:sz w:val="18"/>
                <w:szCs w:val="18"/>
                <w:lang w:val="en-US" w:bidi="th-TH"/>
              </w:rPr>
              <w:t>2.08±0.75</w:t>
            </w:r>
            <w:r w:rsidRPr="00DE6833">
              <w:rPr>
                <w:rFonts w:eastAsia="Times New Roman"/>
                <w:sz w:val="18"/>
                <w:szCs w:val="18"/>
                <w:vertAlign w:val="superscript"/>
                <w:lang w:val="en-US" w:bidi="th-TH"/>
              </w:rPr>
              <w:t>a</w:t>
            </w:r>
          </w:p>
        </w:tc>
        <w:tc>
          <w:tcPr>
            <w:tcW w:w="1110" w:type="dxa"/>
          </w:tcPr>
          <w:p w14:paraId="29010CE4" w14:textId="77777777" w:rsidR="004B0C1C" w:rsidRDefault="004B0C1C" w:rsidP="005C159A">
            <w:pPr>
              <w:jc w:val="center"/>
              <w:rPr>
                <w:sz w:val="20"/>
                <w:szCs w:val="20"/>
                <w:lang w:val="en-US"/>
              </w:rPr>
            </w:pPr>
            <w:r w:rsidRPr="00DE6833">
              <w:rPr>
                <w:rFonts w:eastAsia="Times New Roman"/>
                <w:sz w:val="18"/>
                <w:szCs w:val="18"/>
                <w:lang w:val="en-US" w:bidi="th-TH"/>
              </w:rPr>
              <w:t>1.61±1.30</w:t>
            </w:r>
            <w:r w:rsidRPr="00DE6833">
              <w:rPr>
                <w:rFonts w:eastAsia="Times New Roman"/>
                <w:sz w:val="18"/>
                <w:szCs w:val="18"/>
                <w:vertAlign w:val="superscript"/>
                <w:lang w:val="en-US" w:bidi="th-TH"/>
              </w:rPr>
              <w:t>a</w:t>
            </w:r>
          </w:p>
        </w:tc>
        <w:tc>
          <w:tcPr>
            <w:tcW w:w="1126" w:type="dxa"/>
          </w:tcPr>
          <w:p w14:paraId="28585282" w14:textId="77777777" w:rsidR="004B0C1C" w:rsidRDefault="004B0C1C" w:rsidP="005C159A">
            <w:pPr>
              <w:jc w:val="center"/>
              <w:rPr>
                <w:sz w:val="20"/>
                <w:szCs w:val="20"/>
                <w:lang w:val="en-US"/>
              </w:rPr>
            </w:pPr>
            <w:r w:rsidRPr="00DE6833">
              <w:rPr>
                <w:rFonts w:eastAsia="Times New Roman"/>
                <w:sz w:val="18"/>
                <w:szCs w:val="18"/>
                <w:lang w:val="en-US" w:bidi="th-TH"/>
              </w:rPr>
              <w:t>18.25±0.82</w:t>
            </w:r>
            <w:r w:rsidRPr="00DE6833">
              <w:rPr>
                <w:rFonts w:eastAsia="Times New Roman"/>
                <w:sz w:val="18"/>
                <w:szCs w:val="18"/>
                <w:vertAlign w:val="superscript"/>
                <w:lang w:val="en-US" w:bidi="th-TH"/>
              </w:rPr>
              <w:t>b</w:t>
            </w:r>
          </w:p>
        </w:tc>
        <w:tc>
          <w:tcPr>
            <w:tcW w:w="1126" w:type="dxa"/>
          </w:tcPr>
          <w:p w14:paraId="5F620A3C" w14:textId="77777777" w:rsidR="004B0C1C" w:rsidRDefault="004B0C1C" w:rsidP="005C159A">
            <w:pPr>
              <w:jc w:val="center"/>
              <w:rPr>
                <w:sz w:val="20"/>
                <w:szCs w:val="20"/>
                <w:lang w:val="en-US"/>
              </w:rPr>
            </w:pPr>
            <w:r w:rsidRPr="00DE6833">
              <w:rPr>
                <w:rFonts w:eastAsia="Times New Roman"/>
                <w:sz w:val="18"/>
                <w:szCs w:val="18"/>
                <w:lang w:val="en-US" w:bidi="th-TH"/>
              </w:rPr>
              <w:t>10.68±1.21</w:t>
            </w:r>
            <w:r w:rsidRPr="00DE6833">
              <w:rPr>
                <w:rFonts w:eastAsia="Times New Roman"/>
                <w:sz w:val="18"/>
                <w:szCs w:val="18"/>
                <w:vertAlign w:val="superscript"/>
                <w:lang w:val="en-US" w:bidi="th-TH"/>
              </w:rPr>
              <w:t>b</w:t>
            </w:r>
          </w:p>
        </w:tc>
        <w:tc>
          <w:tcPr>
            <w:tcW w:w="1196" w:type="dxa"/>
          </w:tcPr>
          <w:p w14:paraId="4F2F84CD" w14:textId="77777777" w:rsidR="004B0C1C" w:rsidRDefault="004B0C1C" w:rsidP="005C159A">
            <w:pPr>
              <w:jc w:val="center"/>
              <w:rPr>
                <w:sz w:val="20"/>
                <w:szCs w:val="20"/>
                <w:lang w:val="en-US"/>
              </w:rPr>
            </w:pPr>
            <w:r w:rsidRPr="00DE6833">
              <w:rPr>
                <w:rFonts w:eastAsia="Times New Roman"/>
                <w:sz w:val="18"/>
                <w:szCs w:val="18"/>
                <w:lang w:val="en-US" w:bidi="th-TH"/>
              </w:rPr>
              <w:t>62.50±0.74</w:t>
            </w:r>
            <w:r w:rsidRPr="00DE6833">
              <w:rPr>
                <w:rFonts w:eastAsia="Times New Roman"/>
                <w:sz w:val="18"/>
                <w:szCs w:val="18"/>
                <w:vertAlign w:val="superscript"/>
                <w:lang w:val="en-US" w:bidi="th-TH"/>
              </w:rPr>
              <w:t>b</w:t>
            </w:r>
          </w:p>
        </w:tc>
        <w:tc>
          <w:tcPr>
            <w:tcW w:w="1185" w:type="dxa"/>
          </w:tcPr>
          <w:p w14:paraId="6D06809D" w14:textId="77777777" w:rsidR="004B0C1C" w:rsidRDefault="004B0C1C" w:rsidP="005C159A">
            <w:pPr>
              <w:jc w:val="center"/>
              <w:rPr>
                <w:sz w:val="20"/>
                <w:szCs w:val="20"/>
                <w:lang w:val="en-US"/>
              </w:rPr>
            </w:pPr>
            <w:r w:rsidRPr="00DE6833">
              <w:rPr>
                <w:rFonts w:eastAsia="Times New Roman"/>
                <w:sz w:val="18"/>
                <w:szCs w:val="18"/>
                <w:lang w:val="en-US" w:bidi="th-TH"/>
              </w:rPr>
              <w:t>1751.7±28.3</w:t>
            </w:r>
            <w:r w:rsidRPr="00DE6833">
              <w:rPr>
                <w:rFonts w:eastAsia="Times New Roman"/>
                <w:sz w:val="18"/>
                <w:szCs w:val="18"/>
                <w:vertAlign w:val="superscript"/>
                <w:lang w:val="en-US" w:bidi="th-TH"/>
              </w:rPr>
              <w:t>c</w:t>
            </w:r>
          </w:p>
        </w:tc>
      </w:tr>
      <w:tr w:rsidR="004B0C1C" w14:paraId="42C9B0C7" w14:textId="77777777" w:rsidTr="005C159A">
        <w:trPr>
          <w:jc w:val="right"/>
        </w:trPr>
        <w:tc>
          <w:tcPr>
            <w:tcW w:w="1069" w:type="dxa"/>
          </w:tcPr>
          <w:p w14:paraId="49E5A225" w14:textId="77777777" w:rsidR="004B0C1C" w:rsidRDefault="004B0C1C" w:rsidP="005C159A">
            <w:pPr>
              <w:jc w:val="center"/>
              <w:rPr>
                <w:sz w:val="20"/>
                <w:szCs w:val="20"/>
                <w:lang w:val="en-US"/>
              </w:rPr>
            </w:pPr>
            <w:r w:rsidRPr="00DE6833">
              <w:rPr>
                <w:rFonts w:eastAsia="Times New Roman"/>
                <w:sz w:val="18"/>
                <w:szCs w:val="18"/>
                <w:lang w:val="en-US" w:bidi="th-TH"/>
              </w:rPr>
              <w:t>nGS</w:t>
            </w:r>
          </w:p>
        </w:tc>
        <w:tc>
          <w:tcPr>
            <w:tcW w:w="1123" w:type="dxa"/>
          </w:tcPr>
          <w:p w14:paraId="098A4B7F" w14:textId="77777777" w:rsidR="004B0C1C" w:rsidRDefault="004B0C1C" w:rsidP="005C159A">
            <w:pPr>
              <w:jc w:val="center"/>
              <w:rPr>
                <w:sz w:val="20"/>
                <w:szCs w:val="20"/>
                <w:lang w:val="en-US"/>
              </w:rPr>
            </w:pPr>
            <w:r w:rsidRPr="00DE6833">
              <w:rPr>
                <w:rFonts w:eastAsia="Times New Roman"/>
                <w:sz w:val="18"/>
                <w:szCs w:val="18"/>
                <w:vertAlign w:val="superscript"/>
                <w:lang w:val="en-US" w:bidi="th-TH"/>
              </w:rPr>
              <w:t>ND</w:t>
            </w:r>
          </w:p>
        </w:tc>
        <w:tc>
          <w:tcPr>
            <w:tcW w:w="1126" w:type="dxa"/>
          </w:tcPr>
          <w:p w14:paraId="197F09C0" w14:textId="77777777" w:rsidR="004B0C1C" w:rsidRDefault="004B0C1C" w:rsidP="005C159A">
            <w:pPr>
              <w:jc w:val="center"/>
              <w:rPr>
                <w:sz w:val="20"/>
                <w:szCs w:val="20"/>
                <w:lang w:val="en-US"/>
              </w:rPr>
            </w:pPr>
            <w:r w:rsidRPr="00DE6833">
              <w:rPr>
                <w:rFonts w:eastAsia="Times New Roman"/>
                <w:sz w:val="18"/>
                <w:szCs w:val="18"/>
                <w:lang w:val="en-US" w:bidi="th-TH"/>
              </w:rPr>
              <w:t>10.53±1.54</w:t>
            </w:r>
            <w:r w:rsidRPr="00DE6833">
              <w:rPr>
                <w:rFonts w:eastAsia="Times New Roman"/>
                <w:sz w:val="18"/>
                <w:szCs w:val="18"/>
                <w:vertAlign w:val="superscript"/>
                <w:lang w:val="en-US" w:bidi="th-TH"/>
              </w:rPr>
              <w:t>b</w:t>
            </w:r>
          </w:p>
        </w:tc>
        <w:tc>
          <w:tcPr>
            <w:tcW w:w="1110" w:type="dxa"/>
          </w:tcPr>
          <w:p w14:paraId="39A5D095" w14:textId="77777777" w:rsidR="004B0C1C" w:rsidRDefault="004B0C1C" w:rsidP="005C159A">
            <w:pPr>
              <w:jc w:val="center"/>
              <w:rPr>
                <w:sz w:val="20"/>
                <w:szCs w:val="20"/>
                <w:lang w:val="en-US"/>
              </w:rPr>
            </w:pPr>
            <w:r w:rsidRPr="00DE6833">
              <w:rPr>
                <w:rFonts w:eastAsia="Times New Roman"/>
                <w:sz w:val="18"/>
                <w:szCs w:val="18"/>
                <w:vertAlign w:val="superscript"/>
                <w:lang w:val="en-US" w:bidi="th-TH"/>
              </w:rPr>
              <w:t>ND</w:t>
            </w:r>
          </w:p>
        </w:tc>
        <w:tc>
          <w:tcPr>
            <w:tcW w:w="1126" w:type="dxa"/>
          </w:tcPr>
          <w:p w14:paraId="293FC90F" w14:textId="77777777" w:rsidR="004B0C1C" w:rsidRDefault="004B0C1C" w:rsidP="005C159A">
            <w:pPr>
              <w:jc w:val="center"/>
              <w:rPr>
                <w:sz w:val="20"/>
                <w:szCs w:val="20"/>
                <w:lang w:val="en-US"/>
              </w:rPr>
            </w:pPr>
            <w:r w:rsidRPr="00DE6833">
              <w:rPr>
                <w:rFonts w:eastAsia="Times New Roman"/>
                <w:sz w:val="18"/>
                <w:szCs w:val="18"/>
                <w:lang w:val="en-US" w:bidi="th-TH"/>
              </w:rPr>
              <w:t>35.63±0.82</w:t>
            </w:r>
            <w:r w:rsidRPr="00DE6833">
              <w:rPr>
                <w:rFonts w:eastAsia="Times New Roman"/>
                <w:sz w:val="18"/>
                <w:szCs w:val="18"/>
                <w:vertAlign w:val="superscript"/>
                <w:lang w:val="en-US" w:bidi="th-TH"/>
              </w:rPr>
              <w:t>c</w:t>
            </w:r>
          </w:p>
        </w:tc>
        <w:tc>
          <w:tcPr>
            <w:tcW w:w="1126" w:type="dxa"/>
          </w:tcPr>
          <w:p w14:paraId="0F1111A1" w14:textId="77777777" w:rsidR="004B0C1C" w:rsidRDefault="004B0C1C" w:rsidP="005C159A">
            <w:pPr>
              <w:jc w:val="center"/>
              <w:rPr>
                <w:sz w:val="20"/>
                <w:szCs w:val="20"/>
                <w:lang w:val="en-US"/>
              </w:rPr>
            </w:pPr>
            <w:r w:rsidRPr="00DE6833">
              <w:rPr>
                <w:rFonts w:eastAsia="Times New Roman"/>
                <w:sz w:val="18"/>
                <w:szCs w:val="18"/>
                <w:lang w:val="en-US" w:bidi="th-TH"/>
              </w:rPr>
              <w:t>48.55±2.05</w:t>
            </w:r>
            <w:r w:rsidRPr="00DE6833">
              <w:rPr>
                <w:rFonts w:eastAsia="Times New Roman"/>
                <w:sz w:val="18"/>
                <w:szCs w:val="18"/>
                <w:vertAlign w:val="superscript"/>
                <w:lang w:val="en-US" w:bidi="th-TH"/>
              </w:rPr>
              <w:t>d</w:t>
            </w:r>
          </w:p>
        </w:tc>
        <w:tc>
          <w:tcPr>
            <w:tcW w:w="1196" w:type="dxa"/>
          </w:tcPr>
          <w:p w14:paraId="1CDE046A" w14:textId="77777777" w:rsidR="004B0C1C" w:rsidRDefault="004B0C1C" w:rsidP="005C159A">
            <w:pPr>
              <w:jc w:val="center"/>
              <w:rPr>
                <w:sz w:val="20"/>
                <w:szCs w:val="20"/>
                <w:lang w:val="en-US"/>
              </w:rPr>
            </w:pPr>
            <w:r w:rsidRPr="00DE6833">
              <w:rPr>
                <w:rFonts w:eastAsia="Times New Roman"/>
                <w:sz w:val="18"/>
                <w:szCs w:val="18"/>
                <w:vertAlign w:val="superscript"/>
                <w:lang w:val="en-US" w:bidi="th-TH"/>
              </w:rPr>
              <w:t>ND</w:t>
            </w:r>
          </w:p>
        </w:tc>
        <w:tc>
          <w:tcPr>
            <w:tcW w:w="1185" w:type="dxa"/>
          </w:tcPr>
          <w:p w14:paraId="0C5C0F75" w14:textId="77777777" w:rsidR="004B0C1C" w:rsidRDefault="004B0C1C" w:rsidP="005C159A">
            <w:pPr>
              <w:jc w:val="center"/>
              <w:rPr>
                <w:sz w:val="20"/>
                <w:szCs w:val="20"/>
                <w:lang w:val="en-US"/>
              </w:rPr>
            </w:pPr>
            <w:r w:rsidRPr="00DE6833">
              <w:rPr>
                <w:rFonts w:eastAsia="Times New Roman"/>
                <w:sz w:val="18"/>
                <w:szCs w:val="18"/>
                <w:vertAlign w:val="superscript"/>
                <w:lang w:val="en-US" w:bidi="th-TH"/>
              </w:rPr>
              <w:t>ND</w:t>
            </w:r>
          </w:p>
        </w:tc>
      </w:tr>
      <w:tr w:rsidR="004B0C1C" w14:paraId="03BDE7AC" w14:textId="77777777" w:rsidTr="005C159A">
        <w:trPr>
          <w:jc w:val="right"/>
        </w:trPr>
        <w:tc>
          <w:tcPr>
            <w:tcW w:w="1069" w:type="dxa"/>
            <w:tcBorders>
              <w:bottom w:val="single" w:sz="4" w:space="0" w:color="auto"/>
            </w:tcBorders>
          </w:tcPr>
          <w:p w14:paraId="4E8FA1C0" w14:textId="77777777" w:rsidR="004B0C1C" w:rsidRDefault="004B0C1C" w:rsidP="005C159A">
            <w:pPr>
              <w:jc w:val="center"/>
              <w:rPr>
                <w:sz w:val="20"/>
                <w:szCs w:val="20"/>
                <w:lang w:val="en-US"/>
              </w:rPr>
            </w:pPr>
            <w:r w:rsidRPr="00DE6833">
              <w:rPr>
                <w:rFonts w:eastAsia="Times New Roman"/>
                <w:sz w:val="18"/>
                <w:szCs w:val="18"/>
                <w:lang w:val="en-US" w:bidi="th-TH"/>
              </w:rPr>
              <w:t>GS</w:t>
            </w:r>
          </w:p>
        </w:tc>
        <w:tc>
          <w:tcPr>
            <w:tcW w:w="1123" w:type="dxa"/>
            <w:tcBorders>
              <w:bottom w:val="single" w:sz="4" w:space="0" w:color="auto"/>
            </w:tcBorders>
          </w:tcPr>
          <w:p w14:paraId="773D2C52" w14:textId="77777777" w:rsidR="004B0C1C" w:rsidRDefault="004B0C1C" w:rsidP="005C159A">
            <w:pPr>
              <w:jc w:val="center"/>
              <w:rPr>
                <w:sz w:val="20"/>
                <w:szCs w:val="20"/>
                <w:lang w:val="en-US"/>
              </w:rPr>
            </w:pPr>
            <w:r w:rsidRPr="00DE6833">
              <w:rPr>
                <w:rFonts w:eastAsia="Times New Roman"/>
                <w:sz w:val="18"/>
                <w:szCs w:val="18"/>
                <w:vertAlign w:val="superscript"/>
                <w:lang w:val="en-US" w:bidi="th-TH"/>
              </w:rPr>
              <w:t>ND</w:t>
            </w:r>
          </w:p>
        </w:tc>
        <w:tc>
          <w:tcPr>
            <w:tcW w:w="1126" w:type="dxa"/>
            <w:tcBorders>
              <w:bottom w:val="single" w:sz="4" w:space="0" w:color="auto"/>
            </w:tcBorders>
          </w:tcPr>
          <w:p w14:paraId="00DA4360" w14:textId="77777777" w:rsidR="004B0C1C" w:rsidRDefault="004B0C1C" w:rsidP="005C159A">
            <w:pPr>
              <w:jc w:val="center"/>
              <w:rPr>
                <w:sz w:val="20"/>
                <w:szCs w:val="20"/>
                <w:lang w:val="en-US"/>
              </w:rPr>
            </w:pPr>
            <w:r w:rsidRPr="00DE6833">
              <w:rPr>
                <w:rFonts w:eastAsia="Times New Roman"/>
                <w:sz w:val="18"/>
                <w:szCs w:val="18"/>
                <w:lang w:val="en-US" w:bidi="th-TH"/>
              </w:rPr>
              <w:t>14.8±2.55</w:t>
            </w:r>
            <w:r w:rsidRPr="00DE6833">
              <w:rPr>
                <w:rFonts w:eastAsia="Times New Roman"/>
                <w:sz w:val="18"/>
                <w:szCs w:val="18"/>
                <w:vertAlign w:val="superscript"/>
                <w:lang w:val="en-US" w:bidi="th-TH"/>
              </w:rPr>
              <w:t>c</w:t>
            </w:r>
          </w:p>
        </w:tc>
        <w:tc>
          <w:tcPr>
            <w:tcW w:w="1110" w:type="dxa"/>
            <w:tcBorders>
              <w:bottom w:val="single" w:sz="4" w:space="0" w:color="auto"/>
            </w:tcBorders>
          </w:tcPr>
          <w:p w14:paraId="50575779" w14:textId="77777777" w:rsidR="004B0C1C" w:rsidRDefault="004B0C1C" w:rsidP="005C159A">
            <w:pPr>
              <w:jc w:val="center"/>
              <w:rPr>
                <w:sz w:val="20"/>
                <w:szCs w:val="20"/>
                <w:lang w:val="en-US"/>
              </w:rPr>
            </w:pPr>
            <w:r w:rsidRPr="00DE6833">
              <w:rPr>
                <w:rFonts w:eastAsia="Times New Roman"/>
                <w:sz w:val="18"/>
                <w:szCs w:val="18"/>
                <w:vertAlign w:val="superscript"/>
                <w:lang w:val="en-US" w:bidi="th-TH"/>
              </w:rPr>
              <w:t>ND</w:t>
            </w:r>
          </w:p>
        </w:tc>
        <w:tc>
          <w:tcPr>
            <w:tcW w:w="1126" w:type="dxa"/>
            <w:tcBorders>
              <w:bottom w:val="single" w:sz="4" w:space="0" w:color="auto"/>
            </w:tcBorders>
          </w:tcPr>
          <w:p w14:paraId="41C38D22" w14:textId="77777777" w:rsidR="004B0C1C" w:rsidRDefault="004B0C1C" w:rsidP="005C159A">
            <w:pPr>
              <w:jc w:val="center"/>
              <w:rPr>
                <w:sz w:val="20"/>
                <w:szCs w:val="20"/>
                <w:lang w:val="en-US"/>
              </w:rPr>
            </w:pPr>
            <w:r w:rsidRPr="00DE6833">
              <w:rPr>
                <w:rFonts w:eastAsia="Times New Roman"/>
                <w:sz w:val="18"/>
                <w:szCs w:val="18"/>
                <w:lang w:val="en-US" w:bidi="th-TH"/>
              </w:rPr>
              <w:t>35.18±2.15</w:t>
            </w:r>
            <w:r w:rsidRPr="00DE6833">
              <w:rPr>
                <w:rFonts w:eastAsia="Times New Roman"/>
                <w:sz w:val="18"/>
                <w:szCs w:val="18"/>
                <w:vertAlign w:val="superscript"/>
                <w:lang w:val="en-US" w:bidi="th-TH"/>
              </w:rPr>
              <w:t>c</w:t>
            </w:r>
          </w:p>
        </w:tc>
        <w:tc>
          <w:tcPr>
            <w:tcW w:w="1126" w:type="dxa"/>
            <w:tcBorders>
              <w:bottom w:val="single" w:sz="4" w:space="0" w:color="auto"/>
            </w:tcBorders>
          </w:tcPr>
          <w:p w14:paraId="060A1DEF" w14:textId="77777777" w:rsidR="004B0C1C" w:rsidRDefault="004B0C1C" w:rsidP="005C159A">
            <w:pPr>
              <w:jc w:val="center"/>
              <w:rPr>
                <w:sz w:val="20"/>
                <w:szCs w:val="20"/>
                <w:lang w:val="en-US"/>
              </w:rPr>
            </w:pPr>
            <w:r w:rsidRPr="00DE6833">
              <w:rPr>
                <w:rFonts w:eastAsia="Times New Roman"/>
                <w:sz w:val="18"/>
                <w:szCs w:val="18"/>
                <w:lang w:val="en-US" w:bidi="th-TH"/>
              </w:rPr>
              <w:t>36.69±0.82</w:t>
            </w:r>
            <w:r w:rsidRPr="00DE6833">
              <w:rPr>
                <w:rFonts w:eastAsia="Times New Roman"/>
                <w:sz w:val="18"/>
                <w:szCs w:val="18"/>
                <w:vertAlign w:val="superscript"/>
                <w:lang w:val="en-US" w:bidi="th-TH"/>
              </w:rPr>
              <w:t>e</w:t>
            </w:r>
          </w:p>
        </w:tc>
        <w:tc>
          <w:tcPr>
            <w:tcW w:w="1196" w:type="dxa"/>
            <w:tcBorders>
              <w:bottom w:val="single" w:sz="4" w:space="0" w:color="auto"/>
            </w:tcBorders>
          </w:tcPr>
          <w:p w14:paraId="4D2AFF5D" w14:textId="77777777" w:rsidR="004B0C1C" w:rsidRDefault="004B0C1C" w:rsidP="005C159A">
            <w:pPr>
              <w:jc w:val="center"/>
              <w:rPr>
                <w:sz w:val="20"/>
                <w:szCs w:val="20"/>
                <w:lang w:val="en-US"/>
              </w:rPr>
            </w:pPr>
            <w:r w:rsidRPr="00DE6833">
              <w:rPr>
                <w:rFonts w:eastAsia="Times New Roman"/>
                <w:sz w:val="18"/>
                <w:szCs w:val="18"/>
                <w:vertAlign w:val="superscript"/>
                <w:lang w:val="en-US" w:bidi="th-TH"/>
              </w:rPr>
              <w:t>ND</w:t>
            </w:r>
          </w:p>
        </w:tc>
        <w:tc>
          <w:tcPr>
            <w:tcW w:w="1185" w:type="dxa"/>
            <w:tcBorders>
              <w:bottom w:val="single" w:sz="4" w:space="0" w:color="auto"/>
            </w:tcBorders>
          </w:tcPr>
          <w:p w14:paraId="05936CB4" w14:textId="77777777" w:rsidR="004B0C1C" w:rsidRDefault="004B0C1C" w:rsidP="005C159A">
            <w:pPr>
              <w:jc w:val="center"/>
              <w:rPr>
                <w:sz w:val="20"/>
                <w:szCs w:val="20"/>
                <w:lang w:val="en-US"/>
              </w:rPr>
            </w:pPr>
            <w:r w:rsidRPr="00DE6833">
              <w:rPr>
                <w:rFonts w:eastAsia="Times New Roman"/>
                <w:sz w:val="18"/>
                <w:szCs w:val="18"/>
                <w:vertAlign w:val="superscript"/>
                <w:lang w:val="en-US" w:bidi="th-TH"/>
              </w:rPr>
              <w:t>ND</w:t>
            </w:r>
          </w:p>
        </w:tc>
      </w:tr>
    </w:tbl>
    <w:p w14:paraId="7074CC90" w14:textId="77777777" w:rsidR="00213264" w:rsidRDefault="00213264" w:rsidP="00F86274">
      <w:pPr>
        <w:jc w:val="both"/>
        <w:rPr>
          <w:rFonts w:ascii="Times New Roman" w:hAnsi="Times New Roman" w:cs="Times New Roman"/>
          <w:sz w:val="20"/>
          <w:szCs w:val="20"/>
          <w:lang w:val="en-US"/>
        </w:rPr>
      </w:pPr>
    </w:p>
    <w:p w14:paraId="7E201F88" w14:textId="3B3F8F62" w:rsidR="00F86274" w:rsidRDefault="00F86274" w:rsidP="00F86274">
      <w:pPr>
        <w:jc w:val="both"/>
        <w:rPr>
          <w:rFonts w:ascii="Times New Roman" w:hAnsi="Times New Roman" w:cs="Times New Roman"/>
          <w:sz w:val="20"/>
          <w:szCs w:val="20"/>
          <w:lang w:val="en-US"/>
        </w:rPr>
      </w:pPr>
      <w:r w:rsidRPr="0022306B">
        <w:rPr>
          <w:rFonts w:ascii="Times New Roman" w:hAnsi="Times New Roman" w:cs="Times New Roman"/>
          <w:sz w:val="20"/>
          <w:szCs w:val="20"/>
          <w:lang w:val="en-US"/>
        </w:rPr>
        <w:t xml:space="preserve">The </w:t>
      </w:r>
      <w:r w:rsidR="000E6E66" w:rsidRPr="0022306B">
        <w:rPr>
          <w:rFonts w:ascii="Times New Roman" w:hAnsi="Times New Roman" w:cs="Times New Roman"/>
          <w:sz w:val="20"/>
          <w:szCs w:val="20"/>
          <w:lang w:val="en-US"/>
        </w:rPr>
        <w:t>combin</w:t>
      </w:r>
      <w:r w:rsidR="000E6E66">
        <w:rPr>
          <w:rFonts w:ascii="Times New Roman" w:hAnsi="Times New Roman" w:cs="Times New Roman"/>
          <w:sz w:val="20"/>
          <w:szCs w:val="20"/>
          <w:lang w:val="en-US"/>
        </w:rPr>
        <w:t>ed</w:t>
      </w:r>
      <w:r w:rsidR="000E6E66" w:rsidRPr="0022306B">
        <w:rPr>
          <w:rFonts w:ascii="Times New Roman" w:hAnsi="Times New Roman" w:cs="Times New Roman"/>
          <w:sz w:val="20"/>
          <w:szCs w:val="20"/>
          <w:lang w:val="en-US"/>
        </w:rPr>
        <w:t xml:space="preserve"> treatments</w:t>
      </w:r>
      <w:r w:rsidR="000E6E66">
        <w:rPr>
          <w:rFonts w:ascii="Times New Roman" w:hAnsi="Times New Roman" w:cs="Times New Roman"/>
          <w:sz w:val="20"/>
          <w:szCs w:val="20"/>
          <w:lang w:val="en-US"/>
        </w:rPr>
        <w:t xml:space="preserve"> </w:t>
      </w:r>
      <w:r w:rsidR="002B5B32">
        <w:rPr>
          <w:rFonts w:ascii="Times New Roman" w:hAnsi="Times New Roman" w:cs="Times New Roman"/>
          <w:sz w:val="20"/>
          <w:szCs w:val="20"/>
          <w:lang w:val="en-US"/>
        </w:rPr>
        <w:t>allowed to ach</w:t>
      </w:r>
      <w:r w:rsidR="00C37C23">
        <w:rPr>
          <w:rFonts w:ascii="Times New Roman" w:hAnsi="Times New Roman" w:cs="Times New Roman"/>
          <w:sz w:val="20"/>
          <w:szCs w:val="20"/>
          <w:lang w:val="en-US"/>
        </w:rPr>
        <w:t>i</w:t>
      </w:r>
      <w:r w:rsidR="002B5B32">
        <w:rPr>
          <w:rFonts w:ascii="Times New Roman" w:hAnsi="Times New Roman" w:cs="Times New Roman"/>
          <w:sz w:val="20"/>
          <w:szCs w:val="20"/>
          <w:lang w:val="en-US"/>
        </w:rPr>
        <w:t>eve</w:t>
      </w:r>
      <w:r w:rsidR="002B5B32" w:rsidRPr="0022306B">
        <w:rPr>
          <w:rFonts w:ascii="Times New Roman" w:hAnsi="Times New Roman" w:cs="Times New Roman"/>
          <w:sz w:val="20"/>
          <w:szCs w:val="20"/>
          <w:lang w:val="en-US"/>
        </w:rPr>
        <w:t xml:space="preserve"> </w:t>
      </w:r>
      <w:r w:rsidRPr="0022306B">
        <w:rPr>
          <w:rFonts w:ascii="Times New Roman" w:hAnsi="Times New Roman" w:cs="Times New Roman"/>
          <w:sz w:val="20"/>
          <w:szCs w:val="20"/>
          <w:lang w:val="en-US"/>
        </w:rPr>
        <w:t>a</w:t>
      </w:r>
      <w:r w:rsidR="00545681">
        <w:rPr>
          <w:rFonts w:ascii="Times New Roman" w:hAnsi="Times New Roman" w:cs="Times New Roman"/>
          <w:sz w:val="20"/>
          <w:szCs w:val="20"/>
          <w:lang w:val="en-US"/>
        </w:rPr>
        <w:t>n</w:t>
      </w:r>
      <w:r w:rsidRPr="0022306B">
        <w:rPr>
          <w:rFonts w:ascii="Times New Roman" w:hAnsi="Times New Roman" w:cs="Times New Roman"/>
          <w:sz w:val="20"/>
          <w:szCs w:val="20"/>
          <w:lang w:val="en-US"/>
        </w:rPr>
        <w:t xml:space="preserve"> increase in energy content, while CnG</w:t>
      </w:r>
      <w:r w:rsidR="002B12E1">
        <w:rPr>
          <w:rFonts w:ascii="Times New Roman" w:hAnsi="Times New Roman" w:cs="Times New Roman"/>
          <w:sz w:val="20"/>
          <w:szCs w:val="20"/>
          <w:lang w:val="en-US"/>
        </w:rPr>
        <w:t>P</w:t>
      </w:r>
      <w:r w:rsidRPr="0022306B">
        <w:rPr>
          <w:rFonts w:ascii="Times New Roman" w:hAnsi="Times New Roman" w:cs="Times New Roman"/>
          <w:sz w:val="20"/>
          <w:szCs w:val="20"/>
          <w:lang w:val="en-US"/>
        </w:rPr>
        <w:t xml:space="preserve"> showed higher energy density than CGP corresponding to the fat content of the same.</w:t>
      </w:r>
      <w:r w:rsidR="007F2663">
        <w:rPr>
          <w:rFonts w:ascii="Times New Roman" w:hAnsi="Times New Roman" w:cs="Times New Roman"/>
          <w:sz w:val="20"/>
          <w:szCs w:val="20"/>
          <w:lang w:val="en-US"/>
        </w:rPr>
        <w:t xml:space="preserve"> </w:t>
      </w:r>
      <w:r w:rsidR="001E25A6">
        <w:rPr>
          <w:rFonts w:ascii="Times New Roman" w:hAnsi="Times New Roman" w:cs="Times New Roman"/>
          <w:sz w:val="20"/>
          <w:szCs w:val="20"/>
          <w:lang w:val="en-US"/>
        </w:rPr>
        <w:t xml:space="preserve">In addition to that, </w:t>
      </w:r>
      <w:r w:rsidRPr="0022306B">
        <w:rPr>
          <w:rFonts w:ascii="Times New Roman" w:hAnsi="Times New Roman" w:cs="Times New Roman"/>
          <w:sz w:val="20"/>
          <w:szCs w:val="20"/>
          <w:lang w:val="en-US"/>
        </w:rPr>
        <w:t>CnG</w:t>
      </w:r>
      <w:r w:rsidR="0024453F">
        <w:rPr>
          <w:rFonts w:ascii="Times New Roman" w:hAnsi="Times New Roman" w:cs="Times New Roman"/>
          <w:sz w:val="20"/>
          <w:szCs w:val="20"/>
          <w:lang w:val="en-US"/>
        </w:rPr>
        <w:t>P</w:t>
      </w:r>
      <w:r w:rsidRPr="0022306B">
        <w:rPr>
          <w:rFonts w:ascii="Times New Roman" w:hAnsi="Times New Roman" w:cs="Times New Roman"/>
          <w:sz w:val="20"/>
          <w:szCs w:val="20"/>
          <w:lang w:val="en-US"/>
        </w:rPr>
        <w:t xml:space="preserve"> had higher α-amylase which hydrolyses the amylose and amylopectin to dextrins and maltose, thus causing the simultaneous increase in energy density. The energy content of all the porridges fell within the recommended values for children 9-11 months for a once-a-day consumption. Feeding frequency is also important in determining the extent to which energy and nutrient requirements are met</w:t>
      </w:r>
      <w:r w:rsidR="00215D4F">
        <w:rPr>
          <w:rFonts w:ascii="Times New Roman" w:hAnsi="Times New Roman" w:cs="Times New Roman"/>
          <w:sz w:val="20"/>
          <w:szCs w:val="20"/>
          <w:lang w:val="en-US"/>
        </w:rPr>
        <w:t xml:space="preserve">. </w:t>
      </w:r>
      <w:r w:rsidRPr="0022306B">
        <w:rPr>
          <w:rFonts w:ascii="Times New Roman" w:hAnsi="Times New Roman" w:cs="Times New Roman"/>
          <w:sz w:val="20"/>
          <w:szCs w:val="20"/>
          <w:lang w:val="en-US"/>
        </w:rPr>
        <w:t xml:space="preserve">The calculated estimates for three-times-a-day consumption (Table </w:t>
      </w:r>
      <w:r w:rsidR="009D32BC">
        <w:rPr>
          <w:rFonts w:ascii="Times New Roman" w:hAnsi="Times New Roman" w:cs="Times New Roman"/>
          <w:sz w:val="20"/>
          <w:szCs w:val="20"/>
          <w:lang w:val="en-US"/>
        </w:rPr>
        <w:t>3</w:t>
      </w:r>
      <w:r w:rsidRPr="0022306B">
        <w:rPr>
          <w:rFonts w:ascii="Times New Roman" w:hAnsi="Times New Roman" w:cs="Times New Roman"/>
          <w:sz w:val="20"/>
          <w:szCs w:val="20"/>
          <w:lang w:val="en-US"/>
        </w:rPr>
        <w:t>) point that a higher frequency of servings of the porridge blend would meet the RNI for children in the weaning age group</w:t>
      </w:r>
      <w:r w:rsidR="001E25A6">
        <w:rPr>
          <w:rFonts w:ascii="Times New Roman" w:hAnsi="Times New Roman" w:cs="Times New Roman"/>
          <w:sz w:val="20"/>
          <w:szCs w:val="20"/>
          <w:lang w:val="en-US"/>
        </w:rPr>
        <w:t>s</w:t>
      </w:r>
      <w:r w:rsidRPr="0022306B">
        <w:rPr>
          <w:rFonts w:ascii="Times New Roman" w:hAnsi="Times New Roman" w:cs="Times New Roman"/>
          <w:sz w:val="20"/>
          <w:szCs w:val="20"/>
          <w:lang w:val="en-US"/>
        </w:rPr>
        <w:t>. This suggested that bottle gourd seed flour could be added to increase energy content</w:t>
      </w:r>
      <w:r w:rsidR="001E25A6">
        <w:rPr>
          <w:rFonts w:ascii="Times New Roman" w:hAnsi="Times New Roman" w:cs="Times New Roman"/>
          <w:sz w:val="20"/>
          <w:szCs w:val="20"/>
          <w:lang w:val="en-US"/>
        </w:rPr>
        <w:t xml:space="preserve"> </w:t>
      </w:r>
      <w:r w:rsidR="001E25A6" w:rsidRPr="0022306B">
        <w:rPr>
          <w:rFonts w:ascii="Times New Roman" w:hAnsi="Times New Roman" w:cs="Times New Roman"/>
          <w:sz w:val="20"/>
          <w:szCs w:val="20"/>
          <w:lang w:val="en-US"/>
        </w:rPr>
        <w:t>for 6-</w:t>
      </w:r>
      <w:r w:rsidR="001E25A6">
        <w:rPr>
          <w:rFonts w:ascii="Times New Roman" w:hAnsi="Times New Roman" w:cs="Times New Roman"/>
          <w:sz w:val="20"/>
          <w:szCs w:val="20"/>
          <w:lang w:val="en-US"/>
        </w:rPr>
        <w:t>11</w:t>
      </w:r>
      <w:r w:rsidR="001E25A6" w:rsidRPr="0022306B">
        <w:rPr>
          <w:rFonts w:ascii="Times New Roman" w:hAnsi="Times New Roman" w:cs="Times New Roman"/>
          <w:sz w:val="20"/>
          <w:szCs w:val="20"/>
          <w:lang w:val="en-US"/>
        </w:rPr>
        <w:t xml:space="preserve"> months children</w:t>
      </w:r>
      <w:r w:rsidRPr="0022306B">
        <w:rPr>
          <w:rFonts w:ascii="Times New Roman" w:hAnsi="Times New Roman" w:cs="Times New Roman"/>
          <w:sz w:val="20"/>
          <w:szCs w:val="20"/>
          <w:lang w:val="en-US"/>
        </w:rPr>
        <w:t xml:space="preserve">, </w:t>
      </w:r>
      <w:r w:rsidR="001E25A6">
        <w:rPr>
          <w:rFonts w:ascii="Times New Roman" w:hAnsi="Times New Roman" w:cs="Times New Roman"/>
          <w:sz w:val="20"/>
          <w:szCs w:val="20"/>
          <w:lang w:val="en-US"/>
        </w:rPr>
        <w:t xml:space="preserve">and to increase </w:t>
      </w:r>
      <w:r w:rsidRPr="0022306B">
        <w:rPr>
          <w:rFonts w:ascii="Times New Roman" w:hAnsi="Times New Roman" w:cs="Times New Roman"/>
          <w:sz w:val="20"/>
          <w:szCs w:val="20"/>
          <w:lang w:val="en-US"/>
        </w:rPr>
        <w:t>protein and fat content</w:t>
      </w:r>
      <w:r w:rsidR="001E25A6">
        <w:rPr>
          <w:rFonts w:ascii="Times New Roman" w:hAnsi="Times New Roman" w:cs="Times New Roman"/>
          <w:sz w:val="20"/>
          <w:szCs w:val="20"/>
          <w:lang w:val="en-US"/>
        </w:rPr>
        <w:t xml:space="preserve"> </w:t>
      </w:r>
      <w:r w:rsidRPr="0022306B">
        <w:rPr>
          <w:rFonts w:ascii="Times New Roman" w:hAnsi="Times New Roman" w:cs="Times New Roman"/>
          <w:sz w:val="20"/>
          <w:szCs w:val="20"/>
          <w:lang w:val="en-US"/>
        </w:rPr>
        <w:t>for 6-24 months children.</w:t>
      </w:r>
    </w:p>
    <w:p w14:paraId="3B651968" w14:textId="77777777" w:rsidR="005A0C59" w:rsidRDefault="005A0C59" w:rsidP="00F86274">
      <w:pPr>
        <w:jc w:val="both"/>
        <w:rPr>
          <w:rFonts w:ascii="Times New Roman" w:hAnsi="Times New Roman" w:cs="Times New Roman"/>
          <w:sz w:val="20"/>
          <w:szCs w:val="20"/>
          <w:lang w:val="en-US"/>
        </w:rPr>
      </w:pPr>
    </w:p>
    <w:p w14:paraId="75F4070C" w14:textId="77777777" w:rsidR="00213264" w:rsidRDefault="00213264" w:rsidP="00F86274">
      <w:pPr>
        <w:jc w:val="both"/>
        <w:rPr>
          <w:rFonts w:ascii="Times New Roman" w:hAnsi="Times New Roman" w:cs="Times New Roman"/>
          <w:sz w:val="20"/>
          <w:szCs w:val="20"/>
          <w:lang w:val="en-US"/>
        </w:rPr>
      </w:pPr>
    </w:p>
    <w:p w14:paraId="1B9D245B" w14:textId="5360050B" w:rsidR="005A0C59" w:rsidRDefault="005A0C59" w:rsidP="00F86274">
      <w:pPr>
        <w:jc w:val="both"/>
        <w:rPr>
          <w:rFonts w:ascii="Times New Roman" w:hAnsi="Times New Roman" w:cs="Times New Roman"/>
          <w:sz w:val="20"/>
          <w:szCs w:val="20"/>
          <w:lang w:val="en-US"/>
        </w:rPr>
      </w:pPr>
    </w:p>
    <w:p w14:paraId="2D1D7F5F" w14:textId="77777777" w:rsidR="00213264" w:rsidRDefault="00213264" w:rsidP="00F86274">
      <w:pPr>
        <w:jc w:val="both"/>
        <w:rPr>
          <w:rFonts w:ascii="Times New Roman" w:hAnsi="Times New Roman" w:cs="Times New Roman"/>
          <w:sz w:val="20"/>
          <w:szCs w:val="20"/>
          <w:lang w:val="en-US"/>
        </w:rPr>
      </w:pPr>
    </w:p>
    <w:p w14:paraId="69528F35" w14:textId="77777777" w:rsidR="00213264" w:rsidRDefault="00213264" w:rsidP="00F86274">
      <w:pPr>
        <w:jc w:val="both"/>
        <w:rPr>
          <w:rFonts w:ascii="Times New Roman" w:hAnsi="Times New Roman" w:cs="Times New Roman"/>
          <w:sz w:val="20"/>
          <w:szCs w:val="20"/>
          <w:lang w:val="en-US"/>
        </w:rPr>
      </w:pPr>
    </w:p>
    <w:p w14:paraId="5FAC8C0A" w14:textId="1F804CA2" w:rsidR="00213264" w:rsidRPr="00847EF7" w:rsidRDefault="00213264" w:rsidP="00E26A5A">
      <w:pPr>
        <w:spacing w:before="300" w:after="300"/>
        <w:ind w:left="709" w:hanging="709"/>
        <w:rPr>
          <w:rFonts w:ascii="Times New Roman" w:hAnsi="Times New Roman" w:cs="Times New Roman"/>
          <w:i/>
          <w:iCs/>
          <w:sz w:val="18"/>
          <w:szCs w:val="18"/>
          <w:lang w:val="en-US"/>
        </w:rPr>
      </w:pPr>
      <w:r w:rsidRPr="00EC6AB3">
        <w:rPr>
          <w:rFonts w:ascii="Times New Roman" w:hAnsi="Times New Roman" w:cs="Times New Roman"/>
          <w:b/>
          <w:bCs/>
          <w:sz w:val="18"/>
          <w:szCs w:val="18"/>
          <w:u w:val="single"/>
          <w:lang w:val="en-US"/>
        </w:rPr>
        <w:lastRenderedPageBreak/>
        <w:t>Table 3</w:t>
      </w:r>
      <w:r w:rsidRPr="00EC6AB3">
        <w:rPr>
          <w:rFonts w:ascii="Times New Roman" w:hAnsi="Times New Roman" w:cs="Times New Roman"/>
          <w:b/>
          <w:bCs/>
          <w:sz w:val="18"/>
          <w:szCs w:val="18"/>
          <w:lang w:val="en-US"/>
        </w:rPr>
        <w:t xml:space="preserve"> </w:t>
      </w:r>
      <w:r w:rsidR="0030174D">
        <w:rPr>
          <w:rFonts w:ascii="Times New Roman" w:hAnsi="Times New Roman" w:cs="Times New Roman"/>
          <w:b/>
          <w:bCs/>
          <w:sz w:val="18"/>
          <w:szCs w:val="18"/>
          <w:lang w:val="en-US"/>
        </w:rPr>
        <w:tab/>
      </w:r>
      <w:r w:rsidRPr="00847EF7">
        <w:rPr>
          <w:rFonts w:ascii="Times New Roman" w:hAnsi="Times New Roman" w:cs="Times New Roman"/>
          <w:i/>
          <w:iCs/>
          <w:sz w:val="18"/>
          <w:szCs w:val="18"/>
          <w:lang w:val="en-US"/>
        </w:rPr>
        <w:t>Estimated protein and energy intakes of infants (6-24 months) of porridge samples</w:t>
      </w:r>
      <w:bookmarkStart w:id="5" w:name="_Hlk137201463"/>
      <w:r w:rsidRPr="00847EF7">
        <w:rPr>
          <w:rFonts w:ascii="Times New Roman" w:hAnsi="Times New Roman" w:cs="Times New Roman"/>
          <w:i/>
          <w:iCs/>
          <w:sz w:val="18"/>
          <w:szCs w:val="18"/>
          <w:lang w:val="en-US"/>
        </w:rPr>
        <w:t xml:space="preserve">. </w:t>
      </w:r>
      <w:bookmarkEnd w:id="5"/>
      <w:r w:rsidR="00A90D48" w:rsidRPr="00DA2AF4">
        <w:rPr>
          <w:rFonts w:ascii="Times New Roman" w:hAnsi="Times New Roman" w:cs="Times New Roman"/>
          <w:i/>
          <w:iCs/>
          <w:sz w:val="18"/>
          <w:szCs w:val="18"/>
          <w:lang w:val="en-US"/>
        </w:rPr>
        <w:t>SP: Sorghum porridge, FSP: Fermented SP, CnG</w:t>
      </w:r>
      <w:r w:rsidR="00A90D48">
        <w:rPr>
          <w:rFonts w:ascii="Times New Roman" w:hAnsi="Times New Roman" w:cs="Times New Roman"/>
          <w:i/>
          <w:iCs/>
          <w:sz w:val="18"/>
          <w:szCs w:val="18"/>
          <w:lang w:val="en-US"/>
        </w:rPr>
        <w:t>P</w:t>
      </w:r>
      <w:r w:rsidR="00A90D48" w:rsidRPr="00DA2AF4">
        <w:rPr>
          <w:rFonts w:ascii="Times New Roman" w:hAnsi="Times New Roman" w:cs="Times New Roman"/>
          <w:i/>
          <w:iCs/>
          <w:sz w:val="18"/>
          <w:szCs w:val="18"/>
          <w:lang w:val="en-US"/>
        </w:rPr>
        <w:t>: Composited SP (fermentation + non-germinated seed flour), CGP: Composited SP (fermentation + germinated seed flour).</w:t>
      </w:r>
      <w:r w:rsidR="00A90D48">
        <w:rPr>
          <w:rFonts w:ascii="Times New Roman" w:hAnsi="Times New Roman" w:cs="Times New Roman"/>
          <w:i/>
          <w:iCs/>
          <w:sz w:val="18"/>
          <w:szCs w:val="18"/>
          <w:lang w:val="en-US"/>
        </w:rPr>
        <w:t xml:space="preserve"> </w:t>
      </w:r>
      <w:r w:rsidRPr="00847EF7">
        <w:rPr>
          <w:rFonts w:ascii="Times New Roman" w:hAnsi="Times New Roman" w:cs="Times New Roman"/>
          <w:i/>
          <w:iCs/>
          <w:sz w:val="18"/>
          <w:szCs w:val="18"/>
          <w:lang w:val="en-US"/>
        </w:rPr>
        <w:t>BME: Breast milk energy, RDI: Recommended daily intake.</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1185"/>
        <w:gridCol w:w="1128"/>
        <w:gridCol w:w="1129"/>
        <w:gridCol w:w="1269"/>
        <w:gridCol w:w="1129"/>
        <w:gridCol w:w="1129"/>
        <w:gridCol w:w="115"/>
        <w:gridCol w:w="1142"/>
      </w:tblGrid>
      <w:tr w:rsidR="00C12106" w:rsidRPr="0006544B" w14:paraId="2E9FD92B" w14:textId="77777777" w:rsidTr="00C12106">
        <w:trPr>
          <w:jc w:val="center"/>
        </w:trPr>
        <w:tc>
          <w:tcPr>
            <w:tcW w:w="845" w:type="dxa"/>
            <w:vMerge w:val="restart"/>
            <w:tcBorders>
              <w:top w:val="single" w:sz="4" w:space="0" w:color="auto"/>
            </w:tcBorders>
          </w:tcPr>
          <w:p w14:paraId="73ACC3E4" w14:textId="08B534B6" w:rsidR="00C12106" w:rsidRPr="0006544B" w:rsidRDefault="00C12106" w:rsidP="005C159A">
            <w:pPr>
              <w:jc w:val="center"/>
              <w:rPr>
                <w:sz w:val="18"/>
                <w:szCs w:val="18"/>
                <w:lang w:val="en-US"/>
              </w:rPr>
            </w:pPr>
            <w:r w:rsidRPr="0006544B">
              <w:rPr>
                <w:sz w:val="18"/>
                <w:szCs w:val="18"/>
                <w:lang w:val="en-US"/>
              </w:rPr>
              <w:t>Porridge</w:t>
            </w:r>
          </w:p>
        </w:tc>
        <w:tc>
          <w:tcPr>
            <w:tcW w:w="1185" w:type="dxa"/>
            <w:vMerge w:val="restart"/>
            <w:tcBorders>
              <w:top w:val="single" w:sz="4" w:space="0" w:color="auto"/>
            </w:tcBorders>
          </w:tcPr>
          <w:p w14:paraId="45E40879" w14:textId="77777777" w:rsidR="00C12106" w:rsidRPr="0006544B" w:rsidRDefault="00C12106" w:rsidP="005C159A">
            <w:pPr>
              <w:jc w:val="center"/>
              <w:rPr>
                <w:sz w:val="18"/>
                <w:szCs w:val="18"/>
                <w:lang w:val="en-US"/>
              </w:rPr>
            </w:pPr>
            <w:r w:rsidRPr="0006544B">
              <w:rPr>
                <w:sz w:val="18"/>
                <w:szCs w:val="18"/>
                <w:lang w:val="en-US"/>
              </w:rPr>
              <w:t>Energy</w:t>
            </w:r>
          </w:p>
          <w:p w14:paraId="5825F388" w14:textId="77777777" w:rsidR="00C12106" w:rsidRPr="0006544B" w:rsidRDefault="00C12106" w:rsidP="005C159A">
            <w:pPr>
              <w:jc w:val="center"/>
              <w:rPr>
                <w:sz w:val="18"/>
                <w:szCs w:val="18"/>
                <w:lang w:val="en-US"/>
              </w:rPr>
            </w:pPr>
            <w:r w:rsidRPr="0006544B">
              <w:rPr>
                <w:sz w:val="18"/>
                <w:szCs w:val="18"/>
                <w:lang w:val="en-US"/>
              </w:rPr>
              <w:t>(kJ/100g)</w:t>
            </w:r>
          </w:p>
        </w:tc>
        <w:tc>
          <w:tcPr>
            <w:tcW w:w="3526" w:type="dxa"/>
            <w:gridSpan w:val="3"/>
            <w:tcBorders>
              <w:top w:val="single" w:sz="4" w:space="0" w:color="auto"/>
              <w:bottom w:val="single" w:sz="4" w:space="0" w:color="auto"/>
              <w:right w:val="single" w:sz="4" w:space="0" w:color="auto"/>
            </w:tcBorders>
          </w:tcPr>
          <w:p w14:paraId="42FC7F9F" w14:textId="77777777" w:rsidR="00C12106" w:rsidRPr="0006544B" w:rsidRDefault="00C12106" w:rsidP="005C159A">
            <w:pPr>
              <w:jc w:val="center"/>
              <w:rPr>
                <w:sz w:val="18"/>
                <w:szCs w:val="18"/>
                <w:lang w:val="en-US"/>
              </w:rPr>
            </w:pPr>
            <w:r w:rsidRPr="0006544B">
              <w:rPr>
                <w:rFonts w:eastAsia="Times New Roman"/>
                <w:sz w:val="18"/>
                <w:szCs w:val="18"/>
                <w:lang w:val="en-US" w:bidi="th-TH"/>
              </w:rPr>
              <w:t>Energy intake (kJ/day)</w:t>
            </w:r>
          </w:p>
        </w:tc>
        <w:tc>
          <w:tcPr>
            <w:tcW w:w="3515" w:type="dxa"/>
            <w:gridSpan w:val="4"/>
            <w:tcBorders>
              <w:top w:val="single" w:sz="4" w:space="0" w:color="auto"/>
              <w:left w:val="single" w:sz="4" w:space="0" w:color="auto"/>
              <w:bottom w:val="single" w:sz="4" w:space="0" w:color="auto"/>
            </w:tcBorders>
          </w:tcPr>
          <w:p w14:paraId="6BB8E115" w14:textId="77777777" w:rsidR="00C12106" w:rsidRPr="0006544B" w:rsidRDefault="00C12106" w:rsidP="005C159A">
            <w:pPr>
              <w:jc w:val="center"/>
              <w:rPr>
                <w:sz w:val="18"/>
                <w:szCs w:val="18"/>
                <w:lang w:val="en-US"/>
              </w:rPr>
            </w:pPr>
            <w:r w:rsidRPr="0006544B">
              <w:rPr>
                <w:rFonts w:eastAsia="Times New Roman"/>
                <w:sz w:val="18"/>
                <w:szCs w:val="18"/>
                <w:lang w:val="en-US" w:bidi="th-TH"/>
              </w:rPr>
              <w:t>Protein intake (g/day)</w:t>
            </w:r>
          </w:p>
        </w:tc>
      </w:tr>
      <w:tr w:rsidR="00C12106" w:rsidRPr="0006544B" w14:paraId="4F09A126" w14:textId="77777777" w:rsidTr="00213264">
        <w:trPr>
          <w:jc w:val="center"/>
        </w:trPr>
        <w:tc>
          <w:tcPr>
            <w:tcW w:w="845" w:type="dxa"/>
            <w:vMerge/>
            <w:tcBorders>
              <w:bottom w:val="single" w:sz="4" w:space="0" w:color="auto"/>
            </w:tcBorders>
          </w:tcPr>
          <w:p w14:paraId="455B07E2" w14:textId="77777777" w:rsidR="00C12106" w:rsidRPr="0006544B" w:rsidRDefault="00C12106" w:rsidP="005C159A">
            <w:pPr>
              <w:jc w:val="center"/>
              <w:rPr>
                <w:sz w:val="18"/>
                <w:szCs w:val="18"/>
                <w:lang w:val="en-US"/>
              </w:rPr>
            </w:pPr>
          </w:p>
        </w:tc>
        <w:tc>
          <w:tcPr>
            <w:tcW w:w="1185" w:type="dxa"/>
            <w:vMerge/>
            <w:tcBorders>
              <w:bottom w:val="single" w:sz="4" w:space="0" w:color="auto"/>
            </w:tcBorders>
          </w:tcPr>
          <w:p w14:paraId="504A4AF5" w14:textId="77777777" w:rsidR="00C12106" w:rsidRPr="0006544B" w:rsidRDefault="00C12106" w:rsidP="005C159A">
            <w:pPr>
              <w:jc w:val="center"/>
              <w:rPr>
                <w:sz w:val="18"/>
                <w:szCs w:val="18"/>
                <w:lang w:val="en-US"/>
              </w:rPr>
            </w:pPr>
          </w:p>
        </w:tc>
        <w:tc>
          <w:tcPr>
            <w:tcW w:w="1128" w:type="dxa"/>
            <w:tcBorders>
              <w:top w:val="single" w:sz="4" w:space="0" w:color="auto"/>
              <w:bottom w:val="single" w:sz="4" w:space="0" w:color="auto"/>
            </w:tcBorders>
            <w:vAlign w:val="center"/>
          </w:tcPr>
          <w:p w14:paraId="4D2A7B62" w14:textId="77777777" w:rsidR="00C12106" w:rsidRPr="0006544B" w:rsidRDefault="00C12106" w:rsidP="005C159A">
            <w:pPr>
              <w:jc w:val="center"/>
              <w:rPr>
                <w:sz w:val="18"/>
                <w:szCs w:val="18"/>
                <w:lang w:val="en-US"/>
              </w:rPr>
            </w:pPr>
            <w:r w:rsidRPr="0006544B">
              <w:rPr>
                <w:rFonts w:eastAsia="Times New Roman"/>
                <w:color w:val="auto"/>
                <w:sz w:val="18"/>
                <w:szCs w:val="18"/>
                <w:lang w:val="en-US" w:bidi="th-TH"/>
              </w:rPr>
              <w:t>6-8 months</w:t>
            </w:r>
          </w:p>
        </w:tc>
        <w:tc>
          <w:tcPr>
            <w:tcW w:w="1129" w:type="dxa"/>
            <w:tcBorders>
              <w:top w:val="single" w:sz="4" w:space="0" w:color="auto"/>
              <w:bottom w:val="single" w:sz="4" w:space="0" w:color="auto"/>
            </w:tcBorders>
            <w:vAlign w:val="center"/>
          </w:tcPr>
          <w:p w14:paraId="71CC4B65" w14:textId="77777777" w:rsidR="00C12106" w:rsidRPr="0006544B" w:rsidRDefault="00C12106" w:rsidP="005C159A">
            <w:pPr>
              <w:jc w:val="center"/>
              <w:rPr>
                <w:sz w:val="18"/>
                <w:szCs w:val="18"/>
                <w:lang w:val="en-US"/>
              </w:rPr>
            </w:pPr>
            <w:r w:rsidRPr="0006544B">
              <w:rPr>
                <w:rFonts w:eastAsia="Times New Roman"/>
                <w:color w:val="auto"/>
                <w:sz w:val="18"/>
                <w:szCs w:val="18"/>
                <w:lang w:val="en-US" w:bidi="th-TH"/>
              </w:rPr>
              <w:t>9-11 months</w:t>
            </w:r>
          </w:p>
        </w:tc>
        <w:tc>
          <w:tcPr>
            <w:tcW w:w="1269" w:type="dxa"/>
            <w:tcBorders>
              <w:top w:val="single" w:sz="4" w:space="0" w:color="auto"/>
              <w:bottom w:val="single" w:sz="4" w:space="0" w:color="auto"/>
              <w:right w:val="single" w:sz="4" w:space="0" w:color="auto"/>
            </w:tcBorders>
            <w:vAlign w:val="center"/>
          </w:tcPr>
          <w:p w14:paraId="45755801" w14:textId="77777777" w:rsidR="00C12106" w:rsidRPr="0006544B" w:rsidRDefault="00C12106" w:rsidP="005C159A">
            <w:pPr>
              <w:jc w:val="center"/>
              <w:rPr>
                <w:sz w:val="18"/>
                <w:szCs w:val="18"/>
                <w:lang w:val="en-US"/>
              </w:rPr>
            </w:pPr>
            <w:r w:rsidRPr="0006544B">
              <w:rPr>
                <w:rFonts w:eastAsia="Times New Roman"/>
                <w:color w:val="auto"/>
                <w:sz w:val="18"/>
                <w:szCs w:val="18"/>
                <w:lang w:val="en-US" w:bidi="th-TH"/>
              </w:rPr>
              <w:t>12-24</w:t>
            </w:r>
            <w:r>
              <w:rPr>
                <w:rFonts w:eastAsia="Times New Roman"/>
                <w:color w:val="auto"/>
                <w:sz w:val="18"/>
                <w:szCs w:val="18"/>
                <w:lang w:val="en-US" w:bidi="th-TH"/>
              </w:rPr>
              <w:t xml:space="preserve"> </w:t>
            </w:r>
            <w:r w:rsidRPr="0006544B">
              <w:rPr>
                <w:rFonts w:eastAsia="Times New Roman"/>
                <w:color w:val="auto"/>
                <w:sz w:val="18"/>
                <w:szCs w:val="18"/>
                <w:lang w:val="en-US" w:bidi="th-TH"/>
              </w:rPr>
              <w:t>months</w:t>
            </w:r>
          </w:p>
        </w:tc>
        <w:tc>
          <w:tcPr>
            <w:tcW w:w="1129" w:type="dxa"/>
            <w:tcBorders>
              <w:top w:val="single" w:sz="4" w:space="0" w:color="auto"/>
              <w:left w:val="single" w:sz="4" w:space="0" w:color="auto"/>
              <w:bottom w:val="single" w:sz="4" w:space="0" w:color="auto"/>
            </w:tcBorders>
            <w:vAlign w:val="center"/>
          </w:tcPr>
          <w:p w14:paraId="41BDF102" w14:textId="77777777" w:rsidR="00C12106" w:rsidRPr="0006544B" w:rsidRDefault="00C12106" w:rsidP="005C159A">
            <w:pPr>
              <w:jc w:val="center"/>
              <w:rPr>
                <w:sz w:val="18"/>
                <w:szCs w:val="18"/>
                <w:lang w:val="en-US"/>
              </w:rPr>
            </w:pPr>
            <w:r w:rsidRPr="0006544B">
              <w:rPr>
                <w:rFonts w:eastAsia="Times New Roman"/>
                <w:color w:val="auto"/>
                <w:sz w:val="18"/>
                <w:szCs w:val="18"/>
                <w:lang w:val="en-US" w:bidi="th-TH"/>
              </w:rPr>
              <w:t>6-8 months</w:t>
            </w:r>
          </w:p>
        </w:tc>
        <w:tc>
          <w:tcPr>
            <w:tcW w:w="1129" w:type="dxa"/>
            <w:tcBorders>
              <w:top w:val="single" w:sz="4" w:space="0" w:color="auto"/>
              <w:bottom w:val="single" w:sz="4" w:space="0" w:color="auto"/>
            </w:tcBorders>
            <w:vAlign w:val="center"/>
          </w:tcPr>
          <w:p w14:paraId="2ED3C0FB" w14:textId="77777777" w:rsidR="00C12106" w:rsidRPr="0006544B" w:rsidRDefault="00C12106" w:rsidP="005C159A">
            <w:pPr>
              <w:jc w:val="center"/>
              <w:rPr>
                <w:sz w:val="18"/>
                <w:szCs w:val="18"/>
                <w:lang w:val="en-US"/>
              </w:rPr>
            </w:pPr>
            <w:r w:rsidRPr="0006544B">
              <w:rPr>
                <w:rFonts w:eastAsia="Times New Roman"/>
                <w:color w:val="auto"/>
                <w:sz w:val="18"/>
                <w:szCs w:val="18"/>
                <w:lang w:val="en-US" w:bidi="th-TH"/>
              </w:rPr>
              <w:t>9-11 months</w:t>
            </w:r>
          </w:p>
        </w:tc>
        <w:tc>
          <w:tcPr>
            <w:tcW w:w="1257" w:type="dxa"/>
            <w:gridSpan w:val="2"/>
            <w:tcBorders>
              <w:top w:val="single" w:sz="4" w:space="0" w:color="auto"/>
              <w:bottom w:val="single" w:sz="4" w:space="0" w:color="auto"/>
            </w:tcBorders>
            <w:vAlign w:val="center"/>
          </w:tcPr>
          <w:p w14:paraId="0C9F1C34" w14:textId="77777777" w:rsidR="00C12106" w:rsidRPr="0006544B" w:rsidRDefault="00C12106" w:rsidP="005C159A">
            <w:pPr>
              <w:jc w:val="center"/>
              <w:rPr>
                <w:sz w:val="18"/>
                <w:szCs w:val="18"/>
                <w:lang w:val="en-US"/>
              </w:rPr>
            </w:pPr>
            <w:r w:rsidRPr="0006544B">
              <w:rPr>
                <w:rFonts w:eastAsia="Times New Roman"/>
                <w:color w:val="auto"/>
                <w:sz w:val="18"/>
                <w:szCs w:val="18"/>
                <w:lang w:val="en-US" w:bidi="th-TH"/>
              </w:rPr>
              <w:t>12-24 months</w:t>
            </w:r>
          </w:p>
        </w:tc>
      </w:tr>
      <w:tr w:rsidR="00C12106" w:rsidRPr="0006544B" w14:paraId="1AC8B12D" w14:textId="77777777" w:rsidTr="00213264">
        <w:trPr>
          <w:jc w:val="center"/>
        </w:trPr>
        <w:tc>
          <w:tcPr>
            <w:tcW w:w="845" w:type="dxa"/>
            <w:tcBorders>
              <w:top w:val="single" w:sz="4" w:space="0" w:color="auto"/>
            </w:tcBorders>
          </w:tcPr>
          <w:p w14:paraId="3F7819BA" w14:textId="77777777" w:rsidR="00C12106" w:rsidRPr="0006544B" w:rsidRDefault="00C12106" w:rsidP="005C159A">
            <w:pPr>
              <w:jc w:val="center"/>
              <w:rPr>
                <w:rFonts w:eastAsia="Times New Roman"/>
                <w:sz w:val="18"/>
                <w:szCs w:val="18"/>
                <w:lang w:val="en-US" w:bidi="th-TH"/>
              </w:rPr>
            </w:pPr>
            <w:r w:rsidRPr="0006544B">
              <w:rPr>
                <w:rFonts w:eastAsia="Times New Roman"/>
                <w:sz w:val="18"/>
                <w:szCs w:val="18"/>
                <w:lang w:val="en-US" w:bidi="th-TH"/>
              </w:rPr>
              <w:t>SP</w:t>
            </w:r>
          </w:p>
        </w:tc>
        <w:tc>
          <w:tcPr>
            <w:tcW w:w="1185" w:type="dxa"/>
            <w:tcBorders>
              <w:top w:val="single" w:sz="4" w:space="0" w:color="auto"/>
            </w:tcBorders>
          </w:tcPr>
          <w:p w14:paraId="7D7FD620" w14:textId="77777777" w:rsidR="00C12106" w:rsidRPr="0006544B" w:rsidRDefault="00C12106" w:rsidP="005C159A">
            <w:pPr>
              <w:jc w:val="center"/>
              <w:rPr>
                <w:sz w:val="18"/>
                <w:szCs w:val="18"/>
                <w:lang w:val="en-US"/>
              </w:rPr>
            </w:pPr>
            <w:r w:rsidRPr="0006544B">
              <w:rPr>
                <w:rFonts w:eastAsia="Times New Roman"/>
                <w:sz w:val="18"/>
                <w:szCs w:val="18"/>
                <w:lang w:val="en-US" w:bidi="th-TH"/>
              </w:rPr>
              <w:t>1497.8±20.3</w:t>
            </w:r>
            <w:r w:rsidRPr="0006544B">
              <w:rPr>
                <w:rFonts w:eastAsia="Times New Roman"/>
                <w:sz w:val="18"/>
                <w:szCs w:val="18"/>
                <w:vertAlign w:val="superscript"/>
                <w:lang w:val="en-US" w:bidi="th-TH"/>
              </w:rPr>
              <w:t>a</w:t>
            </w:r>
          </w:p>
        </w:tc>
        <w:tc>
          <w:tcPr>
            <w:tcW w:w="1128" w:type="dxa"/>
            <w:tcBorders>
              <w:top w:val="single" w:sz="4" w:space="0" w:color="auto"/>
            </w:tcBorders>
            <w:vAlign w:val="center"/>
          </w:tcPr>
          <w:p w14:paraId="2C46767F" w14:textId="77777777" w:rsidR="00C12106" w:rsidRPr="0006544B" w:rsidRDefault="00C12106" w:rsidP="005C159A">
            <w:pPr>
              <w:jc w:val="center"/>
              <w:rPr>
                <w:sz w:val="18"/>
                <w:szCs w:val="18"/>
                <w:lang w:val="en-US"/>
              </w:rPr>
            </w:pPr>
            <w:r w:rsidRPr="0006544B">
              <w:rPr>
                <w:color w:val="000000" w:themeColor="text1"/>
                <w:sz w:val="18"/>
                <w:szCs w:val="18"/>
                <w:lang w:val="en-US" w:bidi="th-TH"/>
              </w:rPr>
              <w:t>1865.1</w:t>
            </w:r>
          </w:p>
        </w:tc>
        <w:tc>
          <w:tcPr>
            <w:tcW w:w="1129" w:type="dxa"/>
            <w:tcBorders>
              <w:top w:val="single" w:sz="4" w:space="0" w:color="auto"/>
            </w:tcBorders>
            <w:vAlign w:val="center"/>
          </w:tcPr>
          <w:p w14:paraId="263CBD21" w14:textId="77777777" w:rsidR="00C12106" w:rsidRPr="0006544B" w:rsidRDefault="00C12106" w:rsidP="005C159A">
            <w:pPr>
              <w:jc w:val="center"/>
              <w:rPr>
                <w:sz w:val="18"/>
                <w:szCs w:val="18"/>
                <w:lang w:val="en-US"/>
              </w:rPr>
            </w:pPr>
            <w:r w:rsidRPr="0006544B">
              <w:rPr>
                <w:color w:val="000000" w:themeColor="text1"/>
                <w:sz w:val="18"/>
                <w:szCs w:val="18"/>
                <w:lang w:val="en-US" w:bidi="th-TH"/>
              </w:rPr>
              <w:t>2134.8</w:t>
            </w:r>
          </w:p>
        </w:tc>
        <w:tc>
          <w:tcPr>
            <w:tcW w:w="1269" w:type="dxa"/>
            <w:tcBorders>
              <w:top w:val="single" w:sz="4" w:space="0" w:color="auto"/>
              <w:right w:val="single" w:sz="4" w:space="0" w:color="auto"/>
            </w:tcBorders>
            <w:vAlign w:val="center"/>
          </w:tcPr>
          <w:p w14:paraId="03307069" w14:textId="77777777" w:rsidR="00C12106" w:rsidRPr="0006544B" w:rsidRDefault="00C12106" w:rsidP="005C159A">
            <w:pPr>
              <w:jc w:val="center"/>
              <w:rPr>
                <w:sz w:val="18"/>
                <w:szCs w:val="18"/>
                <w:lang w:val="en-US"/>
              </w:rPr>
            </w:pPr>
            <w:r w:rsidRPr="0006544B">
              <w:rPr>
                <w:sz w:val="18"/>
                <w:szCs w:val="18"/>
                <w:lang w:val="en-US" w:bidi="th-TH"/>
              </w:rPr>
              <w:t>2584.2</w:t>
            </w:r>
          </w:p>
        </w:tc>
        <w:tc>
          <w:tcPr>
            <w:tcW w:w="1129" w:type="dxa"/>
            <w:tcBorders>
              <w:top w:val="single" w:sz="4" w:space="0" w:color="auto"/>
              <w:left w:val="single" w:sz="4" w:space="0" w:color="auto"/>
            </w:tcBorders>
            <w:vAlign w:val="center"/>
          </w:tcPr>
          <w:p w14:paraId="74552251" w14:textId="77777777" w:rsidR="00C12106" w:rsidRPr="0006544B" w:rsidRDefault="00C12106" w:rsidP="005C159A">
            <w:pPr>
              <w:jc w:val="center"/>
              <w:rPr>
                <w:sz w:val="18"/>
                <w:szCs w:val="18"/>
                <w:lang w:val="en-US"/>
              </w:rPr>
            </w:pPr>
            <w:r w:rsidRPr="0006544B">
              <w:rPr>
                <w:rFonts w:eastAsia="Times New Roman"/>
                <w:sz w:val="18"/>
                <w:szCs w:val="18"/>
                <w:lang w:val="en-US" w:bidi="th-TH"/>
              </w:rPr>
              <w:t>13.24</w:t>
            </w:r>
          </w:p>
        </w:tc>
        <w:tc>
          <w:tcPr>
            <w:tcW w:w="1244" w:type="dxa"/>
            <w:gridSpan w:val="2"/>
            <w:tcBorders>
              <w:top w:val="single" w:sz="4" w:space="0" w:color="auto"/>
            </w:tcBorders>
            <w:vAlign w:val="center"/>
          </w:tcPr>
          <w:p w14:paraId="011263C9" w14:textId="77777777" w:rsidR="00C12106" w:rsidRPr="0006544B" w:rsidRDefault="00C12106" w:rsidP="005C159A">
            <w:pPr>
              <w:jc w:val="center"/>
              <w:rPr>
                <w:sz w:val="18"/>
                <w:szCs w:val="18"/>
                <w:lang w:val="en-US"/>
              </w:rPr>
            </w:pPr>
            <w:r w:rsidRPr="0006544B">
              <w:rPr>
                <w:rFonts w:eastAsia="Times New Roman"/>
                <w:sz w:val="18"/>
                <w:szCs w:val="18"/>
                <w:lang w:val="en-US" w:bidi="th-TH"/>
              </w:rPr>
              <w:t>15.15</w:t>
            </w:r>
          </w:p>
        </w:tc>
        <w:tc>
          <w:tcPr>
            <w:tcW w:w="1142" w:type="dxa"/>
            <w:tcBorders>
              <w:top w:val="single" w:sz="4" w:space="0" w:color="auto"/>
            </w:tcBorders>
            <w:vAlign w:val="center"/>
          </w:tcPr>
          <w:p w14:paraId="398ABEDB" w14:textId="77777777" w:rsidR="00C12106" w:rsidRPr="0006544B" w:rsidRDefault="00C12106" w:rsidP="005C159A">
            <w:pPr>
              <w:jc w:val="center"/>
              <w:rPr>
                <w:sz w:val="18"/>
                <w:szCs w:val="18"/>
                <w:lang w:val="en-US"/>
              </w:rPr>
            </w:pPr>
            <w:r w:rsidRPr="0006544B">
              <w:rPr>
                <w:rFonts w:eastAsia="Times New Roman"/>
                <w:sz w:val="18"/>
                <w:szCs w:val="18"/>
                <w:lang w:val="en-US" w:bidi="th-TH"/>
              </w:rPr>
              <w:t>18.35</w:t>
            </w:r>
          </w:p>
        </w:tc>
      </w:tr>
      <w:tr w:rsidR="00C12106" w:rsidRPr="0006544B" w14:paraId="7145751F" w14:textId="77777777" w:rsidTr="00C12106">
        <w:trPr>
          <w:jc w:val="center"/>
        </w:trPr>
        <w:tc>
          <w:tcPr>
            <w:tcW w:w="845" w:type="dxa"/>
          </w:tcPr>
          <w:p w14:paraId="2041D395" w14:textId="77777777" w:rsidR="00C12106" w:rsidRPr="0006544B" w:rsidRDefault="00C12106" w:rsidP="005C159A">
            <w:pPr>
              <w:jc w:val="center"/>
              <w:rPr>
                <w:rFonts w:eastAsia="Times New Roman"/>
                <w:sz w:val="18"/>
                <w:szCs w:val="18"/>
                <w:lang w:val="en-US" w:bidi="th-TH"/>
              </w:rPr>
            </w:pPr>
            <w:r w:rsidRPr="0006544B">
              <w:rPr>
                <w:rFonts w:eastAsia="Times New Roman"/>
                <w:sz w:val="18"/>
                <w:szCs w:val="18"/>
                <w:lang w:val="en-US" w:bidi="th-TH"/>
              </w:rPr>
              <w:t>FSP</w:t>
            </w:r>
          </w:p>
        </w:tc>
        <w:tc>
          <w:tcPr>
            <w:tcW w:w="1185" w:type="dxa"/>
          </w:tcPr>
          <w:p w14:paraId="185EB281" w14:textId="77777777" w:rsidR="00C12106" w:rsidRPr="0006544B" w:rsidRDefault="00C12106" w:rsidP="005C159A">
            <w:pPr>
              <w:jc w:val="center"/>
              <w:rPr>
                <w:sz w:val="18"/>
                <w:szCs w:val="18"/>
                <w:lang w:val="en-US"/>
              </w:rPr>
            </w:pPr>
            <w:r w:rsidRPr="0006544B">
              <w:rPr>
                <w:rFonts w:eastAsia="Times New Roman"/>
                <w:sz w:val="18"/>
                <w:szCs w:val="18"/>
                <w:lang w:val="en-US" w:bidi="th-TH"/>
              </w:rPr>
              <w:t>1547.6±40.7</w:t>
            </w:r>
            <w:r w:rsidRPr="0006544B">
              <w:rPr>
                <w:rFonts w:eastAsia="Times New Roman"/>
                <w:sz w:val="18"/>
                <w:szCs w:val="18"/>
                <w:vertAlign w:val="superscript"/>
                <w:lang w:val="en-US" w:bidi="th-TH"/>
              </w:rPr>
              <w:t>b</w:t>
            </w:r>
          </w:p>
        </w:tc>
        <w:tc>
          <w:tcPr>
            <w:tcW w:w="1128" w:type="dxa"/>
            <w:vAlign w:val="center"/>
          </w:tcPr>
          <w:p w14:paraId="03F2BB42" w14:textId="77777777" w:rsidR="00C12106" w:rsidRPr="0006544B" w:rsidRDefault="00C12106" w:rsidP="005C159A">
            <w:pPr>
              <w:jc w:val="center"/>
              <w:rPr>
                <w:sz w:val="18"/>
                <w:szCs w:val="18"/>
                <w:lang w:val="en-US"/>
              </w:rPr>
            </w:pPr>
            <w:r w:rsidRPr="0006544B">
              <w:rPr>
                <w:color w:val="000000" w:themeColor="text1"/>
                <w:sz w:val="18"/>
                <w:szCs w:val="18"/>
                <w:lang w:val="en-US" w:bidi="th-TH"/>
              </w:rPr>
              <w:t>1927.2</w:t>
            </w:r>
          </w:p>
        </w:tc>
        <w:tc>
          <w:tcPr>
            <w:tcW w:w="1129" w:type="dxa"/>
            <w:vAlign w:val="center"/>
          </w:tcPr>
          <w:p w14:paraId="120695E4" w14:textId="77777777" w:rsidR="00C12106" w:rsidRPr="0006544B" w:rsidRDefault="00C12106" w:rsidP="005C159A">
            <w:pPr>
              <w:jc w:val="center"/>
              <w:rPr>
                <w:sz w:val="18"/>
                <w:szCs w:val="18"/>
                <w:lang w:val="en-US"/>
              </w:rPr>
            </w:pPr>
            <w:r w:rsidRPr="0006544B">
              <w:rPr>
                <w:color w:val="000000" w:themeColor="text1"/>
                <w:sz w:val="18"/>
                <w:szCs w:val="18"/>
                <w:lang w:val="en-US" w:bidi="th-TH"/>
              </w:rPr>
              <w:t>2205.8</w:t>
            </w:r>
          </w:p>
        </w:tc>
        <w:tc>
          <w:tcPr>
            <w:tcW w:w="1269" w:type="dxa"/>
            <w:tcBorders>
              <w:right w:val="single" w:sz="4" w:space="0" w:color="auto"/>
            </w:tcBorders>
            <w:vAlign w:val="center"/>
          </w:tcPr>
          <w:p w14:paraId="21B1072C" w14:textId="77777777" w:rsidR="00C12106" w:rsidRPr="0006544B" w:rsidRDefault="00C12106" w:rsidP="005C159A">
            <w:pPr>
              <w:jc w:val="center"/>
              <w:rPr>
                <w:sz w:val="18"/>
                <w:szCs w:val="18"/>
                <w:lang w:val="en-US"/>
              </w:rPr>
            </w:pPr>
            <w:r w:rsidRPr="0006544B">
              <w:rPr>
                <w:sz w:val="18"/>
                <w:szCs w:val="18"/>
                <w:lang w:val="en-US" w:bidi="th-TH"/>
              </w:rPr>
              <w:t>2670.2</w:t>
            </w:r>
          </w:p>
        </w:tc>
        <w:tc>
          <w:tcPr>
            <w:tcW w:w="1129" w:type="dxa"/>
            <w:tcBorders>
              <w:left w:val="single" w:sz="4" w:space="0" w:color="auto"/>
            </w:tcBorders>
            <w:vAlign w:val="center"/>
          </w:tcPr>
          <w:p w14:paraId="1F6CF76E" w14:textId="77777777" w:rsidR="00C12106" w:rsidRPr="0006544B" w:rsidRDefault="00C12106" w:rsidP="005C159A">
            <w:pPr>
              <w:jc w:val="center"/>
              <w:rPr>
                <w:sz w:val="18"/>
                <w:szCs w:val="18"/>
                <w:lang w:val="en-US"/>
              </w:rPr>
            </w:pPr>
            <w:r w:rsidRPr="0006544B">
              <w:rPr>
                <w:rFonts w:eastAsia="Times New Roman"/>
                <w:sz w:val="18"/>
                <w:szCs w:val="18"/>
                <w:lang w:val="en-US" w:bidi="th-TH"/>
              </w:rPr>
              <w:t>12.25</w:t>
            </w:r>
          </w:p>
        </w:tc>
        <w:tc>
          <w:tcPr>
            <w:tcW w:w="1244" w:type="dxa"/>
            <w:gridSpan w:val="2"/>
            <w:vAlign w:val="center"/>
          </w:tcPr>
          <w:p w14:paraId="325D05A3" w14:textId="77777777" w:rsidR="00C12106" w:rsidRPr="0006544B" w:rsidRDefault="00C12106" w:rsidP="005C159A">
            <w:pPr>
              <w:jc w:val="center"/>
              <w:rPr>
                <w:sz w:val="18"/>
                <w:szCs w:val="18"/>
                <w:lang w:val="en-US"/>
              </w:rPr>
            </w:pPr>
            <w:r w:rsidRPr="0006544B">
              <w:rPr>
                <w:rFonts w:eastAsia="Times New Roman"/>
                <w:sz w:val="18"/>
                <w:szCs w:val="18"/>
                <w:lang w:val="en-US" w:bidi="th-TH"/>
              </w:rPr>
              <w:t>14.02</w:t>
            </w:r>
          </w:p>
        </w:tc>
        <w:tc>
          <w:tcPr>
            <w:tcW w:w="1142" w:type="dxa"/>
            <w:vAlign w:val="center"/>
          </w:tcPr>
          <w:p w14:paraId="35AE0D6A" w14:textId="77777777" w:rsidR="00C12106" w:rsidRPr="0006544B" w:rsidRDefault="00C12106" w:rsidP="005C159A">
            <w:pPr>
              <w:jc w:val="center"/>
              <w:rPr>
                <w:sz w:val="18"/>
                <w:szCs w:val="18"/>
                <w:lang w:val="en-US"/>
              </w:rPr>
            </w:pPr>
            <w:r w:rsidRPr="0006544B">
              <w:rPr>
                <w:rFonts w:eastAsia="Times New Roman"/>
                <w:sz w:val="18"/>
                <w:szCs w:val="18"/>
                <w:lang w:val="en-US" w:bidi="th-TH"/>
              </w:rPr>
              <w:t>16.97</w:t>
            </w:r>
          </w:p>
        </w:tc>
      </w:tr>
      <w:tr w:rsidR="00C12106" w:rsidRPr="0006544B" w14:paraId="78C4C0A0" w14:textId="77777777" w:rsidTr="00C12106">
        <w:trPr>
          <w:jc w:val="center"/>
        </w:trPr>
        <w:tc>
          <w:tcPr>
            <w:tcW w:w="845" w:type="dxa"/>
          </w:tcPr>
          <w:p w14:paraId="10AB0965" w14:textId="62145616" w:rsidR="00C12106" w:rsidRPr="0006544B" w:rsidRDefault="00C12106" w:rsidP="005C159A">
            <w:pPr>
              <w:jc w:val="center"/>
              <w:rPr>
                <w:rFonts w:eastAsia="Times New Roman"/>
                <w:sz w:val="18"/>
                <w:szCs w:val="18"/>
                <w:lang w:val="en-US" w:bidi="th-TH"/>
              </w:rPr>
            </w:pPr>
            <w:r w:rsidRPr="0006544B">
              <w:rPr>
                <w:rFonts w:eastAsia="Times New Roman"/>
                <w:sz w:val="18"/>
                <w:szCs w:val="18"/>
                <w:lang w:val="en-US" w:bidi="th-TH"/>
              </w:rPr>
              <w:t>CnG</w:t>
            </w:r>
            <w:r w:rsidR="00460F97">
              <w:rPr>
                <w:rFonts w:eastAsia="Times New Roman"/>
                <w:sz w:val="18"/>
                <w:szCs w:val="18"/>
                <w:lang w:val="en-US" w:bidi="th-TH"/>
              </w:rPr>
              <w:t>P</w:t>
            </w:r>
          </w:p>
        </w:tc>
        <w:tc>
          <w:tcPr>
            <w:tcW w:w="1185" w:type="dxa"/>
          </w:tcPr>
          <w:p w14:paraId="0C942729" w14:textId="77777777" w:rsidR="00C12106" w:rsidRPr="0006544B" w:rsidRDefault="00C12106" w:rsidP="005C159A">
            <w:pPr>
              <w:jc w:val="center"/>
              <w:rPr>
                <w:sz w:val="18"/>
                <w:szCs w:val="18"/>
                <w:lang w:val="en-US"/>
              </w:rPr>
            </w:pPr>
            <w:r w:rsidRPr="0006544B">
              <w:rPr>
                <w:rFonts w:eastAsia="Times New Roman"/>
                <w:sz w:val="18"/>
                <w:szCs w:val="18"/>
                <w:lang w:val="en-US" w:bidi="th-TH"/>
              </w:rPr>
              <w:t>1839.6±44.4</w:t>
            </w:r>
            <w:r w:rsidRPr="0006544B">
              <w:rPr>
                <w:rFonts w:eastAsia="Times New Roman"/>
                <w:sz w:val="18"/>
                <w:szCs w:val="18"/>
                <w:vertAlign w:val="superscript"/>
                <w:lang w:val="en-US" w:bidi="th-TH"/>
              </w:rPr>
              <w:t>d</w:t>
            </w:r>
          </w:p>
        </w:tc>
        <w:tc>
          <w:tcPr>
            <w:tcW w:w="1128" w:type="dxa"/>
            <w:vAlign w:val="center"/>
          </w:tcPr>
          <w:p w14:paraId="2AAEFD9A" w14:textId="77777777" w:rsidR="00C12106" w:rsidRPr="0006544B" w:rsidRDefault="00C12106" w:rsidP="005C159A">
            <w:pPr>
              <w:jc w:val="center"/>
              <w:rPr>
                <w:sz w:val="18"/>
                <w:szCs w:val="18"/>
                <w:lang w:val="en-US"/>
              </w:rPr>
            </w:pPr>
            <w:r w:rsidRPr="0006544B">
              <w:rPr>
                <w:color w:val="000000" w:themeColor="text1"/>
                <w:sz w:val="18"/>
                <w:szCs w:val="18"/>
                <w:lang w:val="en-US" w:bidi="th-TH"/>
              </w:rPr>
              <w:t>2290.8</w:t>
            </w:r>
          </w:p>
        </w:tc>
        <w:tc>
          <w:tcPr>
            <w:tcW w:w="1129" w:type="dxa"/>
            <w:vAlign w:val="center"/>
          </w:tcPr>
          <w:p w14:paraId="1643CF25" w14:textId="77777777" w:rsidR="00C12106" w:rsidRPr="0006544B" w:rsidRDefault="00C12106" w:rsidP="005C159A">
            <w:pPr>
              <w:jc w:val="center"/>
              <w:rPr>
                <w:sz w:val="18"/>
                <w:szCs w:val="18"/>
                <w:lang w:val="en-US"/>
              </w:rPr>
            </w:pPr>
            <w:r w:rsidRPr="0006544B">
              <w:rPr>
                <w:color w:val="000000" w:themeColor="text1"/>
                <w:sz w:val="18"/>
                <w:szCs w:val="18"/>
                <w:lang w:val="en-US" w:bidi="th-TH"/>
              </w:rPr>
              <w:t>2622.0</w:t>
            </w:r>
          </w:p>
        </w:tc>
        <w:tc>
          <w:tcPr>
            <w:tcW w:w="1269" w:type="dxa"/>
            <w:tcBorders>
              <w:right w:val="single" w:sz="4" w:space="0" w:color="auto"/>
            </w:tcBorders>
            <w:vAlign w:val="center"/>
          </w:tcPr>
          <w:p w14:paraId="426E7BE2" w14:textId="77777777" w:rsidR="00C12106" w:rsidRPr="0006544B" w:rsidRDefault="00C12106" w:rsidP="005C159A">
            <w:pPr>
              <w:jc w:val="center"/>
              <w:rPr>
                <w:sz w:val="18"/>
                <w:szCs w:val="18"/>
                <w:lang w:val="en-US"/>
              </w:rPr>
            </w:pPr>
            <w:r w:rsidRPr="0006544B">
              <w:rPr>
                <w:sz w:val="18"/>
                <w:szCs w:val="18"/>
                <w:lang w:val="en-US" w:bidi="th-TH"/>
              </w:rPr>
              <w:t>3173.9</w:t>
            </w:r>
          </w:p>
        </w:tc>
        <w:tc>
          <w:tcPr>
            <w:tcW w:w="1129" w:type="dxa"/>
            <w:tcBorders>
              <w:left w:val="single" w:sz="4" w:space="0" w:color="auto"/>
            </w:tcBorders>
            <w:vAlign w:val="center"/>
          </w:tcPr>
          <w:p w14:paraId="239364D8" w14:textId="77777777" w:rsidR="00C12106" w:rsidRPr="0006544B" w:rsidRDefault="00C12106" w:rsidP="005C159A">
            <w:pPr>
              <w:jc w:val="center"/>
              <w:rPr>
                <w:sz w:val="18"/>
                <w:szCs w:val="18"/>
                <w:lang w:val="en-US"/>
              </w:rPr>
            </w:pPr>
            <w:r w:rsidRPr="0006544B">
              <w:rPr>
                <w:rFonts w:eastAsia="Times New Roman"/>
                <w:sz w:val="18"/>
                <w:szCs w:val="18"/>
                <w:lang w:val="en-US" w:bidi="th-TH"/>
              </w:rPr>
              <w:t>22.34</w:t>
            </w:r>
          </w:p>
        </w:tc>
        <w:tc>
          <w:tcPr>
            <w:tcW w:w="1244" w:type="dxa"/>
            <w:gridSpan w:val="2"/>
            <w:vAlign w:val="center"/>
          </w:tcPr>
          <w:p w14:paraId="689080D7" w14:textId="77777777" w:rsidR="00C12106" w:rsidRPr="0006544B" w:rsidRDefault="00C12106" w:rsidP="005C159A">
            <w:pPr>
              <w:jc w:val="center"/>
              <w:rPr>
                <w:sz w:val="18"/>
                <w:szCs w:val="18"/>
                <w:lang w:val="en-US"/>
              </w:rPr>
            </w:pPr>
            <w:r w:rsidRPr="0006544B">
              <w:rPr>
                <w:rFonts w:eastAsia="Times New Roman"/>
                <w:sz w:val="18"/>
                <w:szCs w:val="18"/>
                <w:lang w:val="en-US" w:bidi="th-TH"/>
              </w:rPr>
              <w:t>25.57</w:t>
            </w:r>
          </w:p>
        </w:tc>
        <w:tc>
          <w:tcPr>
            <w:tcW w:w="1142" w:type="dxa"/>
            <w:vAlign w:val="center"/>
          </w:tcPr>
          <w:p w14:paraId="0AABB829" w14:textId="77777777" w:rsidR="00C12106" w:rsidRPr="0006544B" w:rsidRDefault="00C12106" w:rsidP="005C159A">
            <w:pPr>
              <w:jc w:val="center"/>
              <w:rPr>
                <w:sz w:val="18"/>
                <w:szCs w:val="18"/>
                <w:lang w:val="en-US"/>
              </w:rPr>
            </w:pPr>
            <w:r w:rsidRPr="0006544B">
              <w:rPr>
                <w:rFonts w:eastAsia="Times New Roman"/>
                <w:sz w:val="18"/>
                <w:szCs w:val="18"/>
                <w:lang w:val="en-US" w:bidi="th-TH"/>
              </w:rPr>
              <w:t>30.96</w:t>
            </w:r>
          </w:p>
        </w:tc>
      </w:tr>
      <w:tr w:rsidR="00C12106" w:rsidRPr="0006544B" w14:paraId="28399264" w14:textId="77777777" w:rsidTr="00C12106">
        <w:trPr>
          <w:jc w:val="center"/>
        </w:trPr>
        <w:tc>
          <w:tcPr>
            <w:tcW w:w="845" w:type="dxa"/>
            <w:tcBorders>
              <w:bottom w:val="single" w:sz="4" w:space="0" w:color="auto"/>
            </w:tcBorders>
          </w:tcPr>
          <w:p w14:paraId="2F1EC21F" w14:textId="77777777" w:rsidR="00C12106" w:rsidRPr="0006544B" w:rsidRDefault="00C12106" w:rsidP="005C159A">
            <w:pPr>
              <w:jc w:val="center"/>
              <w:rPr>
                <w:rFonts w:eastAsia="Times New Roman"/>
                <w:sz w:val="18"/>
                <w:szCs w:val="18"/>
                <w:lang w:val="en-US" w:bidi="th-TH"/>
              </w:rPr>
            </w:pPr>
            <w:r w:rsidRPr="0006544B">
              <w:rPr>
                <w:rFonts w:eastAsia="Times New Roman"/>
                <w:sz w:val="18"/>
                <w:szCs w:val="18"/>
                <w:lang w:val="en-US" w:bidi="th-TH"/>
              </w:rPr>
              <w:t>CGP</w:t>
            </w:r>
          </w:p>
        </w:tc>
        <w:tc>
          <w:tcPr>
            <w:tcW w:w="1185" w:type="dxa"/>
            <w:tcBorders>
              <w:bottom w:val="single" w:sz="4" w:space="0" w:color="auto"/>
            </w:tcBorders>
          </w:tcPr>
          <w:p w14:paraId="4A09ECD0" w14:textId="77777777" w:rsidR="00C12106" w:rsidRPr="0006544B" w:rsidRDefault="00C12106" w:rsidP="005C159A">
            <w:pPr>
              <w:jc w:val="center"/>
              <w:rPr>
                <w:sz w:val="18"/>
                <w:szCs w:val="18"/>
                <w:lang w:val="en-US"/>
              </w:rPr>
            </w:pPr>
            <w:r w:rsidRPr="0006544B">
              <w:rPr>
                <w:rFonts w:eastAsia="Times New Roman"/>
                <w:sz w:val="18"/>
                <w:szCs w:val="18"/>
                <w:lang w:val="en-US" w:bidi="th-TH"/>
              </w:rPr>
              <w:t>1751.7±28.3</w:t>
            </w:r>
            <w:r w:rsidRPr="0006544B">
              <w:rPr>
                <w:rFonts w:eastAsia="Times New Roman"/>
                <w:sz w:val="18"/>
                <w:szCs w:val="18"/>
                <w:vertAlign w:val="superscript"/>
                <w:lang w:val="en-US" w:bidi="th-TH"/>
              </w:rPr>
              <w:t>c</w:t>
            </w:r>
          </w:p>
        </w:tc>
        <w:tc>
          <w:tcPr>
            <w:tcW w:w="1128" w:type="dxa"/>
            <w:tcBorders>
              <w:bottom w:val="single" w:sz="4" w:space="0" w:color="auto"/>
            </w:tcBorders>
            <w:vAlign w:val="center"/>
          </w:tcPr>
          <w:p w14:paraId="79CEC153" w14:textId="77777777" w:rsidR="00C12106" w:rsidRPr="0006544B" w:rsidRDefault="00C12106" w:rsidP="005C159A">
            <w:pPr>
              <w:jc w:val="center"/>
              <w:rPr>
                <w:sz w:val="18"/>
                <w:szCs w:val="18"/>
                <w:lang w:val="en-US"/>
              </w:rPr>
            </w:pPr>
            <w:r w:rsidRPr="0006544B">
              <w:rPr>
                <w:color w:val="000000" w:themeColor="text1"/>
                <w:sz w:val="18"/>
                <w:szCs w:val="18"/>
                <w:lang w:val="en-US" w:bidi="th-TH"/>
              </w:rPr>
              <w:t>2181.4</w:t>
            </w:r>
          </w:p>
        </w:tc>
        <w:tc>
          <w:tcPr>
            <w:tcW w:w="1129" w:type="dxa"/>
            <w:tcBorders>
              <w:bottom w:val="single" w:sz="4" w:space="0" w:color="auto"/>
            </w:tcBorders>
            <w:vAlign w:val="center"/>
          </w:tcPr>
          <w:p w14:paraId="0BDB7E39" w14:textId="77777777" w:rsidR="00C12106" w:rsidRPr="0006544B" w:rsidRDefault="00C12106" w:rsidP="005C159A">
            <w:pPr>
              <w:jc w:val="center"/>
              <w:rPr>
                <w:sz w:val="18"/>
                <w:szCs w:val="18"/>
                <w:lang w:val="en-US"/>
              </w:rPr>
            </w:pPr>
            <w:r w:rsidRPr="0006544B">
              <w:rPr>
                <w:color w:val="000000" w:themeColor="text1"/>
                <w:sz w:val="18"/>
                <w:szCs w:val="18"/>
                <w:lang w:val="en-US" w:bidi="th-TH"/>
              </w:rPr>
              <w:t>2496.7</w:t>
            </w:r>
          </w:p>
        </w:tc>
        <w:tc>
          <w:tcPr>
            <w:tcW w:w="1269" w:type="dxa"/>
            <w:tcBorders>
              <w:bottom w:val="single" w:sz="4" w:space="0" w:color="auto"/>
              <w:right w:val="single" w:sz="4" w:space="0" w:color="auto"/>
            </w:tcBorders>
            <w:vAlign w:val="center"/>
          </w:tcPr>
          <w:p w14:paraId="7E8607ED" w14:textId="77777777" w:rsidR="00C12106" w:rsidRPr="0006544B" w:rsidRDefault="00C12106" w:rsidP="005C159A">
            <w:pPr>
              <w:jc w:val="center"/>
              <w:rPr>
                <w:sz w:val="18"/>
                <w:szCs w:val="18"/>
                <w:lang w:val="en-US"/>
              </w:rPr>
            </w:pPr>
            <w:r w:rsidRPr="0006544B">
              <w:rPr>
                <w:sz w:val="18"/>
                <w:szCs w:val="18"/>
                <w:lang w:val="en-US" w:bidi="th-TH"/>
              </w:rPr>
              <w:t>3022.4</w:t>
            </w:r>
          </w:p>
        </w:tc>
        <w:tc>
          <w:tcPr>
            <w:tcW w:w="1129" w:type="dxa"/>
            <w:tcBorders>
              <w:left w:val="single" w:sz="4" w:space="0" w:color="auto"/>
              <w:bottom w:val="single" w:sz="4" w:space="0" w:color="auto"/>
            </w:tcBorders>
            <w:vAlign w:val="center"/>
          </w:tcPr>
          <w:p w14:paraId="76EB0A47" w14:textId="77777777" w:rsidR="00C12106" w:rsidRPr="0006544B" w:rsidRDefault="00C12106" w:rsidP="005C159A">
            <w:pPr>
              <w:jc w:val="center"/>
              <w:rPr>
                <w:sz w:val="18"/>
                <w:szCs w:val="18"/>
                <w:lang w:val="en-US"/>
              </w:rPr>
            </w:pPr>
            <w:r w:rsidRPr="0006544B">
              <w:rPr>
                <w:rFonts w:eastAsia="Times New Roman"/>
                <w:sz w:val="18"/>
                <w:szCs w:val="18"/>
                <w:lang w:val="en-US" w:bidi="th-TH"/>
              </w:rPr>
              <w:t>22.72</w:t>
            </w:r>
          </w:p>
        </w:tc>
        <w:tc>
          <w:tcPr>
            <w:tcW w:w="1244" w:type="dxa"/>
            <w:gridSpan w:val="2"/>
            <w:tcBorders>
              <w:bottom w:val="single" w:sz="4" w:space="0" w:color="auto"/>
            </w:tcBorders>
            <w:vAlign w:val="center"/>
          </w:tcPr>
          <w:p w14:paraId="31F6374F" w14:textId="77777777" w:rsidR="00C12106" w:rsidRPr="0006544B" w:rsidRDefault="00C12106" w:rsidP="005C159A">
            <w:pPr>
              <w:jc w:val="center"/>
              <w:rPr>
                <w:sz w:val="18"/>
                <w:szCs w:val="18"/>
                <w:lang w:val="en-US"/>
              </w:rPr>
            </w:pPr>
            <w:r w:rsidRPr="0006544B">
              <w:rPr>
                <w:rFonts w:eastAsia="Times New Roman"/>
                <w:sz w:val="18"/>
                <w:szCs w:val="18"/>
                <w:lang w:val="en-US" w:bidi="th-TH"/>
              </w:rPr>
              <w:t>26.01</w:t>
            </w:r>
          </w:p>
        </w:tc>
        <w:tc>
          <w:tcPr>
            <w:tcW w:w="1142" w:type="dxa"/>
            <w:tcBorders>
              <w:bottom w:val="single" w:sz="4" w:space="0" w:color="auto"/>
            </w:tcBorders>
            <w:vAlign w:val="center"/>
          </w:tcPr>
          <w:p w14:paraId="4DB4B2BB" w14:textId="77777777" w:rsidR="00C12106" w:rsidRPr="0006544B" w:rsidRDefault="00C12106" w:rsidP="005C159A">
            <w:pPr>
              <w:jc w:val="center"/>
              <w:rPr>
                <w:sz w:val="18"/>
                <w:szCs w:val="18"/>
                <w:lang w:val="en-US"/>
              </w:rPr>
            </w:pPr>
            <w:r w:rsidRPr="0006544B">
              <w:rPr>
                <w:rFonts w:eastAsia="Times New Roman"/>
                <w:sz w:val="18"/>
                <w:szCs w:val="18"/>
                <w:lang w:val="en-US" w:bidi="th-TH"/>
              </w:rPr>
              <w:t>31.48</w:t>
            </w:r>
          </w:p>
        </w:tc>
      </w:tr>
      <w:tr w:rsidR="00C12106" w:rsidRPr="0006544B" w14:paraId="180AB4C7" w14:textId="77777777" w:rsidTr="00C12106">
        <w:trPr>
          <w:jc w:val="center"/>
        </w:trPr>
        <w:tc>
          <w:tcPr>
            <w:tcW w:w="2030" w:type="dxa"/>
            <w:gridSpan w:val="2"/>
            <w:tcBorders>
              <w:bottom w:val="single" w:sz="4" w:space="0" w:color="auto"/>
            </w:tcBorders>
          </w:tcPr>
          <w:p w14:paraId="43B1D3BB" w14:textId="77777777" w:rsidR="00C12106" w:rsidRPr="0006544B" w:rsidRDefault="00C12106" w:rsidP="005C159A">
            <w:pPr>
              <w:jc w:val="center"/>
              <w:rPr>
                <w:sz w:val="18"/>
                <w:szCs w:val="18"/>
                <w:lang w:val="en-US"/>
              </w:rPr>
            </w:pPr>
            <w:r w:rsidRPr="0006544B">
              <w:rPr>
                <w:rFonts w:eastAsia="Times New Roman"/>
                <w:sz w:val="18"/>
                <w:szCs w:val="18"/>
                <w:lang w:val="en-US" w:bidi="th-TH"/>
              </w:rPr>
              <w:t>RDI Average BME</w:t>
            </w:r>
          </w:p>
        </w:tc>
        <w:tc>
          <w:tcPr>
            <w:tcW w:w="1128" w:type="dxa"/>
            <w:tcBorders>
              <w:bottom w:val="single" w:sz="4" w:space="0" w:color="auto"/>
            </w:tcBorders>
            <w:vAlign w:val="center"/>
          </w:tcPr>
          <w:p w14:paraId="181478C4" w14:textId="77777777" w:rsidR="00C12106" w:rsidRPr="0006544B" w:rsidRDefault="00C12106" w:rsidP="005C159A">
            <w:pPr>
              <w:jc w:val="center"/>
              <w:rPr>
                <w:sz w:val="18"/>
                <w:szCs w:val="18"/>
                <w:lang w:val="en-US"/>
              </w:rPr>
            </w:pPr>
            <w:r w:rsidRPr="0006544B">
              <w:rPr>
                <w:rFonts w:eastAsia="Times New Roman"/>
                <w:color w:val="000000" w:themeColor="text1"/>
                <w:sz w:val="18"/>
                <w:szCs w:val="18"/>
                <w:lang w:val="en-US" w:bidi="th-TH"/>
              </w:rPr>
              <w:t>1490.0</w:t>
            </w:r>
          </w:p>
        </w:tc>
        <w:tc>
          <w:tcPr>
            <w:tcW w:w="1129" w:type="dxa"/>
            <w:tcBorders>
              <w:bottom w:val="single" w:sz="4" w:space="0" w:color="auto"/>
            </w:tcBorders>
            <w:vAlign w:val="center"/>
          </w:tcPr>
          <w:p w14:paraId="6469A3C9" w14:textId="77777777" w:rsidR="00C12106" w:rsidRPr="0006544B" w:rsidRDefault="00C12106" w:rsidP="005C159A">
            <w:pPr>
              <w:jc w:val="center"/>
              <w:rPr>
                <w:sz w:val="18"/>
                <w:szCs w:val="18"/>
                <w:lang w:val="en-US"/>
              </w:rPr>
            </w:pPr>
            <w:r w:rsidRPr="0006544B">
              <w:rPr>
                <w:rFonts w:eastAsia="Times New Roman"/>
                <w:sz w:val="18"/>
                <w:szCs w:val="18"/>
                <w:lang w:val="en-US" w:bidi="th-TH"/>
              </w:rPr>
              <w:t>2004.0</w:t>
            </w:r>
          </w:p>
        </w:tc>
        <w:tc>
          <w:tcPr>
            <w:tcW w:w="1269" w:type="dxa"/>
            <w:tcBorders>
              <w:bottom w:val="single" w:sz="4" w:space="0" w:color="auto"/>
            </w:tcBorders>
            <w:vAlign w:val="center"/>
          </w:tcPr>
          <w:p w14:paraId="43BD32C8" w14:textId="77777777" w:rsidR="00C12106" w:rsidRPr="0006544B" w:rsidRDefault="00C12106" w:rsidP="005C159A">
            <w:pPr>
              <w:jc w:val="center"/>
              <w:rPr>
                <w:sz w:val="18"/>
                <w:szCs w:val="18"/>
                <w:lang w:val="en-US"/>
              </w:rPr>
            </w:pPr>
            <w:r w:rsidRPr="0006544B">
              <w:rPr>
                <w:rFonts w:eastAsia="Times New Roman"/>
                <w:sz w:val="18"/>
                <w:szCs w:val="18"/>
                <w:lang w:val="en-US" w:bidi="th-TH"/>
              </w:rPr>
              <w:t>3230.0</w:t>
            </w:r>
          </w:p>
        </w:tc>
        <w:tc>
          <w:tcPr>
            <w:tcW w:w="1129" w:type="dxa"/>
            <w:tcBorders>
              <w:bottom w:val="single" w:sz="4" w:space="0" w:color="auto"/>
            </w:tcBorders>
            <w:vAlign w:val="center"/>
          </w:tcPr>
          <w:p w14:paraId="4C51F78D" w14:textId="77777777" w:rsidR="00C12106" w:rsidRPr="0006544B" w:rsidRDefault="00C12106" w:rsidP="005C159A">
            <w:pPr>
              <w:jc w:val="center"/>
              <w:rPr>
                <w:sz w:val="18"/>
                <w:szCs w:val="18"/>
                <w:lang w:val="en-US"/>
              </w:rPr>
            </w:pPr>
            <w:r w:rsidRPr="0006544B">
              <w:rPr>
                <w:rFonts w:eastAsia="Times New Roman"/>
                <w:sz w:val="18"/>
                <w:szCs w:val="18"/>
                <w:lang w:val="en-US" w:bidi="th-TH"/>
              </w:rPr>
              <w:t>2.00</w:t>
            </w:r>
          </w:p>
        </w:tc>
        <w:tc>
          <w:tcPr>
            <w:tcW w:w="1244" w:type="dxa"/>
            <w:gridSpan w:val="2"/>
            <w:tcBorders>
              <w:bottom w:val="single" w:sz="4" w:space="0" w:color="auto"/>
            </w:tcBorders>
            <w:vAlign w:val="center"/>
          </w:tcPr>
          <w:p w14:paraId="7F92AE57" w14:textId="77777777" w:rsidR="00C12106" w:rsidRPr="0006544B" w:rsidRDefault="00C12106" w:rsidP="005C159A">
            <w:pPr>
              <w:jc w:val="center"/>
              <w:rPr>
                <w:sz w:val="18"/>
                <w:szCs w:val="18"/>
                <w:lang w:val="en-US"/>
              </w:rPr>
            </w:pPr>
            <w:r w:rsidRPr="0006544B">
              <w:rPr>
                <w:rFonts w:eastAsia="Times New Roman"/>
                <w:sz w:val="18"/>
                <w:szCs w:val="18"/>
                <w:lang w:val="en-US" w:bidi="th-TH"/>
              </w:rPr>
              <w:t>3.10</w:t>
            </w:r>
          </w:p>
        </w:tc>
        <w:tc>
          <w:tcPr>
            <w:tcW w:w="1142" w:type="dxa"/>
            <w:tcBorders>
              <w:bottom w:val="single" w:sz="4" w:space="0" w:color="auto"/>
            </w:tcBorders>
            <w:vAlign w:val="center"/>
          </w:tcPr>
          <w:p w14:paraId="393742CE" w14:textId="77777777" w:rsidR="00C12106" w:rsidRPr="0006544B" w:rsidRDefault="00C12106" w:rsidP="005C159A">
            <w:pPr>
              <w:jc w:val="center"/>
              <w:rPr>
                <w:sz w:val="18"/>
                <w:szCs w:val="18"/>
                <w:lang w:val="en-US"/>
              </w:rPr>
            </w:pPr>
            <w:r w:rsidRPr="0006544B">
              <w:rPr>
                <w:rFonts w:eastAsia="Times New Roman"/>
                <w:sz w:val="18"/>
                <w:szCs w:val="18"/>
                <w:lang w:val="en-US" w:bidi="th-TH"/>
              </w:rPr>
              <w:t>5.00</w:t>
            </w:r>
          </w:p>
        </w:tc>
      </w:tr>
    </w:tbl>
    <w:p w14:paraId="30D7C9AF" w14:textId="77777777" w:rsidR="004B725E" w:rsidRPr="00213264" w:rsidRDefault="004B725E" w:rsidP="00EC6AB3">
      <w:pPr>
        <w:jc w:val="both"/>
        <w:rPr>
          <w:rFonts w:ascii="Times New Roman" w:hAnsi="Times New Roman" w:cs="Times New Roman"/>
          <w:b/>
          <w:bCs/>
          <w:sz w:val="20"/>
          <w:szCs w:val="20"/>
          <w:u w:val="single"/>
          <w:lang w:val="en-US"/>
        </w:rPr>
      </w:pPr>
    </w:p>
    <w:p w14:paraId="649E3FE9" w14:textId="020E4CF4" w:rsidR="00724FB3" w:rsidRPr="00724FB3" w:rsidRDefault="002E1E84" w:rsidP="00775AAC">
      <w:pPr>
        <w:pStyle w:val="Titolo2"/>
        <w:numPr>
          <w:ilvl w:val="1"/>
          <w:numId w:val="1"/>
        </w:numPr>
        <w:spacing w:before="0"/>
        <w:rPr>
          <w:rFonts w:ascii="Times New Roman" w:hAnsi="Times New Roman" w:cs="Times New Roman"/>
          <w:b/>
          <w:bCs/>
          <w:color w:val="000000" w:themeColor="text1"/>
          <w:sz w:val="20"/>
          <w:szCs w:val="20"/>
          <w:lang w:val="en-US"/>
        </w:rPr>
      </w:pPr>
      <w:bookmarkStart w:id="6" w:name="_Hlk137120759"/>
      <w:r>
        <w:rPr>
          <w:rFonts w:ascii="Times New Roman" w:hAnsi="Times New Roman" w:cs="Times New Roman"/>
          <w:b/>
          <w:bCs/>
          <w:color w:val="000000" w:themeColor="text1"/>
          <w:sz w:val="20"/>
          <w:szCs w:val="20"/>
          <w:lang w:val="en-US"/>
        </w:rPr>
        <w:t xml:space="preserve">Functional properties - </w:t>
      </w:r>
      <w:r w:rsidR="00F86274" w:rsidRPr="00115A64">
        <w:rPr>
          <w:rFonts w:ascii="Times New Roman" w:hAnsi="Times New Roman" w:cs="Times New Roman"/>
          <w:b/>
          <w:bCs/>
          <w:color w:val="000000" w:themeColor="text1"/>
          <w:sz w:val="20"/>
          <w:szCs w:val="20"/>
          <w:lang w:val="en-US"/>
        </w:rPr>
        <w:t>Viscosity</w:t>
      </w:r>
    </w:p>
    <w:p w14:paraId="360AEA89" w14:textId="29FAEC92" w:rsidR="003C2B4D" w:rsidRDefault="00030805" w:rsidP="00F86274">
      <w:pPr>
        <w:jc w:val="both"/>
        <w:rPr>
          <w:rFonts w:ascii="Times New Roman" w:hAnsi="Times New Roman" w:cs="Times New Roman"/>
          <w:sz w:val="20"/>
          <w:szCs w:val="20"/>
          <w:lang w:val="en-US"/>
        </w:rPr>
      </w:pPr>
      <w:r>
        <w:rPr>
          <w:rFonts w:ascii="Times New Roman" w:hAnsi="Times New Roman" w:cs="Times New Roman"/>
          <w:sz w:val="20"/>
          <w:szCs w:val="20"/>
          <w:lang w:val="en-US"/>
        </w:rPr>
        <w:t>V</w:t>
      </w:r>
      <w:r w:rsidR="00F86274" w:rsidRPr="0022306B">
        <w:rPr>
          <w:rFonts w:ascii="Times New Roman" w:hAnsi="Times New Roman" w:cs="Times New Roman"/>
          <w:sz w:val="20"/>
          <w:szCs w:val="20"/>
          <w:lang w:val="en-US"/>
        </w:rPr>
        <w:t xml:space="preserve">iscosity of the blended porridge samples is shown in Figure </w:t>
      </w:r>
      <w:r w:rsidR="003C2B4D">
        <w:rPr>
          <w:rFonts w:ascii="Times New Roman" w:hAnsi="Times New Roman" w:cs="Times New Roman"/>
          <w:sz w:val="20"/>
          <w:szCs w:val="20"/>
          <w:lang w:val="en-US"/>
        </w:rPr>
        <w:t>3</w:t>
      </w:r>
      <w:r w:rsidR="00412446">
        <w:rPr>
          <w:rFonts w:ascii="Times New Roman" w:hAnsi="Times New Roman" w:cs="Times New Roman"/>
          <w:sz w:val="20"/>
          <w:szCs w:val="20"/>
          <w:lang w:val="en-US"/>
        </w:rPr>
        <w:t>A</w:t>
      </w:r>
      <w:r w:rsidR="00F86274" w:rsidRPr="0022306B">
        <w:rPr>
          <w:rFonts w:ascii="Times New Roman" w:hAnsi="Times New Roman" w:cs="Times New Roman"/>
          <w:sz w:val="20"/>
          <w:szCs w:val="20"/>
          <w:lang w:val="en-US"/>
        </w:rPr>
        <w:t xml:space="preserve">. </w:t>
      </w:r>
      <w:r>
        <w:rPr>
          <w:rFonts w:ascii="Times New Roman" w:hAnsi="Times New Roman" w:cs="Times New Roman"/>
          <w:sz w:val="20"/>
          <w:szCs w:val="20"/>
          <w:lang w:val="en-US"/>
        </w:rPr>
        <w:t>V</w:t>
      </w:r>
      <w:r w:rsidR="00F86274" w:rsidRPr="0022306B">
        <w:rPr>
          <w:rFonts w:ascii="Times New Roman" w:hAnsi="Times New Roman" w:cs="Times New Roman"/>
          <w:sz w:val="20"/>
          <w:szCs w:val="20"/>
          <w:lang w:val="en-US"/>
        </w:rPr>
        <w:t>iscosity decreased in the order FSP&gt; CnG</w:t>
      </w:r>
      <w:r w:rsidR="0016149C">
        <w:rPr>
          <w:rFonts w:ascii="Times New Roman" w:hAnsi="Times New Roman" w:cs="Times New Roman"/>
          <w:sz w:val="20"/>
          <w:szCs w:val="20"/>
          <w:lang w:val="en-US"/>
        </w:rPr>
        <w:t>P</w:t>
      </w:r>
      <w:r w:rsidR="00F86274" w:rsidRPr="0022306B">
        <w:rPr>
          <w:rFonts w:ascii="Times New Roman" w:hAnsi="Times New Roman" w:cs="Times New Roman"/>
          <w:sz w:val="20"/>
          <w:szCs w:val="20"/>
          <w:lang w:val="en-US"/>
        </w:rPr>
        <w:t>&gt; CG</w:t>
      </w:r>
      <w:r w:rsidR="0016149C">
        <w:rPr>
          <w:rFonts w:ascii="Times New Roman" w:hAnsi="Times New Roman" w:cs="Times New Roman"/>
          <w:sz w:val="20"/>
          <w:szCs w:val="20"/>
          <w:lang w:val="en-US"/>
        </w:rPr>
        <w:t>P</w:t>
      </w:r>
      <w:r w:rsidR="00F86274" w:rsidRPr="0022306B">
        <w:rPr>
          <w:rFonts w:ascii="Times New Roman" w:hAnsi="Times New Roman" w:cs="Times New Roman"/>
          <w:sz w:val="20"/>
          <w:szCs w:val="20"/>
          <w:lang w:val="en-US"/>
        </w:rPr>
        <w:t>~SP. The viscosity of all samples decreased with increasing shear rate (0.1-100s-1) indicating that the porridges exhibited pseudo-plastic behaviour also known as shear thinning behaviour.</w:t>
      </w:r>
      <w:r w:rsidR="001E25A6">
        <w:rPr>
          <w:rFonts w:ascii="Times New Roman" w:hAnsi="Times New Roman" w:cs="Times New Roman"/>
          <w:sz w:val="20"/>
          <w:szCs w:val="20"/>
          <w:lang w:val="en-US"/>
        </w:rPr>
        <w:t xml:space="preserve"> </w:t>
      </w:r>
      <w:r w:rsidR="003C2B4D" w:rsidRPr="0022306B">
        <w:rPr>
          <w:rFonts w:ascii="Times New Roman" w:hAnsi="Times New Roman" w:cs="Times New Roman"/>
          <w:sz w:val="20"/>
          <w:szCs w:val="20"/>
          <w:lang w:val="en-US"/>
        </w:rPr>
        <w:t>Typically,</w:t>
      </w:r>
      <w:r w:rsidR="00F86274" w:rsidRPr="0022306B">
        <w:rPr>
          <w:rFonts w:ascii="Times New Roman" w:hAnsi="Times New Roman" w:cs="Times New Roman"/>
          <w:sz w:val="20"/>
          <w:szCs w:val="20"/>
          <w:lang w:val="en-US"/>
        </w:rPr>
        <w:t xml:space="preserve"> during fermentation and germination, amylose and amylopectin are hydrolysed, resulting in significant absorption of water and reduced viscosity when preparing porridge. The reduced viscosity increases the nutrient density in weaning </w:t>
      </w:r>
      <w:r w:rsidR="00F86274" w:rsidRPr="00215D4F">
        <w:rPr>
          <w:rFonts w:ascii="Times New Roman" w:hAnsi="Times New Roman" w:cs="Times New Roman"/>
          <w:sz w:val="20"/>
          <w:szCs w:val="20"/>
          <w:lang w:val="en-US"/>
        </w:rPr>
        <w:t>foods (Chaves-López et al., 2020).</w:t>
      </w:r>
      <w:r w:rsidR="00F36F60" w:rsidRPr="00215D4F">
        <w:rPr>
          <w:rFonts w:ascii="Times New Roman" w:hAnsi="Times New Roman" w:cs="Times New Roman"/>
          <w:sz w:val="20"/>
          <w:szCs w:val="20"/>
          <w:lang w:val="en-US"/>
        </w:rPr>
        <w:t xml:space="preserve"> </w:t>
      </w:r>
      <w:r w:rsidR="003C2B4D" w:rsidRPr="00215D4F">
        <w:rPr>
          <w:rFonts w:ascii="Times New Roman" w:hAnsi="Times New Roman" w:cs="Times New Roman"/>
          <w:sz w:val="20"/>
          <w:szCs w:val="20"/>
          <w:lang w:val="en-US"/>
        </w:rPr>
        <w:t>However</w:t>
      </w:r>
      <w:r w:rsidR="003C2B4D" w:rsidRPr="003C2B4D">
        <w:rPr>
          <w:rFonts w:ascii="Times New Roman" w:hAnsi="Times New Roman" w:cs="Times New Roman"/>
          <w:sz w:val="20"/>
          <w:szCs w:val="20"/>
          <w:lang w:val="en-US"/>
        </w:rPr>
        <w:t>, the current formulation has an inappropriate viscosity for</w:t>
      </w:r>
      <w:r w:rsidR="003C2B4D">
        <w:rPr>
          <w:rFonts w:ascii="Times New Roman" w:hAnsi="Times New Roman" w:cs="Times New Roman"/>
          <w:sz w:val="20"/>
          <w:szCs w:val="20"/>
          <w:lang w:val="en-US"/>
        </w:rPr>
        <w:t xml:space="preserve"> children</w:t>
      </w:r>
      <w:r w:rsidR="003C2B4D" w:rsidRPr="003C2B4D">
        <w:rPr>
          <w:rFonts w:ascii="Times New Roman" w:hAnsi="Times New Roman" w:cs="Times New Roman"/>
          <w:sz w:val="20"/>
          <w:szCs w:val="20"/>
          <w:lang w:val="en-US"/>
        </w:rPr>
        <w:t xml:space="preserve"> 6-9 month</w:t>
      </w:r>
      <w:r w:rsidR="003C2B4D">
        <w:rPr>
          <w:rFonts w:ascii="Times New Roman" w:hAnsi="Times New Roman" w:cs="Times New Roman"/>
          <w:sz w:val="20"/>
          <w:szCs w:val="20"/>
          <w:lang w:val="en-US"/>
        </w:rPr>
        <w:t xml:space="preserve">. </w:t>
      </w:r>
      <w:r w:rsidR="00F86274" w:rsidRPr="0022306B">
        <w:rPr>
          <w:rFonts w:ascii="Times New Roman" w:hAnsi="Times New Roman" w:cs="Times New Roman"/>
          <w:sz w:val="20"/>
          <w:szCs w:val="20"/>
          <w:lang w:val="en-US"/>
        </w:rPr>
        <w:t>The limited decrease in viscosity is suitable for children 10 months and older.</w:t>
      </w:r>
    </w:p>
    <w:p w14:paraId="346D7B34" w14:textId="02BFF42D" w:rsidR="002E1E84" w:rsidRPr="002E1E84" w:rsidRDefault="002E1E84" w:rsidP="00775AAC">
      <w:pPr>
        <w:pStyle w:val="Titolo2"/>
        <w:numPr>
          <w:ilvl w:val="1"/>
          <w:numId w:val="2"/>
        </w:numPr>
        <w:spacing w:before="0"/>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 xml:space="preserve">Biochemical properties - </w:t>
      </w:r>
      <w:r w:rsidR="00F86274" w:rsidRPr="00115A64">
        <w:rPr>
          <w:rFonts w:ascii="Times New Roman" w:hAnsi="Times New Roman" w:cs="Times New Roman"/>
          <w:b/>
          <w:bCs/>
          <w:color w:val="000000" w:themeColor="text1"/>
          <w:sz w:val="20"/>
          <w:szCs w:val="20"/>
          <w:lang w:val="en-US"/>
        </w:rPr>
        <w:t>Phytic acid</w:t>
      </w:r>
    </w:p>
    <w:p w14:paraId="7022CAAB" w14:textId="73CEACFB" w:rsidR="00F86274" w:rsidRPr="00EE20B9" w:rsidRDefault="00F86274" w:rsidP="00B15F70">
      <w:pPr>
        <w:jc w:val="both"/>
        <w:rPr>
          <w:rFonts w:ascii="Times New Roman" w:hAnsi="Times New Roman" w:cs="Times New Roman"/>
          <w:sz w:val="20"/>
          <w:szCs w:val="20"/>
          <w:lang w:val="en-US"/>
        </w:rPr>
      </w:pPr>
      <w:r w:rsidRPr="0022306B">
        <w:rPr>
          <w:rFonts w:ascii="Times New Roman" w:hAnsi="Times New Roman" w:cs="Times New Roman"/>
          <w:sz w:val="20"/>
          <w:szCs w:val="20"/>
          <w:lang w:val="en-US"/>
        </w:rPr>
        <w:t xml:space="preserve">The phytic acid content of fermented-germinated porridge blends is presented in Figure </w:t>
      </w:r>
      <w:r w:rsidR="00412446">
        <w:rPr>
          <w:rFonts w:ascii="Times New Roman" w:hAnsi="Times New Roman" w:cs="Times New Roman"/>
          <w:sz w:val="20"/>
          <w:szCs w:val="20"/>
          <w:lang w:val="en-US"/>
        </w:rPr>
        <w:t>3B</w:t>
      </w:r>
      <w:r w:rsidRPr="0022306B">
        <w:rPr>
          <w:rFonts w:ascii="Times New Roman" w:hAnsi="Times New Roman" w:cs="Times New Roman"/>
          <w:sz w:val="20"/>
          <w:szCs w:val="20"/>
          <w:lang w:val="en-US"/>
        </w:rPr>
        <w:t>. The trend in lowered phytic acid contents was in the order CnG</w:t>
      </w:r>
      <w:r w:rsidR="0016149C">
        <w:rPr>
          <w:rFonts w:ascii="Times New Roman" w:hAnsi="Times New Roman" w:cs="Times New Roman"/>
          <w:sz w:val="20"/>
          <w:szCs w:val="20"/>
          <w:lang w:val="en-US"/>
        </w:rPr>
        <w:t>P</w:t>
      </w:r>
      <w:r w:rsidRPr="0022306B">
        <w:rPr>
          <w:rFonts w:ascii="Times New Roman" w:hAnsi="Times New Roman" w:cs="Times New Roman"/>
          <w:sz w:val="20"/>
          <w:szCs w:val="20"/>
          <w:lang w:val="en-US"/>
        </w:rPr>
        <w:t xml:space="preserve"> &gt; CGP &gt; SP&gt; FSP. The phytic acid content was higher when bottle gourd seed was blended in the porridge. </w:t>
      </w:r>
      <w:r w:rsidR="00C87BA5">
        <w:rPr>
          <w:rFonts w:ascii="Times New Roman" w:hAnsi="Times New Roman" w:cs="Times New Roman"/>
          <w:sz w:val="20"/>
          <w:szCs w:val="20"/>
          <w:lang w:val="en-US"/>
        </w:rPr>
        <w:t xml:space="preserve">It </w:t>
      </w:r>
      <w:r w:rsidRPr="0022306B">
        <w:rPr>
          <w:rFonts w:ascii="Times New Roman" w:hAnsi="Times New Roman" w:cs="Times New Roman"/>
          <w:sz w:val="20"/>
          <w:szCs w:val="20"/>
          <w:lang w:val="en-US"/>
        </w:rPr>
        <w:t xml:space="preserve">is noted that the phytic acid decreased with germination and fermentation, confirming that these processes cause significant phytic acid reduction. The reduction in phytic acid is crucial as it enables the adequate availability of protein and minerals which are of paramount importance especially when designing </w:t>
      </w:r>
      <w:r w:rsidR="00D810FA">
        <w:rPr>
          <w:rFonts w:ascii="Times New Roman" w:hAnsi="Times New Roman" w:cs="Times New Roman"/>
          <w:sz w:val="20"/>
          <w:szCs w:val="20"/>
          <w:lang w:val="en-US"/>
        </w:rPr>
        <w:t>complementary foods (</w:t>
      </w:r>
      <w:r w:rsidRPr="0022306B">
        <w:rPr>
          <w:rFonts w:ascii="Times New Roman" w:hAnsi="Times New Roman" w:cs="Times New Roman"/>
          <w:sz w:val="20"/>
          <w:szCs w:val="20"/>
          <w:lang w:val="en-US"/>
        </w:rPr>
        <w:t>CFs</w:t>
      </w:r>
      <w:r w:rsidR="00D810FA">
        <w:rPr>
          <w:rFonts w:ascii="Times New Roman" w:hAnsi="Times New Roman" w:cs="Times New Roman"/>
          <w:sz w:val="20"/>
          <w:szCs w:val="20"/>
          <w:lang w:val="en-US"/>
        </w:rPr>
        <w:t>)</w:t>
      </w:r>
      <w:r w:rsidRPr="0022306B">
        <w:rPr>
          <w:rFonts w:ascii="Times New Roman" w:hAnsi="Times New Roman" w:cs="Times New Roman"/>
          <w:sz w:val="20"/>
          <w:szCs w:val="20"/>
          <w:lang w:val="en-US"/>
        </w:rPr>
        <w:t xml:space="preserve"> that can mitigate the malnutrition challenges. However careful consideration should be given if the </w:t>
      </w:r>
      <w:r w:rsidRPr="00EE20B9">
        <w:rPr>
          <w:rFonts w:ascii="Times New Roman" w:hAnsi="Times New Roman" w:cs="Times New Roman"/>
          <w:sz w:val="20"/>
          <w:szCs w:val="20"/>
          <w:lang w:val="en-US"/>
        </w:rPr>
        <w:t>reduction is not also a result of insoluble complexes between phytate and other nutrients such as phytate-protein-mineral (Siddhuraju</w:t>
      </w:r>
      <w:r w:rsidR="00DA668A">
        <w:rPr>
          <w:rFonts w:ascii="Times New Roman" w:hAnsi="Times New Roman" w:cs="Times New Roman"/>
          <w:sz w:val="20"/>
          <w:szCs w:val="20"/>
          <w:lang w:val="en-US"/>
        </w:rPr>
        <w:t xml:space="preserve"> and</w:t>
      </w:r>
      <w:r w:rsidRPr="00EE20B9">
        <w:rPr>
          <w:rFonts w:ascii="Times New Roman" w:hAnsi="Times New Roman" w:cs="Times New Roman"/>
          <w:sz w:val="20"/>
          <w:szCs w:val="20"/>
          <w:lang w:val="en-US"/>
        </w:rPr>
        <w:t xml:space="preserve"> Becker, 2001), which can have a negative effect on the CFs design.</w:t>
      </w:r>
    </w:p>
    <w:p w14:paraId="55DC4AC0" w14:textId="328F5D6F" w:rsidR="002E1E84" w:rsidRPr="00EE20B9" w:rsidRDefault="002E1E84" w:rsidP="00775AAC">
      <w:pPr>
        <w:pStyle w:val="Titolo2"/>
        <w:numPr>
          <w:ilvl w:val="1"/>
          <w:numId w:val="2"/>
        </w:numPr>
        <w:spacing w:before="0"/>
        <w:rPr>
          <w:rFonts w:ascii="Times New Roman" w:hAnsi="Times New Roman" w:cs="Times New Roman"/>
          <w:b/>
          <w:bCs/>
          <w:color w:val="000000" w:themeColor="text1"/>
          <w:sz w:val="20"/>
          <w:szCs w:val="20"/>
        </w:rPr>
      </w:pPr>
      <w:r w:rsidRPr="00EE20B9">
        <w:rPr>
          <w:rFonts w:ascii="Times New Roman" w:hAnsi="Times New Roman" w:cs="Times New Roman"/>
          <w:b/>
          <w:bCs/>
          <w:color w:val="000000" w:themeColor="text1"/>
          <w:sz w:val="20"/>
          <w:szCs w:val="20"/>
        </w:rPr>
        <w:t>In-vitro digestion</w:t>
      </w:r>
    </w:p>
    <w:p w14:paraId="59295606" w14:textId="783F1AA7" w:rsidR="00411213" w:rsidRPr="00915ED8" w:rsidRDefault="00411213" w:rsidP="00775AAC">
      <w:pPr>
        <w:pStyle w:val="Titolo3"/>
        <w:spacing w:before="0"/>
        <w:rPr>
          <w:rFonts w:ascii="Times New Roman" w:hAnsi="Times New Roman" w:cs="Times New Roman"/>
          <w:color w:val="000000" w:themeColor="text1"/>
          <w:sz w:val="20"/>
          <w:szCs w:val="20"/>
          <w:lang w:val="en-US"/>
        </w:rPr>
      </w:pPr>
      <w:r w:rsidRPr="00BC42B8">
        <w:rPr>
          <w:rFonts w:ascii="Times New Roman" w:hAnsi="Times New Roman" w:cs="Times New Roman"/>
          <w:i/>
          <w:iCs/>
          <w:color w:val="000000" w:themeColor="text1"/>
          <w:sz w:val="20"/>
          <w:szCs w:val="20"/>
        </w:rPr>
        <w:t>Starch hydrolysis</w:t>
      </w:r>
    </w:p>
    <w:p w14:paraId="180FA651" w14:textId="7E04738F" w:rsidR="0061042A" w:rsidRPr="00915ED8" w:rsidRDefault="00F86274" w:rsidP="0061042A">
      <w:pPr>
        <w:jc w:val="both"/>
        <w:rPr>
          <w:rFonts w:ascii="Times New Roman" w:hAnsi="Times New Roman" w:cs="Times New Roman"/>
          <w:sz w:val="20"/>
          <w:szCs w:val="20"/>
          <w:lang w:val="en-US"/>
        </w:rPr>
      </w:pPr>
      <w:r w:rsidRPr="00EE20B9">
        <w:rPr>
          <w:rFonts w:ascii="Times New Roman" w:hAnsi="Times New Roman" w:cs="Times New Roman"/>
          <w:sz w:val="20"/>
          <w:szCs w:val="20"/>
          <w:lang w:val="en-US"/>
        </w:rPr>
        <w:t xml:space="preserve">Figure </w:t>
      </w:r>
      <w:r w:rsidR="00F7445E" w:rsidRPr="00EE20B9">
        <w:rPr>
          <w:rFonts w:ascii="Times New Roman" w:hAnsi="Times New Roman" w:cs="Times New Roman"/>
          <w:sz w:val="20"/>
          <w:szCs w:val="20"/>
          <w:lang w:val="en-US"/>
        </w:rPr>
        <w:t xml:space="preserve">3C </w:t>
      </w:r>
      <w:r w:rsidRPr="00EE20B9">
        <w:rPr>
          <w:rFonts w:ascii="Times New Roman" w:hAnsi="Times New Roman" w:cs="Times New Roman"/>
          <w:sz w:val="20"/>
          <w:szCs w:val="20"/>
          <w:lang w:val="en-US"/>
        </w:rPr>
        <w:t>reports the kinetics of in-vitro starch digestion of porridges. Starch in-vitro digestibility was in the order FSP&gt;SP&gt;CnG</w:t>
      </w:r>
      <w:r w:rsidR="00D87DE5">
        <w:rPr>
          <w:rFonts w:ascii="Times New Roman" w:hAnsi="Times New Roman" w:cs="Times New Roman"/>
          <w:sz w:val="20"/>
          <w:szCs w:val="20"/>
          <w:lang w:val="en-US"/>
        </w:rPr>
        <w:t>P</w:t>
      </w:r>
      <w:r w:rsidRPr="00EE20B9">
        <w:rPr>
          <w:rFonts w:ascii="Times New Roman" w:hAnsi="Times New Roman" w:cs="Times New Roman"/>
          <w:sz w:val="20"/>
          <w:szCs w:val="20"/>
          <w:lang w:val="en-US"/>
        </w:rPr>
        <w:t xml:space="preserve">&gt;CGP. </w:t>
      </w:r>
      <w:r w:rsidR="00915ED8" w:rsidRPr="00915ED8">
        <w:rPr>
          <w:rFonts w:ascii="Times New Roman" w:hAnsi="Times New Roman" w:cs="Times New Roman"/>
          <w:sz w:val="20"/>
          <w:szCs w:val="20"/>
          <w:lang w:val="en-US"/>
        </w:rPr>
        <w:t>All samples showed a digestibility of less than 25% and this could be explained by the presence of polymeric tannins which have an effect on the physical properties of starch influencing its digestibility</w:t>
      </w:r>
      <w:r w:rsidR="00915ED8">
        <w:rPr>
          <w:rFonts w:ascii="Times New Roman" w:hAnsi="Times New Roman" w:cs="Times New Roman"/>
          <w:sz w:val="20"/>
          <w:szCs w:val="20"/>
          <w:lang w:val="en-US"/>
        </w:rPr>
        <w:t xml:space="preserve"> </w:t>
      </w:r>
      <w:r w:rsidR="00EE3E2C" w:rsidRPr="00915ED8">
        <w:rPr>
          <w:rFonts w:ascii="Times New Roman" w:hAnsi="Times New Roman" w:cs="Times New Roman"/>
          <w:sz w:val="20"/>
          <w:szCs w:val="20"/>
          <w:lang w:val="en-US"/>
        </w:rPr>
        <w:t>(Amoako</w:t>
      </w:r>
      <w:r w:rsidR="00915ED8" w:rsidRPr="00915ED8">
        <w:rPr>
          <w:rFonts w:ascii="Times New Roman" w:hAnsi="Times New Roman" w:cs="Times New Roman"/>
          <w:sz w:val="20"/>
          <w:szCs w:val="20"/>
          <w:lang w:val="en-US"/>
        </w:rPr>
        <w:t xml:space="preserve"> and </w:t>
      </w:r>
      <w:r w:rsidR="00EE3E2C" w:rsidRPr="00915ED8">
        <w:rPr>
          <w:rFonts w:ascii="Times New Roman" w:hAnsi="Times New Roman" w:cs="Times New Roman"/>
          <w:sz w:val="20"/>
          <w:szCs w:val="20"/>
          <w:lang w:val="en-US"/>
        </w:rPr>
        <w:t>Awika, 2016)</w:t>
      </w:r>
      <w:r w:rsidR="0061042A" w:rsidRPr="00915ED8">
        <w:rPr>
          <w:rFonts w:ascii="Times New Roman" w:hAnsi="Times New Roman" w:cs="Times New Roman"/>
          <w:sz w:val="20"/>
          <w:szCs w:val="20"/>
          <w:lang w:val="en-US"/>
        </w:rPr>
        <w:t>.</w:t>
      </w:r>
    </w:p>
    <w:p w14:paraId="25F372F7" w14:textId="0BD2251F" w:rsidR="00F86274" w:rsidRPr="006B4388" w:rsidRDefault="00F86274" w:rsidP="006B4388">
      <w:pPr>
        <w:jc w:val="both"/>
        <w:rPr>
          <w:rFonts w:ascii="Times New Roman" w:hAnsi="Times New Roman" w:cs="Times New Roman"/>
          <w:sz w:val="20"/>
          <w:szCs w:val="20"/>
          <w:lang w:val="en-US"/>
        </w:rPr>
      </w:pPr>
      <w:r w:rsidRPr="00EE20B9">
        <w:rPr>
          <w:rFonts w:ascii="Times New Roman" w:hAnsi="Times New Roman" w:cs="Times New Roman"/>
          <w:sz w:val="20"/>
          <w:szCs w:val="20"/>
          <w:lang w:val="en-US"/>
        </w:rPr>
        <w:t>CnG</w:t>
      </w:r>
      <w:r w:rsidR="00D87DE5">
        <w:rPr>
          <w:rFonts w:ascii="Times New Roman" w:hAnsi="Times New Roman" w:cs="Times New Roman"/>
          <w:sz w:val="20"/>
          <w:szCs w:val="20"/>
          <w:lang w:val="en-US"/>
        </w:rPr>
        <w:t>P</w:t>
      </w:r>
      <w:r w:rsidRPr="00EE20B9">
        <w:rPr>
          <w:rFonts w:ascii="Times New Roman" w:hAnsi="Times New Roman" w:cs="Times New Roman"/>
          <w:sz w:val="20"/>
          <w:szCs w:val="20"/>
          <w:lang w:val="en-US"/>
        </w:rPr>
        <w:t xml:space="preserve"> and CGP had the highest phytic acid content which contributes to the reduction in digestibility of carbohydrates. The fact that fermentation-germination samples had higher protein content can affect the functional properties of starch by influencing the digestibility of both nutrients and also could have been responsible for their lower starch enzyme susceptibility. Protein bodies encapsulating starch granule surfaces can be an extra barrier to the availability of starch to amylase in-vitro thus decreasing digestibility (Rovalino-Córdova et al., 2019).</w:t>
      </w:r>
      <w:r w:rsidR="002E6583" w:rsidRPr="00EE20B9">
        <w:rPr>
          <w:rFonts w:ascii="Times New Roman" w:hAnsi="Times New Roman" w:cs="Times New Roman"/>
          <w:sz w:val="20"/>
          <w:szCs w:val="20"/>
          <w:lang w:val="en-US"/>
        </w:rPr>
        <w:t xml:space="preserve"> </w:t>
      </w:r>
      <w:r w:rsidRPr="00EE20B9">
        <w:rPr>
          <w:rFonts w:ascii="Times New Roman" w:hAnsi="Times New Roman" w:cs="Times New Roman"/>
          <w:sz w:val="20"/>
          <w:szCs w:val="20"/>
          <w:lang w:val="en-US"/>
        </w:rPr>
        <w:t>Chlorogenic acid</w:t>
      </w:r>
      <w:r w:rsidR="002E6583" w:rsidRPr="00EE20B9">
        <w:rPr>
          <w:rFonts w:ascii="Times New Roman" w:hAnsi="Times New Roman" w:cs="Times New Roman"/>
          <w:sz w:val="20"/>
          <w:szCs w:val="20"/>
          <w:lang w:val="en-US"/>
        </w:rPr>
        <w:t>, a phenolic compound identified in BGS,</w:t>
      </w:r>
      <w:r w:rsidRPr="00EE20B9">
        <w:rPr>
          <w:rFonts w:ascii="Times New Roman" w:hAnsi="Times New Roman" w:cs="Times New Roman"/>
          <w:sz w:val="20"/>
          <w:szCs w:val="20"/>
          <w:lang w:val="en-US"/>
        </w:rPr>
        <w:t xml:space="preserve"> has been reported to inhibit enzyme activity by reducing the number of binding sites for enzymes during starch digestion (Karim et al., 2017).</w:t>
      </w:r>
    </w:p>
    <w:p w14:paraId="17FE78E4" w14:textId="2005E2B2" w:rsidR="00411213" w:rsidRPr="00411213" w:rsidRDefault="00411213" w:rsidP="00775AAC">
      <w:pPr>
        <w:pStyle w:val="Titolo3"/>
        <w:spacing w:before="0"/>
        <w:rPr>
          <w:rFonts w:ascii="Times New Roman" w:hAnsi="Times New Roman" w:cs="Times New Roman"/>
          <w:i/>
          <w:iCs/>
          <w:color w:val="000000" w:themeColor="text1"/>
          <w:sz w:val="20"/>
          <w:szCs w:val="20"/>
          <w:lang w:val="en-US"/>
        </w:rPr>
      </w:pPr>
      <w:bookmarkStart w:id="7" w:name="_Hlk137120783"/>
      <w:r w:rsidRPr="00724FB3">
        <w:rPr>
          <w:rFonts w:ascii="Times New Roman" w:hAnsi="Times New Roman" w:cs="Times New Roman"/>
          <w:i/>
          <w:iCs/>
          <w:color w:val="000000" w:themeColor="text1"/>
          <w:sz w:val="20"/>
          <w:szCs w:val="20"/>
          <w:lang w:val="en-US"/>
        </w:rPr>
        <w:t xml:space="preserve">Protein </w:t>
      </w:r>
      <w:bookmarkEnd w:id="7"/>
      <w:r w:rsidRPr="00724FB3">
        <w:rPr>
          <w:rFonts w:ascii="Times New Roman" w:hAnsi="Times New Roman" w:cs="Times New Roman"/>
          <w:i/>
          <w:iCs/>
          <w:color w:val="000000" w:themeColor="text1"/>
          <w:sz w:val="20"/>
          <w:szCs w:val="20"/>
          <w:lang w:val="en-US"/>
        </w:rPr>
        <w:t>hydrolysis</w:t>
      </w:r>
    </w:p>
    <w:p w14:paraId="0773CB13" w14:textId="1A6F1BDD" w:rsidR="007327DC" w:rsidRPr="00EE20B9" w:rsidRDefault="00F86274" w:rsidP="00F86274">
      <w:pPr>
        <w:jc w:val="both"/>
        <w:rPr>
          <w:rFonts w:ascii="Times New Roman" w:hAnsi="Times New Roman" w:cs="Times New Roman"/>
          <w:color w:val="FF0000"/>
          <w:sz w:val="20"/>
          <w:szCs w:val="20"/>
          <w:lang w:val="en-US"/>
        </w:rPr>
      </w:pPr>
      <w:r w:rsidRPr="0022306B">
        <w:rPr>
          <w:rFonts w:ascii="Times New Roman" w:hAnsi="Times New Roman" w:cs="Times New Roman"/>
          <w:sz w:val="20"/>
          <w:szCs w:val="20"/>
          <w:lang w:val="en-US"/>
        </w:rPr>
        <w:t>The combination of technologies fermentation-germination increased protein digestibility as observed in Fig</w:t>
      </w:r>
      <w:r w:rsidR="00F7445E">
        <w:rPr>
          <w:rFonts w:ascii="Times New Roman" w:hAnsi="Times New Roman" w:cs="Times New Roman"/>
          <w:sz w:val="20"/>
          <w:szCs w:val="20"/>
          <w:lang w:val="en-US"/>
        </w:rPr>
        <w:t>ure</w:t>
      </w:r>
      <w:r w:rsidRPr="0022306B">
        <w:rPr>
          <w:rFonts w:ascii="Times New Roman" w:hAnsi="Times New Roman" w:cs="Times New Roman"/>
          <w:sz w:val="20"/>
          <w:szCs w:val="20"/>
          <w:lang w:val="en-US"/>
        </w:rPr>
        <w:t xml:space="preserve"> 3</w:t>
      </w:r>
      <w:r w:rsidR="00F7445E">
        <w:rPr>
          <w:rFonts w:ascii="Times New Roman" w:hAnsi="Times New Roman" w:cs="Times New Roman"/>
          <w:sz w:val="20"/>
          <w:szCs w:val="20"/>
          <w:lang w:val="en-US"/>
        </w:rPr>
        <w:t>D</w:t>
      </w:r>
      <w:r w:rsidRPr="0022306B">
        <w:rPr>
          <w:rFonts w:ascii="Times New Roman" w:hAnsi="Times New Roman" w:cs="Times New Roman"/>
          <w:sz w:val="20"/>
          <w:szCs w:val="20"/>
          <w:lang w:val="en-US"/>
        </w:rPr>
        <w:t>. In</w:t>
      </w:r>
      <w:r w:rsidR="00F7445E">
        <w:rPr>
          <w:rFonts w:ascii="Times New Roman" w:hAnsi="Times New Roman" w:cs="Times New Roman"/>
          <w:sz w:val="20"/>
          <w:szCs w:val="20"/>
          <w:lang w:val="en-US"/>
        </w:rPr>
        <w:t>-v</w:t>
      </w:r>
      <w:r w:rsidRPr="0022306B">
        <w:rPr>
          <w:rFonts w:ascii="Times New Roman" w:hAnsi="Times New Roman" w:cs="Times New Roman"/>
          <w:sz w:val="20"/>
          <w:szCs w:val="20"/>
          <w:lang w:val="en-US"/>
        </w:rPr>
        <w:t>itro protein digestibility was in the order CnG</w:t>
      </w:r>
      <w:r w:rsidR="00D87DE5">
        <w:rPr>
          <w:rFonts w:ascii="Times New Roman" w:hAnsi="Times New Roman" w:cs="Times New Roman"/>
          <w:sz w:val="20"/>
          <w:szCs w:val="20"/>
          <w:lang w:val="en-US"/>
        </w:rPr>
        <w:t>P</w:t>
      </w:r>
      <w:r w:rsidRPr="0022306B">
        <w:rPr>
          <w:rFonts w:ascii="Times New Roman" w:hAnsi="Times New Roman" w:cs="Times New Roman"/>
          <w:sz w:val="20"/>
          <w:szCs w:val="20"/>
          <w:lang w:val="en-US"/>
        </w:rPr>
        <w:t>&gt;CG</w:t>
      </w:r>
      <w:r w:rsidR="00D87DE5">
        <w:rPr>
          <w:rFonts w:ascii="Times New Roman" w:hAnsi="Times New Roman" w:cs="Times New Roman"/>
          <w:sz w:val="20"/>
          <w:szCs w:val="20"/>
          <w:lang w:val="en-US"/>
        </w:rPr>
        <w:t>P</w:t>
      </w:r>
      <w:r w:rsidRPr="0022306B">
        <w:rPr>
          <w:rFonts w:ascii="Times New Roman" w:hAnsi="Times New Roman" w:cs="Times New Roman"/>
          <w:sz w:val="20"/>
          <w:szCs w:val="20"/>
          <w:lang w:val="en-US"/>
        </w:rPr>
        <w:t xml:space="preserve">&gt;SP&gt;FSP.  </w:t>
      </w:r>
      <w:r w:rsidRPr="007327DC">
        <w:rPr>
          <w:rFonts w:ascii="Times New Roman" w:hAnsi="Times New Roman" w:cs="Times New Roman"/>
          <w:color w:val="000000" w:themeColor="text1"/>
          <w:sz w:val="20"/>
          <w:szCs w:val="20"/>
          <w:lang w:val="en-US"/>
        </w:rPr>
        <w:t xml:space="preserve">The results that germination treatment did not improve the </w:t>
      </w:r>
      <w:r w:rsidR="007327DC" w:rsidRPr="007327DC">
        <w:rPr>
          <w:rFonts w:ascii="Times New Roman" w:hAnsi="Times New Roman" w:cs="Times New Roman"/>
          <w:color w:val="000000" w:themeColor="text1"/>
          <w:sz w:val="20"/>
          <w:szCs w:val="20"/>
          <w:lang w:val="en-US"/>
        </w:rPr>
        <w:t xml:space="preserve">protein digestibility </w:t>
      </w:r>
      <w:r w:rsidRPr="007327DC">
        <w:rPr>
          <w:rFonts w:ascii="Times New Roman" w:hAnsi="Times New Roman" w:cs="Times New Roman"/>
          <w:color w:val="000000" w:themeColor="text1"/>
          <w:sz w:val="20"/>
          <w:szCs w:val="20"/>
          <w:lang w:val="en-US"/>
        </w:rPr>
        <w:t xml:space="preserve">of the seed flour in the </w:t>
      </w:r>
      <w:r w:rsidR="000E6E66" w:rsidRPr="0022306B">
        <w:rPr>
          <w:rFonts w:ascii="Times New Roman" w:hAnsi="Times New Roman" w:cs="Times New Roman"/>
          <w:sz w:val="20"/>
          <w:szCs w:val="20"/>
          <w:lang w:val="en-US"/>
        </w:rPr>
        <w:t>combin</w:t>
      </w:r>
      <w:r w:rsidR="000E6E66">
        <w:rPr>
          <w:rFonts w:ascii="Times New Roman" w:hAnsi="Times New Roman" w:cs="Times New Roman"/>
          <w:sz w:val="20"/>
          <w:szCs w:val="20"/>
          <w:lang w:val="en-US"/>
        </w:rPr>
        <w:t>ed</w:t>
      </w:r>
      <w:r w:rsidR="000E6E66" w:rsidRPr="0022306B">
        <w:rPr>
          <w:rFonts w:ascii="Times New Roman" w:hAnsi="Times New Roman" w:cs="Times New Roman"/>
          <w:sz w:val="20"/>
          <w:szCs w:val="20"/>
          <w:lang w:val="en-US"/>
        </w:rPr>
        <w:t xml:space="preserve"> treatments</w:t>
      </w:r>
      <w:r w:rsidR="000E6E66">
        <w:rPr>
          <w:rFonts w:ascii="Times New Roman" w:hAnsi="Times New Roman" w:cs="Times New Roman"/>
          <w:sz w:val="20"/>
          <w:szCs w:val="20"/>
          <w:lang w:val="en-US"/>
        </w:rPr>
        <w:t xml:space="preserve"> </w:t>
      </w:r>
      <w:r w:rsidRPr="007327DC">
        <w:rPr>
          <w:rFonts w:ascii="Times New Roman" w:hAnsi="Times New Roman" w:cs="Times New Roman"/>
          <w:color w:val="000000" w:themeColor="text1"/>
          <w:sz w:val="20"/>
          <w:szCs w:val="20"/>
          <w:lang w:val="en-US"/>
        </w:rPr>
        <w:t>were unexpected. Such differences can be attributed to enzyme specificity during digestion, mode of action and conformational state of proteins (</w:t>
      </w:r>
      <w:r w:rsidRPr="00D23AD8">
        <w:rPr>
          <w:rFonts w:ascii="Times New Roman" w:hAnsi="Times New Roman" w:cs="Times New Roman"/>
          <w:color w:val="000000" w:themeColor="text1"/>
          <w:sz w:val="20"/>
          <w:szCs w:val="20"/>
          <w:lang w:val="en-US"/>
        </w:rPr>
        <w:t>Rovalino-Córdova et al., 2019).</w:t>
      </w:r>
      <w:r w:rsidRPr="007327DC">
        <w:rPr>
          <w:rFonts w:ascii="Times New Roman" w:hAnsi="Times New Roman" w:cs="Times New Roman"/>
          <w:color w:val="000000" w:themeColor="text1"/>
          <w:sz w:val="20"/>
          <w:szCs w:val="20"/>
          <w:lang w:val="en-US"/>
        </w:rPr>
        <w:t xml:space="preserve"> </w:t>
      </w:r>
      <w:r w:rsidR="007327DC" w:rsidRPr="007327DC">
        <w:rPr>
          <w:rFonts w:ascii="Times New Roman" w:hAnsi="Times New Roman" w:cs="Times New Roman"/>
          <w:color w:val="000000" w:themeColor="text1"/>
          <w:sz w:val="20"/>
          <w:szCs w:val="20"/>
          <w:lang w:val="en-US"/>
        </w:rPr>
        <w:t>Th</w:t>
      </w:r>
      <w:r w:rsidRPr="007327DC">
        <w:rPr>
          <w:rFonts w:ascii="Times New Roman" w:hAnsi="Times New Roman" w:cs="Times New Roman"/>
          <w:color w:val="000000" w:themeColor="text1"/>
          <w:sz w:val="20"/>
          <w:szCs w:val="20"/>
          <w:lang w:val="en-US"/>
        </w:rPr>
        <w:t xml:space="preserve">e </w:t>
      </w:r>
      <w:r w:rsidRPr="0022306B">
        <w:rPr>
          <w:rFonts w:ascii="Times New Roman" w:hAnsi="Times New Roman" w:cs="Times New Roman"/>
          <w:sz w:val="20"/>
          <w:szCs w:val="20"/>
          <w:lang w:val="en-US"/>
        </w:rPr>
        <w:t>protein digestibility for CG</w:t>
      </w:r>
      <w:r w:rsidR="00D87DE5">
        <w:rPr>
          <w:rFonts w:ascii="Times New Roman" w:hAnsi="Times New Roman" w:cs="Times New Roman"/>
          <w:sz w:val="20"/>
          <w:szCs w:val="20"/>
          <w:lang w:val="en-US"/>
        </w:rPr>
        <w:t>P</w:t>
      </w:r>
      <w:r w:rsidRPr="0022306B">
        <w:rPr>
          <w:rFonts w:ascii="Times New Roman" w:hAnsi="Times New Roman" w:cs="Times New Roman"/>
          <w:sz w:val="20"/>
          <w:szCs w:val="20"/>
          <w:lang w:val="en-US"/>
        </w:rPr>
        <w:t xml:space="preserve"> was higher than SP and FSP, probably due to increased </w:t>
      </w:r>
      <w:r w:rsidRPr="00EE20B9">
        <w:rPr>
          <w:rFonts w:ascii="Times New Roman" w:hAnsi="Times New Roman" w:cs="Times New Roman"/>
          <w:sz w:val="20"/>
          <w:szCs w:val="20"/>
          <w:lang w:val="en-US"/>
        </w:rPr>
        <w:t>protease hydrolysis activity, and protein solubility because of the hydrolysis of complex storage protein to more soluble amino acids by fermentation</w:t>
      </w:r>
      <w:r w:rsidR="002B1FFD" w:rsidRPr="00EE20B9">
        <w:rPr>
          <w:rFonts w:ascii="Times New Roman" w:hAnsi="Times New Roman" w:cs="Times New Roman"/>
          <w:sz w:val="20"/>
          <w:szCs w:val="20"/>
          <w:lang w:val="en-US"/>
        </w:rPr>
        <w:t>-</w:t>
      </w:r>
      <w:r w:rsidRPr="00EE20B9">
        <w:rPr>
          <w:rFonts w:ascii="Times New Roman" w:hAnsi="Times New Roman" w:cs="Times New Roman"/>
          <w:sz w:val="20"/>
          <w:szCs w:val="20"/>
          <w:lang w:val="en-US"/>
        </w:rPr>
        <w:t>germination and removal of protease inhibitors.</w:t>
      </w:r>
    </w:p>
    <w:p w14:paraId="0047F5FD" w14:textId="2E2C2424" w:rsidR="00213264" w:rsidRDefault="00F86274" w:rsidP="00074EE0">
      <w:pPr>
        <w:jc w:val="both"/>
        <w:rPr>
          <w:rFonts w:ascii="Times New Roman" w:hAnsi="Times New Roman" w:cs="Times New Roman"/>
          <w:sz w:val="20"/>
          <w:szCs w:val="20"/>
          <w:lang w:val="en-US"/>
        </w:rPr>
      </w:pPr>
      <w:r w:rsidRPr="00EE20B9">
        <w:rPr>
          <w:rFonts w:ascii="Times New Roman" w:hAnsi="Times New Roman" w:cs="Times New Roman"/>
          <w:sz w:val="20"/>
          <w:szCs w:val="20"/>
          <w:lang w:val="en-US"/>
        </w:rPr>
        <w:t xml:space="preserve">Unblended sorghum samples SP and FSP had the lowest protein digestibility probably due to the interaction of sorghum proteins with non-protein components protein-tannin complexes, enzyme inhibitors or changes in protein structural characteristics (Duodu et al., 2003; Rodríguez-España et al., 2022). Together the </w:t>
      </w:r>
      <w:r w:rsidR="000E6E66" w:rsidRPr="0022306B">
        <w:rPr>
          <w:rFonts w:ascii="Times New Roman" w:hAnsi="Times New Roman" w:cs="Times New Roman"/>
          <w:sz w:val="20"/>
          <w:szCs w:val="20"/>
          <w:lang w:val="en-US"/>
        </w:rPr>
        <w:t>combin</w:t>
      </w:r>
      <w:r w:rsidR="000E6E66">
        <w:rPr>
          <w:rFonts w:ascii="Times New Roman" w:hAnsi="Times New Roman" w:cs="Times New Roman"/>
          <w:sz w:val="20"/>
          <w:szCs w:val="20"/>
          <w:lang w:val="en-US"/>
        </w:rPr>
        <w:t>ed</w:t>
      </w:r>
      <w:r w:rsidR="000E6E66" w:rsidRPr="0022306B">
        <w:rPr>
          <w:rFonts w:ascii="Times New Roman" w:hAnsi="Times New Roman" w:cs="Times New Roman"/>
          <w:sz w:val="20"/>
          <w:szCs w:val="20"/>
          <w:lang w:val="en-US"/>
        </w:rPr>
        <w:t xml:space="preserve"> treatments</w:t>
      </w:r>
      <w:r w:rsidR="000E6E66">
        <w:rPr>
          <w:rFonts w:ascii="Times New Roman" w:hAnsi="Times New Roman" w:cs="Times New Roman"/>
          <w:sz w:val="20"/>
          <w:szCs w:val="20"/>
          <w:lang w:val="en-US"/>
        </w:rPr>
        <w:t xml:space="preserve"> </w:t>
      </w:r>
      <w:r w:rsidRPr="00EE20B9">
        <w:rPr>
          <w:rFonts w:ascii="Times New Roman" w:hAnsi="Times New Roman" w:cs="Times New Roman"/>
          <w:sz w:val="20"/>
          <w:szCs w:val="20"/>
          <w:lang w:val="en-US"/>
        </w:rPr>
        <w:t>proved to be an effective processing approach to add nutritional value for CFs</w:t>
      </w:r>
      <w:r w:rsidRPr="0022306B">
        <w:rPr>
          <w:rFonts w:ascii="Times New Roman" w:hAnsi="Times New Roman" w:cs="Times New Roman"/>
          <w:sz w:val="20"/>
          <w:szCs w:val="20"/>
          <w:lang w:val="en-US"/>
        </w:rPr>
        <w:t>.</w:t>
      </w:r>
    </w:p>
    <w:p w14:paraId="5663D405" w14:textId="77777777" w:rsidR="00074EE0" w:rsidRDefault="00074EE0" w:rsidP="00074EE0">
      <w:pPr>
        <w:jc w:val="both"/>
        <w:rPr>
          <w:rFonts w:ascii="Times New Roman" w:hAnsi="Times New Roman" w:cs="Times New Roman"/>
          <w:sz w:val="20"/>
          <w:szCs w:val="20"/>
          <w:lang w:val="en-US"/>
        </w:rPr>
      </w:pPr>
    </w:p>
    <w:p w14:paraId="29E56E5B" w14:textId="77777777" w:rsidR="00074EE0" w:rsidRDefault="00074EE0" w:rsidP="00074EE0">
      <w:pPr>
        <w:jc w:val="both"/>
        <w:rPr>
          <w:rFonts w:ascii="Times New Roman" w:hAnsi="Times New Roman" w:cs="Times New Roman"/>
          <w:sz w:val="20"/>
          <w:szCs w:val="20"/>
          <w:lang w:val="en-US"/>
        </w:rPr>
      </w:pPr>
    </w:p>
    <w:p w14:paraId="3B2DF7A0" w14:textId="77777777" w:rsidR="00074EE0" w:rsidRDefault="00074EE0" w:rsidP="00074EE0">
      <w:pPr>
        <w:jc w:val="both"/>
        <w:rPr>
          <w:rFonts w:ascii="Times New Roman" w:hAnsi="Times New Roman" w:cs="Times New Roman"/>
          <w:sz w:val="20"/>
          <w:szCs w:val="20"/>
          <w:lang w:val="en-US"/>
        </w:rPr>
      </w:pPr>
    </w:p>
    <w:p w14:paraId="1C458333" w14:textId="77777777" w:rsidR="00074EE0" w:rsidRDefault="00074EE0" w:rsidP="00074EE0">
      <w:pPr>
        <w:jc w:val="both"/>
        <w:rPr>
          <w:rFonts w:ascii="Times New Roman" w:hAnsi="Times New Roman" w:cs="Times New Roman"/>
          <w:sz w:val="20"/>
          <w:szCs w:val="20"/>
          <w:lang w:val="en-US"/>
        </w:rPr>
      </w:pPr>
    </w:p>
    <w:p w14:paraId="3C2718DB" w14:textId="77777777" w:rsidR="00074EE0" w:rsidRDefault="00074EE0" w:rsidP="00074EE0">
      <w:pPr>
        <w:jc w:val="both"/>
        <w:rPr>
          <w:rFonts w:ascii="Times New Roman" w:hAnsi="Times New Roman" w:cs="Times New Roman"/>
          <w:sz w:val="20"/>
          <w:szCs w:val="20"/>
          <w:lang w:val="en-US"/>
        </w:rPr>
      </w:pPr>
    </w:p>
    <w:p w14:paraId="43453D4B" w14:textId="77777777" w:rsidR="00074EE0" w:rsidRDefault="00074EE0" w:rsidP="00074EE0">
      <w:pPr>
        <w:jc w:val="both"/>
        <w:rPr>
          <w:rFonts w:ascii="Times New Roman" w:hAnsi="Times New Roman" w:cs="Times New Roman"/>
          <w:b/>
          <w:bCs/>
          <w:sz w:val="18"/>
          <w:szCs w:val="18"/>
          <w:u w:val="single"/>
          <w:lang w:val="en-US"/>
        </w:rPr>
      </w:pPr>
    </w:p>
    <w:p w14:paraId="61B3B18E" w14:textId="1DC95730" w:rsidR="004B725E" w:rsidRPr="00213264" w:rsidRDefault="00213264" w:rsidP="00E26A5A">
      <w:pPr>
        <w:spacing w:before="300" w:after="300"/>
        <w:ind w:left="709" w:hanging="709"/>
        <w:rPr>
          <w:rFonts w:ascii="Times New Roman" w:hAnsi="Times New Roman" w:cs="Times New Roman"/>
          <w:i/>
          <w:iCs/>
          <w:sz w:val="18"/>
          <w:szCs w:val="18"/>
          <w:lang w:val="en-US"/>
        </w:rPr>
      </w:pPr>
      <w:r w:rsidRPr="002F1F18">
        <w:rPr>
          <w:rFonts w:ascii="Times New Roman" w:hAnsi="Times New Roman" w:cs="Times New Roman"/>
          <w:b/>
          <w:bCs/>
          <w:sz w:val="18"/>
          <w:szCs w:val="18"/>
          <w:u w:val="single"/>
          <w:lang w:val="en-US"/>
        </w:rPr>
        <w:lastRenderedPageBreak/>
        <w:t xml:space="preserve">Figure </w:t>
      </w:r>
      <w:r>
        <w:rPr>
          <w:rFonts w:ascii="Times New Roman" w:hAnsi="Times New Roman" w:cs="Times New Roman"/>
          <w:b/>
          <w:bCs/>
          <w:sz w:val="18"/>
          <w:szCs w:val="18"/>
          <w:u w:val="single"/>
          <w:lang w:val="en-US"/>
        </w:rPr>
        <w:t>3</w:t>
      </w:r>
      <w:r w:rsidRPr="002F1F18">
        <w:rPr>
          <w:rFonts w:ascii="Times New Roman" w:hAnsi="Times New Roman" w:cs="Times New Roman"/>
          <w:b/>
          <w:bCs/>
          <w:sz w:val="18"/>
          <w:szCs w:val="18"/>
          <w:lang w:val="en-US"/>
        </w:rPr>
        <w:t xml:space="preserve"> </w:t>
      </w:r>
      <w:r w:rsidR="0030174D">
        <w:rPr>
          <w:rFonts w:ascii="Times New Roman" w:hAnsi="Times New Roman" w:cs="Times New Roman"/>
          <w:b/>
          <w:bCs/>
          <w:sz w:val="18"/>
          <w:szCs w:val="18"/>
          <w:lang w:val="en-US"/>
        </w:rPr>
        <w:tab/>
      </w:r>
      <w:r w:rsidRPr="00847EF7">
        <w:rPr>
          <w:rFonts w:ascii="Times New Roman" w:hAnsi="Times New Roman" w:cs="Times New Roman"/>
          <w:i/>
          <w:iCs/>
          <w:sz w:val="18"/>
          <w:szCs w:val="18"/>
          <w:lang w:val="en-US"/>
        </w:rPr>
        <w:t xml:space="preserve">Viscosity, phytic acid, starch hydrolysis and protein hydrolysis of blended porridge samples. </w:t>
      </w:r>
      <w:r w:rsidR="00A90D48" w:rsidRPr="00DA2AF4">
        <w:rPr>
          <w:rFonts w:ascii="Times New Roman" w:hAnsi="Times New Roman" w:cs="Times New Roman"/>
          <w:i/>
          <w:iCs/>
          <w:sz w:val="18"/>
          <w:szCs w:val="18"/>
          <w:lang w:val="en-US"/>
        </w:rPr>
        <w:t>SP: Sorghum porridge, FSP: Fermented SP, CnG</w:t>
      </w:r>
      <w:r w:rsidR="00A90D48">
        <w:rPr>
          <w:rFonts w:ascii="Times New Roman" w:hAnsi="Times New Roman" w:cs="Times New Roman"/>
          <w:i/>
          <w:iCs/>
          <w:sz w:val="18"/>
          <w:szCs w:val="18"/>
          <w:lang w:val="en-US"/>
        </w:rPr>
        <w:t>P</w:t>
      </w:r>
      <w:r w:rsidR="00A90D48" w:rsidRPr="00DA2AF4">
        <w:rPr>
          <w:rFonts w:ascii="Times New Roman" w:hAnsi="Times New Roman" w:cs="Times New Roman"/>
          <w:i/>
          <w:iCs/>
          <w:sz w:val="18"/>
          <w:szCs w:val="18"/>
          <w:lang w:val="en-US"/>
        </w:rPr>
        <w:t>: Composited SP (fermentation + non-germinated seed flour), CGP: Composited SP (fermentation + germinated seed flour).</w:t>
      </w:r>
    </w:p>
    <w:p w14:paraId="0BE5E16C" w14:textId="2F8B5DE1" w:rsidR="00842EF9" w:rsidRDefault="00F95A04" w:rsidP="00074EE0">
      <w:pPr>
        <w:jc w:val="center"/>
        <w:rPr>
          <w:rFonts w:ascii="Times New Roman" w:hAnsi="Times New Roman" w:cs="Times New Roman"/>
          <w:b/>
          <w:bCs/>
          <w:sz w:val="20"/>
          <w:szCs w:val="20"/>
          <w:lang w:val="en-US"/>
        </w:rPr>
      </w:pPr>
      <w:bookmarkStart w:id="8" w:name="_Hlk137120765"/>
      <w:r>
        <w:rPr>
          <w:rFonts w:ascii="Times New Roman" w:hAnsi="Times New Roman" w:cs="Times New Roman"/>
          <w:b/>
          <w:bCs/>
          <w:noProof/>
          <w:sz w:val="20"/>
          <w:szCs w:val="20"/>
          <w:lang w:val="en-US"/>
        </w:rPr>
        <w:drawing>
          <wp:inline distT="0" distB="0" distL="0" distR="0" wp14:anchorId="4089F014" wp14:editId="4ED17AAC">
            <wp:extent cx="4142630" cy="2442086"/>
            <wp:effectExtent l="0" t="0" r="0" b="0"/>
            <wp:docPr id="7547754"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2630" cy="2442086"/>
                    </a:xfrm>
                    <a:prstGeom prst="rect">
                      <a:avLst/>
                    </a:prstGeom>
                    <a:noFill/>
                  </pic:spPr>
                </pic:pic>
              </a:graphicData>
            </a:graphic>
          </wp:inline>
        </w:drawing>
      </w:r>
    </w:p>
    <w:p w14:paraId="1C3B13E5" w14:textId="17647444" w:rsidR="00C12106" w:rsidRDefault="00DA28DD" w:rsidP="00841656">
      <w:pPr>
        <w:pStyle w:val="Titolo1"/>
        <w:numPr>
          <w:ilvl w:val="0"/>
          <w:numId w:val="2"/>
        </w:numPr>
        <w:spacing w:after="120"/>
        <w:ind w:left="714" w:hanging="357"/>
        <w:rPr>
          <w:rFonts w:ascii="Times New Roman" w:hAnsi="Times New Roman" w:cs="Times New Roman"/>
          <w:b/>
          <w:bCs/>
          <w:color w:val="000000" w:themeColor="text1"/>
          <w:sz w:val="24"/>
          <w:szCs w:val="24"/>
          <w:lang w:val="en-US"/>
        </w:rPr>
      </w:pPr>
      <w:bookmarkStart w:id="9" w:name="_Hlk137120792"/>
      <w:bookmarkEnd w:id="6"/>
      <w:bookmarkEnd w:id="8"/>
      <w:r w:rsidRPr="004B725E">
        <w:rPr>
          <w:rFonts w:ascii="Times New Roman" w:hAnsi="Times New Roman" w:cs="Times New Roman"/>
          <w:b/>
          <w:bCs/>
          <w:color w:val="000000" w:themeColor="text1"/>
          <w:sz w:val="24"/>
          <w:szCs w:val="24"/>
          <w:lang w:val="en-US"/>
        </w:rPr>
        <w:t xml:space="preserve">Conclusion </w:t>
      </w:r>
      <w:r>
        <w:rPr>
          <w:rFonts w:ascii="Times New Roman" w:hAnsi="Times New Roman" w:cs="Times New Roman"/>
          <w:b/>
          <w:bCs/>
          <w:color w:val="000000" w:themeColor="text1"/>
          <w:sz w:val="24"/>
          <w:szCs w:val="24"/>
          <w:lang w:val="en-US"/>
        </w:rPr>
        <w:t>a</w:t>
      </w:r>
      <w:r w:rsidRPr="004B725E">
        <w:rPr>
          <w:rFonts w:ascii="Times New Roman" w:hAnsi="Times New Roman" w:cs="Times New Roman"/>
          <w:b/>
          <w:bCs/>
          <w:color w:val="000000" w:themeColor="text1"/>
          <w:sz w:val="24"/>
          <w:szCs w:val="24"/>
          <w:lang w:val="en-US"/>
        </w:rPr>
        <w:t xml:space="preserve">nd </w:t>
      </w:r>
      <w:r>
        <w:rPr>
          <w:rFonts w:ascii="Times New Roman" w:hAnsi="Times New Roman" w:cs="Times New Roman"/>
          <w:b/>
          <w:bCs/>
          <w:color w:val="000000" w:themeColor="text1"/>
          <w:sz w:val="24"/>
          <w:szCs w:val="24"/>
          <w:lang w:val="en-US"/>
        </w:rPr>
        <w:t>Recommendations</w:t>
      </w:r>
    </w:p>
    <w:bookmarkEnd w:id="9"/>
    <w:p w14:paraId="1E6ED2D1" w14:textId="34873CF8" w:rsidR="00DA28DD" w:rsidRDefault="00C12106" w:rsidP="00C12106">
      <w:pPr>
        <w:jc w:val="both"/>
        <w:rPr>
          <w:rFonts w:ascii="Times New Roman" w:hAnsi="Times New Roman" w:cs="Times New Roman"/>
          <w:sz w:val="20"/>
          <w:szCs w:val="20"/>
          <w:lang w:val="en-US"/>
        </w:rPr>
      </w:pPr>
      <w:r w:rsidRPr="0022306B">
        <w:rPr>
          <w:rFonts w:ascii="Times New Roman" w:hAnsi="Times New Roman" w:cs="Times New Roman"/>
          <w:sz w:val="20"/>
          <w:szCs w:val="20"/>
          <w:lang w:val="en-US"/>
        </w:rPr>
        <w:t>The combination of processing technologies</w:t>
      </w:r>
      <w:r w:rsidR="002B1FFD">
        <w:rPr>
          <w:rFonts w:ascii="Times New Roman" w:hAnsi="Times New Roman" w:cs="Times New Roman"/>
          <w:sz w:val="20"/>
          <w:szCs w:val="20"/>
          <w:lang w:val="en-US"/>
        </w:rPr>
        <w:t xml:space="preserve">, </w:t>
      </w:r>
      <w:r w:rsidRPr="0022306B">
        <w:rPr>
          <w:rFonts w:ascii="Times New Roman" w:hAnsi="Times New Roman" w:cs="Times New Roman"/>
          <w:sz w:val="20"/>
          <w:szCs w:val="20"/>
          <w:lang w:val="en-US"/>
        </w:rPr>
        <w:t>fermentation and germination</w:t>
      </w:r>
      <w:r w:rsidR="002B1FFD">
        <w:rPr>
          <w:rFonts w:ascii="Times New Roman" w:hAnsi="Times New Roman" w:cs="Times New Roman"/>
          <w:sz w:val="20"/>
          <w:szCs w:val="20"/>
          <w:lang w:val="en-US"/>
        </w:rPr>
        <w:t>,</w:t>
      </w:r>
      <w:r w:rsidRPr="0022306B">
        <w:rPr>
          <w:rFonts w:ascii="Times New Roman" w:hAnsi="Times New Roman" w:cs="Times New Roman"/>
          <w:sz w:val="20"/>
          <w:szCs w:val="20"/>
          <w:lang w:val="en-US"/>
        </w:rPr>
        <w:t xml:space="preserve"> improved the functional properties of the flour blend and subsequent nutritional and physical properties </w:t>
      </w:r>
      <w:r w:rsidR="002B1FFD">
        <w:rPr>
          <w:rFonts w:ascii="Times New Roman" w:hAnsi="Times New Roman" w:cs="Times New Roman"/>
          <w:sz w:val="20"/>
          <w:szCs w:val="20"/>
          <w:lang w:val="en-US"/>
        </w:rPr>
        <w:t>consolida</w:t>
      </w:r>
      <w:r w:rsidRPr="0022306B">
        <w:rPr>
          <w:rFonts w:ascii="Times New Roman" w:hAnsi="Times New Roman" w:cs="Times New Roman"/>
          <w:sz w:val="20"/>
          <w:szCs w:val="20"/>
          <w:lang w:val="en-US"/>
        </w:rPr>
        <w:t xml:space="preserve">ting the applicability in infant complementary foods production. Neither fermentation nor germination alone is optimal in improving the target product functionalities of sorghum and bottle gourd seed flour blend. </w:t>
      </w:r>
      <w:r w:rsidR="002B1FFD" w:rsidRPr="0022306B">
        <w:rPr>
          <w:rFonts w:ascii="Times New Roman" w:hAnsi="Times New Roman" w:cs="Times New Roman"/>
          <w:sz w:val="20"/>
          <w:szCs w:val="20"/>
          <w:lang w:val="en-US"/>
        </w:rPr>
        <w:t>Furthermore,</w:t>
      </w:r>
      <w:r w:rsidRPr="0022306B">
        <w:rPr>
          <w:rFonts w:ascii="Times New Roman" w:hAnsi="Times New Roman" w:cs="Times New Roman"/>
          <w:sz w:val="20"/>
          <w:szCs w:val="20"/>
          <w:lang w:val="en-US"/>
        </w:rPr>
        <w:t xml:space="preserve"> the synergistic effect of “combination processing </w:t>
      </w:r>
      <w:r w:rsidR="000E6E66">
        <w:rPr>
          <w:rFonts w:ascii="Times New Roman" w:hAnsi="Times New Roman" w:cs="Times New Roman"/>
          <w:sz w:val="20"/>
          <w:szCs w:val="20"/>
          <w:lang w:val="en-US"/>
        </w:rPr>
        <w:t>treatments</w:t>
      </w:r>
      <w:r w:rsidRPr="0022306B">
        <w:rPr>
          <w:rFonts w:ascii="Times New Roman" w:hAnsi="Times New Roman" w:cs="Times New Roman"/>
          <w:sz w:val="20"/>
          <w:szCs w:val="20"/>
          <w:lang w:val="en-US"/>
        </w:rPr>
        <w:t xml:space="preserve">” and the “effect of ingredient macronutrients on functionality” is a useful tool for the exploration of the design of affordable and diversified new complementary infant foods. </w:t>
      </w:r>
    </w:p>
    <w:p w14:paraId="415549C7" w14:textId="2847E50E" w:rsidR="006B4388" w:rsidRPr="0022306B" w:rsidRDefault="007832B3" w:rsidP="00C12106">
      <w:pPr>
        <w:jc w:val="both"/>
        <w:rPr>
          <w:rFonts w:ascii="Times New Roman" w:hAnsi="Times New Roman" w:cs="Times New Roman"/>
          <w:sz w:val="20"/>
          <w:szCs w:val="20"/>
          <w:lang w:val="en-US"/>
        </w:rPr>
      </w:pPr>
      <w:r w:rsidRPr="0022306B">
        <w:rPr>
          <w:rFonts w:ascii="Times New Roman" w:hAnsi="Times New Roman" w:cs="Times New Roman"/>
          <w:sz w:val="20"/>
          <w:szCs w:val="20"/>
          <w:lang w:val="en-US"/>
        </w:rPr>
        <w:t>Th</w:t>
      </w:r>
      <w:r w:rsidR="002E6583">
        <w:rPr>
          <w:rFonts w:ascii="Times New Roman" w:hAnsi="Times New Roman" w:cs="Times New Roman"/>
          <w:sz w:val="20"/>
          <w:szCs w:val="20"/>
          <w:lang w:val="en-US"/>
        </w:rPr>
        <w:t>erefore</w:t>
      </w:r>
      <w:r w:rsidRPr="0022306B">
        <w:rPr>
          <w:rFonts w:ascii="Times New Roman" w:hAnsi="Times New Roman" w:cs="Times New Roman"/>
          <w:sz w:val="20"/>
          <w:szCs w:val="20"/>
          <w:lang w:val="en-US"/>
        </w:rPr>
        <w:t>,</w:t>
      </w:r>
      <w:r w:rsidR="00C12106" w:rsidRPr="0022306B">
        <w:rPr>
          <w:rFonts w:ascii="Times New Roman" w:hAnsi="Times New Roman" w:cs="Times New Roman"/>
          <w:sz w:val="20"/>
          <w:szCs w:val="20"/>
          <w:lang w:val="en-US"/>
        </w:rPr>
        <w:t xml:space="preserve"> before undertaking</w:t>
      </w:r>
      <w:r w:rsidR="00C12106" w:rsidRPr="00DA668A">
        <w:rPr>
          <w:rFonts w:ascii="Times New Roman" w:hAnsi="Times New Roman" w:cs="Times New Roman"/>
          <w:sz w:val="20"/>
          <w:szCs w:val="20"/>
          <w:lang w:val="en-US"/>
        </w:rPr>
        <w:t xml:space="preserve"> in-vivo</w:t>
      </w:r>
      <w:r w:rsidR="00C12106" w:rsidRPr="0022306B">
        <w:rPr>
          <w:rFonts w:ascii="Times New Roman" w:hAnsi="Times New Roman" w:cs="Times New Roman"/>
          <w:sz w:val="20"/>
          <w:szCs w:val="20"/>
          <w:lang w:val="en-US"/>
        </w:rPr>
        <w:t xml:space="preserve"> or human studies, further research </w:t>
      </w:r>
      <w:r w:rsidR="002E6583">
        <w:rPr>
          <w:rFonts w:ascii="Times New Roman" w:hAnsi="Times New Roman" w:cs="Times New Roman"/>
          <w:sz w:val="20"/>
          <w:szCs w:val="20"/>
          <w:lang w:val="en-US"/>
        </w:rPr>
        <w:t xml:space="preserve">is recommended </w:t>
      </w:r>
      <w:r w:rsidR="00C12106" w:rsidRPr="0022306B">
        <w:rPr>
          <w:rFonts w:ascii="Times New Roman" w:hAnsi="Times New Roman" w:cs="Times New Roman"/>
          <w:sz w:val="20"/>
          <w:szCs w:val="20"/>
          <w:lang w:val="en-US"/>
        </w:rPr>
        <w:t>on (i). Interrelationships of processes when using highly nutritious underutilized crops from different regions, (ii). A detailed investigation into functionalities of various ingredients and target compounds and (iii). Design of a</w:t>
      </w:r>
      <w:r w:rsidR="00DA28DD">
        <w:rPr>
          <w:rFonts w:ascii="Times New Roman" w:hAnsi="Times New Roman" w:cs="Times New Roman"/>
          <w:sz w:val="20"/>
          <w:szCs w:val="20"/>
          <w:lang w:val="en-US"/>
        </w:rPr>
        <w:t xml:space="preserve"> </w:t>
      </w:r>
      <w:r w:rsidR="00DA28DD" w:rsidRPr="00DA28DD">
        <w:rPr>
          <w:rFonts w:ascii="Times New Roman" w:hAnsi="Times New Roman" w:cs="Times New Roman"/>
          <w:sz w:val="20"/>
          <w:szCs w:val="20"/>
          <w:lang w:val="en-US"/>
        </w:rPr>
        <w:t>traditional complementary foods</w:t>
      </w:r>
      <w:r w:rsidR="00C12106" w:rsidRPr="0022306B">
        <w:rPr>
          <w:rFonts w:ascii="Times New Roman" w:hAnsi="Times New Roman" w:cs="Times New Roman"/>
          <w:sz w:val="20"/>
          <w:szCs w:val="20"/>
          <w:lang w:val="en-US"/>
        </w:rPr>
        <w:t xml:space="preserve"> using the combinations, that suit infants below 10 months.</w:t>
      </w:r>
    </w:p>
    <w:p w14:paraId="6C6977B4" w14:textId="4CD04C4D" w:rsidR="00C12106" w:rsidRDefault="006B4388" w:rsidP="00841656">
      <w:pPr>
        <w:pStyle w:val="Titolo1"/>
        <w:numPr>
          <w:ilvl w:val="0"/>
          <w:numId w:val="2"/>
        </w:numPr>
        <w:spacing w:after="120"/>
        <w:ind w:left="714" w:hanging="357"/>
        <w:rPr>
          <w:rFonts w:ascii="Times New Roman" w:hAnsi="Times New Roman" w:cs="Times New Roman"/>
          <w:b/>
          <w:bCs/>
          <w:color w:val="000000" w:themeColor="text1"/>
          <w:sz w:val="24"/>
          <w:szCs w:val="24"/>
          <w:lang w:val="en-US"/>
        </w:rPr>
      </w:pPr>
      <w:r w:rsidRPr="004B725E">
        <w:rPr>
          <w:rFonts w:ascii="Times New Roman" w:hAnsi="Times New Roman" w:cs="Times New Roman"/>
          <w:b/>
          <w:bCs/>
          <w:color w:val="000000" w:themeColor="text1"/>
          <w:sz w:val="24"/>
          <w:szCs w:val="24"/>
          <w:lang w:val="en-US"/>
        </w:rPr>
        <w:t>References</w:t>
      </w:r>
    </w:p>
    <w:p w14:paraId="629DA9F3" w14:textId="0E1FFFD3" w:rsidR="0061042A" w:rsidRPr="0061042A" w:rsidRDefault="0061042A" w:rsidP="00A02452">
      <w:pPr>
        <w:pStyle w:val="EndNoteBibliography"/>
        <w:ind w:left="709" w:hanging="709"/>
        <w:rPr>
          <w:rFonts w:ascii="Times New Roman" w:hAnsi="Times New Roman" w:cs="Times New Roman"/>
          <w:noProof/>
          <w:sz w:val="20"/>
          <w:szCs w:val="20"/>
        </w:rPr>
      </w:pPr>
      <w:bookmarkStart w:id="10" w:name="_Hlk137282913"/>
      <w:bookmarkStart w:id="11" w:name="_Hlk137219995"/>
      <w:r w:rsidRPr="004E3FC6">
        <w:rPr>
          <w:rFonts w:ascii="Times New Roman" w:hAnsi="Times New Roman" w:cs="Times New Roman"/>
          <w:noProof/>
          <w:sz w:val="20"/>
          <w:szCs w:val="20"/>
        </w:rPr>
        <w:t xml:space="preserve">Amoako DB, Awika JM (2016) </w:t>
      </w:r>
      <w:bookmarkEnd w:id="10"/>
      <w:r w:rsidRPr="004E3FC6">
        <w:rPr>
          <w:rFonts w:ascii="Times New Roman" w:hAnsi="Times New Roman" w:cs="Times New Roman"/>
          <w:noProof/>
          <w:sz w:val="20"/>
          <w:szCs w:val="20"/>
        </w:rPr>
        <w:t>Polymeric tannins significantly alter properties and in vitro digestibility of partially</w:t>
      </w:r>
      <w:r w:rsidR="00A02452">
        <w:rPr>
          <w:rFonts w:ascii="Times New Roman" w:hAnsi="Times New Roman" w:cs="Times New Roman"/>
          <w:noProof/>
          <w:sz w:val="20"/>
          <w:szCs w:val="20"/>
        </w:rPr>
        <w:t xml:space="preserve"> </w:t>
      </w:r>
      <w:r w:rsidRPr="004E3FC6">
        <w:rPr>
          <w:rFonts w:ascii="Times New Roman" w:hAnsi="Times New Roman" w:cs="Times New Roman"/>
          <w:noProof/>
          <w:sz w:val="20"/>
          <w:szCs w:val="20"/>
        </w:rPr>
        <w:t xml:space="preserve">gelatinized intact starch granule. </w:t>
      </w:r>
      <w:r w:rsidRPr="004E3FC6">
        <w:rPr>
          <w:rFonts w:ascii="Times New Roman" w:hAnsi="Times New Roman" w:cs="Times New Roman"/>
          <w:i/>
          <w:iCs/>
          <w:noProof/>
          <w:sz w:val="20"/>
          <w:szCs w:val="20"/>
        </w:rPr>
        <w:t>Food chemistry</w:t>
      </w:r>
      <w:r w:rsidRPr="004E3FC6">
        <w:rPr>
          <w:rFonts w:ascii="Times New Roman" w:hAnsi="Times New Roman" w:cs="Times New Roman"/>
          <w:noProof/>
          <w:sz w:val="20"/>
          <w:szCs w:val="20"/>
        </w:rPr>
        <w:t>.</w:t>
      </w:r>
    </w:p>
    <w:p w14:paraId="09F7D4BF" w14:textId="2FF10840" w:rsidR="00680D2C" w:rsidRPr="00680D2C" w:rsidRDefault="00680D2C" w:rsidP="00A02452">
      <w:pPr>
        <w:ind w:left="709" w:hanging="709"/>
        <w:jc w:val="both"/>
        <w:rPr>
          <w:rFonts w:ascii="Times New Roman" w:hAnsi="Times New Roman" w:cs="Times New Roman"/>
          <w:sz w:val="20"/>
          <w:szCs w:val="20"/>
          <w:lang w:val="en-US"/>
        </w:rPr>
      </w:pPr>
      <w:r w:rsidRPr="00734992">
        <w:rPr>
          <w:rFonts w:ascii="Times New Roman" w:hAnsi="Times New Roman" w:cs="Times New Roman"/>
          <w:sz w:val="20"/>
          <w:szCs w:val="20"/>
          <w:lang w:val="en-US"/>
        </w:rPr>
        <w:t xml:space="preserve">Beltrão Martins </w:t>
      </w:r>
      <w:bookmarkEnd w:id="11"/>
      <w:r>
        <w:rPr>
          <w:rFonts w:ascii="Times New Roman" w:hAnsi="Times New Roman" w:cs="Times New Roman"/>
          <w:sz w:val="20"/>
          <w:szCs w:val="20"/>
          <w:lang w:val="en-US"/>
        </w:rPr>
        <w:t>R</w:t>
      </w:r>
      <w:r w:rsidRPr="00734992">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734992">
        <w:rPr>
          <w:rFonts w:ascii="Times New Roman" w:hAnsi="Times New Roman" w:cs="Times New Roman"/>
          <w:sz w:val="20"/>
          <w:szCs w:val="20"/>
          <w:lang w:val="en-US"/>
        </w:rPr>
        <w:t xml:space="preserve">Gouvinhas </w:t>
      </w:r>
      <w:r>
        <w:rPr>
          <w:rFonts w:ascii="Times New Roman" w:hAnsi="Times New Roman" w:cs="Times New Roman"/>
          <w:sz w:val="20"/>
          <w:szCs w:val="20"/>
          <w:lang w:val="en-US"/>
        </w:rPr>
        <w:t>I</w:t>
      </w:r>
      <w:r w:rsidRPr="00734992">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734992">
        <w:rPr>
          <w:rFonts w:ascii="Times New Roman" w:hAnsi="Times New Roman" w:cs="Times New Roman"/>
          <w:sz w:val="20"/>
          <w:szCs w:val="20"/>
          <w:lang w:val="en-US"/>
        </w:rPr>
        <w:t>Nunes</w:t>
      </w:r>
      <w:r>
        <w:rPr>
          <w:rFonts w:ascii="Times New Roman" w:hAnsi="Times New Roman" w:cs="Times New Roman"/>
          <w:sz w:val="20"/>
          <w:szCs w:val="20"/>
          <w:lang w:val="en-US"/>
        </w:rPr>
        <w:t xml:space="preserve"> M</w:t>
      </w:r>
      <w:r w:rsidRPr="00734992">
        <w:rPr>
          <w:rFonts w:ascii="Times New Roman" w:hAnsi="Times New Roman" w:cs="Times New Roman"/>
          <w:sz w:val="20"/>
          <w:szCs w:val="20"/>
          <w:lang w:val="en-US"/>
        </w:rPr>
        <w:t>C,</w:t>
      </w:r>
      <w:r>
        <w:rPr>
          <w:rFonts w:ascii="Times New Roman" w:hAnsi="Times New Roman" w:cs="Times New Roman"/>
          <w:sz w:val="20"/>
          <w:szCs w:val="20"/>
          <w:lang w:val="en-US"/>
        </w:rPr>
        <w:t xml:space="preserve"> </w:t>
      </w:r>
      <w:r w:rsidRPr="00734992">
        <w:rPr>
          <w:rFonts w:ascii="Times New Roman" w:hAnsi="Times New Roman" w:cs="Times New Roman"/>
          <w:sz w:val="20"/>
          <w:szCs w:val="20"/>
          <w:lang w:val="en-US"/>
        </w:rPr>
        <w:t xml:space="preserve">Alcides Peres </w:t>
      </w:r>
      <w:r>
        <w:rPr>
          <w:rFonts w:ascii="Times New Roman" w:hAnsi="Times New Roman" w:cs="Times New Roman"/>
          <w:sz w:val="20"/>
          <w:szCs w:val="20"/>
          <w:lang w:val="en-US"/>
        </w:rPr>
        <w:t>J</w:t>
      </w:r>
      <w:r w:rsidRPr="00734992">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734992">
        <w:rPr>
          <w:rFonts w:ascii="Times New Roman" w:hAnsi="Times New Roman" w:cs="Times New Roman"/>
          <w:sz w:val="20"/>
          <w:szCs w:val="20"/>
          <w:lang w:val="en-US"/>
        </w:rPr>
        <w:t xml:space="preserve">Raymundo </w:t>
      </w:r>
      <w:r>
        <w:rPr>
          <w:rFonts w:ascii="Times New Roman" w:hAnsi="Times New Roman" w:cs="Times New Roman"/>
          <w:sz w:val="20"/>
          <w:szCs w:val="20"/>
          <w:lang w:val="en-US"/>
        </w:rPr>
        <w:t>A,</w:t>
      </w:r>
      <w:r w:rsidRPr="00734992">
        <w:rPr>
          <w:rFonts w:ascii="Times New Roman" w:hAnsi="Times New Roman" w:cs="Times New Roman"/>
          <w:sz w:val="20"/>
          <w:szCs w:val="20"/>
          <w:lang w:val="en-US"/>
        </w:rPr>
        <w:t xml:space="preserve"> Barros </w:t>
      </w:r>
      <w:r>
        <w:rPr>
          <w:rFonts w:ascii="Times New Roman" w:hAnsi="Times New Roman" w:cs="Times New Roman"/>
          <w:sz w:val="20"/>
          <w:szCs w:val="20"/>
          <w:lang w:val="en-US"/>
        </w:rPr>
        <w:t xml:space="preserve">A (2020) </w:t>
      </w:r>
      <w:r w:rsidRPr="00734992">
        <w:rPr>
          <w:rFonts w:ascii="Times New Roman" w:hAnsi="Times New Roman" w:cs="Times New Roman"/>
          <w:sz w:val="20"/>
          <w:szCs w:val="20"/>
          <w:lang w:val="en-US"/>
        </w:rPr>
        <w:t>Acorn Flour as a</w:t>
      </w:r>
      <w:r w:rsidR="0064614B">
        <w:rPr>
          <w:rFonts w:ascii="Times New Roman" w:hAnsi="Times New Roman" w:cs="Times New Roman"/>
          <w:sz w:val="20"/>
          <w:szCs w:val="20"/>
          <w:lang w:val="en-US"/>
        </w:rPr>
        <w:t xml:space="preserve"> </w:t>
      </w:r>
      <w:r w:rsidRPr="00734992">
        <w:rPr>
          <w:rFonts w:ascii="Times New Roman" w:hAnsi="Times New Roman" w:cs="Times New Roman"/>
          <w:sz w:val="20"/>
          <w:szCs w:val="20"/>
          <w:lang w:val="en-US"/>
        </w:rPr>
        <w:t>Source of Bioactive Compounds in Gluten-Free Bread</w:t>
      </w:r>
      <w:r>
        <w:rPr>
          <w:rFonts w:ascii="Times New Roman" w:hAnsi="Times New Roman" w:cs="Times New Roman"/>
          <w:sz w:val="20"/>
          <w:szCs w:val="20"/>
          <w:lang w:val="en-US"/>
        </w:rPr>
        <w:t>z</w:t>
      </w:r>
      <w:r w:rsidR="0061042A">
        <w:rPr>
          <w:rFonts w:ascii="Times New Roman" w:hAnsi="Times New Roman" w:cs="Times New Roman"/>
          <w:sz w:val="20"/>
          <w:szCs w:val="20"/>
          <w:lang w:val="en-US"/>
        </w:rPr>
        <w:t xml:space="preserve">. </w:t>
      </w:r>
      <w:r w:rsidRPr="00734992">
        <w:rPr>
          <w:rFonts w:ascii="Times New Roman" w:hAnsi="Times New Roman" w:cs="Times New Roman"/>
          <w:i/>
          <w:iCs/>
          <w:sz w:val="20"/>
          <w:szCs w:val="20"/>
          <w:lang w:val="en-US"/>
        </w:rPr>
        <w:t>Molecules</w:t>
      </w:r>
      <w:r>
        <w:rPr>
          <w:rFonts w:ascii="Times New Roman" w:hAnsi="Times New Roman" w:cs="Times New Roman"/>
          <w:sz w:val="20"/>
          <w:szCs w:val="20"/>
          <w:lang w:val="en-US"/>
        </w:rPr>
        <w:t>.</w:t>
      </w:r>
    </w:p>
    <w:p w14:paraId="187F2E43" w14:textId="53EB72A2" w:rsidR="008844A2" w:rsidRPr="008844A2" w:rsidRDefault="002A075D" w:rsidP="00A02452">
      <w:pPr>
        <w:ind w:left="709" w:hanging="709"/>
        <w:jc w:val="both"/>
        <w:rPr>
          <w:rFonts w:ascii="Times New Roman" w:hAnsi="Times New Roman" w:cs="Times New Roman"/>
          <w:sz w:val="20"/>
          <w:szCs w:val="20"/>
          <w:lang w:val="en-US"/>
        </w:rPr>
      </w:pPr>
      <w:r w:rsidRPr="001E7C98">
        <w:rPr>
          <w:rFonts w:ascii="Times New Roman" w:hAnsi="Times New Roman" w:cs="Times New Roman"/>
          <w:sz w:val="20"/>
          <w:szCs w:val="20"/>
          <w:lang w:val="en-US"/>
        </w:rPr>
        <w:t>Cappelli A, Oliva N, Cini E (2020) Stone milling versus roller milling: A systematic review of the effects on wheat flour quality, dough rheology, and bread characteristics</w:t>
      </w:r>
      <w:r w:rsidR="0061042A">
        <w:rPr>
          <w:rFonts w:ascii="Times New Roman" w:hAnsi="Times New Roman" w:cs="Times New Roman"/>
          <w:sz w:val="20"/>
          <w:szCs w:val="20"/>
          <w:lang w:val="en-US"/>
        </w:rPr>
        <w:t>.</w:t>
      </w:r>
      <w:r w:rsidRPr="001E7C98">
        <w:rPr>
          <w:rFonts w:ascii="Times New Roman" w:hAnsi="Times New Roman" w:cs="Times New Roman"/>
          <w:sz w:val="20"/>
          <w:szCs w:val="20"/>
          <w:lang w:val="en-US"/>
        </w:rPr>
        <w:t xml:space="preserve"> </w:t>
      </w:r>
      <w:r w:rsidRPr="001E7C98">
        <w:rPr>
          <w:rFonts w:ascii="Times New Roman" w:hAnsi="Times New Roman" w:cs="Times New Roman"/>
          <w:i/>
          <w:iCs/>
          <w:sz w:val="20"/>
          <w:szCs w:val="20"/>
          <w:lang w:val="en-US"/>
        </w:rPr>
        <w:t>Trends in Food Science &amp; Technology</w:t>
      </w:r>
      <w:r w:rsidR="00680D2C">
        <w:rPr>
          <w:rFonts w:ascii="Times New Roman" w:hAnsi="Times New Roman" w:cs="Times New Roman"/>
          <w:sz w:val="20"/>
          <w:szCs w:val="20"/>
          <w:lang w:val="en-US"/>
        </w:rPr>
        <w:t>.</w:t>
      </w:r>
    </w:p>
    <w:p w14:paraId="2E1A1814" w14:textId="77777777" w:rsidR="005E49A5" w:rsidRDefault="005E49A5" w:rsidP="00A02452">
      <w:pPr>
        <w:pStyle w:val="EndNoteBibliography"/>
        <w:ind w:left="709" w:hanging="709"/>
        <w:rPr>
          <w:rFonts w:ascii="Times New Roman" w:hAnsi="Times New Roman" w:cs="Times New Roman"/>
          <w:noProof/>
          <w:sz w:val="20"/>
          <w:szCs w:val="20"/>
        </w:rPr>
      </w:pPr>
      <w:r w:rsidRPr="00E17E07">
        <w:rPr>
          <w:rFonts w:ascii="Times New Roman" w:hAnsi="Times New Roman" w:cs="Times New Roman"/>
          <w:noProof/>
          <w:sz w:val="20"/>
          <w:szCs w:val="20"/>
        </w:rPr>
        <w:t xml:space="preserve">Chaves-López C, Rossi C., Maggio F, Paparella A, Serio A. (2020) </w:t>
      </w:r>
      <w:r w:rsidRPr="00215D4F">
        <w:rPr>
          <w:rFonts w:ascii="Times New Roman" w:hAnsi="Times New Roman" w:cs="Times New Roman"/>
          <w:noProof/>
          <w:sz w:val="20"/>
          <w:szCs w:val="20"/>
        </w:rPr>
        <w:t xml:space="preserve">Changes Occurring in Spontaneous Maize Fermentation: An Overview. </w:t>
      </w:r>
      <w:r w:rsidRPr="00E17E07">
        <w:rPr>
          <w:rFonts w:ascii="Times New Roman" w:hAnsi="Times New Roman" w:cs="Times New Roman"/>
          <w:i/>
          <w:iCs/>
          <w:noProof/>
          <w:sz w:val="20"/>
          <w:szCs w:val="20"/>
        </w:rPr>
        <w:t>Fermentation</w:t>
      </w:r>
      <w:r>
        <w:rPr>
          <w:rFonts w:ascii="Times New Roman" w:hAnsi="Times New Roman" w:cs="Times New Roman"/>
          <w:noProof/>
          <w:sz w:val="20"/>
          <w:szCs w:val="20"/>
        </w:rPr>
        <w:t>.</w:t>
      </w:r>
    </w:p>
    <w:p w14:paraId="07F2E62D" w14:textId="77777777" w:rsidR="005E49A5" w:rsidRDefault="005E49A5" w:rsidP="00A02452">
      <w:pPr>
        <w:pStyle w:val="EndNoteBibliography"/>
        <w:ind w:left="709" w:hanging="709"/>
        <w:rPr>
          <w:rFonts w:ascii="Times New Roman" w:hAnsi="Times New Roman" w:cs="Times New Roman"/>
          <w:noProof/>
          <w:sz w:val="20"/>
          <w:szCs w:val="20"/>
        </w:rPr>
      </w:pPr>
      <w:r w:rsidRPr="00707A1D">
        <w:rPr>
          <w:rFonts w:ascii="Times New Roman" w:hAnsi="Times New Roman" w:cs="Times New Roman"/>
          <w:noProof/>
          <w:sz w:val="20"/>
          <w:szCs w:val="20"/>
        </w:rPr>
        <w:t>Duodu</w:t>
      </w:r>
      <w:r>
        <w:rPr>
          <w:rFonts w:ascii="Times New Roman" w:hAnsi="Times New Roman" w:cs="Times New Roman"/>
          <w:noProof/>
          <w:sz w:val="20"/>
          <w:szCs w:val="20"/>
        </w:rPr>
        <w:t xml:space="preserve"> </w:t>
      </w:r>
      <w:r w:rsidRPr="00707A1D">
        <w:rPr>
          <w:rFonts w:ascii="Times New Roman" w:hAnsi="Times New Roman" w:cs="Times New Roman"/>
          <w:noProof/>
          <w:sz w:val="20"/>
          <w:szCs w:val="20"/>
        </w:rPr>
        <w:t>KG, Taylor J.R.N, Belton P.S, Hamaker</w:t>
      </w:r>
      <w:r>
        <w:rPr>
          <w:rFonts w:ascii="Times New Roman" w:hAnsi="Times New Roman" w:cs="Times New Roman"/>
          <w:noProof/>
          <w:sz w:val="20"/>
          <w:szCs w:val="20"/>
        </w:rPr>
        <w:t xml:space="preserve"> </w:t>
      </w:r>
      <w:r w:rsidRPr="00707A1D">
        <w:rPr>
          <w:rFonts w:ascii="Times New Roman" w:hAnsi="Times New Roman" w:cs="Times New Roman"/>
          <w:noProof/>
          <w:sz w:val="20"/>
          <w:szCs w:val="20"/>
        </w:rPr>
        <w:t>B.R.</w:t>
      </w:r>
      <w:r>
        <w:rPr>
          <w:rFonts w:ascii="Times New Roman" w:hAnsi="Times New Roman" w:cs="Times New Roman"/>
          <w:noProof/>
          <w:sz w:val="20"/>
          <w:szCs w:val="20"/>
        </w:rPr>
        <w:t xml:space="preserve"> </w:t>
      </w:r>
      <w:r w:rsidRPr="00707A1D">
        <w:rPr>
          <w:rFonts w:ascii="Times New Roman" w:hAnsi="Times New Roman" w:cs="Times New Roman"/>
          <w:noProof/>
          <w:sz w:val="20"/>
          <w:szCs w:val="20"/>
        </w:rPr>
        <w:t>(2003)</w:t>
      </w:r>
      <w:r>
        <w:rPr>
          <w:rFonts w:ascii="Times New Roman" w:hAnsi="Times New Roman" w:cs="Times New Roman"/>
          <w:noProof/>
          <w:sz w:val="20"/>
          <w:szCs w:val="20"/>
        </w:rPr>
        <w:t xml:space="preserve"> </w:t>
      </w:r>
      <w:r w:rsidRPr="00707A1D">
        <w:rPr>
          <w:rFonts w:ascii="Times New Roman" w:hAnsi="Times New Roman" w:cs="Times New Roman"/>
          <w:noProof/>
          <w:sz w:val="20"/>
          <w:szCs w:val="20"/>
        </w:rPr>
        <w:t xml:space="preserve">Factors affecting sorghum protein digestibility. </w:t>
      </w:r>
      <w:r w:rsidRPr="00E17E07">
        <w:rPr>
          <w:rFonts w:ascii="Times New Roman" w:hAnsi="Times New Roman" w:cs="Times New Roman"/>
          <w:i/>
          <w:iCs/>
          <w:noProof/>
          <w:sz w:val="20"/>
          <w:szCs w:val="20"/>
        </w:rPr>
        <w:t>Journal of Cereal Science</w:t>
      </w:r>
      <w:r>
        <w:rPr>
          <w:rFonts w:ascii="Times New Roman" w:hAnsi="Times New Roman" w:cs="Times New Roman"/>
          <w:noProof/>
          <w:sz w:val="20"/>
          <w:szCs w:val="20"/>
        </w:rPr>
        <w:t xml:space="preserve">. </w:t>
      </w:r>
    </w:p>
    <w:p w14:paraId="3C4117F0" w14:textId="77777777" w:rsidR="005E49A5" w:rsidRDefault="005E49A5" w:rsidP="00A02452">
      <w:pPr>
        <w:pStyle w:val="EndNoteBibliography"/>
        <w:ind w:left="709" w:hanging="709"/>
        <w:rPr>
          <w:rFonts w:ascii="Times New Roman" w:hAnsi="Times New Roman" w:cs="Times New Roman"/>
          <w:noProof/>
          <w:sz w:val="20"/>
          <w:szCs w:val="20"/>
        </w:rPr>
      </w:pPr>
      <w:r w:rsidRPr="00707A1D">
        <w:rPr>
          <w:rFonts w:ascii="Times New Roman" w:hAnsi="Times New Roman" w:cs="Times New Roman"/>
          <w:noProof/>
          <w:sz w:val="20"/>
          <w:szCs w:val="20"/>
        </w:rPr>
        <w:t>Karim</w:t>
      </w:r>
      <w:r>
        <w:rPr>
          <w:rFonts w:ascii="Times New Roman" w:hAnsi="Times New Roman" w:cs="Times New Roman"/>
          <w:noProof/>
          <w:sz w:val="20"/>
          <w:szCs w:val="20"/>
        </w:rPr>
        <w:t xml:space="preserve"> </w:t>
      </w:r>
      <w:r w:rsidRPr="00707A1D">
        <w:rPr>
          <w:rFonts w:ascii="Times New Roman" w:hAnsi="Times New Roman" w:cs="Times New Roman"/>
          <w:noProof/>
          <w:sz w:val="20"/>
          <w:szCs w:val="20"/>
        </w:rPr>
        <w:t>Z, Holmes</w:t>
      </w:r>
      <w:r>
        <w:rPr>
          <w:rFonts w:ascii="Times New Roman" w:hAnsi="Times New Roman" w:cs="Times New Roman"/>
          <w:noProof/>
          <w:sz w:val="20"/>
          <w:szCs w:val="20"/>
        </w:rPr>
        <w:t xml:space="preserve"> </w:t>
      </w:r>
      <w:r w:rsidRPr="00707A1D">
        <w:rPr>
          <w:rFonts w:ascii="Times New Roman" w:hAnsi="Times New Roman" w:cs="Times New Roman"/>
          <w:noProof/>
          <w:sz w:val="20"/>
          <w:szCs w:val="20"/>
        </w:rPr>
        <w:t>M, Orfila C</w:t>
      </w:r>
      <w:r>
        <w:rPr>
          <w:rFonts w:ascii="Times New Roman" w:hAnsi="Times New Roman" w:cs="Times New Roman"/>
          <w:noProof/>
          <w:sz w:val="20"/>
          <w:szCs w:val="20"/>
        </w:rPr>
        <w:t xml:space="preserve"> </w:t>
      </w:r>
      <w:r w:rsidRPr="00707A1D">
        <w:rPr>
          <w:rFonts w:ascii="Times New Roman" w:hAnsi="Times New Roman" w:cs="Times New Roman"/>
          <w:noProof/>
          <w:sz w:val="20"/>
          <w:szCs w:val="20"/>
        </w:rPr>
        <w:t xml:space="preserve">(2017) Inhibitory effect of chlorogenic acid on digestion of potato starch. </w:t>
      </w:r>
      <w:r w:rsidRPr="00E17E07">
        <w:rPr>
          <w:rFonts w:ascii="Times New Roman" w:hAnsi="Times New Roman" w:cs="Times New Roman"/>
          <w:i/>
          <w:iCs/>
          <w:noProof/>
          <w:sz w:val="20"/>
          <w:szCs w:val="20"/>
        </w:rPr>
        <w:t>Food Chemistry</w:t>
      </w:r>
      <w:r>
        <w:rPr>
          <w:rFonts w:ascii="Times New Roman" w:hAnsi="Times New Roman" w:cs="Times New Roman"/>
          <w:noProof/>
          <w:sz w:val="20"/>
          <w:szCs w:val="20"/>
        </w:rPr>
        <w:t>.</w:t>
      </w:r>
    </w:p>
    <w:p w14:paraId="2FC01DB3" w14:textId="40E5E8E7" w:rsidR="00680D2C" w:rsidRDefault="007F5D6D" w:rsidP="00A02452">
      <w:pPr>
        <w:ind w:left="709" w:hanging="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Oladiran DA, Emmambux NM (2020), </w:t>
      </w:r>
      <w:r w:rsidRPr="007F5D6D">
        <w:rPr>
          <w:rFonts w:ascii="Times New Roman" w:hAnsi="Times New Roman" w:cs="Times New Roman"/>
          <w:sz w:val="20"/>
          <w:szCs w:val="20"/>
          <w:lang w:val="en-US"/>
        </w:rPr>
        <w:t>Locally Available African Complementary</w:t>
      </w:r>
      <w:r>
        <w:rPr>
          <w:rFonts w:ascii="Times New Roman" w:hAnsi="Times New Roman" w:cs="Times New Roman"/>
          <w:sz w:val="20"/>
          <w:szCs w:val="20"/>
          <w:lang w:val="en-US"/>
        </w:rPr>
        <w:t xml:space="preserve"> </w:t>
      </w:r>
      <w:r w:rsidRPr="007F5D6D">
        <w:rPr>
          <w:rFonts w:ascii="Times New Roman" w:hAnsi="Times New Roman" w:cs="Times New Roman"/>
          <w:sz w:val="20"/>
          <w:szCs w:val="20"/>
          <w:lang w:val="en-US"/>
        </w:rPr>
        <w:t>Foods: Nutritional Limitations and Processing</w:t>
      </w:r>
      <w:r>
        <w:rPr>
          <w:rFonts w:ascii="Times New Roman" w:hAnsi="Times New Roman" w:cs="Times New Roman"/>
          <w:sz w:val="20"/>
          <w:szCs w:val="20"/>
          <w:lang w:val="en-US"/>
        </w:rPr>
        <w:t xml:space="preserve"> </w:t>
      </w:r>
      <w:r w:rsidRPr="007F5D6D">
        <w:rPr>
          <w:rFonts w:ascii="Times New Roman" w:hAnsi="Times New Roman" w:cs="Times New Roman"/>
          <w:sz w:val="20"/>
          <w:szCs w:val="20"/>
          <w:lang w:val="en-US"/>
        </w:rPr>
        <w:t>Technologies to Improve Nutritional Quality</w:t>
      </w:r>
      <w:r>
        <w:rPr>
          <w:rFonts w:ascii="Times New Roman" w:hAnsi="Times New Roman" w:cs="Times New Roman"/>
          <w:sz w:val="20"/>
          <w:szCs w:val="20"/>
          <w:lang w:val="en-US"/>
        </w:rPr>
        <w:t xml:space="preserve"> - </w:t>
      </w:r>
      <w:r w:rsidRPr="007F5D6D">
        <w:rPr>
          <w:rFonts w:ascii="Times New Roman" w:hAnsi="Times New Roman" w:cs="Times New Roman"/>
          <w:sz w:val="20"/>
          <w:szCs w:val="20"/>
          <w:lang w:val="en-US"/>
        </w:rPr>
        <w:t>A</w:t>
      </w:r>
      <w:r>
        <w:rPr>
          <w:rFonts w:ascii="Times New Roman" w:hAnsi="Times New Roman" w:cs="Times New Roman"/>
          <w:sz w:val="20"/>
          <w:szCs w:val="20"/>
          <w:lang w:val="en-US"/>
        </w:rPr>
        <w:t xml:space="preserve"> </w:t>
      </w:r>
      <w:r w:rsidRPr="007F5D6D">
        <w:rPr>
          <w:rFonts w:ascii="Times New Roman" w:hAnsi="Times New Roman" w:cs="Times New Roman"/>
          <w:sz w:val="20"/>
          <w:szCs w:val="20"/>
          <w:lang w:val="en-US"/>
        </w:rPr>
        <w:t>Review</w:t>
      </w:r>
      <w:r w:rsidR="0061042A">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7F5D6D">
        <w:rPr>
          <w:rFonts w:ascii="Times New Roman" w:hAnsi="Times New Roman" w:cs="Times New Roman"/>
          <w:i/>
          <w:iCs/>
          <w:sz w:val="20"/>
          <w:szCs w:val="20"/>
          <w:lang w:val="en-US"/>
        </w:rPr>
        <w:t>Food Reviews International</w:t>
      </w:r>
      <w:r w:rsidR="00680D2C">
        <w:rPr>
          <w:rFonts w:ascii="Times New Roman" w:hAnsi="Times New Roman" w:cs="Times New Roman"/>
          <w:sz w:val="20"/>
          <w:szCs w:val="20"/>
          <w:lang w:val="en-US"/>
        </w:rPr>
        <w:t>.</w:t>
      </w:r>
    </w:p>
    <w:p w14:paraId="2E6D263E" w14:textId="12F03170" w:rsidR="005E49A5" w:rsidRPr="00680D2C" w:rsidRDefault="005E49A5" w:rsidP="00A02452">
      <w:pPr>
        <w:pStyle w:val="EndNoteBibliography"/>
        <w:ind w:left="709" w:hanging="709"/>
        <w:rPr>
          <w:rFonts w:ascii="Times New Roman" w:hAnsi="Times New Roman" w:cs="Times New Roman"/>
          <w:noProof/>
          <w:sz w:val="20"/>
          <w:szCs w:val="20"/>
        </w:rPr>
      </w:pPr>
      <w:r w:rsidRPr="00707A1D">
        <w:rPr>
          <w:rFonts w:ascii="Times New Roman" w:hAnsi="Times New Roman" w:cs="Times New Roman"/>
          <w:noProof/>
          <w:sz w:val="20"/>
          <w:szCs w:val="20"/>
        </w:rPr>
        <w:t>Rodríguez-España</w:t>
      </w:r>
      <w:r>
        <w:rPr>
          <w:rFonts w:ascii="Times New Roman" w:hAnsi="Times New Roman" w:cs="Times New Roman"/>
          <w:noProof/>
          <w:sz w:val="20"/>
          <w:szCs w:val="20"/>
        </w:rPr>
        <w:t xml:space="preserve"> </w:t>
      </w:r>
      <w:r w:rsidRPr="00707A1D">
        <w:rPr>
          <w:rFonts w:ascii="Times New Roman" w:hAnsi="Times New Roman" w:cs="Times New Roman"/>
          <w:noProof/>
          <w:sz w:val="20"/>
          <w:szCs w:val="20"/>
        </w:rPr>
        <w:t>M, Figueroa-Hernández</w:t>
      </w:r>
      <w:r>
        <w:rPr>
          <w:rFonts w:ascii="Times New Roman" w:hAnsi="Times New Roman" w:cs="Times New Roman"/>
          <w:noProof/>
          <w:sz w:val="20"/>
          <w:szCs w:val="20"/>
        </w:rPr>
        <w:t xml:space="preserve"> </w:t>
      </w:r>
      <w:r w:rsidRPr="00707A1D">
        <w:rPr>
          <w:rFonts w:ascii="Times New Roman" w:hAnsi="Times New Roman" w:cs="Times New Roman"/>
          <w:noProof/>
          <w:sz w:val="20"/>
          <w:szCs w:val="20"/>
        </w:rPr>
        <w:t>CY, Figueroa-Cárdenas</w:t>
      </w:r>
      <w:r>
        <w:rPr>
          <w:rFonts w:ascii="Times New Roman" w:hAnsi="Times New Roman" w:cs="Times New Roman"/>
          <w:noProof/>
          <w:sz w:val="20"/>
          <w:szCs w:val="20"/>
        </w:rPr>
        <w:t xml:space="preserve"> </w:t>
      </w:r>
      <w:r w:rsidRPr="00707A1D">
        <w:rPr>
          <w:rFonts w:ascii="Times New Roman" w:hAnsi="Times New Roman" w:cs="Times New Roman"/>
          <w:noProof/>
          <w:sz w:val="20"/>
          <w:szCs w:val="20"/>
        </w:rPr>
        <w:t>JD, Rayas-Duarte</w:t>
      </w:r>
      <w:r>
        <w:rPr>
          <w:rFonts w:ascii="Times New Roman" w:hAnsi="Times New Roman" w:cs="Times New Roman"/>
          <w:noProof/>
          <w:sz w:val="20"/>
          <w:szCs w:val="20"/>
        </w:rPr>
        <w:t xml:space="preserve"> </w:t>
      </w:r>
      <w:r w:rsidRPr="00707A1D">
        <w:rPr>
          <w:rFonts w:ascii="Times New Roman" w:hAnsi="Times New Roman" w:cs="Times New Roman"/>
          <w:noProof/>
          <w:sz w:val="20"/>
          <w:szCs w:val="20"/>
        </w:rPr>
        <w:t>P, Hernández-Estrada</w:t>
      </w:r>
      <w:r>
        <w:rPr>
          <w:rFonts w:ascii="Times New Roman" w:hAnsi="Times New Roman" w:cs="Times New Roman"/>
          <w:noProof/>
          <w:sz w:val="20"/>
          <w:szCs w:val="20"/>
        </w:rPr>
        <w:t xml:space="preserve"> </w:t>
      </w:r>
      <w:r w:rsidRPr="00707A1D">
        <w:rPr>
          <w:rFonts w:ascii="Times New Roman" w:hAnsi="Times New Roman" w:cs="Times New Roman"/>
          <w:noProof/>
          <w:sz w:val="20"/>
          <w:szCs w:val="20"/>
        </w:rPr>
        <w:t>ZJ.</w:t>
      </w:r>
      <w:r>
        <w:rPr>
          <w:rFonts w:ascii="Times New Roman" w:hAnsi="Times New Roman" w:cs="Times New Roman"/>
          <w:noProof/>
          <w:sz w:val="20"/>
          <w:szCs w:val="20"/>
        </w:rPr>
        <w:t xml:space="preserve"> </w:t>
      </w:r>
      <w:r w:rsidRPr="00707A1D">
        <w:rPr>
          <w:rFonts w:ascii="Times New Roman" w:hAnsi="Times New Roman" w:cs="Times New Roman"/>
          <w:noProof/>
          <w:sz w:val="20"/>
          <w:szCs w:val="20"/>
        </w:rPr>
        <w:t>(2022)</w:t>
      </w:r>
      <w:r>
        <w:rPr>
          <w:rFonts w:ascii="Times New Roman" w:hAnsi="Times New Roman" w:cs="Times New Roman"/>
          <w:noProof/>
          <w:sz w:val="20"/>
          <w:szCs w:val="20"/>
        </w:rPr>
        <w:t xml:space="preserve"> </w:t>
      </w:r>
      <w:r w:rsidRPr="00707A1D">
        <w:rPr>
          <w:rFonts w:ascii="Times New Roman" w:hAnsi="Times New Roman" w:cs="Times New Roman"/>
          <w:noProof/>
          <w:sz w:val="20"/>
          <w:szCs w:val="20"/>
        </w:rPr>
        <w:t xml:space="preserve">Effects of germination and lactic acid fermentation on nutritional and rheological properties of sorghum: A graphical review. </w:t>
      </w:r>
      <w:r w:rsidRPr="00E17E07">
        <w:rPr>
          <w:rFonts w:ascii="Times New Roman" w:hAnsi="Times New Roman" w:cs="Times New Roman"/>
          <w:i/>
          <w:iCs/>
          <w:noProof/>
          <w:sz w:val="20"/>
          <w:szCs w:val="20"/>
        </w:rPr>
        <w:t>Current Research in Food Science</w:t>
      </w:r>
      <w:r>
        <w:rPr>
          <w:rFonts w:ascii="Times New Roman" w:hAnsi="Times New Roman" w:cs="Times New Roman"/>
          <w:noProof/>
          <w:sz w:val="20"/>
          <w:szCs w:val="20"/>
        </w:rPr>
        <w:t>.</w:t>
      </w:r>
    </w:p>
    <w:p w14:paraId="431C8C11" w14:textId="2E5C0100" w:rsidR="005E49A5" w:rsidRDefault="005E49A5" w:rsidP="00A02452">
      <w:pPr>
        <w:pStyle w:val="EndNoteBibliography"/>
        <w:ind w:left="709" w:hanging="709"/>
        <w:rPr>
          <w:rFonts w:ascii="Times New Roman" w:hAnsi="Times New Roman" w:cs="Times New Roman"/>
          <w:noProof/>
          <w:sz w:val="20"/>
          <w:szCs w:val="20"/>
        </w:rPr>
      </w:pPr>
      <w:r w:rsidRPr="00E17E07">
        <w:rPr>
          <w:rFonts w:ascii="Times New Roman" w:hAnsi="Times New Roman" w:cs="Times New Roman"/>
          <w:noProof/>
          <w:sz w:val="20"/>
          <w:szCs w:val="20"/>
        </w:rPr>
        <w:t xml:space="preserve">Rovalino-Córdova AM, Fogliano V, Capuano E (2019) </w:t>
      </w:r>
      <w:r w:rsidRPr="00707A1D">
        <w:rPr>
          <w:rFonts w:ascii="Times New Roman" w:hAnsi="Times New Roman" w:cs="Times New Roman"/>
          <w:noProof/>
          <w:sz w:val="20"/>
          <w:szCs w:val="20"/>
        </w:rPr>
        <w:t xml:space="preserve">The effect of cell wall encapsulation on macronutrients digestion: A case study in kidney beans. </w:t>
      </w:r>
      <w:r w:rsidRPr="00E17E07">
        <w:rPr>
          <w:rFonts w:ascii="Times New Roman" w:hAnsi="Times New Roman" w:cs="Times New Roman"/>
          <w:i/>
          <w:iCs/>
          <w:noProof/>
          <w:sz w:val="20"/>
          <w:szCs w:val="20"/>
        </w:rPr>
        <w:t>Food Chemistry</w:t>
      </w:r>
      <w:r>
        <w:rPr>
          <w:rFonts w:ascii="Times New Roman" w:hAnsi="Times New Roman" w:cs="Times New Roman"/>
          <w:noProof/>
          <w:sz w:val="20"/>
          <w:szCs w:val="20"/>
        </w:rPr>
        <w:t>.</w:t>
      </w:r>
    </w:p>
    <w:p w14:paraId="3512D11B" w14:textId="04BD5556" w:rsidR="005E49A5" w:rsidRPr="00E17E07" w:rsidRDefault="005E49A5" w:rsidP="00A02452">
      <w:pPr>
        <w:pStyle w:val="EndNoteBibliography"/>
        <w:ind w:left="709" w:hanging="709"/>
        <w:rPr>
          <w:rFonts w:ascii="Times New Roman" w:hAnsi="Times New Roman" w:cs="Times New Roman"/>
          <w:noProof/>
          <w:sz w:val="20"/>
          <w:szCs w:val="20"/>
        </w:rPr>
      </w:pPr>
      <w:r w:rsidRPr="00707A1D">
        <w:rPr>
          <w:rFonts w:ascii="Times New Roman" w:hAnsi="Times New Roman" w:cs="Times New Roman"/>
          <w:noProof/>
          <w:sz w:val="20"/>
          <w:szCs w:val="20"/>
        </w:rPr>
        <w:t>Siddhuraju P, Becker K (2001)</w:t>
      </w:r>
      <w:r>
        <w:rPr>
          <w:rFonts w:ascii="Times New Roman" w:hAnsi="Times New Roman" w:cs="Times New Roman"/>
          <w:noProof/>
          <w:sz w:val="20"/>
          <w:szCs w:val="20"/>
        </w:rPr>
        <w:t xml:space="preserve"> </w:t>
      </w:r>
      <w:r w:rsidRPr="00707A1D">
        <w:rPr>
          <w:rFonts w:ascii="Times New Roman" w:hAnsi="Times New Roman" w:cs="Times New Roman"/>
          <w:noProof/>
          <w:sz w:val="20"/>
          <w:szCs w:val="20"/>
        </w:rPr>
        <w:t>Effect of Various Domestic Processing Methods on Antinutrients and in Vitro Protein and Starch Digestibility of Two Indigenous Varieties of Indian Tribal Pulse, Mucuna pruriens Var . utilis.</w:t>
      </w:r>
      <w:r>
        <w:rPr>
          <w:rFonts w:ascii="Times New Roman" w:hAnsi="Times New Roman" w:cs="Times New Roman"/>
          <w:noProof/>
          <w:sz w:val="20"/>
          <w:szCs w:val="20"/>
        </w:rPr>
        <w:t xml:space="preserve"> </w:t>
      </w:r>
      <w:r w:rsidRPr="00E17E07">
        <w:rPr>
          <w:rFonts w:ascii="Times New Roman" w:hAnsi="Times New Roman" w:cs="Times New Roman"/>
          <w:i/>
          <w:iCs/>
          <w:noProof/>
          <w:sz w:val="20"/>
          <w:szCs w:val="20"/>
        </w:rPr>
        <w:t>Journal of Agricultural and Food Chemistry</w:t>
      </w:r>
      <w:r>
        <w:rPr>
          <w:rFonts w:ascii="Times New Roman" w:hAnsi="Times New Roman" w:cs="Times New Roman"/>
          <w:noProof/>
          <w:sz w:val="20"/>
          <w:szCs w:val="20"/>
        </w:rPr>
        <w:t>.</w:t>
      </w:r>
    </w:p>
    <w:p w14:paraId="68B1507C" w14:textId="5F56298E" w:rsidR="005E49A5" w:rsidRDefault="005E49A5" w:rsidP="00A02452">
      <w:pPr>
        <w:pStyle w:val="EndNoteBibliography"/>
        <w:ind w:left="709" w:hanging="709"/>
        <w:rPr>
          <w:rFonts w:ascii="Times New Roman" w:hAnsi="Times New Roman" w:cs="Times New Roman"/>
          <w:noProof/>
          <w:sz w:val="20"/>
          <w:szCs w:val="20"/>
        </w:rPr>
      </w:pPr>
      <w:r w:rsidRPr="00215D4F">
        <w:rPr>
          <w:rFonts w:ascii="Times New Roman" w:hAnsi="Times New Roman" w:cs="Times New Roman"/>
          <w:noProof/>
          <w:sz w:val="20"/>
          <w:szCs w:val="20"/>
        </w:rPr>
        <w:t>Simwaka JE, Chamba MVM, Huiming Z, Masamba KG,</w:t>
      </w:r>
      <w:r>
        <w:rPr>
          <w:rFonts w:ascii="Times New Roman" w:hAnsi="Times New Roman" w:cs="Times New Roman"/>
          <w:noProof/>
          <w:sz w:val="20"/>
          <w:szCs w:val="20"/>
        </w:rPr>
        <w:t xml:space="preserve"> </w:t>
      </w:r>
      <w:r w:rsidRPr="00215D4F">
        <w:rPr>
          <w:rFonts w:ascii="Times New Roman" w:hAnsi="Times New Roman" w:cs="Times New Roman"/>
          <w:noProof/>
          <w:sz w:val="20"/>
          <w:szCs w:val="20"/>
        </w:rPr>
        <w:t>Luo</w:t>
      </w:r>
      <w:r>
        <w:rPr>
          <w:rFonts w:ascii="Times New Roman" w:hAnsi="Times New Roman" w:cs="Times New Roman"/>
          <w:noProof/>
          <w:sz w:val="20"/>
          <w:szCs w:val="20"/>
        </w:rPr>
        <w:t xml:space="preserve"> </w:t>
      </w:r>
      <w:r w:rsidRPr="00215D4F">
        <w:rPr>
          <w:rFonts w:ascii="Times New Roman" w:hAnsi="Times New Roman" w:cs="Times New Roman"/>
          <w:noProof/>
          <w:sz w:val="20"/>
          <w:szCs w:val="20"/>
        </w:rPr>
        <w:t>Y</w:t>
      </w:r>
      <w:r>
        <w:rPr>
          <w:rFonts w:ascii="Times New Roman" w:hAnsi="Times New Roman" w:cs="Times New Roman"/>
          <w:noProof/>
          <w:sz w:val="20"/>
          <w:szCs w:val="20"/>
        </w:rPr>
        <w:t xml:space="preserve"> </w:t>
      </w:r>
      <w:r w:rsidRPr="00215D4F">
        <w:rPr>
          <w:rFonts w:ascii="Times New Roman" w:hAnsi="Times New Roman" w:cs="Times New Roman"/>
          <w:noProof/>
          <w:sz w:val="20"/>
          <w:szCs w:val="20"/>
        </w:rPr>
        <w:t xml:space="preserve">(2017) Effect of fermentation on physicochemical and antinutritional factors of complementary foods from millet, sorghum, pumpkin and amaranth seed flours. </w:t>
      </w:r>
      <w:r w:rsidRPr="00E17E07">
        <w:rPr>
          <w:rFonts w:ascii="Times New Roman" w:hAnsi="Times New Roman" w:cs="Times New Roman"/>
          <w:i/>
          <w:iCs/>
          <w:noProof/>
          <w:sz w:val="20"/>
          <w:szCs w:val="20"/>
        </w:rPr>
        <w:t>International Food Research Journal</w:t>
      </w:r>
      <w:r>
        <w:rPr>
          <w:rFonts w:ascii="Times New Roman" w:hAnsi="Times New Roman" w:cs="Times New Roman"/>
          <w:noProof/>
          <w:sz w:val="20"/>
          <w:szCs w:val="20"/>
        </w:rPr>
        <w:t>.</w:t>
      </w:r>
    </w:p>
    <w:p w14:paraId="3DA5A265" w14:textId="6940DC22" w:rsidR="0061042A" w:rsidRPr="0061042A" w:rsidRDefault="00680D2C" w:rsidP="00A02452">
      <w:pPr>
        <w:pStyle w:val="EndNoteBibliography"/>
        <w:ind w:left="709" w:hanging="709"/>
        <w:rPr>
          <w:rFonts w:ascii="Times New Roman" w:hAnsi="Times New Roman" w:cs="Times New Roman"/>
          <w:noProof/>
          <w:sz w:val="20"/>
          <w:szCs w:val="20"/>
        </w:rPr>
      </w:pPr>
      <w:r w:rsidRPr="001E7C98">
        <w:rPr>
          <w:rFonts w:ascii="Times New Roman" w:hAnsi="Times New Roman" w:cs="Times New Roman"/>
          <w:noProof/>
          <w:sz w:val="20"/>
          <w:szCs w:val="20"/>
        </w:rPr>
        <w:t>Volta U, De Giorgio R, Caio G, Uhde M, Manfredini R, Alaedini A (2019) Non-Celiac Wheat Sensitivity: An Immune-Mediated Condition with Systemic Manifestations</w:t>
      </w:r>
      <w:r w:rsidR="0061042A">
        <w:rPr>
          <w:rFonts w:ascii="Times New Roman" w:hAnsi="Times New Roman" w:cs="Times New Roman"/>
          <w:noProof/>
          <w:sz w:val="20"/>
          <w:szCs w:val="20"/>
        </w:rPr>
        <w:t>.</w:t>
      </w:r>
      <w:r w:rsidRPr="001E7C98">
        <w:rPr>
          <w:rFonts w:ascii="Times New Roman" w:hAnsi="Times New Roman" w:cs="Times New Roman"/>
          <w:noProof/>
          <w:sz w:val="20"/>
          <w:szCs w:val="20"/>
        </w:rPr>
        <w:t xml:space="preserve"> </w:t>
      </w:r>
      <w:r w:rsidRPr="001E7C98">
        <w:rPr>
          <w:rFonts w:ascii="Times New Roman" w:hAnsi="Times New Roman" w:cs="Times New Roman"/>
          <w:i/>
          <w:noProof/>
          <w:sz w:val="20"/>
          <w:szCs w:val="20"/>
        </w:rPr>
        <w:t>Gastroenterology Clinics of North America</w:t>
      </w:r>
      <w:r w:rsidR="00037E58">
        <w:rPr>
          <w:rFonts w:ascii="Times New Roman" w:hAnsi="Times New Roman" w:cs="Times New Roman"/>
          <w:bCs/>
          <w:noProof/>
          <w:sz w:val="20"/>
          <w:szCs w:val="20"/>
        </w:rPr>
        <w:t>.</w:t>
      </w:r>
    </w:p>
    <w:sectPr w:rsidR="0061042A" w:rsidRPr="0061042A" w:rsidSect="0084165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412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761F8B"/>
    <w:multiLevelType w:val="multilevel"/>
    <w:tmpl w:val="92DA4940"/>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3F3094A"/>
    <w:multiLevelType w:val="multilevel"/>
    <w:tmpl w:val="1408E4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473E3F"/>
    <w:multiLevelType w:val="multilevel"/>
    <w:tmpl w:val="0D48FCF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8680C3F"/>
    <w:multiLevelType w:val="hybridMultilevel"/>
    <w:tmpl w:val="FBC429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E31B5E"/>
    <w:multiLevelType w:val="multilevel"/>
    <w:tmpl w:val="92DA4940"/>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3E82E7F"/>
    <w:multiLevelType w:val="multilevel"/>
    <w:tmpl w:val="CBAC0170"/>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BFF1523"/>
    <w:multiLevelType w:val="multilevel"/>
    <w:tmpl w:val="0AB8B39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36B250B"/>
    <w:multiLevelType w:val="hybridMultilevel"/>
    <w:tmpl w:val="95E057F6"/>
    <w:lvl w:ilvl="0" w:tplc="A2B6CFC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9D11B3D"/>
    <w:multiLevelType w:val="hybridMultilevel"/>
    <w:tmpl w:val="A698A84E"/>
    <w:lvl w:ilvl="0" w:tplc="E6D6530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DBB3FF1"/>
    <w:multiLevelType w:val="hybridMultilevel"/>
    <w:tmpl w:val="A71427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23107152">
    <w:abstractNumId w:val="1"/>
  </w:num>
  <w:num w:numId="2" w16cid:durableId="465467700">
    <w:abstractNumId w:val="6"/>
  </w:num>
  <w:num w:numId="3" w16cid:durableId="1933196417">
    <w:abstractNumId w:val="0"/>
  </w:num>
  <w:num w:numId="4" w16cid:durableId="1327396199">
    <w:abstractNumId w:val="2"/>
  </w:num>
  <w:num w:numId="5" w16cid:durableId="1350638515">
    <w:abstractNumId w:val="8"/>
  </w:num>
  <w:num w:numId="6" w16cid:durableId="1037042263">
    <w:abstractNumId w:val="9"/>
  </w:num>
  <w:num w:numId="7" w16cid:durableId="1211726812">
    <w:abstractNumId w:val="3"/>
  </w:num>
  <w:num w:numId="8" w16cid:durableId="607783394">
    <w:abstractNumId w:val="5"/>
  </w:num>
  <w:num w:numId="9" w16cid:durableId="305163546">
    <w:abstractNumId w:val="4"/>
  </w:num>
  <w:num w:numId="10" w16cid:durableId="1535460159">
    <w:abstractNumId w:val="10"/>
  </w:num>
  <w:num w:numId="11" w16cid:durableId="9720964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06"/>
    <w:rsid w:val="00030805"/>
    <w:rsid w:val="00035AAF"/>
    <w:rsid w:val="00035D7F"/>
    <w:rsid w:val="00037E58"/>
    <w:rsid w:val="000507FB"/>
    <w:rsid w:val="00074EE0"/>
    <w:rsid w:val="00075974"/>
    <w:rsid w:val="000953F8"/>
    <w:rsid w:val="000B762F"/>
    <w:rsid w:val="000E6E66"/>
    <w:rsid w:val="000F622C"/>
    <w:rsid w:val="00112C1E"/>
    <w:rsid w:val="00115A64"/>
    <w:rsid w:val="00145A04"/>
    <w:rsid w:val="00151E94"/>
    <w:rsid w:val="00155110"/>
    <w:rsid w:val="0016149C"/>
    <w:rsid w:val="001616E4"/>
    <w:rsid w:val="001A19B2"/>
    <w:rsid w:val="001D0F90"/>
    <w:rsid w:val="001D6415"/>
    <w:rsid w:val="001E25A6"/>
    <w:rsid w:val="001E5A4B"/>
    <w:rsid w:val="001F3859"/>
    <w:rsid w:val="00203E66"/>
    <w:rsid w:val="00213264"/>
    <w:rsid w:val="00215D4F"/>
    <w:rsid w:val="0024453F"/>
    <w:rsid w:val="002877C9"/>
    <w:rsid w:val="002919B8"/>
    <w:rsid w:val="002A075D"/>
    <w:rsid w:val="002B12E1"/>
    <w:rsid w:val="002B1FFD"/>
    <w:rsid w:val="002B5B32"/>
    <w:rsid w:val="002C0DA8"/>
    <w:rsid w:val="002C5D3A"/>
    <w:rsid w:val="002C63D5"/>
    <w:rsid w:val="002D2648"/>
    <w:rsid w:val="002E1E84"/>
    <w:rsid w:val="002E2DA5"/>
    <w:rsid w:val="002E6583"/>
    <w:rsid w:val="002F530E"/>
    <w:rsid w:val="0030174D"/>
    <w:rsid w:val="003034B0"/>
    <w:rsid w:val="003041B8"/>
    <w:rsid w:val="0030669A"/>
    <w:rsid w:val="00311F75"/>
    <w:rsid w:val="00320EE4"/>
    <w:rsid w:val="003416E0"/>
    <w:rsid w:val="0034230F"/>
    <w:rsid w:val="00347AE4"/>
    <w:rsid w:val="00350E05"/>
    <w:rsid w:val="00363885"/>
    <w:rsid w:val="00367216"/>
    <w:rsid w:val="00395CE0"/>
    <w:rsid w:val="0039731C"/>
    <w:rsid w:val="003C2B4D"/>
    <w:rsid w:val="003F4BD9"/>
    <w:rsid w:val="00402F17"/>
    <w:rsid w:val="00411213"/>
    <w:rsid w:val="00412446"/>
    <w:rsid w:val="00443D40"/>
    <w:rsid w:val="00456B3F"/>
    <w:rsid w:val="00460F97"/>
    <w:rsid w:val="00471E01"/>
    <w:rsid w:val="004A166C"/>
    <w:rsid w:val="004A34A4"/>
    <w:rsid w:val="004B0C1C"/>
    <w:rsid w:val="004B725E"/>
    <w:rsid w:val="004D202D"/>
    <w:rsid w:val="004E3FC6"/>
    <w:rsid w:val="004F7F77"/>
    <w:rsid w:val="00545681"/>
    <w:rsid w:val="005648AF"/>
    <w:rsid w:val="00571780"/>
    <w:rsid w:val="0058090F"/>
    <w:rsid w:val="005A0C59"/>
    <w:rsid w:val="005A0CA0"/>
    <w:rsid w:val="005B156A"/>
    <w:rsid w:val="005E1FC3"/>
    <w:rsid w:val="005E49A5"/>
    <w:rsid w:val="00604164"/>
    <w:rsid w:val="0061042A"/>
    <w:rsid w:val="0061565C"/>
    <w:rsid w:val="00621E1F"/>
    <w:rsid w:val="0062676D"/>
    <w:rsid w:val="00632FC6"/>
    <w:rsid w:val="00633F57"/>
    <w:rsid w:val="0064614B"/>
    <w:rsid w:val="00660659"/>
    <w:rsid w:val="00680D2C"/>
    <w:rsid w:val="006B4388"/>
    <w:rsid w:val="006C6ADB"/>
    <w:rsid w:val="006E0014"/>
    <w:rsid w:val="006E47E0"/>
    <w:rsid w:val="00707A1D"/>
    <w:rsid w:val="00724FB3"/>
    <w:rsid w:val="007327DC"/>
    <w:rsid w:val="00775AAC"/>
    <w:rsid w:val="007832B3"/>
    <w:rsid w:val="007A0C12"/>
    <w:rsid w:val="007C0969"/>
    <w:rsid w:val="007F175D"/>
    <w:rsid w:val="007F2663"/>
    <w:rsid w:val="007F5D6D"/>
    <w:rsid w:val="008032E3"/>
    <w:rsid w:val="0082137F"/>
    <w:rsid w:val="00822A78"/>
    <w:rsid w:val="008240D6"/>
    <w:rsid w:val="00841656"/>
    <w:rsid w:val="00842EF9"/>
    <w:rsid w:val="00847EF7"/>
    <w:rsid w:val="00857196"/>
    <w:rsid w:val="008844A2"/>
    <w:rsid w:val="008A02BB"/>
    <w:rsid w:val="008A351B"/>
    <w:rsid w:val="008B08D0"/>
    <w:rsid w:val="008E14AE"/>
    <w:rsid w:val="00915ED8"/>
    <w:rsid w:val="00942046"/>
    <w:rsid w:val="00994ADA"/>
    <w:rsid w:val="009A605A"/>
    <w:rsid w:val="009A7141"/>
    <w:rsid w:val="009D32BC"/>
    <w:rsid w:val="009D7AC2"/>
    <w:rsid w:val="009F7BB9"/>
    <w:rsid w:val="00A02452"/>
    <w:rsid w:val="00A027A2"/>
    <w:rsid w:val="00A22D52"/>
    <w:rsid w:val="00A81730"/>
    <w:rsid w:val="00A83FCD"/>
    <w:rsid w:val="00A90D48"/>
    <w:rsid w:val="00A9479E"/>
    <w:rsid w:val="00AA73F7"/>
    <w:rsid w:val="00AC1BCA"/>
    <w:rsid w:val="00AC55A5"/>
    <w:rsid w:val="00AC5964"/>
    <w:rsid w:val="00AC7093"/>
    <w:rsid w:val="00AE75C4"/>
    <w:rsid w:val="00B15F70"/>
    <w:rsid w:val="00B2480D"/>
    <w:rsid w:val="00B67325"/>
    <w:rsid w:val="00B7301F"/>
    <w:rsid w:val="00B86AD5"/>
    <w:rsid w:val="00B9765D"/>
    <w:rsid w:val="00BB5FA5"/>
    <w:rsid w:val="00BC34B0"/>
    <w:rsid w:val="00BC42B8"/>
    <w:rsid w:val="00BE1C39"/>
    <w:rsid w:val="00BE5323"/>
    <w:rsid w:val="00C001F4"/>
    <w:rsid w:val="00C04315"/>
    <w:rsid w:val="00C105B2"/>
    <w:rsid w:val="00C12106"/>
    <w:rsid w:val="00C25812"/>
    <w:rsid w:val="00C327F7"/>
    <w:rsid w:val="00C37C23"/>
    <w:rsid w:val="00C44A0E"/>
    <w:rsid w:val="00C50353"/>
    <w:rsid w:val="00C54576"/>
    <w:rsid w:val="00C63F8A"/>
    <w:rsid w:val="00C87BA5"/>
    <w:rsid w:val="00CC17DF"/>
    <w:rsid w:val="00CD2BA5"/>
    <w:rsid w:val="00D033D6"/>
    <w:rsid w:val="00D15859"/>
    <w:rsid w:val="00D23AD8"/>
    <w:rsid w:val="00D41ACE"/>
    <w:rsid w:val="00D607A5"/>
    <w:rsid w:val="00D73537"/>
    <w:rsid w:val="00D810FA"/>
    <w:rsid w:val="00D87DE5"/>
    <w:rsid w:val="00DA28DD"/>
    <w:rsid w:val="00DA2AF4"/>
    <w:rsid w:val="00DA3F4C"/>
    <w:rsid w:val="00DA668A"/>
    <w:rsid w:val="00DD0F08"/>
    <w:rsid w:val="00DD110F"/>
    <w:rsid w:val="00DE0035"/>
    <w:rsid w:val="00E17E07"/>
    <w:rsid w:val="00E26A5A"/>
    <w:rsid w:val="00E63F31"/>
    <w:rsid w:val="00E80DC5"/>
    <w:rsid w:val="00E838F3"/>
    <w:rsid w:val="00E861AB"/>
    <w:rsid w:val="00EB2A57"/>
    <w:rsid w:val="00EC2AFA"/>
    <w:rsid w:val="00EC4AB9"/>
    <w:rsid w:val="00EC6AB3"/>
    <w:rsid w:val="00ED6299"/>
    <w:rsid w:val="00EE20B9"/>
    <w:rsid w:val="00EE3E2C"/>
    <w:rsid w:val="00EE7DC7"/>
    <w:rsid w:val="00F36F60"/>
    <w:rsid w:val="00F41F06"/>
    <w:rsid w:val="00F7445E"/>
    <w:rsid w:val="00F86274"/>
    <w:rsid w:val="00F92ABC"/>
    <w:rsid w:val="00F95A04"/>
    <w:rsid w:val="00FB4D00"/>
    <w:rsid w:val="00FB6F51"/>
    <w:rsid w:val="00FE20DB"/>
    <w:rsid w:val="00FF51AF"/>
    <w:rsid w:val="00FF70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FD23"/>
  <w15:chartTrackingRefBased/>
  <w15:docId w15:val="{30F713A9-E897-4FFE-8FB0-F9255010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2106"/>
    <w:pPr>
      <w:spacing w:line="240" w:lineRule="auto"/>
    </w:pPr>
  </w:style>
  <w:style w:type="paragraph" w:styleId="Titolo1">
    <w:name w:val="heading 1"/>
    <w:basedOn w:val="Normale"/>
    <w:next w:val="Normale"/>
    <w:link w:val="Titolo1Carattere"/>
    <w:uiPriority w:val="9"/>
    <w:qFormat/>
    <w:rsid w:val="004B72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115A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724FB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2106"/>
    <w:pPr>
      <w:ind w:left="720"/>
      <w:contextualSpacing/>
    </w:pPr>
  </w:style>
  <w:style w:type="table" w:styleId="Grigliatabella">
    <w:name w:val="Table Grid"/>
    <w:basedOn w:val="Tabellanormale"/>
    <w:uiPriority w:val="39"/>
    <w:rsid w:val="00C12106"/>
    <w:pPr>
      <w:spacing w:line="240" w:lineRule="auto"/>
    </w:pPr>
    <w:rPr>
      <w:rFonts w:ascii="Times New Roman" w:hAnsi="Times New Roman" w:cs="Times New Roman"/>
      <w:color w:val="000000"/>
      <w:kern w:val="0"/>
      <w:sz w:val="24"/>
      <w:szCs w:val="24"/>
      <w:lang w:val="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4B725E"/>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115A64"/>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724FB3"/>
    <w:rPr>
      <w:rFonts w:asciiTheme="majorHAnsi" w:eastAsiaTheme="majorEastAsia" w:hAnsiTheme="majorHAnsi" w:cstheme="majorBidi"/>
      <w:color w:val="1F3763" w:themeColor="accent1" w:themeShade="7F"/>
      <w:sz w:val="24"/>
      <w:szCs w:val="24"/>
    </w:rPr>
  </w:style>
  <w:style w:type="paragraph" w:styleId="Revisione">
    <w:name w:val="Revision"/>
    <w:hidden/>
    <w:uiPriority w:val="99"/>
    <w:semiHidden/>
    <w:rsid w:val="00FE20DB"/>
    <w:pPr>
      <w:spacing w:line="240" w:lineRule="auto"/>
    </w:pPr>
  </w:style>
  <w:style w:type="paragraph" w:customStyle="1" w:styleId="EndNoteBibliography">
    <w:name w:val="EndNote Bibliography"/>
    <w:basedOn w:val="Normale"/>
    <w:link w:val="EndNoteBibliographyCarattere"/>
    <w:rsid w:val="002A075D"/>
    <w:pPr>
      <w:jc w:val="both"/>
    </w:pPr>
    <w:rPr>
      <w:rFonts w:ascii="Calibri" w:hAnsi="Calibri" w:cs="Calibri"/>
      <w:sz w:val="24"/>
      <w:szCs w:val="24"/>
      <w:lang w:val="en-US"/>
    </w:rPr>
  </w:style>
  <w:style w:type="character" w:customStyle="1" w:styleId="EndNoteBibliographyCarattere">
    <w:name w:val="EndNote Bibliography Carattere"/>
    <w:basedOn w:val="Carpredefinitoparagrafo"/>
    <w:link w:val="EndNoteBibliography"/>
    <w:rsid w:val="002A075D"/>
    <w:rPr>
      <w:rFonts w:ascii="Calibri" w:hAnsi="Calibri" w:cs="Calibri"/>
      <w:sz w:val="24"/>
      <w:szCs w:val="24"/>
      <w:lang w:val="en-US"/>
    </w:rPr>
  </w:style>
  <w:style w:type="character" w:styleId="Collegamentoipertestuale">
    <w:name w:val="Hyperlink"/>
    <w:basedOn w:val="Carpredefinitoparagrafo"/>
    <w:uiPriority w:val="99"/>
    <w:unhideWhenUsed/>
    <w:rsid w:val="00707A1D"/>
    <w:rPr>
      <w:color w:val="0563C1" w:themeColor="hyperlink"/>
      <w:u w:val="single"/>
    </w:rPr>
  </w:style>
  <w:style w:type="character" w:styleId="Menzionenonrisolta">
    <w:name w:val="Unresolved Mention"/>
    <w:basedOn w:val="Carpredefinitoparagrafo"/>
    <w:uiPriority w:val="99"/>
    <w:semiHidden/>
    <w:unhideWhenUsed/>
    <w:rsid w:val="00707A1D"/>
    <w:rPr>
      <w:color w:val="605E5C"/>
      <w:shd w:val="clear" w:color="auto" w:fill="E1DFDD"/>
    </w:rPr>
  </w:style>
  <w:style w:type="character" w:styleId="Rimandocommento">
    <w:name w:val="annotation reference"/>
    <w:basedOn w:val="Carpredefinitoparagrafo"/>
    <w:uiPriority w:val="99"/>
    <w:semiHidden/>
    <w:unhideWhenUsed/>
    <w:rsid w:val="002B5B32"/>
    <w:rPr>
      <w:sz w:val="16"/>
      <w:szCs w:val="16"/>
    </w:rPr>
  </w:style>
  <w:style w:type="paragraph" w:styleId="Testocommento">
    <w:name w:val="annotation text"/>
    <w:basedOn w:val="Normale"/>
    <w:link w:val="TestocommentoCarattere"/>
    <w:uiPriority w:val="99"/>
    <w:semiHidden/>
    <w:unhideWhenUsed/>
    <w:rsid w:val="002B5B32"/>
    <w:rPr>
      <w:sz w:val="20"/>
      <w:szCs w:val="20"/>
    </w:rPr>
  </w:style>
  <w:style w:type="character" w:customStyle="1" w:styleId="TestocommentoCarattere">
    <w:name w:val="Testo commento Carattere"/>
    <w:basedOn w:val="Carpredefinitoparagrafo"/>
    <w:link w:val="Testocommento"/>
    <w:uiPriority w:val="99"/>
    <w:semiHidden/>
    <w:rsid w:val="002B5B32"/>
    <w:rPr>
      <w:sz w:val="20"/>
      <w:szCs w:val="20"/>
    </w:rPr>
  </w:style>
  <w:style w:type="paragraph" w:styleId="Soggettocommento">
    <w:name w:val="annotation subject"/>
    <w:basedOn w:val="Testocommento"/>
    <w:next w:val="Testocommento"/>
    <w:link w:val="SoggettocommentoCarattere"/>
    <w:uiPriority w:val="99"/>
    <w:semiHidden/>
    <w:unhideWhenUsed/>
    <w:rsid w:val="002B5B32"/>
    <w:rPr>
      <w:b/>
      <w:bCs/>
    </w:rPr>
  </w:style>
  <w:style w:type="character" w:customStyle="1" w:styleId="SoggettocommentoCarattere">
    <w:name w:val="Soggetto commento Carattere"/>
    <w:basedOn w:val="TestocommentoCarattere"/>
    <w:link w:val="Soggettocommento"/>
    <w:uiPriority w:val="99"/>
    <w:semiHidden/>
    <w:rsid w:val="002B5B32"/>
    <w:rPr>
      <w:b/>
      <w:bCs/>
      <w:sz w:val="20"/>
      <w:szCs w:val="20"/>
    </w:rPr>
  </w:style>
  <w:style w:type="paragraph" w:styleId="Titolo">
    <w:name w:val="Title"/>
    <w:basedOn w:val="Normale"/>
    <w:next w:val="Normale"/>
    <w:link w:val="TitoloCarattere"/>
    <w:uiPriority w:val="10"/>
    <w:qFormat/>
    <w:rsid w:val="005E1FC3"/>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E1FC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21437">
      <w:bodyDiv w:val="1"/>
      <w:marLeft w:val="0"/>
      <w:marRight w:val="0"/>
      <w:marTop w:val="0"/>
      <w:marBottom w:val="0"/>
      <w:divBdr>
        <w:top w:val="none" w:sz="0" w:space="0" w:color="auto"/>
        <w:left w:val="none" w:sz="0" w:space="0" w:color="auto"/>
        <w:bottom w:val="none" w:sz="0" w:space="0" w:color="auto"/>
        <w:right w:val="none" w:sz="0" w:space="0" w:color="auto"/>
      </w:divBdr>
    </w:div>
    <w:div w:id="1416707211">
      <w:bodyDiv w:val="1"/>
      <w:marLeft w:val="0"/>
      <w:marRight w:val="0"/>
      <w:marTop w:val="0"/>
      <w:marBottom w:val="0"/>
      <w:divBdr>
        <w:top w:val="none" w:sz="0" w:space="0" w:color="auto"/>
        <w:left w:val="none" w:sz="0" w:space="0" w:color="auto"/>
        <w:bottom w:val="none" w:sz="0" w:space="0" w:color="auto"/>
        <w:right w:val="none" w:sz="0" w:space="0" w:color="auto"/>
      </w:divBdr>
    </w:div>
    <w:div w:id="1638414705">
      <w:bodyDiv w:val="1"/>
      <w:marLeft w:val="0"/>
      <w:marRight w:val="0"/>
      <w:marTop w:val="0"/>
      <w:marBottom w:val="0"/>
      <w:divBdr>
        <w:top w:val="none" w:sz="0" w:space="0" w:color="auto"/>
        <w:left w:val="none" w:sz="0" w:space="0" w:color="auto"/>
        <w:bottom w:val="none" w:sz="0" w:space="0" w:color="auto"/>
        <w:right w:val="none" w:sz="0" w:space="0" w:color="auto"/>
      </w:divBdr>
    </w:div>
    <w:div w:id="1926067119">
      <w:bodyDiv w:val="1"/>
      <w:marLeft w:val="0"/>
      <w:marRight w:val="0"/>
      <w:marTop w:val="0"/>
      <w:marBottom w:val="0"/>
      <w:divBdr>
        <w:top w:val="none" w:sz="0" w:space="0" w:color="auto"/>
        <w:left w:val="none" w:sz="0" w:space="0" w:color="auto"/>
        <w:bottom w:val="none" w:sz="0" w:space="0" w:color="auto"/>
        <w:right w:val="none" w:sz="0" w:space="0" w:color="auto"/>
      </w:divBdr>
    </w:div>
    <w:div w:id="1938445109">
      <w:bodyDiv w:val="1"/>
      <w:marLeft w:val="0"/>
      <w:marRight w:val="0"/>
      <w:marTop w:val="0"/>
      <w:marBottom w:val="0"/>
      <w:divBdr>
        <w:top w:val="none" w:sz="0" w:space="0" w:color="auto"/>
        <w:left w:val="none" w:sz="0" w:space="0" w:color="auto"/>
        <w:bottom w:val="none" w:sz="0" w:space="0" w:color="auto"/>
        <w:right w:val="none" w:sz="0" w:space="0" w:color="auto"/>
      </w:divBdr>
    </w:div>
    <w:div w:id="21066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27201-422B-41C9-A524-2411C82A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5</Pages>
  <Words>3080</Words>
  <Characters>17562</Characters>
  <Application>Microsoft Office Word</Application>
  <DocSecurity>0</DocSecurity>
  <Lines>146</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Moriconi, Luigi</dc:creator>
  <cp:keywords/>
  <dc:description/>
  <cp:lastModifiedBy>Moriconi, Luigi</cp:lastModifiedBy>
  <cp:revision>65</cp:revision>
  <dcterms:created xsi:type="dcterms:W3CDTF">2023-06-10T06:44:00Z</dcterms:created>
  <dcterms:modified xsi:type="dcterms:W3CDTF">2023-06-29T18:04:00Z</dcterms:modified>
</cp:coreProperties>
</file>