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885A" w14:textId="2557722B" w:rsidR="007D40F9" w:rsidRDefault="006F383E" w:rsidP="002A3A36">
      <w:pPr>
        <w:pStyle w:val="Titolo"/>
        <w:spacing w:before="600" w:line="240" w:lineRule="auto"/>
        <w:rPr>
          <w:lang w:val="en-GB"/>
        </w:rPr>
      </w:pPr>
      <w:r w:rsidRPr="006F383E">
        <w:rPr>
          <w:lang w:val="en-GB"/>
        </w:rPr>
        <w:t>Microbiota and metabolom</w:t>
      </w:r>
      <w:r w:rsidR="00767F88">
        <w:rPr>
          <w:lang w:val="en-GB"/>
        </w:rPr>
        <w:t>e</w:t>
      </w:r>
      <w:r w:rsidRPr="006F383E">
        <w:rPr>
          <w:lang w:val="en-GB"/>
        </w:rPr>
        <w:t xml:space="preserve"> in chronic non-communicable diseases</w:t>
      </w:r>
    </w:p>
    <w:p w14:paraId="21C2B6D2" w14:textId="632CC1D3" w:rsidR="007D40F9" w:rsidRDefault="006F383E" w:rsidP="002A3A36">
      <w:pPr>
        <w:jc w:val="center"/>
        <w:rPr>
          <w:lang w:val="de-DE"/>
        </w:rPr>
      </w:pPr>
      <w:r>
        <w:rPr>
          <w:lang w:val="de-DE"/>
        </w:rPr>
        <w:t>Nadia Serale</w:t>
      </w:r>
      <w:r w:rsidR="007D40F9">
        <w:rPr>
          <w:lang w:val="de-DE"/>
        </w:rPr>
        <w:t xml:space="preserve"> (</w:t>
      </w:r>
      <w:r>
        <w:rPr>
          <w:lang w:val="de-DE"/>
        </w:rPr>
        <w:t>nadia.serale</w:t>
      </w:r>
      <w:r w:rsidR="007D40F9">
        <w:rPr>
          <w:lang w:val="de-DE"/>
        </w:rPr>
        <w:t>@unib</w:t>
      </w:r>
      <w:r>
        <w:rPr>
          <w:lang w:val="de-DE"/>
        </w:rPr>
        <w:t>a</w:t>
      </w:r>
      <w:r w:rsidR="007D40F9">
        <w:rPr>
          <w:lang w:val="de-DE"/>
        </w:rPr>
        <w:t>.it)</w:t>
      </w:r>
    </w:p>
    <w:p w14:paraId="45EC4CC3" w14:textId="6E35262F" w:rsidR="007D40F9" w:rsidRDefault="007D40F9" w:rsidP="002A3A36">
      <w:pPr>
        <w:jc w:val="center"/>
        <w:rPr>
          <w:lang w:val="en-GB"/>
        </w:rPr>
      </w:pPr>
      <w:r>
        <w:rPr>
          <w:lang w:val="en-GB"/>
        </w:rPr>
        <w:t>Dep</w:t>
      </w:r>
      <w:r w:rsidR="006F383E">
        <w:rPr>
          <w:lang w:val="en-GB"/>
        </w:rPr>
        <w:t>t</w:t>
      </w:r>
      <w:r w:rsidR="0023790D">
        <w:rPr>
          <w:lang w:val="en-GB"/>
        </w:rPr>
        <w:t>.</w:t>
      </w:r>
      <w:r w:rsidR="006F383E" w:rsidRPr="006F383E">
        <w:rPr>
          <w:lang w:val="en-GB"/>
        </w:rPr>
        <w:t xml:space="preserve"> Soil, Plant and Food Sciences</w:t>
      </w:r>
      <w:r>
        <w:rPr>
          <w:lang w:val="en-GB"/>
        </w:rPr>
        <w:t xml:space="preserve">, University of </w:t>
      </w:r>
      <w:r w:rsidR="006F383E">
        <w:rPr>
          <w:lang w:val="en-GB"/>
        </w:rPr>
        <w:t>Bari Aldo Moro</w:t>
      </w:r>
      <w:r>
        <w:rPr>
          <w:lang w:val="en-GB"/>
        </w:rPr>
        <w:t>, Italy</w:t>
      </w:r>
    </w:p>
    <w:p w14:paraId="1549B0B4" w14:textId="3DCCB28B" w:rsidR="007D40F9" w:rsidRPr="00A63DA9" w:rsidRDefault="007D40F9" w:rsidP="002A3A36">
      <w:pPr>
        <w:jc w:val="center"/>
      </w:pPr>
      <w:r w:rsidRPr="00A63DA9">
        <w:t>Tutor: Prof.</w:t>
      </w:r>
      <w:r w:rsidR="006F383E" w:rsidRPr="00A63DA9">
        <w:t xml:space="preserve"> Maria De Angelis</w:t>
      </w:r>
    </w:p>
    <w:p w14:paraId="689C54CD" w14:textId="1E4BB906" w:rsidR="006F383E" w:rsidRPr="00A63DA9" w:rsidRDefault="006F383E" w:rsidP="002A3A36">
      <w:pPr>
        <w:jc w:val="center"/>
      </w:pPr>
      <w:r w:rsidRPr="00A63DA9">
        <w:t xml:space="preserve">Co-Tutor: Prof. Piero </w:t>
      </w:r>
      <w:proofErr w:type="spellStart"/>
      <w:r w:rsidRPr="00A63DA9">
        <w:t>Portincasa</w:t>
      </w:r>
      <w:proofErr w:type="spellEnd"/>
    </w:p>
    <w:p w14:paraId="470CB764" w14:textId="77777777" w:rsidR="007D40F9" w:rsidRPr="00A63DA9" w:rsidRDefault="007D40F9" w:rsidP="002A3A36">
      <w:pPr>
        <w:jc w:val="both"/>
      </w:pPr>
    </w:p>
    <w:p w14:paraId="4DE4548A" w14:textId="09B3CF23" w:rsidR="007D40F9" w:rsidRDefault="007D40F9" w:rsidP="002A3A36">
      <w:pPr>
        <w:jc w:val="both"/>
        <w:rPr>
          <w:lang w:val="en-GB"/>
        </w:rPr>
      </w:pPr>
      <w:r>
        <w:rPr>
          <w:lang w:val="en-GB"/>
        </w:rPr>
        <w:t xml:space="preserve">This PhD thesis dealt with the </w:t>
      </w:r>
      <w:r w:rsidR="006F383E">
        <w:rPr>
          <w:lang w:val="en-GB"/>
        </w:rPr>
        <w:t>study of the gut microbiota and metabolome in association with food and clinical aspects</w:t>
      </w:r>
      <w:r w:rsidR="00A01CC6">
        <w:rPr>
          <w:lang w:val="en-GB"/>
        </w:rPr>
        <w:t>. S</w:t>
      </w:r>
      <w:r w:rsidR="006F383E">
        <w:rPr>
          <w:lang w:val="en-GB"/>
        </w:rPr>
        <w:t>pecifically</w:t>
      </w:r>
      <w:r w:rsidR="00A01CC6">
        <w:rPr>
          <w:lang w:val="en-GB"/>
        </w:rPr>
        <w:t xml:space="preserve">, </w:t>
      </w:r>
      <w:proofErr w:type="spellStart"/>
      <w:r w:rsidR="00A01CC6" w:rsidRPr="0096667A">
        <w:rPr>
          <w:i/>
          <w:iCs/>
          <w:lang w:val="en-GB"/>
        </w:rPr>
        <w:t>i</w:t>
      </w:r>
      <w:proofErr w:type="spellEnd"/>
      <w:r w:rsidR="00A01CC6">
        <w:rPr>
          <w:lang w:val="en-GB"/>
        </w:rPr>
        <w:t>) the relationship between intestinal microbiome and</w:t>
      </w:r>
      <w:r w:rsidR="00CE227F">
        <w:rPr>
          <w:lang w:val="en-GB"/>
        </w:rPr>
        <w:t xml:space="preserve"> chronic non-communicable diseases </w:t>
      </w:r>
      <w:r w:rsidR="00A01CC6">
        <w:rPr>
          <w:lang w:val="en-GB"/>
        </w:rPr>
        <w:t>(</w:t>
      </w:r>
      <w:r w:rsidR="00CE227F">
        <w:rPr>
          <w:lang w:val="en-GB"/>
        </w:rPr>
        <w:t>i.e., fructose intolerance, nephropathy,</w:t>
      </w:r>
      <w:r w:rsidR="00954018">
        <w:rPr>
          <w:lang w:val="en-GB"/>
        </w:rPr>
        <w:t xml:space="preserve"> and</w:t>
      </w:r>
      <w:r w:rsidR="00CE227F">
        <w:rPr>
          <w:lang w:val="en-GB"/>
        </w:rPr>
        <w:t xml:space="preserve"> obesity</w:t>
      </w:r>
      <w:r w:rsidR="00A01CC6">
        <w:rPr>
          <w:lang w:val="en-GB"/>
        </w:rPr>
        <w:t xml:space="preserve">) were studied; </w:t>
      </w:r>
      <w:r w:rsidR="00A01CC6" w:rsidRPr="0096667A">
        <w:rPr>
          <w:i/>
          <w:iCs/>
          <w:lang w:val="en-GB"/>
        </w:rPr>
        <w:t>ii</w:t>
      </w:r>
      <w:r w:rsidR="00A01CC6">
        <w:rPr>
          <w:lang w:val="en-GB"/>
        </w:rPr>
        <w:t>) the use of probiotics in patients with fructose intolerance and nephropathy (</w:t>
      </w:r>
      <w:r w:rsidR="003C05B4">
        <w:rPr>
          <w:lang w:val="en-GB"/>
        </w:rPr>
        <w:t xml:space="preserve">Chronic Kidney Disease, </w:t>
      </w:r>
      <w:r w:rsidR="00A01CC6">
        <w:rPr>
          <w:lang w:val="en-GB"/>
        </w:rPr>
        <w:t>CKD) w</w:t>
      </w:r>
      <w:r w:rsidR="00F337AB">
        <w:rPr>
          <w:lang w:val="en-GB"/>
        </w:rPr>
        <w:t>as</w:t>
      </w:r>
      <w:r w:rsidR="00A01CC6">
        <w:rPr>
          <w:lang w:val="en-GB"/>
        </w:rPr>
        <w:t xml:space="preserve"> evaluated; </w:t>
      </w:r>
      <w:r w:rsidR="00A01CC6" w:rsidRPr="0096667A">
        <w:rPr>
          <w:i/>
          <w:iCs/>
          <w:lang w:val="en-GB"/>
        </w:rPr>
        <w:t>iii</w:t>
      </w:r>
      <w:r w:rsidR="00A01CC6">
        <w:rPr>
          <w:lang w:val="en-GB"/>
        </w:rPr>
        <w:t xml:space="preserve">) pasta samples </w:t>
      </w:r>
      <w:r w:rsidR="00F337AB">
        <w:rPr>
          <w:lang w:val="en-GB"/>
        </w:rPr>
        <w:t xml:space="preserve">contained bioactive waste ingredients were characterized and the antioxidant and microbiological activities were studied, </w:t>
      </w:r>
      <w:r w:rsidR="00F337AB" w:rsidRPr="00F337AB">
        <w:rPr>
          <w:lang w:val="en-GB"/>
        </w:rPr>
        <w:t>for a possible application as functional food</w:t>
      </w:r>
      <w:r w:rsidR="00CE227F">
        <w:rPr>
          <w:lang w:val="en-GB"/>
        </w:rPr>
        <w:t>.</w:t>
      </w:r>
    </w:p>
    <w:p w14:paraId="4B8C0A79" w14:textId="48C8804E" w:rsidR="007D40F9" w:rsidRDefault="006F383E" w:rsidP="002A3A36">
      <w:pPr>
        <w:pStyle w:val="Titolo"/>
        <w:spacing w:before="240" w:line="240" w:lineRule="auto"/>
        <w:rPr>
          <w:sz w:val="24"/>
          <w:lang w:val="it-IT"/>
        </w:rPr>
      </w:pPr>
      <w:r>
        <w:rPr>
          <w:sz w:val="24"/>
          <w:lang w:val="it-IT"/>
        </w:rPr>
        <w:t>Microbiota e metaboloma in patologie croniche non trasmissibili</w:t>
      </w:r>
    </w:p>
    <w:p w14:paraId="567AA3B7" w14:textId="72E86818" w:rsidR="007D40F9" w:rsidRDefault="007D40F9" w:rsidP="002A3A36">
      <w:pPr>
        <w:jc w:val="both"/>
      </w:pPr>
      <w:r>
        <w:t xml:space="preserve">Questa tesi di dottorato ha riguardato lo </w:t>
      </w:r>
      <w:r w:rsidR="006F383E">
        <w:t>studio del microbiota e del metaboloma intestinale in associazione ad aspetti alimentari e clinici</w:t>
      </w:r>
      <w:r w:rsidR="00954018">
        <w:t>.</w:t>
      </w:r>
      <w:r w:rsidR="006F383E">
        <w:t xml:space="preserve"> </w:t>
      </w:r>
      <w:r w:rsidR="00954018">
        <w:t>I</w:t>
      </w:r>
      <w:r w:rsidR="006F383E">
        <w:t>n particolare</w:t>
      </w:r>
      <w:r w:rsidR="00954018">
        <w:t xml:space="preserve">, </w:t>
      </w:r>
      <w:r w:rsidR="0096667A" w:rsidRPr="0096667A">
        <w:rPr>
          <w:i/>
          <w:iCs/>
        </w:rPr>
        <w:t>i</w:t>
      </w:r>
      <w:r w:rsidR="00A01CC6">
        <w:t xml:space="preserve">) </w:t>
      </w:r>
      <w:r w:rsidR="00954018">
        <w:t>è stata studiata la relazione tra il microbiota intestinale e</w:t>
      </w:r>
      <w:r w:rsidR="00A01CC6">
        <w:t>d</w:t>
      </w:r>
      <w:r w:rsidR="00954018">
        <w:t xml:space="preserve"> alcune</w:t>
      </w:r>
      <w:r w:rsidR="006F383E">
        <w:t xml:space="preserve"> patologie croniche non trasmissibili, come intolleranz</w:t>
      </w:r>
      <w:r w:rsidR="00954018">
        <w:t>e alimentari</w:t>
      </w:r>
      <w:r w:rsidR="006F383E">
        <w:t>, nefropatie</w:t>
      </w:r>
      <w:r w:rsidR="00127524">
        <w:t xml:space="preserve"> e</w:t>
      </w:r>
      <w:r w:rsidR="006F383E">
        <w:t xml:space="preserve"> obesità</w:t>
      </w:r>
      <w:r w:rsidR="00954018">
        <w:t xml:space="preserve">; </w:t>
      </w:r>
      <w:r w:rsidR="00A01CC6" w:rsidRPr="0096667A">
        <w:rPr>
          <w:i/>
          <w:iCs/>
        </w:rPr>
        <w:t>ii</w:t>
      </w:r>
      <w:r w:rsidR="00A01CC6">
        <w:t xml:space="preserve">) </w:t>
      </w:r>
      <w:r w:rsidR="00954018">
        <w:t>è stato valutato l’impiego di probiotici in soggetti affetti da intolleranza al fruttosio e nefropatia (</w:t>
      </w:r>
      <w:proofErr w:type="spellStart"/>
      <w:r w:rsidR="003C05B4" w:rsidRPr="003C05B4">
        <w:rPr>
          <w:i/>
          <w:iCs/>
        </w:rPr>
        <w:t>Chronic</w:t>
      </w:r>
      <w:proofErr w:type="spellEnd"/>
      <w:r w:rsidR="003C05B4" w:rsidRPr="003C05B4">
        <w:rPr>
          <w:i/>
          <w:iCs/>
        </w:rPr>
        <w:t xml:space="preserve"> </w:t>
      </w:r>
      <w:proofErr w:type="spellStart"/>
      <w:r w:rsidR="003C05B4" w:rsidRPr="003C05B4">
        <w:rPr>
          <w:i/>
          <w:iCs/>
        </w:rPr>
        <w:t>Kidney</w:t>
      </w:r>
      <w:proofErr w:type="spellEnd"/>
      <w:r w:rsidR="003C05B4" w:rsidRPr="003C05B4">
        <w:rPr>
          <w:i/>
          <w:iCs/>
        </w:rPr>
        <w:t xml:space="preserve"> </w:t>
      </w:r>
      <w:proofErr w:type="spellStart"/>
      <w:r w:rsidR="003C05B4" w:rsidRPr="003C05B4">
        <w:rPr>
          <w:i/>
          <w:iCs/>
        </w:rPr>
        <w:t>Disease</w:t>
      </w:r>
      <w:proofErr w:type="spellEnd"/>
      <w:r w:rsidR="003C05B4" w:rsidRPr="003C05B4">
        <w:t xml:space="preserve">, </w:t>
      </w:r>
      <w:r w:rsidR="00954018">
        <w:t xml:space="preserve">CKD); </w:t>
      </w:r>
      <w:r w:rsidR="00A01CC6" w:rsidRPr="0096667A">
        <w:rPr>
          <w:i/>
          <w:iCs/>
        </w:rPr>
        <w:t>iii</w:t>
      </w:r>
      <w:r w:rsidR="00A01CC6">
        <w:t xml:space="preserve">) </w:t>
      </w:r>
      <w:r w:rsidR="00954018">
        <w:t>dei campioni di pasta sperimentale</w:t>
      </w:r>
      <w:r w:rsidR="00A01CC6">
        <w:t xml:space="preserve"> contenente ingredienti di scarto bioattivi</w:t>
      </w:r>
      <w:r w:rsidR="00954018">
        <w:t xml:space="preserve"> sono stati </w:t>
      </w:r>
      <w:r w:rsidR="00A01CC6">
        <w:t xml:space="preserve">caratterizzati e studiati in termini di attività antiossidante e microbiologica, per una possibile applicazione come </w:t>
      </w:r>
      <w:proofErr w:type="spellStart"/>
      <w:r w:rsidR="00A01CC6" w:rsidRPr="00A01CC6">
        <w:rPr>
          <w:i/>
          <w:iCs/>
        </w:rPr>
        <w:t>functional</w:t>
      </w:r>
      <w:proofErr w:type="spellEnd"/>
      <w:r w:rsidR="00A01CC6" w:rsidRPr="00A01CC6">
        <w:rPr>
          <w:i/>
          <w:iCs/>
        </w:rPr>
        <w:t xml:space="preserve"> food</w:t>
      </w:r>
      <w:r w:rsidR="00A01CC6">
        <w:t>.</w:t>
      </w:r>
    </w:p>
    <w:p w14:paraId="39E78291" w14:textId="77777777" w:rsidR="007D40F9" w:rsidRDefault="007D40F9" w:rsidP="002A3A36">
      <w:pPr>
        <w:pStyle w:val="Intestazione"/>
        <w:tabs>
          <w:tab w:val="clear" w:pos="4819"/>
          <w:tab w:val="clear" w:pos="9638"/>
        </w:tabs>
        <w:spacing w:line="240" w:lineRule="auto"/>
        <w:rPr>
          <w:lang w:val="it-IT"/>
        </w:rPr>
      </w:pPr>
    </w:p>
    <w:p w14:paraId="0188BB6A" w14:textId="0806C666" w:rsidR="007D40F9" w:rsidRPr="00746B7D" w:rsidRDefault="007D40F9" w:rsidP="002A3A36">
      <w:pPr>
        <w:jc w:val="both"/>
        <w:rPr>
          <w:lang w:val="en-US"/>
        </w:rPr>
      </w:pPr>
      <w:r>
        <w:rPr>
          <w:b/>
          <w:bCs/>
          <w:lang w:val="en-GB"/>
        </w:rPr>
        <w:t>Key</w:t>
      </w:r>
      <w:r w:rsidR="0023790D">
        <w:rPr>
          <w:b/>
          <w:bCs/>
          <w:lang w:val="en-GB"/>
        </w:rPr>
        <w:t xml:space="preserve"> </w:t>
      </w:r>
      <w:r>
        <w:rPr>
          <w:b/>
          <w:bCs/>
          <w:lang w:val="en-GB"/>
        </w:rPr>
        <w:t>words</w:t>
      </w:r>
      <w:r>
        <w:rPr>
          <w:lang w:val="en-GB"/>
        </w:rPr>
        <w:t xml:space="preserve">: </w:t>
      </w:r>
      <w:r w:rsidR="00CE227F">
        <w:rPr>
          <w:lang w:val="en-GB"/>
        </w:rPr>
        <w:t>intestinal microbiota</w:t>
      </w:r>
      <w:r>
        <w:rPr>
          <w:lang w:val="en-GB"/>
        </w:rPr>
        <w:t xml:space="preserve">; </w:t>
      </w:r>
      <w:r w:rsidR="00CE227F">
        <w:rPr>
          <w:lang w:val="en-GB"/>
        </w:rPr>
        <w:t>intestinal metabolome</w:t>
      </w:r>
      <w:r>
        <w:rPr>
          <w:lang w:val="en-GB"/>
        </w:rPr>
        <w:t xml:space="preserve">; </w:t>
      </w:r>
      <w:r w:rsidR="00CE227F">
        <w:rPr>
          <w:lang w:val="en-GB"/>
        </w:rPr>
        <w:t>chronic non-communicable diseases</w:t>
      </w:r>
      <w:r>
        <w:rPr>
          <w:lang w:val="en-GB"/>
        </w:rPr>
        <w:t xml:space="preserve">; </w:t>
      </w:r>
      <w:r w:rsidR="00CE227F">
        <w:rPr>
          <w:lang w:val="en-GB"/>
        </w:rPr>
        <w:t>functional food</w:t>
      </w:r>
      <w:r>
        <w:rPr>
          <w:lang w:val="en-GB"/>
        </w:rPr>
        <w:t>.</w:t>
      </w:r>
    </w:p>
    <w:p w14:paraId="758A709A" w14:textId="77777777" w:rsidR="007D40F9" w:rsidRDefault="007D40F9" w:rsidP="002A3A36">
      <w:pPr>
        <w:pStyle w:val="Titolo1"/>
        <w:spacing w:before="240" w:after="120"/>
        <w:ind w:right="0"/>
        <w:jc w:val="both"/>
        <w:rPr>
          <w:b/>
          <w:bCs/>
          <w:color w:val="000000"/>
          <w:sz w:val="24"/>
          <w:lang w:val="en-GB"/>
        </w:rPr>
      </w:pPr>
      <w:r>
        <w:rPr>
          <w:b/>
          <w:bCs/>
          <w:color w:val="000000"/>
          <w:sz w:val="24"/>
          <w:lang w:val="en-GB"/>
        </w:rPr>
        <w:t>1. Introduction</w:t>
      </w:r>
    </w:p>
    <w:p w14:paraId="5B0EAC65" w14:textId="0FD8A1F2" w:rsidR="007D40F9" w:rsidRDefault="007D40F9" w:rsidP="002A3A36">
      <w:pPr>
        <w:jc w:val="both"/>
        <w:rPr>
          <w:lang w:val="en-GB"/>
        </w:rPr>
      </w:pPr>
      <w:r>
        <w:rPr>
          <w:lang w:val="en-GB"/>
        </w:rPr>
        <w:t>In accordance with the PhD thesis project, this oral communication reports the main results of the following f</w:t>
      </w:r>
      <w:r w:rsidR="00CE227F">
        <w:rPr>
          <w:lang w:val="en-GB"/>
        </w:rPr>
        <w:t>ive</w:t>
      </w:r>
      <w:r>
        <w:rPr>
          <w:lang w:val="en-GB"/>
        </w:rPr>
        <w:t xml:space="preserve"> activities directed to:</w:t>
      </w:r>
    </w:p>
    <w:p w14:paraId="5CF88C03" w14:textId="06F5EB22" w:rsidR="007D40F9" w:rsidRPr="00746B7D" w:rsidRDefault="00F3454D" w:rsidP="0023790D">
      <w:pPr>
        <w:tabs>
          <w:tab w:val="left" w:pos="567"/>
          <w:tab w:val="left" w:pos="1276"/>
        </w:tabs>
        <w:ind w:hanging="567"/>
        <w:jc w:val="both"/>
        <w:rPr>
          <w:lang w:val="en-US"/>
        </w:rPr>
      </w:pPr>
      <w:r>
        <w:rPr>
          <w:lang w:val="en-GB"/>
        </w:rPr>
        <w:tab/>
        <w:t xml:space="preserve">A1) </w:t>
      </w:r>
      <w:r w:rsidR="0023790D">
        <w:rPr>
          <w:lang w:val="en-GB"/>
        </w:rPr>
        <w:tab/>
      </w:r>
      <w:r w:rsidR="00282C10" w:rsidRPr="00282C10">
        <w:rPr>
          <w:lang w:val="en-GB"/>
        </w:rPr>
        <w:t xml:space="preserve">Assess </w:t>
      </w:r>
      <w:proofErr w:type="spellStart"/>
      <w:r w:rsidR="00282C10" w:rsidRPr="0096667A">
        <w:rPr>
          <w:i/>
          <w:iCs/>
          <w:lang w:val="en-GB"/>
        </w:rPr>
        <w:t>i</w:t>
      </w:r>
      <w:proofErr w:type="spellEnd"/>
      <w:r w:rsidR="00282C10" w:rsidRPr="00282C10">
        <w:rPr>
          <w:lang w:val="en-GB"/>
        </w:rPr>
        <w:t>) the prevalence of fructose intolerance</w:t>
      </w:r>
      <w:r w:rsidR="000020B3">
        <w:rPr>
          <w:lang w:val="en-GB"/>
        </w:rPr>
        <w:t xml:space="preserve"> (FI)</w:t>
      </w:r>
      <w:r w:rsidR="00282C10" w:rsidRPr="00282C10">
        <w:rPr>
          <w:lang w:val="en-GB"/>
        </w:rPr>
        <w:t xml:space="preserve"> in patients with FGIDs and </w:t>
      </w:r>
      <w:r w:rsidR="00282C10" w:rsidRPr="0096667A">
        <w:rPr>
          <w:i/>
          <w:iCs/>
          <w:lang w:val="en-GB"/>
        </w:rPr>
        <w:t>ii</w:t>
      </w:r>
      <w:r w:rsidR="00282C10" w:rsidRPr="00282C10">
        <w:rPr>
          <w:lang w:val="en-GB"/>
        </w:rPr>
        <w:t xml:space="preserve">) the effectiveness of the EQBIOTA probiotic in improving symptoms </w:t>
      </w:r>
      <w:r w:rsidR="000020B3">
        <w:rPr>
          <w:lang w:val="en-GB"/>
        </w:rPr>
        <w:t>of FI</w:t>
      </w:r>
      <w:r w:rsidR="00282C10" w:rsidRPr="00282C10">
        <w:rPr>
          <w:lang w:val="en-GB"/>
        </w:rPr>
        <w:t>.</w:t>
      </w:r>
    </w:p>
    <w:p w14:paraId="44D409D2" w14:textId="4A3A3998" w:rsidR="00282C10" w:rsidRDefault="00F3454D" w:rsidP="002A3A36">
      <w:pPr>
        <w:tabs>
          <w:tab w:val="left" w:pos="567"/>
        </w:tabs>
        <w:ind w:hanging="567"/>
        <w:jc w:val="both"/>
        <w:rPr>
          <w:lang w:val="en-GB"/>
        </w:rPr>
      </w:pPr>
      <w:r>
        <w:rPr>
          <w:lang w:val="en-US"/>
        </w:rPr>
        <w:tab/>
        <w:t xml:space="preserve">A2) </w:t>
      </w:r>
      <w:r w:rsidR="00282C10" w:rsidRPr="00282C10">
        <w:rPr>
          <w:lang w:val="en-GB"/>
        </w:rPr>
        <w:t xml:space="preserve">Explores the effect of the symbiotic </w:t>
      </w:r>
      <w:proofErr w:type="spellStart"/>
      <w:r w:rsidR="00282C10" w:rsidRPr="00282C10">
        <w:rPr>
          <w:lang w:val="en-GB"/>
        </w:rPr>
        <w:t>Natu</w:t>
      </w:r>
      <w:r w:rsidR="00282C10">
        <w:rPr>
          <w:lang w:val="en-GB"/>
        </w:rPr>
        <w:t>REN</w:t>
      </w:r>
      <w:proofErr w:type="spellEnd"/>
      <w:r w:rsidR="00282C10">
        <w:rPr>
          <w:lang w:val="en-GB"/>
        </w:rPr>
        <w:t xml:space="preserve"> </w:t>
      </w:r>
      <w:r w:rsidR="00282C10" w:rsidRPr="00282C10">
        <w:rPr>
          <w:lang w:val="en-GB"/>
        </w:rPr>
        <w:t xml:space="preserve">G on the gut microbiota of stage </w:t>
      </w:r>
      <w:proofErr w:type="spellStart"/>
      <w:r w:rsidR="00282C10">
        <w:rPr>
          <w:lang w:val="en-GB"/>
        </w:rPr>
        <w:t>III</w:t>
      </w:r>
      <w:r w:rsidR="00282C10" w:rsidRPr="00282C10">
        <w:rPr>
          <w:lang w:val="en-GB"/>
        </w:rPr>
        <w:t>b</w:t>
      </w:r>
      <w:proofErr w:type="spellEnd"/>
      <w:r w:rsidR="00282C10" w:rsidRPr="00282C10">
        <w:rPr>
          <w:lang w:val="en-GB"/>
        </w:rPr>
        <w:t>-IV CKD patients.</w:t>
      </w:r>
    </w:p>
    <w:p w14:paraId="5AE3233A" w14:textId="773EEAA9" w:rsidR="007D40F9" w:rsidRDefault="00F3454D" w:rsidP="002A3A36">
      <w:pPr>
        <w:tabs>
          <w:tab w:val="left" w:pos="567"/>
        </w:tabs>
        <w:ind w:hanging="567"/>
        <w:jc w:val="both"/>
        <w:rPr>
          <w:lang w:val="en-GB"/>
        </w:rPr>
      </w:pPr>
      <w:r>
        <w:rPr>
          <w:lang w:val="en-US"/>
        </w:rPr>
        <w:tab/>
        <w:t xml:space="preserve">A3) </w:t>
      </w:r>
      <w:r w:rsidR="00282C10">
        <w:rPr>
          <w:lang w:val="en-GB"/>
        </w:rPr>
        <w:t>P</w:t>
      </w:r>
      <w:r w:rsidR="00127524" w:rsidRPr="00127524">
        <w:rPr>
          <w:lang w:val="en-GB"/>
        </w:rPr>
        <w:t>rovide a co</w:t>
      </w:r>
      <w:r w:rsidR="00127524">
        <w:rPr>
          <w:lang w:val="en-GB"/>
        </w:rPr>
        <w:t>mprehensive</w:t>
      </w:r>
      <w:r w:rsidR="00127524" w:rsidRPr="00127524">
        <w:rPr>
          <w:lang w:val="en-GB"/>
        </w:rPr>
        <w:t xml:space="preserve"> view of the correlation between the intestinal microbiome and the metabolic alterations </w:t>
      </w:r>
      <w:r w:rsidR="00282C10">
        <w:rPr>
          <w:lang w:val="en-GB"/>
        </w:rPr>
        <w:t>in</w:t>
      </w:r>
      <w:r w:rsidR="00127524" w:rsidRPr="00127524">
        <w:rPr>
          <w:lang w:val="en-GB"/>
        </w:rPr>
        <w:t xml:space="preserve"> </w:t>
      </w:r>
      <w:r w:rsidR="005A3B09">
        <w:rPr>
          <w:lang w:val="en-GB"/>
        </w:rPr>
        <w:t>obese</w:t>
      </w:r>
      <w:r w:rsidR="00127524">
        <w:rPr>
          <w:lang w:val="en-GB"/>
        </w:rPr>
        <w:t xml:space="preserve"> patients.</w:t>
      </w:r>
    </w:p>
    <w:p w14:paraId="56CB4AF9" w14:textId="0D4BD4B9" w:rsidR="007D40F9" w:rsidRDefault="00F3454D" w:rsidP="002A3A36">
      <w:pPr>
        <w:tabs>
          <w:tab w:val="left" w:pos="567"/>
        </w:tabs>
        <w:ind w:hanging="567"/>
        <w:jc w:val="both"/>
        <w:rPr>
          <w:lang w:val="en-GB"/>
        </w:rPr>
      </w:pPr>
      <w:r>
        <w:rPr>
          <w:lang w:val="en-GB"/>
        </w:rPr>
        <w:tab/>
        <w:t>A4)</w:t>
      </w:r>
      <w:r w:rsidR="002C1002" w:rsidRPr="002C1002">
        <w:rPr>
          <w:lang w:val="en-US"/>
        </w:rPr>
        <w:t xml:space="preserve"> </w:t>
      </w:r>
      <w:bookmarkStart w:id="0" w:name="_Hlk136956546"/>
      <w:r w:rsidR="001D1D3C">
        <w:rPr>
          <w:lang w:val="en-US"/>
        </w:rPr>
        <w:t xml:space="preserve">Investigate the </w:t>
      </w:r>
      <w:r w:rsidR="001D1D3C">
        <w:rPr>
          <w:lang w:val="en-GB"/>
        </w:rPr>
        <w:t>di</w:t>
      </w:r>
      <w:r w:rsidR="002C1002" w:rsidRPr="002C1002">
        <w:rPr>
          <w:lang w:val="en-GB"/>
        </w:rPr>
        <w:t>fferences of the gut microbiota and metabolome in patients affected by different types of nephropathies.</w:t>
      </w:r>
    </w:p>
    <w:bookmarkEnd w:id="0"/>
    <w:p w14:paraId="216030E6" w14:textId="3CFD871A" w:rsidR="00127524" w:rsidRPr="001D1D3C" w:rsidRDefault="00F3454D" w:rsidP="002A3A36">
      <w:pPr>
        <w:tabs>
          <w:tab w:val="left" w:pos="567"/>
        </w:tabs>
        <w:ind w:hanging="567"/>
        <w:jc w:val="both"/>
        <w:rPr>
          <w:lang w:val="en-US"/>
        </w:rPr>
      </w:pPr>
      <w:r>
        <w:rPr>
          <w:lang w:val="en-GB"/>
        </w:rPr>
        <w:tab/>
        <w:t xml:space="preserve">A5) </w:t>
      </w:r>
      <w:r w:rsidR="001D1D3C" w:rsidRPr="001D1D3C">
        <w:rPr>
          <w:lang w:val="en-GB"/>
        </w:rPr>
        <w:t>Characteriz</w:t>
      </w:r>
      <w:r w:rsidR="001D1D3C">
        <w:rPr>
          <w:lang w:val="en-GB"/>
        </w:rPr>
        <w:t>e</w:t>
      </w:r>
      <w:r w:rsidR="001D1D3C" w:rsidRPr="001D1D3C">
        <w:rPr>
          <w:lang w:val="en-GB"/>
        </w:rPr>
        <w:t xml:space="preserve"> and analy</w:t>
      </w:r>
      <w:r w:rsidR="001D1D3C">
        <w:rPr>
          <w:lang w:val="en-GB"/>
        </w:rPr>
        <w:t>se</w:t>
      </w:r>
      <w:r w:rsidR="001D1D3C" w:rsidRPr="001D1D3C">
        <w:rPr>
          <w:lang w:val="en-GB"/>
        </w:rPr>
        <w:t xml:space="preserve"> </w:t>
      </w:r>
      <w:r w:rsidR="001D1D3C">
        <w:rPr>
          <w:lang w:val="en-GB"/>
        </w:rPr>
        <w:t>the</w:t>
      </w:r>
      <w:r w:rsidR="001D1D3C" w:rsidRPr="001D1D3C">
        <w:rPr>
          <w:lang w:val="en-GB"/>
        </w:rPr>
        <w:t xml:space="preserve"> microbiological activity of functional pasta samples enriched with different bioactive waste ingredients.</w:t>
      </w:r>
    </w:p>
    <w:p w14:paraId="7B1DF5C4" w14:textId="5D5C1564" w:rsidR="007D40F9" w:rsidRDefault="00A63DA9" w:rsidP="002A3A36">
      <w:pPr>
        <w:pStyle w:val="Titolo1"/>
        <w:tabs>
          <w:tab w:val="left" w:pos="567"/>
        </w:tabs>
        <w:spacing w:before="240" w:after="120"/>
        <w:ind w:right="0"/>
        <w:jc w:val="both"/>
        <w:rPr>
          <w:b/>
          <w:bCs/>
          <w:color w:val="000000"/>
          <w:sz w:val="24"/>
          <w:lang w:val="en-GB"/>
        </w:rPr>
      </w:pPr>
      <w:r>
        <w:rPr>
          <w:b/>
          <w:bCs/>
          <w:color w:val="000000"/>
          <w:sz w:val="24"/>
          <w:lang w:val="en-GB"/>
        </w:rPr>
        <w:t xml:space="preserve">2. </w:t>
      </w:r>
      <w:r w:rsidR="007D40F9">
        <w:rPr>
          <w:b/>
          <w:bCs/>
          <w:color w:val="000000"/>
          <w:sz w:val="24"/>
          <w:lang w:val="en-GB"/>
        </w:rPr>
        <w:t>Materials and Methods</w:t>
      </w:r>
    </w:p>
    <w:p w14:paraId="04DE66C3" w14:textId="39B27BFF" w:rsidR="009869A1" w:rsidRPr="009869A1" w:rsidRDefault="00282C10" w:rsidP="002A3A36">
      <w:pPr>
        <w:pStyle w:val="Titolo2"/>
        <w:jc w:val="both"/>
        <w:rPr>
          <w:b/>
          <w:bCs/>
          <w:sz w:val="20"/>
          <w:lang w:val="en-US"/>
        </w:rPr>
      </w:pPr>
      <w:r>
        <w:rPr>
          <w:b/>
          <w:bCs/>
          <w:sz w:val="20"/>
          <w:lang w:val="en-GB"/>
        </w:rPr>
        <w:t>2</w:t>
      </w:r>
      <w:r w:rsidR="009869A1">
        <w:rPr>
          <w:b/>
          <w:bCs/>
          <w:sz w:val="20"/>
          <w:lang w:val="en-GB"/>
        </w:rPr>
        <w:t xml:space="preserve">.1 </w:t>
      </w:r>
      <w:r w:rsidRPr="00282C10">
        <w:rPr>
          <w:b/>
          <w:bCs/>
          <w:sz w:val="20"/>
          <w:lang w:val="en-US"/>
        </w:rPr>
        <w:t xml:space="preserve">Assess </w:t>
      </w:r>
      <w:proofErr w:type="spellStart"/>
      <w:r w:rsidRPr="0096667A">
        <w:rPr>
          <w:b/>
          <w:bCs/>
          <w:i/>
          <w:iCs/>
          <w:sz w:val="20"/>
          <w:lang w:val="en-US"/>
        </w:rPr>
        <w:t>i</w:t>
      </w:r>
      <w:proofErr w:type="spellEnd"/>
      <w:r w:rsidRPr="00282C10">
        <w:rPr>
          <w:b/>
          <w:bCs/>
          <w:sz w:val="20"/>
          <w:lang w:val="en-US"/>
        </w:rPr>
        <w:t xml:space="preserve">) the prevalence of </w:t>
      </w:r>
      <w:r w:rsidR="000020B3">
        <w:rPr>
          <w:b/>
          <w:bCs/>
          <w:sz w:val="20"/>
          <w:lang w:val="en-US"/>
        </w:rPr>
        <w:t>FI</w:t>
      </w:r>
      <w:r w:rsidRPr="00282C10">
        <w:rPr>
          <w:b/>
          <w:bCs/>
          <w:sz w:val="20"/>
          <w:lang w:val="en-US"/>
        </w:rPr>
        <w:t xml:space="preserve"> in patients with FGIDs and </w:t>
      </w:r>
      <w:r w:rsidRPr="0096667A">
        <w:rPr>
          <w:b/>
          <w:bCs/>
          <w:i/>
          <w:iCs/>
          <w:sz w:val="20"/>
          <w:lang w:val="en-US"/>
        </w:rPr>
        <w:t>ii</w:t>
      </w:r>
      <w:r w:rsidRPr="00282C10">
        <w:rPr>
          <w:b/>
          <w:bCs/>
          <w:sz w:val="20"/>
          <w:lang w:val="en-US"/>
        </w:rPr>
        <w:t xml:space="preserve">) the effectiveness of </w:t>
      </w:r>
      <w:r>
        <w:rPr>
          <w:b/>
          <w:bCs/>
          <w:sz w:val="20"/>
          <w:lang w:val="en-US"/>
        </w:rPr>
        <w:t>the</w:t>
      </w:r>
      <w:r w:rsidRPr="00282C10">
        <w:rPr>
          <w:b/>
          <w:bCs/>
          <w:sz w:val="20"/>
          <w:lang w:val="en-US"/>
        </w:rPr>
        <w:t xml:space="preserve"> EQBIOTA probiotic in improving symptoms in fructose intoleran</w:t>
      </w:r>
      <w:r>
        <w:rPr>
          <w:b/>
          <w:bCs/>
          <w:sz w:val="20"/>
          <w:lang w:val="en-US"/>
        </w:rPr>
        <w:t>ts</w:t>
      </w:r>
      <w:r w:rsidRPr="00282C10">
        <w:rPr>
          <w:b/>
          <w:bCs/>
          <w:sz w:val="20"/>
          <w:lang w:val="en-US"/>
        </w:rPr>
        <w:t>.</w:t>
      </w:r>
    </w:p>
    <w:p w14:paraId="007A8197" w14:textId="182BAE71" w:rsidR="009869A1" w:rsidRPr="000020B3" w:rsidRDefault="001473BD" w:rsidP="002A3A36">
      <w:pPr>
        <w:jc w:val="both"/>
        <w:rPr>
          <w:lang w:val="en-US"/>
        </w:rPr>
      </w:pPr>
      <w:r>
        <w:rPr>
          <w:szCs w:val="18"/>
          <w:lang w:val="en-US"/>
        </w:rPr>
        <w:t>T</w:t>
      </w:r>
      <w:r w:rsidRPr="001473BD">
        <w:rPr>
          <w:szCs w:val="18"/>
          <w:lang w:val="en-US"/>
        </w:rPr>
        <w:t xml:space="preserve">he prevalence of FI in a cohort of Romanian adult with </w:t>
      </w:r>
      <w:r w:rsidR="00DD7576" w:rsidRPr="00DD7576">
        <w:rPr>
          <w:szCs w:val="18"/>
          <w:lang w:val="en-US"/>
        </w:rPr>
        <w:t xml:space="preserve">Functional Gastrointestinal Disorders </w:t>
      </w:r>
      <w:r w:rsidR="00DD7576">
        <w:rPr>
          <w:szCs w:val="18"/>
          <w:lang w:val="en-US"/>
        </w:rPr>
        <w:t>(</w:t>
      </w:r>
      <w:r w:rsidRPr="001473BD">
        <w:rPr>
          <w:szCs w:val="18"/>
          <w:lang w:val="en-US"/>
        </w:rPr>
        <w:t>FGIDs</w:t>
      </w:r>
      <w:r w:rsidR="00DD7576">
        <w:rPr>
          <w:szCs w:val="18"/>
          <w:lang w:val="en-US"/>
        </w:rPr>
        <w:t>)</w:t>
      </w:r>
      <w:r w:rsidRPr="001473BD">
        <w:rPr>
          <w:szCs w:val="18"/>
          <w:lang w:val="en-US"/>
        </w:rPr>
        <w:t xml:space="preserve"> and the effectiveness of treatment with a new probiotic formulation EQBIOTA™ (</w:t>
      </w:r>
      <w:proofErr w:type="spellStart"/>
      <w:r w:rsidRPr="001473BD">
        <w:rPr>
          <w:i/>
          <w:iCs/>
          <w:szCs w:val="18"/>
          <w:lang w:val="en-US"/>
        </w:rPr>
        <w:t>Lactiplantibacillus</w:t>
      </w:r>
      <w:proofErr w:type="spellEnd"/>
      <w:r w:rsidRPr="001473BD">
        <w:rPr>
          <w:i/>
          <w:iCs/>
          <w:szCs w:val="18"/>
          <w:lang w:val="en-US"/>
        </w:rPr>
        <w:t xml:space="preserve"> plantarum</w:t>
      </w:r>
      <w:r w:rsidRPr="001473BD">
        <w:rPr>
          <w:szCs w:val="18"/>
          <w:lang w:val="en-US"/>
        </w:rPr>
        <w:t xml:space="preserve"> CECT 7484 and 7485 and </w:t>
      </w:r>
      <w:proofErr w:type="spellStart"/>
      <w:r w:rsidRPr="001473BD">
        <w:rPr>
          <w:i/>
          <w:iCs/>
          <w:szCs w:val="18"/>
          <w:lang w:val="en-US"/>
        </w:rPr>
        <w:t>Pediococcus</w:t>
      </w:r>
      <w:proofErr w:type="spellEnd"/>
      <w:r w:rsidRPr="001473BD">
        <w:rPr>
          <w:i/>
          <w:iCs/>
          <w:szCs w:val="18"/>
          <w:lang w:val="en-US"/>
        </w:rPr>
        <w:t xml:space="preserve"> </w:t>
      </w:r>
      <w:proofErr w:type="spellStart"/>
      <w:r w:rsidRPr="001473BD">
        <w:rPr>
          <w:i/>
          <w:iCs/>
          <w:szCs w:val="18"/>
          <w:lang w:val="en-US"/>
        </w:rPr>
        <w:t>acidilactici</w:t>
      </w:r>
      <w:proofErr w:type="spellEnd"/>
      <w:r w:rsidRPr="001473BD">
        <w:rPr>
          <w:szCs w:val="18"/>
          <w:lang w:val="en-US"/>
        </w:rPr>
        <w:t xml:space="preserve"> CECT 7483)</w:t>
      </w:r>
      <w:r>
        <w:rPr>
          <w:szCs w:val="18"/>
          <w:lang w:val="en-US"/>
        </w:rPr>
        <w:t xml:space="preserve"> were evaluated</w:t>
      </w:r>
      <w:r w:rsidRPr="001473BD">
        <w:rPr>
          <w:szCs w:val="18"/>
          <w:lang w:val="en-US"/>
        </w:rPr>
        <w:t>.</w:t>
      </w:r>
      <w:r>
        <w:rPr>
          <w:szCs w:val="18"/>
          <w:lang w:val="en-US"/>
        </w:rPr>
        <w:t xml:space="preserve"> </w:t>
      </w:r>
      <w:r w:rsidRPr="001473BD">
        <w:rPr>
          <w:szCs w:val="18"/>
          <w:lang w:val="en-US"/>
        </w:rPr>
        <w:t>FI subjects</w:t>
      </w:r>
      <w:r w:rsidRPr="001473BD">
        <w:rPr>
          <w:lang w:val="en-US"/>
        </w:rPr>
        <w:t xml:space="preserve"> </w:t>
      </w:r>
      <w:r w:rsidRPr="001473BD">
        <w:rPr>
          <w:szCs w:val="18"/>
          <w:lang w:val="en-US"/>
        </w:rPr>
        <w:t xml:space="preserve">on fructose-free diet regimen and persistent symptomatology and healthy volunteers </w:t>
      </w:r>
      <w:r w:rsidR="000020B3">
        <w:rPr>
          <w:szCs w:val="18"/>
          <w:lang w:val="en-US"/>
        </w:rPr>
        <w:t xml:space="preserve">(HC) </w:t>
      </w:r>
      <w:r>
        <w:rPr>
          <w:szCs w:val="18"/>
          <w:lang w:val="en-US"/>
        </w:rPr>
        <w:t xml:space="preserve">tested the probiotic for </w:t>
      </w:r>
      <w:r w:rsidRPr="001473BD">
        <w:rPr>
          <w:szCs w:val="18"/>
          <w:lang w:val="en-US"/>
        </w:rPr>
        <w:t>30</w:t>
      </w:r>
      <w:r w:rsidR="000020B3">
        <w:rPr>
          <w:szCs w:val="18"/>
          <w:lang w:val="en-US"/>
        </w:rPr>
        <w:t xml:space="preserve"> </w:t>
      </w:r>
      <w:r w:rsidRPr="001473BD">
        <w:rPr>
          <w:szCs w:val="18"/>
          <w:lang w:val="en-US"/>
        </w:rPr>
        <w:t>da</w:t>
      </w:r>
      <w:r>
        <w:rPr>
          <w:szCs w:val="18"/>
          <w:lang w:val="en-US"/>
        </w:rPr>
        <w:t>y</w:t>
      </w:r>
      <w:r w:rsidR="000020B3">
        <w:rPr>
          <w:szCs w:val="18"/>
          <w:lang w:val="en-US"/>
        </w:rPr>
        <w:t>s</w:t>
      </w:r>
      <w:r w:rsidRPr="001473BD">
        <w:rPr>
          <w:szCs w:val="18"/>
          <w:lang w:val="en-US"/>
        </w:rPr>
        <w:t>. The gastro-intestinal symptoms</w:t>
      </w:r>
      <w:r w:rsidR="000020B3">
        <w:rPr>
          <w:szCs w:val="18"/>
          <w:lang w:val="en-US"/>
        </w:rPr>
        <w:t xml:space="preserve"> </w:t>
      </w:r>
      <w:r w:rsidR="000020B3" w:rsidRPr="000020B3">
        <w:rPr>
          <w:lang w:val="en-US"/>
        </w:rPr>
        <w:t>(abdominal pain and bloating)</w:t>
      </w:r>
      <w:r w:rsidR="000020B3">
        <w:rPr>
          <w:lang w:val="en-US"/>
        </w:rPr>
        <w:t>, bowel habits,</w:t>
      </w:r>
      <w:r w:rsidRPr="001473BD">
        <w:rPr>
          <w:szCs w:val="18"/>
          <w:lang w:val="en-US"/>
        </w:rPr>
        <w:t xml:space="preserve"> and fecal volatile metabolome were evaluated</w:t>
      </w:r>
      <w:r w:rsidR="00A32E2F">
        <w:rPr>
          <w:szCs w:val="18"/>
          <w:lang w:val="en-US"/>
        </w:rPr>
        <w:t xml:space="preserve"> before (T0) and after treatment (T30)</w:t>
      </w:r>
      <w:r w:rsidRPr="001473BD">
        <w:rPr>
          <w:szCs w:val="18"/>
          <w:lang w:val="en-US"/>
        </w:rPr>
        <w:t>.</w:t>
      </w:r>
      <w:r w:rsidR="000020B3" w:rsidRPr="000020B3">
        <w:rPr>
          <w:lang w:val="en-US"/>
        </w:rPr>
        <w:t xml:space="preserve"> The Volatile Organic Compounds (VOCs) were quantifie</w:t>
      </w:r>
      <w:r w:rsidR="000020B3">
        <w:rPr>
          <w:lang w:val="en-US"/>
        </w:rPr>
        <w:t xml:space="preserve">d using the </w:t>
      </w:r>
      <w:r w:rsidR="0096667A">
        <w:rPr>
          <w:lang w:val="en-US"/>
        </w:rPr>
        <w:t>g</w:t>
      </w:r>
      <w:r w:rsidR="000020B3" w:rsidRPr="000020B3">
        <w:rPr>
          <w:lang w:val="en-US"/>
        </w:rPr>
        <w:t xml:space="preserve">as </w:t>
      </w:r>
      <w:r w:rsidR="0096667A">
        <w:rPr>
          <w:lang w:val="en-US"/>
        </w:rPr>
        <w:t>c</w:t>
      </w:r>
      <w:r w:rsidR="000020B3" w:rsidRPr="000020B3">
        <w:rPr>
          <w:lang w:val="en-US"/>
        </w:rPr>
        <w:t>hromatography</w:t>
      </w:r>
      <w:r w:rsidR="0096667A">
        <w:rPr>
          <w:lang w:val="en-US"/>
        </w:rPr>
        <w:t xml:space="preserve"> coupled by m</w:t>
      </w:r>
      <w:r w:rsidR="000020B3" w:rsidRPr="000020B3">
        <w:rPr>
          <w:lang w:val="en-US"/>
        </w:rPr>
        <w:t xml:space="preserve">ass </w:t>
      </w:r>
      <w:r w:rsidR="0096667A">
        <w:rPr>
          <w:lang w:val="en-US"/>
        </w:rPr>
        <w:t>s</w:t>
      </w:r>
      <w:r w:rsidR="000020B3" w:rsidRPr="000020B3">
        <w:rPr>
          <w:lang w:val="en-US"/>
        </w:rPr>
        <w:t>pectrometry (GC-MS)</w:t>
      </w:r>
      <w:r w:rsidR="000020B3">
        <w:rPr>
          <w:lang w:val="en-US"/>
        </w:rPr>
        <w:t>.</w:t>
      </w:r>
    </w:p>
    <w:p w14:paraId="77C5DCFC" w14:textId="77777777" w:rsidR="009869A1" w:rsidRDefault="009869A1" w:rsidP="002A3A36">
      <w:pPr>
        <w:jc w:val="both"/>
        <w:rPr>
          <w:lang w:val="en-GB"/>
        </w:rPr>
      </w:pPr>
    </w:p>
    <w:p w14:paraId="435DCEE6" w14:textId="2278ABC4" w:rsidR="009869A1" w:rsidRDefault="00282C10" w:rsidP="002A3A36">
      <w:pPr>
        <w:jc w:val="both"/>
        <w:rPr>
          <w:b/>
          <w:bCs/>
          <w:lang w:val="en-US"/>
        </w:rPr>
      </w:pPr>
      <w:r>
        <w:rPr>
          <w:b/>
          <w:bCs/>
          <w:lang w:val="en-US"/>
        </w:rPr>
        <w:t>2</w:t>
      </w:r>
      <w:r w:rsidR="009869A1" w:rsidRPr="009869A1">
        <w:rPr>
          <w:b/>
          <w:bCs/>
          <w:lang w:val="en-US"/>
        </w:rPr>
        <w:t>.</w:t>
      </w:r>
      <w:r w:rsidR="009869A1">
        <w:rPr>
          <w:b/>
          <w:bCs/>
          <w:lang w:val="en-US"/>
        </w:rPr>
        <w:t>2</w:t>
      </w:r>
      <w:r w:rsidR="009869A1" w:rsidRPr="009869A1">
        <w:rPr>
          <w:b/>
          <w:bCs/>
          <w:lang w:val="en-US"/>
        </w:rPr>
        <w:t xml:space="preserve"> </w:t>
      </w:r>
      <w:r w:rsidRPr="00282C10">
        <w:rPr>
          <w:b/>
          <w:bCs/>
          <w:lang w:val="en-US"/>
        </w:rPr>
        <w:t xml:space="preserve">Explores the effect of the symbiotic </w:t>
      </w:r>
      <w:proofErr w:type="spellStart"/>
      <w:r w:rsidRPr="00282C10">
        <w:rPr>
          <w:b/>
          <w:bCs/>
          <w:lang w:val="en-US"/>
        </w:rPr>
        <w:t>NatuREN</w:t>
      </w:r>
      <w:proofErr w:type="spellEnd"/>
      <w:r w:rsidRPr="00282C10">
        <w:rPr>
          <w:b/>
          <w:bCs/>
          <w:lang w:val="en-US"/>
        </w:rPr>
        <w:t xml:space="preserve"> G on the gut microbiota of stage </w:t>
      </w:r>
      <w:proofErr w:type="spellStart"/>
      <w:r w:rsidRPr="00282C10">
        <w:rPr>
          <w:b/>
          <w:bCs/>
          <w:lang w:val="en-US"/>
        </w:rPr>
        <w:t>IIIb</w:t>
      </w:r>
      <w:proofErr w:type="spellEnd"/>
      <w:r w:rsidRPr="00282C10">
        <w:rPr>
          <w:b/>
          <w:bCs/>
          <w:lang w:val="en-US"/>
        </w:rPr>
        <w:t>-IV CKD patients.</w:t>
      </w:r>
    </w:p>
    <w:p w14:paraId="525A11B7" w14:textId="1AF808BB" w:rsidR="009869A1" w:rsidRPr="00ED42F3" w:rsidRDefault="00ED42F3" w:rsidP="002A3A36">
      <w:pPr>
        <w:jc w:val="both"/>
        <w:rPr>
          <w:lang w:val="en-US"/>
        </w:rPr>
      </w:pPr>
      <w:r>
        <w:rPr>
          <w:lang w:val="en-GB"/>
        </w:rPr>
        <w:t>T</w:t>
      </w:r>
      <w:r w:rsidRPr="00170CE1">
        <w:rPr>
          <w:lang w:val="en-GB"/>
        </w:rPr>
        <w:t>he effect of</w:t>
      </w:r>
      <w:r w:rsidR="00812672">
        <w:rPr>
          <w:lang w:val="en-GB"/>
        </w:rPr>
        <w:t xml:space="preserve"> </w:t>
      </w:r>
      <w:proofErr w:type="spellStart"/>
      <w:r w:rsidR="00812672">
        <w:rPr>
          <w:lang w:val="en-GB"/>
        </w:rPr>
        <w:t>symbiontic</w:t>
      </w:r>
      <w:proofErr w:type="spellEnd"/>
      <w:r w:rsidR="00812672">
        <w:rPr>
          <w:lang w:val="en-GB"/>
        </w:rPr>
        <w:t xml:space="preserve"> (S)</w:t>
      </w:r>
      <w:r w:rsidRPr="00170CE1">
        <w:rPr>
          <w:lang w:val="en-GB"/>
        </w:rPr>
        <w:t xml:space="preserve"> </w:t>
      </w:r>
      <w:proofErr w:type="spellStart"/>
      <w:r w:rsidRPr="00170CE1">
        <w:rPr>
          <w:lang w:val="en-GB"/>
        </w:rPr>
        <w:t>NatuREN</w:t>
      </w:r>
      <w:proofErr w:type="spellEnd"/>
      <w:r w:rsidRPr="00170CE1">
        <w:rPr>
          <w:lang w:val="en-GB"/>
        </w:rPr>
        <w:t xml:space="preserve"> G® </w:t>
      </w:r>
      <w:r>
        <w:rPr>
          <w:lang w:val="en-GB"/>
        </w:rPr>
        <w:t>(</w:t>
      </w:r>
      <w:r w:rsidRPr="000B2752">
        <w:rPr>
          <w:i/>
          <w:iCs/>
          <w:color w:val="000000" w:themeColor="text1"/>
          <w:lang w:val="en-US"/>
        </w:rPr>
        <w:t>Bifidobacterium</w:t>
      </w:r>
      <w:r w:rsidRPr="000B2752">
        <w:rPr>
          <w:color w:val="000000" w:themeColor="text1"/>
          <w:lang w:val="en-US"/>
        </w:rPr>
        <w:t xml:space="preserve"> </w:t>
      </w:r>
      <w:r w:rsidRPr="000B2752">
        <w:rPr>
          <w:i/>
          <w:iCs/>
          <w:color w:val="000000" w:themeColor="text1"/>
          <w:lang w:val="en-US"/>
        </w:rPr>
        <w:t>animalis</w:t>
      </w:r>
      <w:r w:rsidRPr="000B2752">
        <w:rPr>
          <w:color w:val="000000" w:themeColor="text1"/>
          <w:lang w:val="en-US"/>
        </w:rPr>
        <w:t xml:space="preserve"> BLC1, </w:t>
      </w:r>
      <w:proofErr w:type="spellStart"/>
      <w:r w:rsidRPr="000B2752">
        <w:rPr>
          <w:i/>
          <w:iCs/>
          <w:color w:val="000000" w:themeColor="text1"/>
          <w:lang w:val="en-US"/>
        </w:rPr>
        <w:t>Lacticaseibacillus</w:t>
      </w:r>
      <w:proofErr w:type="spellEnd"/>
      <w:r w:rsidRPr="000B2752">
        <w:rPr>
          <w:color w:val="000000" w:themeColor="text1"/>
          <w:lang w:val="en-US"/>
        </w:rPr>
        <w:t xml:space="preserve"> </w:t>
      </w:r>
      <w:proofErr w:type="spellStart"/>
      <w:r w:rsidRPr="000B2752">
        <w:rPr>
          <w:i/>
          <w:iCs/>
          <w:color w:val="000000" w:themeColor="text1"/>
          <w:lang w:val="en-US"/>
        </w:rPr>
        <w:t>casei</w:t>
      </w:r>
      <w:proofErr w:type="spellEnd"/>
      <w:r w:rsidRPr="000B2752">
        <w:rPr>
          <w:color w:val="000000" w:themeColor="text1"/>
          <w:lang w:val="en-US"/>
        </w:rPr>
        <w:t xml:space="preserve"> LC4P1, fructo-oligosaccharides, inulin, quercetin, resveratrol, and </w:t>
      </w:r>
      <w:proofErr w:type="spellStart"/>
      <w:r w:rsidRPr="000B2752">
        <w:rPr>
          <w:color w:val="000000" w:themeColor="text1"/>
          <w:lang w:val="en-US"/>
        </w:rPr>
        <w:t>proanthocyanidins</w:t>
      </w:r>
      <w:proofErr w:type="spellEnd"/>
      <w:r>
        <w:rPr>
          <w:lang w:val="en-GB"/>
        </w:rPr>
        <w:t xml:space="preserve">) </w:t>
      </w:r>
      <w:r w:rsidRPr="00170CE1">
        <w:rPr>
          <w:lang w:val="en-GB"/>
        </w:rPr>
        <w:t xml:space="preserve">on gut microbiota in a single-blind, placebo-controlled, pilot trial, involved both CKD patients at </w:t>
      </w:r>
      <w:proofErr w:type="spellStart"/>
      <w:r w:rsidRPr="00170CE1">
        <w:rPr>
          <w:lang w:val="en-GB"/>
        </w:rPr>
        <w:t>IIIb</w:t>
      </w:r>
      <w:proofErr w:type="spellEnd"/>
      <w:r w:rsidRPr="00170CE1">
        <w:rPr>
          <w:lang w:val="en-GB"/>
        </w:rPr>
        <w:t>-IV nephropathy-stage and healthy controls (HC)</w:t>
      </w:r>
      <w:r>
        <w:rPr>
          <w:lang w:val="en-GB"/>
        </w:rPr>
        <w:t xml:space="preserve">, was evaluated. </w:t>
      </w:r>
      <w:r>
        <w:rPr>
          <w:color w:val="000000" w:themeColor="text1"/>
          <w:lang w:val="en-US"/>
        </w:rPr>
        <w:t>The placebo</w:t>
      </w:r>
      <w:r w:rsidR="00812672">
        <w:rPr>
          <w:color w:val="000000" w:themeColor="text1"/>
          <w:lang w:val="en-US"/>
        </w:rPr>
        <w:t xml:space="preserve"> (P)</w:t>
      </w:r>
      <w:r>
        <w:rPr>
          <w:color w:val="000000" w:themeColor="text1"/>
          <w:lang w:val="en-US"/>
        </w:rPr>
        <w:t xml:space="preserve"> used in the present study was based on maltodextrins and aromas. </w:t>
      </w:r>
      <w:proofErr w:type="spellStart"/>
      <w:r w:rsidR="0096667A">
        <w:rPr>
          <w:color w:val="000000" w:themeColor="text1"/>
          <w:lang w:val="en-US"/>
        </w:rPr>
        <w:t>F</w:t>
      </w:r>
      <w:r w:rsidR="00BF19D1">
        <w:rPr>
          <w:color w:val="000000" w:themeColor="text1"/>
          <w:lang w:val="en-US"/>
        </w:rPr>
        <w:t>a</w:t>
      </w:r>
      <w:r w:rsidR="0096667A">
        <w:rPr>
          <w:color w:val="000000" w:themeColor="text1"/>
          <w:lang w:val="en-US"/>
        </w:rPr>
        <w:t>ecal</w:t>
      </w:r>
      <w:proofErr w:type="spellEnd"/>
      <w:r w:rsidRPr="00ED42F3">
        <w:rPr>
          <w:color w:val="000000" w:themeColor="text1"/>
          <w:lang w:val="en-US"/>
        </w:rPr>
        <w:t xml:space="preserve"> samples</w:t>
      </w:r>
      <w:r>
        <w:rPr>
          <w:color w:val="000000" w:themeColor="text1"/>
          <w:lang w:val="en-US"/>
        </w:rPr>
        <w:t xml:space="preserve"> and dietary questionnaires</w:t>
      </w:r>
      <w:r w:rsidRPr="00ED42F3">
        <w:rPr>
          <w:color w:val="000000" w:themeColor="text1"/>
          <w:lang w:val="en-US"/>
        </w:rPr>
        <w:t xml:space="preserve"> were collected at the beginning of the study (T0), after 60 days of treatment (T60), and after further 30 days of wash out (T90).</w:t>
      </w:r>
      <w:r w:rsidRPr="00ED42F3">
        <w:rPr>
          <w:lang w:val="en-US"/>
        </w:rPr>
        <w:t xml:space="preserve"> </w:t>
      </w:r>
      <w:r>
        <w:rPr>
          <w:color w:val="000000" w:themeColor="text1"/>
          <w:lang w:val="en-US"/>
        </w:rPr>
        <w:t>F</w:t>
      </w:r>
      <w:r w:rsidRPr="00ED42F3">
        <w:rPr>
          <w:color w:val="000000" w:themeColor="text1"/>
          <w:lang w:val="en-US"/>
        </w:rPr>
        <w:t xml:space="preserve">ecal samples were analyzed by 16S rDNA </w:t>
      </w:r>
      <w:proofErr w:type="spellStart"/>
      <w:r w:rsidRPr="00ED42F3">
        <w:rPr>
          <w:color w:val="000000" w:themeColor="text1"/>
          <w:lang w:val="en-US"/>
        </w:rPr>
        <w:t>metataxonomics</w:t>
      </w:r>
      <w:proofErr w:type="spellEnd"/>
      <w:r w:rsidRPr="00ED42F3">
        <w:rPr>
          <w:color w:val="000000" w:themeColor="text1"/>
          <w:lang w:val="en-US"/>
        </w:rPr>
        <w:t xml:space="preserve"> and </w:t>
      </w:r>
      <w:r w:rsidR="00BF19D1">
        <w:rPr>
          <w:color w:val="000000" w:themeColor="text1"/>
          <w:lang w:val="en-US"/>
        </w:rPr>
        <w:t>GC-MS to evaluate metabolic profile</w:t>
      </w:r>
      <w:r w:rsidRPr="00ED42F3">
        <w:rPr>
          <w:color w:val="000000" w:themeColor="text1"/>
          <w:lang w:val="en-US"/>
        </w:rPr>
        <w:t>.</w:t>
      </w:r>
      <w:r>
        <w:rPr>
          <w:color w:val="000000" w:themeColor="text1"/>
          <w:lang w:val="en-US"/>
        </w:rPr>
        <w:t xml:space="preserve"> Finally, c</w:t>
      </w:r>
      <w:r w:rsidRPr="00C46ECB">
        <w:rPr>
          <w:color w:val="000000" w:themeColor="text1"/>
          <w:lang w:val="en-US"/>
        </w:rPr>
        <w:t xml:space="preserve">hanges in </w:t>
      </w:r>
      <w:r w:rsidRPr="00C93E26">
        <w:rPr>
          <w:i/>
          <w:iCs/>
          <w:color w:val="000000" w:themeColor="text1"/>
          <w:lang w:val="en-US"/>
        </w:rPr>
        <w:t>Lactobacillus</w:t>
      </w:r>
      <w:r>
        <w:rPr>
          <w:color w:val="000000" w:themeColor="text1"/>
          <w:lang w:val="en-US"/>
        </w:rPr>
        <w:t xml:space="preserve"> and </w:t>
      </w:r>
      <w:r>
        <w:rPr>
          <w:i/>
          <w:iCs/>
          <w:color w:val="000000" w:themeColor="text1"/>
          <w:lang w:val="en-US"/>
        </w:rPr>
        <w:t xml:space="preserve">Bifidobacterium </w:t>
      </w:r>
      <w:r>
        <w:rPr>
          <w:color w:val="000000" w:themeColor="text1"/>
          <w:lang w:val="en-US"/>
        </w:rPr>
        <w:t xml:space="preserve">genera </w:t>
      </w:r>
      <w:r w:rsidRPr="00C46ECB">
        <w:rPr>
          <w:color w:val="000000" w:themeColor="text1"/>
          <w:lang w:val="en-US"/>
        </w:rPr>
        <w:t>were also assessed by quantitative PCR</w:t>
      </w:r>
      <w:r>
        <w:rPr>
          <w:color w:val="000000" w:themeColor="text1"/>
          <w:lang w:val="en-US"/>
        </w:rPr>
        <w:t>.</w:t>
      </w:r>
    </w:p>
    <w:p w14:paraId="4438CE31" w14:textId="77777777" w:rsidR="009869A1" w:rsidRDefault="009869A1" w:rsidP="002A3A36">
      <w:pPr>
        <w:jc w:val="both"/>
        <w:rPr>
          <w:lang w:val="en-GB"/>
        </w:rPr>
      </w:pPr>
    </w:p>
    <w:p w14:paraId="121E9028" w14:textId="755203C9" w:rsidR="009869A1" w:rsidRDefault="00282C10" w:rsidP="002A3A36">
      <w:pPr>
        <w:jc w:val="both"/>
        <w:rPr>
          <w:b/>
          <w:bCs/>
          <w:lang w:val="en-US"/>
        </w:rPr>
      </w:pPr>
      <w:r>
        <w:rPr>
          <w:b/>
          <w:bCs/>
          <w:lang w:val="en-US"/>
        </w:rPr>
        <w:lastRenderedPageBreak/>
        <w:t>2</w:t>
      </w:r>
      <w:r w:rsidR="009869A1" w:rsidRPr="009869A1">
        <w:rPr>
          <w:b/>
          <w:bCs/>
          <w:lang w:val="en-US"/>
        </w:rPr>
        <w:t>.</w:t>
      </w:r>
      <w:r w:rsidR="009869A1">
        <w:rPr>
          <w:b/>
          <w:bCs/>
          <w:lang w:val="en-US"/>
        </w:rPr>
        <w:t>3</w:t>
      </w:r>
      <w:r w:rsidR="009869A1" w:rsidRPr="009869A1">
        <w:rPr>
          <w:b/>
          <w:bCs/>
          <w:lang w:val="en-US"/>
        </w:rPr>
        <w:t xml:space="preserve"> </w:t>
      </w:r>
      <w:r w:rsidRPr="00282C10">
        <w:rPr>
          <w:b/>
          <w:bCs/>
          <w:lang w:val="en-US"/>
        </w:rPr>
        <w:t>Provide a comprehensive view of the correlation between the intestinal microbiome and the metabolic alterations in obese patients.</w:t>
      </w:r>
    </w:p>
    <w:p w14:paraId="47AB163F" w14:textId="1191FFA6" w:rsidR="009869A1" w:rsidRDefault="00A71C66" w:rsidP="002A3A36">
      <w:pPr>
        <w:jc w:val="both"/>
        <w:rPr>
          <w:lang w:val="en-GB"/>
        </w:rPr>
      </w:pPr>
      <w:r w:rsidRPr="00A71C66">
        <w:rPr>
          <w:lang w:val="en-GB"/>
        </w:rPr>
        <w:t xml:space="preserve">The aim of this study was to characterize gut microbiota and metabolome composition in metabolically healthy </w:t>
      </w:r>
      <w:r>
        <w:rPr>
          <w:lang w:val="en-GB"/>
        </w:rPr>
        <w:t xml:space="preserve">(MHO) </w:t>
      </w:r>
      <w:r w:rsidRPr="00A71C66">
        <w:rPr>
          <w:lang w:val="en-GB"/>
        </w:rPr>
        <w:t>and unhealthy</w:t>
      </w:r>
      <w:r>
        <w:rPr>
          <w:lang w:val="en-GB"/>
        </w:rPr>
        <w:t xml:space="preserve"> (OB)</w:t>
      </w:r>
      <w:r w:rsidRPr="00A71C66">
        <w:rPr>
          <w:lang w:val="en-GB"/>
        </w:rPr>
        <w:t xml:space="preserve"> obese adult subjects considering their clinical data and dietary conditions.</w:t>
      </w:r>
      <w:r>
        <w:rPr>
          <w:lang w:val="en-GB"/>
        </w:rPr>
        <w:t xml:space="preserve"> </w:t>
      </w:r>
      <w:r w:rsidRPr="00A71C66">
        <w:rPr>
          <w:lang w:val="en-GB"/>
        </w:rPr>
        <w:t xml:space="preserve">An observational study was conducted on healthy controls </w:t>
      </w:r>
      <w:r>
        <w:rPr>
          <w:lang w:val="en-GB"/>
        </w:rPr>
        <w:t xml:space="preserve">(HC) </w:t>
      </w:r>
      <w:r w:rsidRPr="00A71C66">
        <w:rPr>
          <w:lang w:val="en-GB"/>
        </w:rPr>
        <w:t>and</w:t>
      </w:r>
      <w:r>
        <w:rPr>
          <w:lang w:val="en-GB"/>
        </w:rPr>
        <w:t xml:space="preserve"> MHO and OB</w:t>
      </w:r>
      <w:r w:rsidRPr="00A71C66">
        <w:rPr>
          <w:lang w:val="en-GB"/>
        </w:rPr>
        <w:t xml:space="preserve"> subjects. Blood samples and </w:t>
      </w:r>
      <w:r>
        <w:rPr>
          <w:lang w:val="en-GB"/>
        </w:rPr>
        <w:t xml:space="preserve">3 days </w:t>
      </w:r>
      <w:r w:rsidRPr="00A71C66">
        <w:rPr>
          <w:lang w:val="en-GB"/>
        </w:rPr>
        <w:t>food questionnaires were collected. The gut microbiota was characterized in faecal samples through quantitative PCR</w:t>
      </w:r>
      <w:r>
        <w:rPr>
          <w:lang w:val="en-GB"/>
        </w:rPr>
        <w:t xml:space="preserve"> with the use of </w:t>
      </w:r>
      <w:r w:rsidR="00BF19D1">
        <w:rPr>
          <w:lang w:val="en-GB"/>
        </w:rPr>
        <w:t xml:space="preserve">primers for specific bacterial </w:t>
      </w:r>
      <w:r>
        <w:rPr>
          <w:lang w:val="en-GB"/>
        </w:rPr>
        <w:t>genera and species</w:t>
      </w:r>
      <w:r w:rsidRPr="00A71C66">
        <w:rPr>
          <w:lang w:val="en-GB"/>
        </w:rPr>
        <w:t xml:space="preserve">. </w:t>
      </w:r>
      <w:r w:rsidR="00BF19D1">
        <w:rPr>
          <w:lang w:val="en-GB"/>
        </w:rPr>
        <w:t>GC-MS</w:t>
      </w:r>
      <w:r w:rsidRPr="00A71C66">
        <w:rPr>
          <w:lang w:val="en-GB"/>
        </w:rPr>
        <w:t xml:space="preserve"> was performed for the analysis of untargeted metabolites and short-chain fatty acids</w:t>
      </w:r>
      <w:r>
        <w:rPr>
          <w:lang w:val="en-GB"/>
        </w:rPr>
        <w:t xml:space="preserve"> in faecal samples</w:t>
      </w:r>
      <w:r w:rsidRPr="00A71C66">
        <w:rPr>
          <w:lang w:val="en-GB"/>
        </w:rPr>
        <w:t>.</w:t>
      </w:r>
    </w:p>
    <w:p w14:paraId="77266C70" w14:textId="77777777" w:rsidR="009869A1" w:rsidRDefault="009869A1" w:rsidP="002A3A36">
      <w:pPr>
        <w:jc w:val="both"/>
        <w:rPr>
          <w:lang w:val="en-GB"/>
        </w:rPr>
      </w:pPr>
    </w:p>
    <w:p w14:paraId="423F9D2E" w14:textId="1385A047" w:rsidR="009869A1" w:rsidRDefault="00282C10" w:rsidP="002A3A36">
      <w:pPr>
        <w:jc w:val="both"/>
        <w:rPr>
          <w:lang w:val="en-GB"/>
        </w:rPr>
      </w:pPr>
      <w:r>
        <w:rPr>
          <w:b/>
          <w:bCs/>
          <w:lang w:val="en-US"/>
        </w:rPr>
        <w:t>2</w:t>
      </w:r>
      <w:r w:rsidR="009869A1" w:rsidRPr="009869A1">
        <w:rPr>
          <w:b/>
          <w:bCs/>
          <w:lang w:val="en-US"/>
        </w:rPr>
        <w:t>.</w:t>
      </w:r>
      <w:r w:rsidR="009869A1">
        <w:rPr>
          <w:b/>
          <w:bCs/>
          <w:lang w:val="en-US"/>
        </w:rPr>
        <w:t>4</w:t>
      </w:r>
      <w:r w:rsidR="009869A1" w:rsidRPr="009869A1">
        <w:rPr>
          <w:b/>
          <w:bCs/>
          <w:lang w:val="en-US"/>
        </w:rPr>
        <w:t xml:space="preserve"> </w:t>
      </w:r>
      <w:r w:rsidR="001D1D3C">
        <w:rPr>
          <w:b/>
          <w:bCs/>
          <w:lang w:val="en-US"/>
        </w:rPr>
        <w:t>Investigate the d</w:t>
      </w:r>
      <w:r w:rsidR="002C1002" w:rsidRPr="002C1002">
        <w:rPr>
          <w:b/>
          <w:bCs/>
          <w:lang w:val="en-US"/>
        </w:rPr>
        <w:t>ifferences of the gut microbiota and metabolome in patients affected by different types of nephropathies.</w:t>
      </w:r>
    </w:p>
    <w:p w14:paraId="5DD14502" w14:textId="02F1587F" w:rsidR="009869A1" w:rsidRDefault="002C1002" w:rsidP="002C1002">
      <w:pPr>
        <w:jc w:val="both"/>
        <w:rPr>
          <w:lang w:val="en-GB"/>
        </w:rPr>
      </w:pPr>
      <w:r w:rsidRPr="002C1002">
        <w:rPr>
          <w:lang w:val="en-GB"/>
        </w:rPr>
        <w:t xml:space="preserve">The impaired kidney function in nephropathic patients was linked to an unbalanced microbiota asset. To better detail the reasons of this dysbiosis, </w:t>
      </w:r>
      <w:r>
        <w:rPr>
          <w:lang w:val="en-GB"/>
        </w:rPr>
        <w:t>an observational study was performed to investigate</w:t>
      </w:r>
      <w:r w:rsidRPr="002C1002">
        <w:rPr>
          <w:lang w:val="en-GB"/>
        </w:rPr>
        <w:t xml:space="preserve"> the gut microbiota and volatile metabolome in four kidney pathologies: </w:t>
      </w:r>
      <w:proofErr w:type="gramStart"/>
      <w:r w:rsidRPr="002C1002">
        <w:rPr>
          <w:lang w:val="en-GB"/>
        </w:rPr>
        <w:t>Chronic Kidney Disease</w:t>
      </w:r>
      <w:proofErr w:type="gramEnd"/>
      <w:r w:rsidRPr="002C1002">
        <w:rPr>
          <w:lang w:val="en-GB"/>
        </w:rPr>
        <w:t xml:space="preserve"> (CKD), Diabetic Kidney Disease (DKD), Autosomal Dominant Polycystic Kidney Disease (ADPKD), and Immunoglobulin A nephropathy (IgAn).</w:t>
      </w:r>
      <w:r w:rsidR="00A30C07">
        <w:rPr>
          <w:lang w:val="en-GB"/>
        </w:rPr>
        <w:t xml:space="preserve"> A healthy control group (HC) was added to the study.</w:t>
      </w:r>
      <w:r w:rsidR="00070D43">
        <w:rPr>
          <w:lang w:val="en-GB"/>
        </w:rPr>
        <w:t xml:space="preserve"> </w:t>
      </w:r>
      <w:r w:rsidR="00A30C07">
        <w:rPr>
          <w:lang w:val="en-GB"/>
        </w:rPr>
        <w:t>Blood samples were collected to analyse the b</w:t>
      </w:r>
      <w:r w:rsidRPr="002C1002">
        <w:rPr>
          <w:lang w:val="en-GB"/>
        </w:rPr>
        <w:t>iochemical parameters</w:t>
      </w:r>
      <w:r w:rsidR="00A30C07">
        <w:rPr>
          <w:lang w:val="en-GB"/>
        </w:rPr>
        <w:t xml:space="preserve">. Moreover, subjects provided </w:t>
      </w:r>
      <w:r w:rsidRPr="002C1002">
        <w:rPr>
          <w:lang w:val="en-GB"/>
        </w:rPr>
        <w:t>faecal samples to investigate the gut microbial population through quantitative PCR and</w:t>
      </w:r>
      <w:r w:rsidR="00A30C07">
        <w:rPr>
          <w:lang w:val="en-GB"/>
        </w:rPr>
        <w:t xml:space="preserve"> the volatile metabolome through</w:t>
      </w:r>
      <w:r w:rsidRPr="002C1002">
        <w:rPr>
          <w:lang w:val="en-GB"/>
        </w:rPr>
        <w:t xml:space="preserve"> </w:t>
      </w:r>
      <w:r w:rsidR="00BF19D1">
        <w:rPr>
          <w:lang w:val="en-GB"/>
        </w:rPr>
        <w:t>GC-MS</w:t>
      </w:r>
      <w:r w:rsidRPr="002C1002">
        <w:rPr>
          <w:lang w:val="en-GB"/>
        </w:rPr>
        <w:t>.</w:t>
      </w:r>
    </w:p>
    <w:p w14:paraId="2A2C4540" w14:textId="77777777" w:rsidR="002C1002" w:rsidRDefault="002C1002" w:rsidP="002A3A36">
      <w:pPr>
        <w:jc w:val="both"/>
        <w:rPr>
          <w:lang w:val="en-GB"/>
        </w:rPr>
      </w:pPr>
    </w:p>
    <w:p w14:paraId="7B9DDDD2" w14:textId="337AF8A0" w:rsidR="009869A1" w:rsidRPr="001D1D3C" w:rsidRDefault="00282C10" w:rsidP="002A3A36">
      <w:pPr>
        <w:jc w:val="both"/>
        <w:rPr>
          <w:b/>
          <w:bCs/>
          <w:lang w:val="en-US"/>
        </w:rPr>
      </w:pPr>
      <w:r>
        <w:rPr>
          <w:b/>
          <w:bCs/>
          <w:lang w:val="en-US"/>
        </w:rPr>
        <w:t>2</w:t>
      </w:r>
      <w:r w:rsidR="009869A1" w:rsidRPr="009869A1">
        <w:rPr>
          <w:b/>
          <w:bCs/>
          <w:lang w:val="en-US"/>
        </w:rPr>
        <w:t>.</w:t>
      </w:r>
      <w:r w:rsidR="009869A1">
        <w:rPr>
          <w:b/>
          <w:bCs/>
          <w:lang w:val="en-US"/>
        </w:rPr>
        <w:t>5</w:t>
      </w:r>
      <w:r w:rsidR="009869A1" w:rsidRPr="009869A1">
        <w:rPr>
          <w:b/>
          <w:bCs/>
          <w:lang w:val="en-US"/>
        </w:rPr>
        <w:t xml:space="preserve"> </w:t>
      </w:r>
      <w:r w:rsidR="001D1D3C" w:rsidRPr="001D1D3C">
        <w:rPr>
          <w:b/>
          <w:bCs/>
          <w:lang w:val="en-US"/>
        </w:rPr>
        <w:t>Characteriz</w:t>
      </w:r>
      <w:r w:rsidR="001D1D3C">
        <w:rPr>
          <w:b/>
          <w:bCs/>
          <w:lang w:val="en-US"/>
        </w:rPr>
        <w:t>e</w:t>
      </w:r>
      <w:r w:rsidR="001D1D3C" w:rsidRPr="001D1D3C">
        <w:rPr>
          <w:b/>
          <w:bCs/>
          <w:lang w:val="en-US"/>
        </w:rPr>
        <w:t xml:space="preserve"> and </w:t>
      </w:r>
      <w:proofErr w:type="spellStart"/>
      <w:r w:rsidR="001D1D3C" w:rsidRPr="001D1D3C">
        <w:rPr>
          <w:b/>
          <w:bCs/>
          <w:lang w:val="en-US"/>
        </w:rPr>
        <w:t>analy</w:t>
      </w:r>
      <w:r w:rsidR="001D1D3C">
        <w:rPr>
          <w:b/>
          <w:bCs/>
          <w:lang w:val="en-US"/>
        </w:rPr>
        <w:t>se</w:t>
      </w:r>
      <w:proofErr w:type="spellEnd"/>
      <w:r w:rsidR="001D1D3C" w:rsidRPr="001D1D3C">
        <w:rPr>
          <w:b/>
          <w:bCs/>
          <w:lang w:val="en-US"/>
        </w:rPr>
        <w:t xml:space="preserve"> </w:t>
      </w:r>
      <w:r w:rsidR="001D1D3C">
        <w:rPr>
          <w:b/>
          <w:bCs/>
          <w:lang w:val="en-US"/>
        </w:rPr>
        <w:t>the</w:t>
      </w:r>
      <w:r w:rsidR="001D1D3C" w:rsidRPr="001D1D3C">
        <w:rPr>
          <w:b/>
          <w:bCs/>
          <w:lang w:val="en-US"/>
        </w:rPr>
        <w:t xml:space="preserve"> microbiological activity of functional pasta samples enriched with different bioactive waste ingredients.</w:t>
      </w:r>
    </w:p>
    <w:p w14:paraId="1E1544F9" w14:textId="77777777" w:rsidR="00BF19D1" w:rsidRDefault="00AF788E" w:rsidP="00DB5814">
      <w:pPr>
        <w:jc w:val="both"/>
        <w:rPr>
          <w:lang w:val="en-US"/>
        </w:rPr>
      </w:pPr>
      <w:r>
        <w:rPr>
          <w:lang w:val="en-GB"/>
        </w:rPr>
        <w:t xml:space="preserve">Experimental samples of pasta were produced by </w:t>
      </w:r>
      <w:r>
        <w:rPr>
          <w:lang w:val="en-US"/>
        </w:rPr>
        <w:t>the Casillo Next Generation Food Group (</w:t>
      </w:r>
      <w:proofErr w:type="spellStart"/>
      <w:r>
        <w:rPr>
          <w:lang w:val="en-US"/>
        </w:rPr>
        <w:t>Corato</w:t>
      </w:r>
      <w:proofErr w:type="spellEnd"/>
      <w:r>
        <w:rPr>
          <w:lang w:val="en-US"/>
        </w:rPr>
        <w:t>, Italy). Pasta</w:t>
      </w:r>
      <w:r>
        <w:rPr>
          <w:lang w:val="en-GB"/>
        </w:rPr>
        <w:t xml:space="preserve"> was enriched with three different ingredients: </w:t>
      </w:r>
      <w:proofErr w:type="spellStart"/>
      <w:r w:rsidRPr="00AF788E">
        <w:rPr>
          <w:lang w:val="en-GB"/>
        </w:rPr>
        <w:t>i</w:t>
      </w:r>
      <w:proofErr w:type="spellEnd"/>
      <w:r w:rsidRPr="00AF788E">
        <w:rPr>
          <w:lang w:val="en-GB"/>
        </w:rPr>
        <w:t>) deoleated durum wheat germ; ii) deoleated durum wheat bran; iii) durum wheat oil.</w:t>
      </w:r>
      <w:r>
        <w:rPr>
          <w:lang w:val="en-GB"/>
        </w:rPr>
        <w:t xml:space="preserve"> By combining the three ingredients, four samples of pasta were formulated: </w:t>
      </w:r>
      <w:r w:rsidR="00DB5814">
        <w:rPr>
          <w:lang w:val="en-GB"/>
        </w:rPr>
        <w:t>d</w:t>
      </w:r>
      <w:r w:rsidR="00DB5814" w:rsidRPr="00DB5814">
        <w:rPr>
          <w:lang w:val="en-GB"/>
        </w:rPr>
        <w:t>ry pasta with 30% deoleated durum wheat germ (GP)</w:t>
      </w:r>
      <w:r w:rsidR="00DB5814">
        <w:rPr>
          <w:lang w:val="en-GB"/>
        </w:rPr>
        <w:t>; d</w:t>
      </w:r>
      <w:r w:rsidR="00DB5814" w:rsidRPr="00DB5814">
        <w:rPr>
          <w:lang w:val="en-GB"/>
        </w:rPr>
        <w:t>ry pasta with 30% deoleated durum wheat bran (BP)</w:t>
      </w:r>
      <w:r w:rsidR="00DB5814">
        <w:rPr>
          <w:lang w:val="en-GB"/>
        </w:rPr>
        <w:t>; d</w:t>
      </w:r>
      <w:r w:rsidR="00DB5814" w:rsidRPr="00DB5814">
        <w:rPr>
          <w:lang w:val="en-GB"/>
        </w:rPr>
        <w:t>ry pasta with 27% deoleated durum wheat germ and 6% microencapsulated durum wheat oil (GPmO)</w:t>
      </w:r>
      <w:r w:rsidR="00DB5814">
        <w:rPr>
          <w:lang w:val="en-GB"/>
        </w:rPr>
        <w:t>; d</w:t>
      </w:r>
      <w:r w:rsidR="00DB5814" w:rsidRPr="00DB5814">
        <w:rPr>
          <w:lang w:val="en-GB"/>
        </w:rPr>
        <w:t>ry pasta with 27% deoleated durum wheat bran and 6% microencapsulated durum wheat oil (BPmO)</w:t>
      </w:r>
      <w:r w:rsidR="00DB5814">
        <w:rPr>
          <w:lang w:val="en-GB"/>
        </w:rPr>
        <w:t>.</w:t>
      </w:r>
      <w:r w:rsidR="00DB5814" w:rsidRPr="00DB5814">
        <w:rPr>
          <w:lang w:val="en-US"/>
        </w:rPr>
        <w:t xml:space="preserve"> </w:t>
      </w:r>
      <w:r w:rsidR="00DB5814">
        <w:rPr>
          <w:lang w:val="en-US"/>
        </w:rPr>
        <w:t>D</w:t>
      </w:r>
      <w:r w:rsidR="00DB5814" w:rsidRPr="007F3A4B">
        <w:rPr>
          <w:lang w:val="en-US"/>
        </w:rPr>
        <w:t>ry pasta obtained from semolina with the addition of integral-like dye</w:t>
      </w:r>
      <w:r w:rsidR="00DB5814">
        <w:rPr>
          <w:lang w:val="en-US"/>
        </w:rPr>
        <w:t xml:space="preserve"> was used as control (CP)</w:t>
      </w:r>
      <w:r w:rsidR="00DB5814" w:rsidRPr="007F3A4B">
        <w:rPr>
          <w:lang w:val="en-US"/>
        </w:rPr>
        <w:t>.</w:t>
      </w:r>
    </w:p>
    <w:p w14:paraId="0DCE2C4B" w14:textId="625B41EA" w:rsidR="00DB5814" w:rsidRDefault="00DB5814" w:rsidP="00DB5814">
      <w:pPr>
        <w:jc w:val="both"/>
        <w:rPr>
          <w:lang w:val="en-GB"/>
        </w:rPr>
      </w:pPr>
      <w:r w:rsidRPr="00DB5814">
        <w:rPr>
          <w:i/>
          <w:iCs/>
          <w:lang w:val="en-US"/>
        </w:rPr>
        <w:t>In vitro</w:t>
      </w:r>
      <w:r w:rsidRPr="00DB5814">
        <w:rPr>
          <w:lang w:val="en-US"/>
        </w:rPr>
        <w:t xml:space="preserve"> tests were performed </w:t>
      </w:r>
      <w:proofErr w:type="gramStart"/>
      <w:r w:rsidRPr="00DB5814">
        <w:rPr>
          <w:lang w:val="en-US"/>
        </w:rPr>
        <w:t>in order to</w:t>
      </w:r>
      <w:proofErr w:type="gramEnd"/>
      <w:r w:rsidRPr="00DB5814">
        <w:rPr>
          <w:lang w:val="en-US"/>
        </w:rPr>
        <w:t xml:space="preserve">: </w:t>
      </w:r>
      <w:proofErr w:type="spellStart"/>
      <w:r w:rsidRPr="00DB5814">
        <w:rPr>
          <w:lang w:val="en-US"/>
        </w:rPr>
        <w:t>i</w:t>
      </w:r>
      <w:proofErr w:type="spellEnd"/>
      <w:r w:rsidRPr="00DB5814">
        <w:rPr>
          <w:lang w:val="en-US"/>
        </w:rPr>
        <w:t xml:space="preserve">) assess the antioxidant activity and the content of phenols </w:t>
      </w:r>
      <w:r>
        <w:rPr>
          <w:lang w:val="en-US"/>
        </w:rPr>
        <w:t xml:space="preserve">(according to </w:t>
      </w:r>
      <w:proofErr w:type="spellStart"/>
      <w:r>
        <w:rPr>
          <w:lang w:val="en-US"/>
        </w:rPr>
        <w:t>Difonzo</w:t>
      </w:r>
      <w:proofErr w:type="spellEnd"/>
      <w:r>
        <w:rPr>
          <w:lang w:val="en-US"/>
        </w:rPr>
        <w:t xml:space="preserve"> et al.</w:t>
      </w:r>
      <w:r w:rsidR="00070D43">
        <w:rPr>
          <w:lang w:val="en-US"/>
        </w:rPr>
        <w:t>,</w:t>
      </w:r>
      <w:r>
        <w:rPr>
          <w:lang w:val="en-US"/>
        </w:rPr>
        <w:t xml:space="preserve"> 2017 and Limongelli et al.</w:t>
      </w:r>
      <w:r w:rsidR="00070D43">
        <w:rPr>
          <w:lang w:val="en-US"/>
        </w:rPr>
        <w:t>,</w:t>
      </w:r>
      <w:r>
        <w:rPr>
          <w:lang w:val="en-US"/>
        </w:rPr>
        <w:t xml:space="preserve"> 2023) </w:t>
      </w:r>
      <w:r w:rsidRPr="00DB5814">
        <w:rPr>
          <w:lang w:val="en-US"/>
        </w:rPr>
        <w:t xml:space="preserve">of pasta extracts, and ii) characterize the microbiological activity of fermented </w:t>
      </w:r>
      <w:r w:rsidR="000B2203">
        <w:rPr>
          <w:lang w:val="en-US"/>
        </w:rPr>
        <w:t>digested pasta samples</w:t>
      </w:r>
      <w:r>
        <w:rPr>
          <w:lang w:val="en-US"/>
        </w:rPr>
        <w:t>.</w:t>
      </w:r>
      <w:r w:rsidRPr="00DB5814">
        <w:rPr>
          <w:lang w:val="en-US"/>
        </w:rPr>
        <w:t xml:space="preserve"> </w:t>
      </w:r>
      <w:r>
        <w:rPr>
          <w:lang w:val="en-US"/>
        </w:rPr>
        <w:t xml:space="preserve">Digestion was simulated </w:t>
      </w:r>
      <w:r w:rsidRPr="00A54F77">
        <w:rPr>
          <w:i/>
          <w:iCs/>
          <w:lang w:val="en-US"/>
        </w:rPr>
        <w:t>in vitro</w:t>
      </w:r>
      <w:r>
        <w:rPr>
          <w:lang w:val="en-US"/>
        </w:rPr>
        <w:t xml:space="preserve"> using enzymes from oral, gastric, and intestinal fluids (</w:t>
      </w:r>
      <w:r w:rsidRPr="00475F8B">
        <w:rPr>
          <w:lang w:val="en-US"/>
        </w:rPr>
        <w:t>De Angelis et al.</w:t>
      </w:r>
      <w:r>
        <w:rPr>
          <w:lang w:val="en-US"/>
        </w:rPr>
        <w:t xml:space="preserve">, </w:t>
      </w:r>
      <w:r w:rsidRPr="00475F8B">
        <w:rPr>
          <w:lang w:val="en-US"/>
        </w:rPr>
        <w:t>2021).</w:t>
      </w:r>
      <w:r w:rsidRPr="00DB5814">
        <w:rPr>
          <w:lang w:val="en-US"/>
        </w:rPr>
        <w:t xml:space="preserve"> </w:t>
      </w:r>
      <w:r>
        <w:rPr>
          <w:lang w:val="en-US"/>
        </w:rPr>
        <w:t xml:space="preserve">Samples of digested pasta were fermented </w:t>
      </w:r>
      <w:r w:rsidRPr="004F44ED">
        <w:rPr>
          <w:i/>
          <w:iCs/>
          <w:lang w:val="en-US"/>
        </w:rPr>
        <w:t>in vitro</w:t>
      </w:r>
      <w:r>
        <w:rPr>
          <w:lang w:val="en-US"/>
        </w:rPr>
        <w:t>, simulating the colonic fermentation, according to Vacca et al. (2023). For the microbiological activity, some target genera and species were investigated through quantitative PCR and</w:t>
      </w:r>
      <w:r w:rsidRPr="00DB5814">
        <w:rPr>
          <w:lang w:val="en-US"/>
        </w:rPr>
        <w:t xml:space="preserve"> </w:t>
      </w:r>
      <w:r>
        <w:rPr>
          <w:lang w:val="en-US"/>
        </w:rPr>
        <w:t xml:space="preserve">an aliquot of each fermented </w:t>
      </w:r>
      <w:r w:rsidR="000B2203">
        <w:rPr>
          <w:lang w:val="en-US"/>
        </w:rPr>
        <w:t>sample</w:t>
      </w:r>
      <w:r>
        <w:rPr>
          <w:lang w:val="en-US"/>
        </w:rPr>
        <w:t xml:space="preserve"> supernatant was analyzed to characterize the Volatile Organic Compound (VOC) th</w:t>
      </w:r>
      <w:r w:rsidR="000B2203">
        <w:rPr>
          <w:lang w:val="en-US"/>
        </w:rPr>
        <w:t>r</w:t>
      </w:r>
      <w:r>
        <w:rPr>
          <w:lang w:val="en-US"/>
        </w:rPr>
        <w:t xml:space="preserve">ough </w:t>
      </w:r>
      <w:r w:rsidR="00BF19D1">
        <w:rPr>
          <w:lang w:val="en-GB"/>
        </w:rPr>
        <w:t>GC-MS</w:t>
      </w:r>
      <w:r>
        <w:rPr>
          <w:lang w:val="en-GB"/>
        </w:rPr>
        <w:t>.</w:t>
      </w:r>
    </w:p>
    <w:p w14:paraId="780743F1" w14:textId="77777777" w:rsidR="00DB5814" w:rsidRDefault="00DB5814" w:rsidP="00DB5814">
      <w:pPr>
        <w:jc w:val="both"/>
        <w:rPr>
          <w:b/>
          <w:bCs/>
          <w:color w:val="000000"/>
          <w:sz w:val="24"/>
          <w:lang w:val="en-GB"/>
        </w:rPr>
      </w:pPr>
    </w:p>
    <w:p w14:paraId="5837B98F" w14:textId="475B1F57" w:rsidR="007D40F9" w:rsidRDefault="00A63DA9" w:rsidP="00DB5814">
      <w:pPr>
        <w:jc w:val="both"/>
        <w:rPr>
          <w:b/>
          <w:bCs/>
          <w:color w:val="000000"/>
          <w:sz w:val="24"/>
          <w:lang w:val="en-GB"/>
        </w:rPr>
      </w:pPr>
      <w:r>
        <w:rPr>
          <w:b/>
          <w:bCs/>
          <w:color w:val="000000"/>
          <w:sz w:val="24"/>
          <w:lang w:val="en-GB"/>
        </w:rPr>
        <w:t>3</w:t>
      </w:r>
      <w:r w:rsidR="007D40F9">
        <w:rPr>
          <w:b/>
          <w:bCs/>
          <w:color w:val="000000"/>
          <w:sz w:val="24"/>
          <w:lang w:val="en-GB"/>
        </w:rPr>
        <w:t>. Results and Discussion</w:t>
      </w:r>
    </w:p>
    <w:p w14:paraId="2F969A3D" w14:textId="733B9AEF" w:rsidR="00282C10" w:rsidRPr="009869A1" w:rsidRDefault="00282C10" w:rsidP="002A3A36">
      <w:pPr>
        <w:pStyle w:val="Titolo2"/>
        <w:jc w:val="both"/>
        <w:rPr>
          <w:b/>
          <w:bCs/>
          <w:sz w:val="20"/>
          <w:lang w:val="en-US"/>
        </w:rPr>
      </w:pPr>
      <w:r>
        <w:rPr>
          <w:b/>
          <w:bCs/>
          <w:sz w:val="20"/>
          <w:lang w:val="en-GB"/>
        </w:rPr>
        <w:t xml:space="preserve">3.1 </w:t>
      </w:r>
      <w:r w:rsidRPr="00282C10">
        <w:rPr>
          <w:b/>
          <w:bCs/>
          <w:sz w:val="20"/>
          <w:lang w:val="en-US"/>
        </w:rPr>
        <w:t xml:space="preserve">Assess </w:t>
      </w:r>
      <w:proofErr w:type="spellStart"/>
      <w:r w:rsidRPr="00BF19D1">
        <w:rPr>
          <w:b/>
          <w:bCs/>
          <w:i/>
          <w:iCs/>
          <w:sz w:val="20"/>
          <w:lang w:val="en-US"/>
        </w:rPr>
        <w:t>i</w:t>
      </w:r>
      <w:proofErr w:type="spellEnd"/>
      <w:r w:rsidRPr="00282C10">
        <w:rPr>
          <w:b/>
          <w:bCs/>
          <w:sz w:val="20"/>
          <w:lang w:val="en-US"/>
        </w:rPr>
        <w:t xml:space="preserve">) the prevalence of </w:t>
      </w:r>
      <w:r w:rsidR="000020B3">
        <w:rPr>
          <w:b/>
          <w:bCs/>
          <w:sz w:val="20"/>
          <w:lang w:val="en-US"/>
        </w:rPr>
        <w:t>FI</w:t>
      </w:r>
      <w:r w:rsidRPr="00282C10">
        <w:rPr>
          <w:b/>
          <w:bCs/>
          <w:sz w:val="20"/>
          <w:lang w:val="en-US"/>
        </w:rPr>
        <w:t xml:space="preserve"> in patients with FGIDs and </w:t>
      </w:r>
      <w:r w:rsidRPr="00BF19D1">
        <w:rPr>
          <w:b/>
          <w:bCs/>
          <w:i/>
          <w:iCs/>
          <w:sz w:val="20"/>
          <w:lang w:val="en-US"/>
        </w:rPr>
        <w:t>ii</w:t>
      </w:r>
      <w:r w:rsidRPr="00282C10">
        <w:rPr>
          <w:b/>
          <w:bCs/>
          <w:sz w:val="20"/>
          <w:lang w:val="en-US"/>
        </w:rPr>
        <w:t xml:space="preserve">) the effectiveness of </w:t>
      </w:r>
      <w:r>
        <w:rPr>
          <w:b/>
          <w:bCs/>
          <w:sz w:val="20"/>
          <w:lang w:val="en-US"/>
        </w:rPr>
        <w:t>the</w:t>
      </w:r>
      <w:r w:rsidRPr="00282C10">
        <w:rPr>
          <w:b/>
          <w:bCs/>
          <w:sz w:val="20"/>
          <w:lang w:val="en-US"/>
        </w:rPr>
        <w:t xml:space="preserve"> EQBIOTA probiotic in improving symptoms in fructose intoleran</w:t>
      </w:r>
      <w:r>
        <w:rPr>
          <w:b/>
          <w:bCs/>
          <w:sz w:val="20"/>
          <w:lang w:val="en-US"/>
        </w:rPr>
        <w:t>ts</w:t>
      </w:r>
      <w:r w:rsidRPr="00282C10">
        <w:rPr>
          <w:b/>
          <w:bCs/>
          <w:sz w:val="20"/>
          <w:lang w:val="en-US"/>
        </w:rPr>
        <w:t>.</w:t>
      </w:r>
    </w:p>
    <w:p w14:paraId="3FA7DD44" w14:textId="260C6992" w:rsidR="00282C10" w:rsidRDefault="00CD7F43" w:rsidP="002A3A36">
      <w:pPr>
        <w:jc w:val="both"/>
        <w:rPr>
          <w:lang w:val="en-US"/>
        </w:rPr>
      </w:pPr>
      <w:r>
        <w:rPr>
          <w:lang w:val="en-US"/>
        </w:rPr>
        <w:t>T</w:t>
      </w:r>
      <w:r w:rsidRPr="00CD7F43">
        <w:rPr>
          <w:lang w:val="en-US"/>
        </w:rPr>
        <w:t xml:space="preserve">he prevalence of fructose intolerants (31.8%) within FGID group was higher than lactose intolerant subjects (6.8%). </w:t>
      </w:r>
      <w:r w:rsidR="000020B3">
        <w:rPr>
          <w:lang w:val="en-US"/>
        </w:rPr>
        <w:t>T</w:t>
      </w:r>
      <w:r w:rsidR="000020B3" w:rsidRPr="000020B3">
        <w:rPr>
          <w:lang w:val="en-US"/>
        </w:rPr>
        <w:t xml:space="preserve">he final group of enrolled patients consisted of 14 </w:t>
      </w:r>
      <w:r w:rsidR="00DD7576">
        <w:rPr>
          <w:lang w:val="en-US"/>
        </w:rPr>
        <w:t>FI</w:t>
      </w:r>
      <w:r w:rsidR="000020B3">
        <w:rPr>
          <w:lang w:val="en-US"/>
        </w:rPr>
        <w:t xml:space="preserve"> and</w:t>
      </w:r>
      <w:r w:rsidR="000020B3" w:rsidRPr="000020B3">
        <w:rPr>
          <w:lang w:val="en-US"/>
        </w:rPr>
        <w:t xml:space="preserve"> 13 </w:t>
      </w:r>
      <w:r w:rsidR="00DD7576">
        <w:rPr>
          <w:lang w:val="en-US"/>
        </w:rPr>
        <w:t>HC</w:t>
      </w:r>
      <w:r w:rsidR="000020B3" w:rsidRPr="000020B3">
        <w:rPr>
          <w:lang w:val="en-US"/>
        </w:rPr>
        <w:t xml:space="preserve"> subjects</w:t>
      </w:r>
      <w:r w:rsidR="000020B3">
        <w:rPr>
          <w:lang w:val="en-US"/>
        </w:rPr>
        <w:t>. I</w:t>
      </w:r>
      <w:r w:rsidR="000020B3" w:rsidRPr="000020B3">
        <w:rPr>
          <w:lang w:val="en-US"/>
        </w:rPr>
        <w:t>n FI group, the values of gastro-intestinal symptoms (VAS) were significantly higher than HC.</w:t>
      </w:r>
      <w:r w:rsidR="00DD7576">
        <w:rPr>
          <w:lang w:val="en-US"/>
        </w:rPr>
        <w:t xml:space="preserve"> Treatment with EQBIOTA caused </w:t>
      </w:r>
      <w:r w:rsidR="00DD7576" w:rsidRPr="00DD7576">
        <w:rPr>
          <w:lang w:val="en-US"/>
        </w:rPr>
        <w:t>an overall improvement of symptoms in FI subjects</w:t>
      </w:r>
      <w:r w:rsidR="00DD7576">
        <w:rPr>
          <w:lang w:val="en-US"/>
        </w:rPr>
        <w:t xml:space="preserve">: </w:t>
      </w:r>
      <w:r w:rsidR="00DD7576" w:rsidRPr="00DD7576">
        <w:rPr>
          <w:lang w:val="en-US"/>
        </w:rPr>
        <w:t>we observed a significant decrease of bloating (</w:t>
      </w:r>
      <w:r w:rsidR="00A12236">
        <w:rPr>
          <w:lang w:val="en-US"/>
        </w:rPr>
        <w:t>q</w:t>
      </w:r>
      <w:r w:rsidR="00DD7576" w:rsidRPr="00DD7576">
        <w:rPr>
          <w:lang w:val="en-US"/>
        </w:rPr>
        <w:t xml:space="preserve"> = 0.0001) and abdominal pain (</w:t>
      </w:r>
      <w:r w:rsidR="00A12236">
        <w:rPr>
          <w:lang w:val="en-US"/>
        </w:rPr>
        <w:t>q</w:t>
      </w:r>
      <w:r w:rsidR="00DD7576" w:rsidRPr="00DD7576">
        <w:rPr>
          <w:lang w:val="en-US"/>
        </w:rPr>
        <w:t xml:space="preserve"> = 0.0002)</w:t>
      </w:r>
      <w:r w:rsidR="00DD7576">
        <w:rPr>
          <w:lang w:val="en-US"/>
        </w:rPr>
        <w:t>.</w:t>
      </w:r>
    </w:p>
    <w:p w14:paraId="578A5942" w14:textId="50DD094E" w:rsidR="00C36570" w:rsidRPr="00C36570" w:rsidRDefault="00C36570" w:rsidP="004F6079">
      <w:pPr>
        <w:pStyle w:val="Didascalia"/>
        <w:keepNext/>
        <w:spacing w:before="300" w:after="120"/>
        <w:rPr>
          <w:color w:val="auto"/>
          <w:lang w:val="en-US"/>
        </w:rPr>
      </w:pPr>
      <w:r w:rsidRPr="00BF19D1">
        <w:rPr>
          <w:b/>
          <w:bCs/>
          <w:i w:val="0"/>
          <w:iCs w:val="0"/>
          <w:color w:val="auto"/>
          <w:lang w:val="en-US"/>
        </w:rPr>
        <w:t xml:space="preserve">Table </w:t>
      </w:r>
      <w:r w:rsidRPr="00BF19D1">
        <w:rPr>
          <w:b/>
          <w:bCs/>
          <w:i w:val="0"/>
          <w:iCs w:val="0"/>
          <w:color w:val="auto"/>
        </w:rPr>
        <w:fldChar w:fldCharType="begin"/>
      </w:r>
      <w:r w:rsidRPr="00BF19D1">
        <w:rPr>
          <w:b/>
          <w:bCs/>
          <w:i w:val="0"/>
          <w:iCs w:val="0"/>
          <w:color w:val="auto"/>
          <w:lang w:val="en-US"/>
        </w:rPr>
        <w:instrText xml:space="preserve"> SEQ Table \* ARABIC </w:instrText>
      </w:r>
      <w:r w:rsidRPr="00BF19D1">
        <w:rPr>
          <w:b/>
          <w:bCs/>
          <w:i w:val="0"/>
          <w:iCs w:val="0"/>
          <w:color w:val="auto"/>
        </w:rPr>
        <w:fldChar w:fldCharType="separate"/>
      </w:r>
      <w:r w:rsidR="00BE04C9">
        <w:rPr>
          <w:b/>
          <w:bCs/>
          <w:i w:val="0"/>
          <w:iCs w:val="0"/>
          <w:noProof/>
          <w:color w:val="auto"/>
          <w:lang w:val="en-US"/>
        </w:rPr>
        <w:t>1</w:t>
      </w:r>
      <w:r w:rsidRPr="00BF19D1">
        <w:rPr>
          <w:b/>
          <w:bCs/>
          <w:i w:val="0"/>
          <w:iCs w:val="0"/>
          <w:color w:val="auto"/>
        </w:rPr>
        <w:fldChar w:fldCharType="end"/>
      </w:r>
      <w:r w:rsidRPr="00BF19D1">
        <w:rPr>
          <w:b/>
          <w:bCs/>
          <w:i w:val="0"/>
          <w:iCs w:val="0"/>
          <w:color w:val="auto"/>
          <w:lang w:val="en-US"/>
        </w:rPr>
        <w:t>.</w:t>
      </w:r>
      <w:r w:rsidRPr="00C36570">
        <w:rPr>
          <w:color w:val="auto"/>
          <w:lang w:val="en-US"/>
        </w:rPr>
        <w:t xml:space="preserve"> Baseline characteristics expressed as mean ± SD and median values of the fructose intolerant and healthy control group enrolled for EQBIOTA treatment.</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940"/>
        <w:gridCol w:w="1134"/>
        <w:gridCol w:w="1135"/>
        <w:gridCol w:w="1135"/>
        <w:gridCol w:w="78"/>
        <w:gridCol w:w="1056"/>
        <w:gridCol w:w="1135"/>
        <w:gridCol w:w="1135"/>
      </w:tblGrid>
      <w:tr w:rsidR="00DD7576" w:rsidRPr="004B68BD" w14:paraId="2838672D" w14:textId="77777777" w:rsidTr="00DD7576">
        <w:trPr>
          <w:trHeight w:val="18"/>
        </w:trPr>
        <w:tc>
          <w:tcPr>
            <w:tcW w:w="1418" w:type="dxa"/>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5C0C119F" w14:textId="77777777" w:rsidR="00DD7576" w:rsidRPr="004B68BD" w:rsidRDefault="00DD7576" w:rsidP="00DD7576">
            <w:pPr>
              <w:ind w:right="-990"/>
              <w:jc w:val="center"/>
              <w:rPr>
                <w:b/>
                <w:bCs/>
                <w:sz w:val="18"/>
                <w:szCs w:val="18"/>
                <w:lang w:val="en-GB"/>
              </w:rPr>
            </w:pPr>
          </w:p>
        </w:tc>
        <w:tc>
          <w:tcPr>
            <w:tcW w:w="4422" w:type="dxa"/>
            <w:gridSpan w:val="5"/>
            <w:tcBorders>
              <w:top w:val="single" w:sz="4" w:space="0" w:color="auto"/>
              <w:left w:val="nil"/>
              <w:bottom w:val="single" w:sz="4" w:space="0" w:color="auto"/>
              <w:right w:val="nil"/>
            </w:tcBorders>
            <w:shd w:val="clear" w:color="auto" w:fill="auto"/>
          </w:tcPr>
          <w:p w14:paraId="09FC917F" w14:textId="0F02B6D1" w:rsidR="00DD7576" w:rsidRPr="004B68BD" w:rsidRDefault="00DD7576" w:rsidP="00DD7576">
            <w:pPr>
              <w:ind w:left="1082"/>
              <w:jc w:val="center"/>
              <w:rPr>
                <w:b/>
                <w:sz w:val="18"/>
                <w:szCs w:val="18"/>
                <w:lang w:val="en-GB"/>
              </w:rPr>
            </w:pPr>
            <w:r w:rsidRPr="004B68BD">
              <w:rPr>
                <w:b/>
                <w:sz w:val="18"/>
                <w:szCs w:val="18"/>
                <w:lang w:val="en-GB"/>
              </w:rPr>
              <w:t>Healthy control</w:t>
            </w:r>
          </w:p>
        </w:tc>
        <w:tc>
          <w:tcPr>
            <w:tcW w:w="3326" w:type="dxa"/>
            <w:gridSpan w:val="3"/>
            <w:tcBorders>
              <w:top w:val="single" w:sz="4" w:space="0" w:color="auto"/>
              <w:left w:val="nil"/>
              <w:bottom w:val="single" w:sz="4" w:space="0" w:color="auto"/>
              <w:right w:val="nil"/>
            </w:tcBorders>
            <w:shd w:val="clear" w:color="auto" w:fill="auto"/>
          </w:tcPr>
          <w:p w14:paraId="396664DE" w14:textId="492ED256" w:rsidR="00DD7576" w:rsidRPr="004B68BD" w:rsidRDefault="00DD7576" w:rsidP="00DD7576">
            <w:pPr>
              <w:ind w:left="-26"/>
              <w:jc w:val="center"/>
              <w:rPr>
                <w:b/>
                <w:sz w:val="18"/>
                <w:szCs w:val="18"/>
                <w:lang w:val="en-GB"/>
              </w:rPr>
            </w:pPr>
            <w:r w:rsidRPr="004B68BD">
              <w:rPr>
                <w:b/>
                <w:sz w:val="18"/>
                <w:szCs w:val="18"/>
                <w:lang w:val="en-GB"/>
              </w:rPr>
              <w:t>Fructose intolerant</w:t>
            </w:r>
          </w:p>
        </w:tc>
      </w:tr>
      <w:tr w:rsidR="00DD7576" w:rsidRPr="004B68BD" w14:paraId="6BCDB1A3" w14:textId="77777777" w:rsidTr="00DD7576">
        <w:trPr>
          <w:trHeight w:val="83"/>
        </w:trPr>
        <w:tc>
          <w:tcPr>
            <w:tcW w:w="2358" w:type="dxa"/>
            <w:gridSpan w:val="2"/>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16DAEA9D" w14:textId="77777777" w:rsidR="00DD7576" w:rsidRPr="004B68BD" w:rsidRDefault="00DD7576" w:rsidP="00C93E26">
            <w:pPr>
              <w:jc w:val="center"/>
              <w:rPr>
                <w:sz w:val="18"/>
                <w:szCs w:val="18"/>
                <w:lang w:val="en-GB"/>
              </w:rPr>
            </w:pPr>
          </w:p>
        </w:tc>
        <w:tc>
          <w:tcPr>
            <w:tcW w:w="1134" w:type="dxa"/>
            <w:tcBorders>
              <w:top w:val="single" w:sz="4" w:space="0" w:color="auto"/>
              <w:left w:val="nil"/>
              <w:bottom w:val="single" w:sz="4" w:space="0" w:color="auto"/>
              <w:right w:val="nil"/>
            </w:tcBorders>
            <w:shd w:val="clear" w:color="auto" w:fill="auto"/>
          </w:tcPr>
          <w:p w14:paraId="67674487" w14:textId="77777777" w:rsidR="00DD7576" w:rsidRPr="004B68BD" w:rsidRDefault="00DD7576" w:rsidP="00C93E26">
            <w:pPr>
              <w:jc w:val="center"/>
              <w:rPr>
                <w:sz w:val="18"/>
                <w:szCs w:val="18"/>
                <w:lang w:val="en-GB"/>
              </w:rPr>
            </w:pPr>
            <w:r w:rsidRPr="004B68BD">
              <w:rPr>
                <w:sz w:val="18"/>
                <w:szCs w:val="18"/>
                <w:lang w:val="en-GB"/>
              </w:rPr>
              <w:t>T0</w:t>
            </w:r>
          </w:p>
        </w:tc>
        <w:tc>
          <w:tcPr>
            <w:tcW w:w="1135" w:type="dxa"/>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7FBCD16C" w14:textId="77777777" w:rsidR="00DD7576" w:rsidRPr="004B68BD" w:rsidRDefault="00DD7576" w:rsidP="00C93E26">
            <w:pPr>
              <w:jc w:val="center"/>
              <w:rPr>
                <w:sz w:val="18"/>
                <w:szCs w:val="18"/>
                <w:lang w:val="en-GB"/>
              </w:rPr>
            </w:pPr>
            <w:r w:rsidRPr="004B68BD">
              <w:rPr>
                <w:sz w:val="18"/>
                <w:szCs w:val="18"/>
                <w:lang w:val="en-GB"/>
              </w:rPr>
              <w:t>T30</w:t>
            </w:r>
          </w:p>
        </w:tc>
        <w:tc>
          <w:tcPr>
            <w:tcW w:w="1135" w:type="dxa"/>
            <w:tcBorders>
              <w:top w:val="single" w:sz="4" w:space="0" w:color="auto"/>
              <w:left w:val="nil"/>
              <w:bottom w:val="single" w:sz="4" w:space="0" w:color="auto"/>
              <w:right w:val="nil"/>
            </w:tcBorders>
            <w:shd w:val="clear" w:color="auto" w:fill="auto"/>
          </w:tcPr>
          <w:p w14:paraId="09BB0909" w14:textId="77777777" w:rsidR="00DD7576" w:rsidRPr="004B68BD" w:rsidRDefault="00DD7576" w:rsidP="00C93E26">
            <w:pPr>
              <w:jc w:val="center"/>
              <w:rPr>
                <w:sz w:val="18"/>
                <w:szCs w:val="18"/>
                <w:lang w:val="en-GB"/>
              </w:rPr>
            </w:pPr>
            <w:r w:rsidRPr="004B68BD">
              <w:rPr>
                <w:i/>
                <w:iCs/>
                <w:sz w:val="18"/>
                <w:szCs w:val="18"/>
                <w:lang w:val="en-GB"/>
              </w:rPr>
              <w:t>p</w:t>
            </w:r>
            <w:r w:rsidRPr="004B68BD">
              <w:rPr>
                <w:sz w:val="18"/>
                <w:szCs w:val="18"/>
                <w:lang w:val="en-GB"/>
              </w:rPr>
              <w:t>-value</w:t>
            </w:r>
          </w:p>
        </w:tc>
        <w:tc>
          <w:tcPr>
            <w:tcW w:w="1134" w:type="dxa"/>
            <w:gridSpan w:val="2"/>
            <w:tcBorders>
              <w:top w:val="single" w:sz="4" w:space="0" w:color="auto"/>
              <w:left w:val="nil"/>
              <w:bottom w:val="single" w:sz="4" w:space="0" w:color="auto"/>
              <w:right w:val="nil"/>
            </w:tcBorders>
            <w:shd w:val="clear" w:color="auto" w:fill="auto"/>
          </w:tcPr>
          <w:p w14:paraId="675647DA" w14:textId="77777777" w:rsidR="00DD7576" w:rsidRPr="004B68BD" w:rsidRDefault="00DD7576" w:rsidP="00C93E26">
            <w:pPr>
              <w:jc w:val="center"/>
              <w:rPr>
                <w:sz w:val="18"/>
                <w:szCs w:val="18"/>
                <w:lang w:val="en-GB"/>
              </w:rPr>
            </w:pPr>
            <w:r w:rsidRPr="004B68BD">
              <w:rPr>
                <w:sz w:val="18"/>
                <w:szCs w:val="18"/>
                <w:lang w:val="en-GB"/>
              </w:rPr>
              <w:t>T0</w:t>
            </w:r>
          </w:p>
        </w:tc>
        <w:tc>
          <w:tcPr>
            <w:tcW w:w="1135" w:type="dxa"/>
            <w:tcBorders>
              <w:top w:val="single" w:sz="4" w:space="0" w:color="auto"/>
              <w:left w:val="nil"/>
              <w:bottom w:val="single" w:sz="4" w:space="0" w:color="auto"/>
              <w:right w:val="nil"/>
            </w:tcBorders>
            <w:shd w:val="clear" w:color="auto" w:fill="auto"/>
          </w:tcPr>
          <w:p w14:paraId="740F6F20" w14:textId="77777777" w:rsidR="00DD7576" w:rsidRPr="004B68BD" w:rsidRDefault="00DD7576" w:rsidP="00C93E26">
            <w:pPr>
              <w:jc w:val="center"/>
              <w:rPr>
                <w:sz w:val="18"/>
                <w:szCs w:val="18"/>
                <w:lang w:val="en-GB"/>
              </w:rPr>
            </w:pPr>
            <w:r w:rsidRPr="004B68BD">
              <w:rPr>
                <w:sz w:val="18"/>
                <w:szCs w:val="18"/>
                <w:lang w:val="en-GB"/>
              </w:rPr>
              <w:t>T30</w:t>
            </w:r>
          </w:p>
        </w:tc>
        <w:tc>
          <w:tcPr>
            <w:tcW w:w="1135" w:type="dxa"/>
            <w:tcBorders>
              <w:top w:val="single" w:sz="4" w:space="0" w:color="auto"/>
              <w:left w:val="nil"/>
              <w:bottom w:val="single" w:sz="4" w:space="0" w:color="auto"/>
              <w:right w:val="nil"/>
            </w:tcBorders>
            <w:shd w:val="clear" w:color="auto" w:fill="auto"/>
          </w:tcPr>
          <w:p w14:paraId="0F272546" w14:textId="77777777" w:rsidR="00DD7576" w:rsidRPr="004B68BD" w:rsidRDefault="00DD7576" w:rsidP="00C93E26">
            <w:pPr>
              <w:jc w:val="center"/>
              <w:rPr>
                <w:sz w:val="18"/>
                <w:szCs w:val="18"/>
                <w:lang w:val="en-GB"/>
              </w:rPr>
            </w:pPr>
            <w:r w:rsidRPr="004B68BD">
              <w:rPr>
                <w:i/>
                <w:iCs/>
                <w:sz w:val="18"/>
                <w:szCs w:val="18"/>
                <w:lang w:val="en-GB"/>
              </w:rPr>
              <w:t>p</w:t>
            </w:r>
            <w:r w:rsidRPr="004B68BD">
              <w:rPr>
                <w:sz w:val="18"/>
                <w:szCs w:val="18"/>
                <w:lang w:val="en-GB"/>
              </w:rPr>
              <w:t>-value</w:t>
            </w:r>
          </w:p>
        </w:tc>
      </w:tr>
      <w:tr w:rsidR="00DD7576" w:rsidRPr="004B68BD" w14:paraId="5EEDDECB" w14:textId="77777777" w:rsidTr="00DD7576">
        <w:trPr>
          <w:trHeight w:val="18"/>
        </w:trPr>
        <w:tc>
          <w:tcPr>
            <w:tcW w:w="2358" w:type="dxa"/>
            <w:gridSpan w:val="2"/>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14ABD113" w14:textId="16E0F1E3" w:rsidR="00DD7576" w:rsidRPr="004B68BD" w:rsidRDefault="00DD7576" w:rsidP="004B68BD">
            <w:pPr>
              <w:rPr>
                <w:bCs/>
                <w:sz w:val="18"/>
                <w:szCs w:val="18"/>
                <w:lang w:val="en-GB"/>
              </w:rPr>
            </w:pPr>
            <w:r w:rsidRPr="004B68BD">
              <w:rPr>
                <w:bCs/>
                <w:sz w:val="18"/>
                <w:szCs w:val="18"/>
                <w:lang w:val="en-GB"/>
              </w:rPr>
              <w:t>Bristol Score (BSFS)</w:t>
            </w:r>
          </w:p>
        </w:tc>
        <w:tc>
          <w:tcPr>
            <w:tcW w:w="1134" w:type="dxa"/>
            <w:tcBorders>
              <w:top w:val="single" w:sz="4" w:space="0" w:color="auto"/>
              <w:left w:val="nil"/>
              <w:bottom w:val="single" w:sz="4" w:space="0" w:color="auto"/>
              <w:right w:val="nil"/>
            </w:tcBorders>
            <w:shd w:val="clear" w:color="auto" w:fill="auto"/>
          </w:tcPr>
          <w:p w14:paraId="1E806FB7" w14:textId="00A47A87" w:rsidR="00DD7576" w:rsidRPr="004B68BD" w:rsidRDefault="00DD7576" w:rsidP="00C93E26">
            <w:pPr>
              <w:jc w:val="center"/>
              <w:rPr>
                <w:sz w:val="18"/>
                <w:szCs w:val="18"/>
                <w:lang w:val="en-GB"/>
              </w:rPr>
            </w:pPr>
            <w:r w:rsidRPr="004B68BD">
              <w:rPr>
                <w:sz w:val="18"/>
                <w:szCs w:val="18"/>
                <w:lang w:val="en-GB"/>
              </w:rPr>
              <w:t>3.3</w:t>
            </w:r>
            <w:r w:rsidR="006C35FF" w:rsidRPr="004B68BD">
              <w:rPr>
                <w:sz w:val="18"/>
                <w:szCs w:val="18"/>
                <w:lang w:val="en-GB"/>
              </w:rPr>
              <w:t xml:space="preserve"> </w:t>
            </w:r>
            <w:r w:rsidRPr="004B68BD">
              <w:rPr>
                <w:sz w:val="18"/>
                <w:szCs w:val="18"/>
                <w:lang w:val="en-GB"/>
              </w:rPr>
              <w:t>±</w:t>
            </w:r>
            <w:r w:rsidR="006C35FF" w:rsidRPr="004B68BD">
              <w:rPr>
                <w:sz w:val="18"/>
                <w:szCs w:val="18"/>
                <w:lang w:val="en-GB"/>
              </w:rPr>
              <w:t xml:space="preserve"> </w:t>
            </w:r>
            <w:r w:rsidRPr="004B68BD">
              <w:rPr>
                <w:sz w:val="18"/>
                <w:szCs w:val="18"/>
                <w:lang w:val="en-GB"/>
              </w:rPr>
              <w:t>0.5</w:t>
            </w:r>
          </w:p>
        </w:tc>
        <w:tc>
          <w:tcPr>
            <w:tcW w:w="1135" w:type="dxa"/>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404A8098" w14:textId="614DCF11" w:rsidR="00DD7576" w:rsidRPr="004B68BD" w:rsidRDefault="00DD7576" w:rsidP="00C93E26">
            <w:pPr>
              <w:jc w:val="center"/>
              <w:rPr>
                <w:sz w:val="18"/>
                <w:szCs w:val="18"/>
                <w:lang w:val="en-GB"/>
              </w:rPr>
            </w:pPr>
            <w:r w:rsidRPr="004B68BD">
              <w:rPr>
                <w:sz w:val="18"/>
                <w:szCs w:val="18"/>
                <w:lang w:val="en-GB"/>
              </w:rPr>
              <w:t>3.6</w:t>
            </w:r>
            <w:r w:rsidR="006C35FF" w:rsidRPr="004B68BD">
              <w:rPr>
                <w:sz w:val="18"/>
                <w:szCs w:val="18"/>
                <w:lang w:val="en-GB"/>
              </w:rPr>
              <w:t xml:space="preserve"> </w:t>
            </w:r>
            <w:r w:rsidRPr="004B68BD">
              <w:rPr>
                <w:sz w:val="18"/>
                <w:szCs w:val="18"/>
                <w:lang w:val="en-GB"/>
              </w:rPr>
              <w:t>±</w:t>
            </w:r>
            <w:r w:rsidR="006C35FF" w:rsidRPr="004B68BD">
              <w:rPr>
                <w:sz w:val="18"/>
                <w:szCs w:val="18"/>
                <w:lang w:val="en-GB"/>
              </w:rPr>
              <w:t xml:space="preserve"> </w:t>
            </w:r>
            <w:r w:rsidRPr="004B68BD">
              <w:rPr>
                <w:sz w:val="18"/>
                <w:szCs w:val="18"/>
                <w:lang w:val="en-GB"/>
              </w:rPr>
              <w:t>0.4</w:t>
            </w:r>
          </w:p>
        </w:tc>
        <w:tc>
          <w:tcPr>
            <w:tcW w:w="1135" w:type="dxa"/>
            <w:tcBorders>
              <w:top w:val="single" w:sz="4" w:space="0" w:color="auto"/>
              <w:left w:val="nil"/>
              <w:bottom w:val="single" w:sz="4" w:space="0" w:color="auto"/>
              <w:right w:val="nil"/>
            </w:tcBorders>
            <w:shd w:val="clear" w:color="auto" w:fill="auto"/>
          </w:tcPr>
          <w:p w14:paraId="05341B24" w14:textId="77777777" w:rsidR="00DD7576" w:rsidRPr="004B68BD" w:rsidRDefault="00DD7576" w:rsidP="00C93E26">
            <w:pPr>
              <w:jc w:val="center"/>
              <w:rPr>
                <w:sz w:val="18"/>
                <w:szCs w:val="18"/>
                <w:lang w:val="en-GB"/>
              </w:rPr>
            </w:pPr>
            <w:r w:rsidRPr="004B68BD">
              <w:rPr>
                <w:sz w:val="18"/>
                <w:szCs w:val="18"/>
                <w:lang w:val="en-GB"/>
              </w:rPr>
              <w:t>n.s.</w:t>
            </w:r>
          </w:p>
        </w:tc>
        <w:tc>
          <w:tcPr>
            <w:tcW w:w="1134" w:type="dxa"/>
            <w:gridSpan w:val="2"/>
            <w:tcBorders>
              <w:top w:val="single" w:sz="4" w:space="0" w:color="auto"/>
              <w:left w:val="nil"/>
              <w:bottom w:val="single" w:sz="4" w:space="0" w:color="auto"/>
              <w:right w:val="nil"/>
            </w:tcBorders>
            <w:shd w:val="clear" w:color="auto" w:fill="auto"/>
          </w:tcPr>
          <w:p w14:paraId="3B01F857" w14:textId="04FB5A5E" w:rsidR="00DD7576" w:rsidRPr="004B68BD" w:rsidRDefault="00DD7576" w:rsidP="00C93E26">
            <w:pPr>
              <w:jc w:val="center"/>
              <w:rPr>
                <w:sz w:val="18"/>
                <w:szCs w:val="18"/>
                <w:lang w:val="en-GB"/>
              </w:rPr>
            </w:pPr>
            <w:r w:rsidRPr="004B68BD">
              <w:rPr>
                <w:sz w:val="18"/>
                <w:szCs w:val="18"/>
                <w:lang w:val="en-GB"/>
              </w:rPr>
              <w:t>2.9</w:t>
            </w:r>
            <w:r w:rsidR="006C35FF" w:rsidRPr="004B68BD">
              <w:rPr>
                <w:sz w:val="18"/>
                <w:szCs w:val="18"/>
                <w:lang w:val="en-GB"/>
              </w:rPr>
              <w:t xml:space="preserve"> </w:t>
            </w:r>
            <w:r w:rsidRPr="004B68BD">
              <w:rPr>
                <w:sz w:val="18"/>
                <w:szCs w:val="18"/>
                <w:lang w:val="en-GB"/>
              </w:rPr>
              <w:t>±</w:t>
            </w:r>
            <w:r w:rsidR="006C35FF" w:rsidRPr="004B68BD">
              <w:rPr>
                <w:sz w:val="18"/>
                <w:szCs w:val="18"/>
                <w:lang w:val="en-GB"/>
              </w:rPr>
              <w:t xml:space="preserve"> </w:t>
            </w:r>
            <w:r w:rsidRPr="004B68BD">
              <w:rPr>
                <w:sz w:val="18"/>
                <w:szCs w:val="18"/>
                <w:lang w:val="en-GB"/>
              </w:rPr>
              <w:t>1.1</w:t>
            </w:r>
          </w:p>
        </w:tc>
        <w:tc>
          <w:tcPr>
            <w:tcW w:w="1135" w:type="dxa"/>
            <w:tcBorders>
              <w:top w:val="single" w:sz="4" w:space="0" w:color="auto"/>
              <w:left w:val="nil"/>
              <w:bottom w:val="single" w:sz="4" w:space="0" w:color="auto"/>
              <w:right w:val="nil"/>
            </w:tcBorders>
            <w:shd w:val="clear" w:color="auto" w:fill="auto"/>
          </w:tcPr>
          <w:p w14:paraId="55A0E74A" w14:textId="32619F37" w:rsidR="00DD7576" w:rsidRPr="004B68BD" w:rsidRDefault="00DD7576" w:rsidP="00C93E26">
            <w:pPr>
              <w:jc w:val="center"/>
              <w:rPr>
                <w:sz w:val="18"/>
                <w:szCs w:val="18"/>
                <w:lang w:val="en-GB"/>
              </w:rPr>
            </w:pPr>
            <w:r w:rsidRPr="004B68BD">
              <w:rPr>
                <w:sz w:val="18"/>
                <w:szCs w:val="18"/>
                <w:lang w:val="en-GB"/>
              </w:rPr>
              <w:t>3.4</w:t>
            </w:r>
            <w:r w:rsidR="006C35FF" w:rsidRPr="004B68BD">
              <w:rPr>
                <w:sz w:val="18"/>
                <w:szCs w:val="18"/>
                <w:lang w:val="en-GB"/>
              </w:rPr>
              <w:t xml:space="preserve"> </w:t>
            </w:r>
            <w:r w:rsidRPr="004B68BD">
              <w:rPr>
                <w:sz w:val="18"/>
                <w:szCs w:val="18"/>
                <w:lang w:val="en-GB"/>
              </w:rPr>
              <w:t>±</w:t>
            </w:r>
            <w:r w:rsidR="006C35FF" w:rsidRPr="004B68BD">
              <w:rPr>
                <w:sz w:val="18"/>
                <w:szCs w:val="18"/>
                <w:lang w:val="en-GB"/>
              </w:rPr>
              <w:t xml:space="preserve"> </w:t>
            </w:r>
            <w:r w:rsidRPr="004B68BD">
              <w:rPr>
                <w:sz w:val="18"/>
                <w:szCs w:val="18"/>
                <w:lang w:val="en-GB"/>
              </w:rPr>
              <w:t>0.5</w:t>
            </w:r>
          </w:p>
        </w:tc>
        <w:tc>
          <w:tcPr>
            <w:tcW w:w="1135" w:type="dxa"/>
            <w:tcBorders>
              <w:top w:val="single" w:sz="4" w:space="0" w:color="auto"/>
              <w:left w:val="nil"/>
              <w:bottom w:val="single" w:sz="4" w:space="0" w:color="auto"/>
              <w:right w:val="nil"/>
            </w:tcBorders>
            <w:shd w:val="clear" w:color="auto" w:fill="auto"/>
          </w:tcPr>
          <w:p w14:paraId="18D5D8E1" w14:textId="77777777" w:rsidR="00DD7576" w:rsidRPr="004B68BD" w:rsidRDefault="00DD7576" w:rsidP="00C93E26">
            <w:pPr>
              <w:jc w:val="center"/>
              <w:rPr>
                <w:sz w:val="18"/>
                <w:szCs w:val="18"/>
                <w:lang w:val="en-GB"/>
              </w:rPr>
            </w:pPr>
            <w:r w:rsidRPr="004B68BD">
              <w:rPr>
                <w:sz w:val="18"/>
                <w:szCs w:val="18"/>
                <w:lang w:val="en-GB"/>
              </w:rPr>
              <w:t>n.s.</w:t>
            </w:r>
          </w:p>
        </w:tc>
      </w:tr>
      <w:tr w:rsidR="00DD7576" w:rsidRPr="004B68BD" w14:paraId="72701EAF" w14:textId="77777777" w:rsidTr="00DD7576">
        <w:trPr>
          <w:trHeight w:val="122"/>
        </w:trPr>
        <w:tc>
          <w:tcPr>
            <w:tcW w:w="2358" w:type="dxa"/>
            <w:gridSpan w:val="2"/>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2E2A2682" w14:textId="7EFF8B45" w:rsidR="00DD7576" w:rsidRPr="004B68BD" w:rsidRDefault="00DD7576" w:rsidP="004B68BD">
            <w:pPr>
              <w:rPr>
                <w:sz w:val="18"/>
                <w:szCs w:val="18"/>
                <w:lang w:val="en-GB"/>
              </w:rPr>
            </w:pPr>
            <w:r w:rsidRPr="004B68BD">
              <w:rPr>
                <w:sz w:val="18"/>
                <w:szCs w:val="18"/>
                <w:lang w:val="en-GB"/>
              </w:rPr>
              <w:t>Bloating (VAS, mm)</w:t>
            </w:r>
          </w:p>
        </w:tc>
        <w:tc>
          <w:tcPr>
            <w:tcW w:w="1134" w:type="dxa"/>
            <w:tcBorders>
              <w:top w:val="single" w:sz="4" w:space="0" w:color="auto"/>
              <w:left w:val="nil"/>
              <w:bottom w:val="single" w:sz="4" w:space="0" w:color="auto"/>
              <w:right w:val="nil"/>
            </w:tcBorders>
            <w:shd w:val="clear" w:color="auto" w:fill="auto"/>
          </w:tcPr>
          <w:p w14:paraId="221427B7" w14:textId="4BE67F6A" w:rsidR="00DD7576" w:rsidRPr="004B68BD" w:rsidRDefault="00DD7576" w:rsidP="00C93E26">
            <w:pPr>
              <w:jc w:val="center"/>
              <w:rPr>
                <w:sz w:val="18"/>
                <w:szCs w:val="18"/>
                <w:lang w:val="en-GB"/>
              </w:rPr>
            </w:pPr>
            <w:r w:rsidRPr="004B68BD">
              <w:rPr>
                <w:sz w:val="18"/>
                <w:szCs w:val="18"/>
                <w:lang w:val="en-GB"/>
              </w:rPr>
              <w:t>6.9</w:t>
            </w:r>
            <w:r w:rsidR="006C35FF" w:rsidRPr="004B68BD">
              <w:rPr>
                <w:sz w:val="18"/>
                <w:szCs w:val="18"/>
                <w:lang w:val="en-GB"/>
              </w:rPr>
              <w:t xml:space="preserve"> </w:t>
            </w:r>
            <w:r w:rsidRPr="004B68BD">
              <w:rPr>
                <w:sz w:val="18"/>
                <w:szCs w:val="18"/>
                <w:lang w:val="en-GB"/>
              </w:rPr>
              <w:t>±</w:t>
            </w:r>
            <w:r w:rsidR="006C35FF" w:rsidRPr="004B68BD">
              <w:rPr>
                <w:sz w:val="18"/>
                <w:szCs w:val="18"/>
                <w:lang w:val="en-GB"/>
              </w:rPr>
              <w:t xml:space="preserve"> </w:t>
            </w:r>
            <w:r w:rsidRPr="004B68BD">
              <w:rPr>
                <w:sz w:val="18"/>
                <w:szCs w:val="18"/>
                <w:lang w:val="en-GB"/>
              </w:rPr>
              <w:t>11.8</w:t>
            </w:r>
          </w:p>
        </w:tc>
        <w:tc>
          <w:tcPr>
            <w:tcW w:w="1135" w:type="dxa"/>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7A444CD4" w14:textId="6A5C5BAF" w:rsidR="00DD7576" w:rsidRPr="004B68BD" w:rsidRDefault="00DD7576" w:rsidP="00C93E26">
            <w:pPr>
              <w:jc w:val="center"/>
              <w:rPr>
                <w:sz w:val="18"/>
                <w:szCs w:val="18"/>
                <w:lang w:val="en-GB"/>
              </w:rPr>
            </w:pPr>
            <w:r w:rsidRPr="004B68BD">
              <w:rPr>
                <w:sz w:val="18"/>
                <w:szCs w:val="18"/>
                <w:lang w:val="en-GB"/>
              </w:rPr>
              <w:t>11.2</w:t>
            </w:r>
            <w:r w:rsidR="006C35FF" w:rsidRPr="004B68BD">
              <w:rPr>
                <w:sz w:val="18"/>
                <w:szCs w:val="18"/>
                <w:lang w:val="en-GB"/>
              </w:rPr>
              <w:t xml:space="preserve"> </w:t>
            </w:r>
            <w:r w:rsidRPr="004B68BD">
              <w:rPr>
                <w:sz w:val="18"/>
                <w:szCs w:val="18"/>
                <w:lang w:val="en-GB"/>
              </w:rPr>
              <w:t>±</w:t>
            </w:r>
            <w:r w:rsidR="006C35FF" w:rsidRPr="004B68BD">
              <w:rPr>
                <w:sz w:val="18"/>
                <w:szCs w:val="18"/>
                <w:lang w:val="en-GB"/>
              </w:rPr>
              <w:t xml:space="preserve"> </w:t>
            </w:r>
            <w:r w:rsidRPr="004B68BD">
              <w:rPr>
                <w:sz w:val="18"/>
                <w:szCs w:val="18"/>
                <w:lang w:val="en-GB"/>
              </w:rPr>
              <w:t>6.5</w:t>
            </w:r>
          </w:p>
        </w:tc>
        <w:tc>
          <w:tcPr>
            <w:tcW w:w="1135" w:type="dxa"/>
            <w:tcBorders>
              <w:top w:val="single" w:sz="4" w:space="0" w:color="auto"/>
              <w:left w:val="nil"/>
              <w:bottom w:val="single" w:sz="4" w:space="0" w:color="auto"/>
              <w:right w:val="nil"/>
            </w:tcBorders>
            <w:shd w:val="clear" w:color="auto" w:fill="auto"/>
          </w:tcPr>
          <w:p w14:paraId="29444772" w14:textId="77777777" w:rsidR="00DD7576" w:rsidRPr="004B68BD" w:rsidRDefault="00DD7576" w:rsidP="00C93E26">
            <w:pPr>
              <w:jc w:val="center"/>
              <w:rPr>
                <w:sz w:val="18"/>
                <w:szCs w:val="18"/>
                <w:lang w:val="en-GB"/>
              </w:rPr>
            </w:pPr>
            <w:r w:rsidRPr="004B68BD">
              <w:rPr>
                <w:sz w:val="18"/>
                <w:szCs w:val="18"/>
                <w:lang w:val="en-GB"/>
              </w:rPr>
              <w:t>n.s.</w:t>
            </w:r>
          </w:p>
        </w:tc>
        <w:tc>
          <w:tcPr>
            <w:tcW w:w="1134" w:type="dxa"/>
            <w:gridSpan w:val="2"/>
            <w:tcBorders>
              <w:top w:val="single" w:sz="4" w:space="0" w:color="auto"/>
              <w:left w:val="nil"/>
              <w:bottom w:val="single" w:sz="4" w:space="0" w:color="auto"/>
              <w:right w:val="nil"/>
            </w:tcBorders>
            <w:shd w:val="clear" w:color="auto" w:fill="auto"/>
          </w:tcPr>
          <w:p w14:paraId="3B759F94" w14:textId="0C53DF63" w:rsidR="00DD7576" w:rsidRPr="004B68BD" w:rsidRDefault="00DD7576" w:rsidP="00C93E26">
            <w:pPr>
              <w:jc w:val="center"/>
              <w:rPr>
                <w:sz w:val="18"/>
                <w:szCs w:val="18"/>
                <w:lang w:val="en-GB"/>
              </w:rPr>
            </w:pPr>
            <w:r w:rsidRPr="004B68BD">
              <w:rPr>
                <w:sz w:val="18"/>
                <w:szCs w:val="18"/>
                <w:lang w:val="en-GB"/>
              </w:rPr>
              <w:t>68.6</w:t>
            </w:r>
            <w:r w:rsidR="006C35FF" w:rsidRPr="004B68BD">
              <w:rPr>
                <w:sz w:val="18"/>
                <w:szCs w:val="18"/>
                <w:lang w:val="en-GB"/>
              </w:rPr>
              <w:t xml:space="preserve"> </w:t>
            </w:r>
            <w:r w:rsidRPr="004B68BD">
              <w:rPr>
                <w:sz w:val="18"/>
                <w:szCs w:val="18"/>
                <w:lang w:val="en-GB"/>
              </w:rPr>
              <w:t>±</w:t>
            </w:r>
            <w:r w:rsidR="006C35FF" w:rsidRPr="004B68BD">
              <w:rPr>
                <w:sz w:val="18"/>
                <w:szCs w:val="18"/>
                <w:lang w:val="en-GB"/>
              </w:rPr>
              <w:t xml:space="preserve"> </w:t>
            </w:r>
            <w:r w:rsidRPr="004B68BD">
              <w:rPr>
                <w:sz w:val="18"/>
                <w:szCs w:val="18"/>
                <w:lang w:val="en-GB"/>
              </w:rPr>
              <w:t>21.4</w:t>
            </w:r>
          </w:p>
        </w:tc>
        <w:tc>
          <w:tcPr>
            <w:tcW w:w="1135" w:type="dxa"/>
            <w:tcBorders>
              <w:top w:val="single" w:sz="4" w:space="0" w:color="auto"/>
              <w:left w:val="nil"/>
              <w:bottom w:val="single" w:sz="4" w:space="0" w:color="auto"/>
              <w:right w:val="nil"/>
            </w:tcBorders>
            <w:shd w:val="clear" w:color="auto" w:fill="auto"/>
          </w:tcPr>
          <w:p w14:paraId="2A77CF54" w14:textId="315D870F" w:rsidR="00DD7576" w:rsidRPr="004B68BD" w:rsidRDefault="00DD7576" w:rsidP="00C93E26">
            <w:pPr>
              <w:jc w:val="center"/>
              <w:rPr>
                <w:sz w:val="18"/>
                <w:szCs w:val="18"/>
                <w:lang w:val="en-GB"/>
              </w:rPr>
            </w:pPr>
            <w:r w:rsidRPr="004B68BD">
              <w:rPr>
                <w:sz w:val="18"/>
                <w:szCs w:val="18"/>
                <w:lang w:val="en-GB"/>
              </w:rPr>
              <w:t>13.6</w:t>
            </w:r>
            <w:r w:rsidR="006C35FF" w:rsidRPr="004B68BD">
              <w:rPr>
                <w:sz w:val="18"/>
                <w:szCs w:val="18"/>
                <w:lang w:val="en-GB"/>
              </w:rPr>
              <w:t xml:space="preserve"> </w:t>
            </w:r>
            <w:r w:rsidRPr="004B68BD">
              <w:rPr>
                <w:sz w:val="18"/>
                <w:szCs w:val="18"/>
                <w:lang w:val="en-GB"/>
              </w:rPr>
              <w:t>±</w:t>
            </w:r>
            <w:r w:rsidR="006C35FF" w:rsidRPr="004B68BD">
              <w:rPr>
                <w:sz w:val="18"/>
                <w:szCs w:val="18"/>
                <w:lang w:val="en-GB"/>
              </w:rPr>
              <w:t xml:space="preserve"> </w:t>
            </w:r>
            <w:r w:rsidRPr="004B68BD">
              <w:rPr>
                <w:sz w:val="18"/>
                <w:szCs w:val="18"/>
                <w:lang w:val="en-GB"/>
              </w:rPr>
              <w:t>17.8</w:t>
            </w:r>
          </w:p>
        </w:tc>
        <w:tc>
          <w:tcPr>
            <w:tcW w:w="1135" w:type="dxa"/>
            <w:tcBorders>
              <w:top w:val="single" w:sz="4" w:space="0" w:color="auto"/>
              <w:left w:val="nil"/>
              <w:bottom w:val="single" w:sz="4" w:space="0" w:color="auto"/>
              <w:right w:val="nil"/>
            </w:tcBorders>
            <w:shd w:val="clear" w:color="auto" w:fill="auto"/>
          </w:tcPr>
          <w:p w14:paraId="515985D5" w14:textId="659E15E8" w:rsidR="00DD7576" w:rsidRPr="004B68BD" w:rsidRDefault="006C35FF" w:rsidP="00C93E26">
            <w:pPr>
              <w:jc w:val="center"/>
              <w:rPr>
                <w:sz w:val="18"/>
                <w:szCs w:val="18"/>
                <w:lang w:val="en-GB"/>
              </w:rPr>
            </w:pPr>
            <w:r w:rsidRPr="004B68BD">
              <w:rPr>
                <w:sz w:val="18"/>
                <w:szCs w:val="18"/>
                <w:lang w:val="en-GB"/>
              </w:rPr>
              <w:t xml:space="preserve">p </w:t>
            </w:r>
            <w:r w:rsidR="00DD7576" w:rsidRPr="004B68BD">
              <w:rPr>
                <w:sz w:val="18"/>
                <w:szCs w:val="18"/>
                <w:lang w:val="en-GB"/>
              </w:rPr>
              <w:t>=</w:t>
            </w:r>
            <w:r w:rsidRPr="004B68BD">
              <w:rPr>
                <w:sz w:val="18"/>
                <w:szCs w:val="18"/>
                <w:lang w:val="en-GB"/>
              </w:rPr>
              <w:t xml:space="preserve"> </w:t>
            </w:r>
            <w:r w:rsidR="00DD7576" w:rsidRPr="004B68BD">
              <w:rPr>
                <w:sz w:val="18"/>
                <w:szCs w:val="18"/>
                <w:lang w:val="en-GB"/>
              </w:rPr>
              <w:t>0.0001</w:t>
            </w:r>
          </w:p>
        </w:tc>
      </w:tr>
      <w:tr w:rsidR="00DD7576" w:rsidRPr="004B68BD" w14:paraId="518D1C68" w14:textId="77777777" w:rsidTr="00DD7576">
        <w:trPr>
          <w:trHeight w:val="55"/>
        </w:trPr>
        <w:tc>
          <w:tcPr>
            <w:tcW w:w="2358" w:type="dxa"/>
            <w:gridSpan w:val="2"/>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491A1490" w14:textId="00B8D00E" w:rsidR="00DD7576" w:rsidRPr="004B68BD" w:rsidRDefault="00DD7576" w:rsidP="004B68BD">
            <w:pPr>
              <w:rPr>
                <w:sz w:val="18"/>
                <w:szCs w:val="18"/>
                <w:lang w:val="en-GB"/>
              </w:rPr>
            </w:pPr>
            <w:r w:rsidRPr="004B68BD">
              <w:rPr>
                <w:sz w:val="18"/>
                <w:szCs w:val="18"/>
                <w:lang w:val="en-GB"/>
              </w:rPr>
              <w:t>Abdominal pain (VAS, mm)</w:t>
            </w:r>
          </w:p>
        </w:tc>
        <w:tc>
          <w:tcPr>
            <w:tcW w:w="1134" w:type="dxa"/>
            <w:tcBorders>
              <w:top w:val="single" w:sz="4" w:space="0" w:color="auto"/>
              <w:left w:val="nil"/>
              <w:bottom w:val="single" w:sz="4" w:space="0" w:color="auto"/>
              <w:right w:val="nil"/>
            </w:tcBorders>
            <w:shd w:val="clear" w:color="auto" w:fill="auto"/>
          </w:tcPr>
          <w:p w14:paraId="0893B17B" w14:textId="3F6E1124" w:rsidR="00DD7576" w:rsidRPr="004B68BD" w:rsidRDefault="00DD7576" w:rsidP="00C93E26">
            <w:pPr>
              <w:jc w:val="center"/>
              <w:rPr>
                <w:sz w:val="18"/>
                <w:szCs w:val="18"/>
                <w:lang w:val="en-GB"/>
              </w:rPr>
            </w:pPr>
            <w:r w:rsidRPr="004B68BD">
              <w:rPr>
                <w:sz w:val="18"/>
                <w:szCs w:val="18"/>
                <w:lang w:val="en-GB"/>
              </w:rPr>
              <w:t>2.3</w:t>
            </w:r>
            <w:r w:rsidR="006C35FF" w:rsidRPr="004B68BD">
              <w:rPr>
                <w:sz w:val="18"/>
                <w:szCs w:val="18"/>
                <w:lang w:val="en-GB"/>
              </w:rPr>
              <w:t xml:space="preserve"> </w:t>
            </w:r>
            <w:r w:rsidRPr="004B68BD">
              <w:rPr>
                <w:sz w:val="18"/>
                <w:szCs w:val="18"/>
                <w:lang w:val="en-GB"/>
              </w:rPr>
              <w:t>±</w:t>
            </w:r>
            <w:r w:rsidR="006C35FF" w:rsidRPr="004B68BD">
              <w:rPr>
                <w:sz w:val="18"/>
                <w:szCs w:val="18"/>
                <w:lang w:val="en-GB"/>
              </w:rPr>
              <w:t xml:space="preserve"> </w:t>
            </w:r>
            <w:r w:rsidRPr="004B68BD">
              <w:rPr>
                <w:sz w:val="18"/>
                <w:szCs w:val="18"/>
                <w:lang w:val="en-GB"/>
              </w:rPr>
              <w:t>4.4</w:t>
            </w:r>
          </w:p>
        </w:tc>
        <w:tc>
          <w:tcPr>
            <w:tcW w:w="1135" w:type="dxa"/>
            <w:tcBorders>
              <w:top w:val="single" w:sz="4" w:space="0" w:color="auto"/>
              <w:left w:val="nil"/>
              <w:bottom w:val="single" w:sz="4" w:space="0" w:color="auto"/>
              <w:right w:val="nil"/>
            </w:tcBorders>
            <w:shd w:val="clear" w:color="auto" w:fill="auto"/>
            <w:tcMar>
              <w:top w:w="72" w:type="dxa"/>
              <w:left w:w="144" w:type="dxa"/>
              <w:bottom w:w="72" w:type="dxa"/>
              <w:right w:w="144" w:type="dxa"/>
            </w:tcMar>
          </w:tcPr>
          <w:p w14:paraId="250C7501" w14:textId="6222C8E4" w:rsidR="00DD7576" w:rsidRPr="004B68BD" w:rsidRDefault="00DD7576" w:rsidP="00C93E26">
            <w:pPr>
              <w:jc w:val="center"/>
              <w:rPr>
                <w:sz w:val="18"/>
                <w:szCs w:val="18"/>
                <w:lang w:val="en-GB"/>
              </w:rPr>
            </w:pPr>
            <w:r w:rsidRPr="004B68BD">
              <w:rPr>
                <w:sz w:val="18"/>
                <w:szCs w:val="18"/>
                <w:lang w:val="en-GB"/>
              </w:rPr>
              <w:t>5.9</w:t>
            </w:r>
            <w:r w:rsidR="006C35FF" w:rsidRPr="004B68BD">
              <w:rPr>
                <w:sz w:val="18"/>
                <w:szCs w:val="18"/>
                <w:lang w:val="en-GB"/>
              </w:rPr>
              <w:t xml:space="preserve"> </w:t>
            </w:r>
            <w:r w:rsidRPr="004B68BD">
              <w:rPr>
                <w:sz w:val="18"/>
                <w:szCs w:val="18"/>
                <w:lang w:val="en-GB"/>
              </w:rPr>
              <w:t>±</w:t>
            </w:r>
            <w:r w:rsidR="006C35FF" w:rsidRPr="004B68BD">
              <w:rPr>
                <w:sz w:val="18"/>
                <w:szCs w:val="18"/>
                <w:lang w:val="en-GB"/>
              </w:rPr>
              <w:t xml:space="preserve"> </w:t>
            </w:r>
            <w:r w:rsidRPr="004B68BD">
              <w:rPr>
                <w:sz w:val="18"/>
                <w:szCs w:val="18"/>
                <w:lang w:val="en-GB"/>
              </w:rPr>
              <w:t>3.1</w:t>
            </w:r>
          </w:p>
        </w:tc>
        <w:tc>
          <w:tcPr>
            <w:tcW w:w="1135" w:type="dxa"/>
            <w:tcBorders>
              <w:top w:val="single" w:sz="4" w:space="0" w:color="auto"/>
              <w:left w:val="nil"/>
              <w:bottom w:val="single" w:sz="4" w:space="0" w:color="auto"/>
              <w:right w:val="nil"/>
            </w:tcBorders>
            <w:shd w:val="clear" w:color="auto" w:fill="auto"/>
          </w:tcPr>
          <w:p w14:paraId="69F17F7A" w14:textId="77777777" w:rsidR="00DD7576" w:rsidRPr="004B68BD" w:rsidRDefault="00DD7576" w:rsidP="00C93E26">
            <w:pPr>
              <w:jc w:val="center"/>
              <w:rPr>
                <w:sz w:val="18"/>
                <w:szCs w:val="18"/>
                <w:lang w:val="en-GB"/>
              </w:rPr>
            </w:pPr>
            <w:r w:rsidRPr="004B68BD">
              <w:rPr>
                <w:sz w:val="18"/>
                <w:szCs w:val="18"/>
                <w:lang w:val="en-GB"/>
              </w:rPr>
              <w:t>n.s.</w:t>
            </w:r>
          </w:p>
        </w:tc>
        <w:tc>
          <w:tcPr>
            <w:tcW w:w="1134" w:type="dxa"/>
            <w:gridSpan w:val="2"/>
            <w:tcBorders>
              <w:top w:val="single" w:sz="4" w:space="0" w:color="auto"/>
              <w:left w:val="nil"/>
              <w:bottom w:val="single" w:sz="4" w:space="0" w:color="auto"/>
              <w:right w:val="nil"/>
            </w:tcBorders>
            <w:shd w:val="clear" w:color="auto" w:fill="auto"/>
          </w:tcPr>
          <w:p w14:paraId="70B45C89" w14:textId="0502DBF3" w:rsidR="00DD7576" w:rsidRPr="004B68BD" w:rsidRDefault="00DD7576" w:rsidP="00C93E26">
            <w:pPr>
              <w:jc w:val="center"/>
              <w:rPr>
                <w:sz w:val="18"/>
                <w:szCs w:val="18"/>
                <w:lang w:val="en-GB"/>
              </w:rPr>
            </w:pPr>
            <w:r w:rsidRPr="004B68BD">
              <w:rPr>
                <w:sz w:val="18"/>
                <w:szCs w:val="18"/>
                <w:lang w:val="en-GB"/>
              </w:rPr>
              <w:t>43.6</w:t>
            </w:r>
            <w:r w:rsidR="006C35FF" w:rsidRPr="004B68BD">
              <w:rPr>
                <w:sz w:val="18"/>
                <w:szCs w:val="18"/>
                <w:lang w:val="en-GB"/>
              </w:rPr>
              <w:t xml:space="preserve"> </w:t>
            </w:r>
            <w:r w:rsidRPr="004B68BD">
              <w:rPr>
                <w:sz w:val="18"/>
                <w:szCs w:val="18"/>
                <w:lang w:val="en-GB"/>
              </w:rPr>
              <w:t>±</w:t>
            </w:r>
            <w:r w:rsidR="006C35FF" w:rsidRPr="004B68BD">
              <w:rPr>
                <w:sz w:val="18"/>
                <w:szCs w:val="18"/>
                <w:lang w:val="en-GB"/>
              </w:rPr>
              <w:t xml:space="preserve"> </w:t>
            </w:r>
            <w:r w:rsidRPr="004B68BD">
              <w:rPr>
                <w:sz w:val="18"/>
                <w:szCs w:val="18"/>
                <w:lang w:val="en-GB"/>
              </w:rPr>
              <w:t>28.7</w:t>
            </w:r>
          </w:p>
        </w:tc>
        <w:tc>
          <w:tcPr>
            <w:tcW w:w="1135" w:type="dxa"/>
            <w:tcBorders>
              <w:top w:val="single" w:sz="4" w:space="0" w:color="auto"/>
              <w:left w:val="nil"/>
              <w:bottom w:val="single" w:sz="4" w:space="0" w:color="auto"/>
              <w:right w:val="nil"/>
            </w:tcBorders>
            <w:shd w:val="clear" w:color="auto" w:fill="auto"/>
          </w:tcPr>
          <w:p w14:paraId="524EDF37" w14:textId="38362306" w:rsidR="00DD7576" w:rsidRPr="004B68BD" w:rsidRDefault="00DD7576" w:rsidP="00C93E26">
            <w:pPr>
              <w:jc w:val="center"/>
              <w:rPr>
                <w:sz w:val="18"/>
                <w:szCs w:val="18"/>
                <w:lang w:val="en-GB"/>
              </w:rPr>
            </w:pPr>
            <w:r w:rsidRPr="004B68BD">
              <w:rPr>
                <w:sz w:val="18"/>
                <w:szCs w:val="18"/>
                <w:lang w:val="en-GB"/>
              </w:rPr>
              <w:t>7.1</w:t>
            </w:r>
            <w:r w:rsidR="006C35FF" w:rsidRPr="004B68BD">
              <w:rPr>
                <w:sz w:val="18"/>
                <w:szCs w:val="18"/>
                <w:lang w:val="en-GB"/>
              </w:rPr>
              <w:t xml:space="preserve"> </w:t>
            </w:r>
            <w:r w:rsidRPr="004B68BD">
              <w:rPr>
                <w:sz w:val="18"/>
                <w:szCs w:val="18"/>
                <w:lang w:val="en-GB"/>
              </w:rPr>
              <w:t>±</w:t>
            </w:r>
            <w:r w:rsidR="006C35FF" w:rsidRPr="004B68BD">
              <w:rPr>
                <w:sz w:val="18"/>
                <w:szCs w:val="18"/>
                <w:lang w:val="en-GB"/>
              </w:rPr>
              <w:t xml:space="preserve"> </w:t>
            </w:r>
            <w:r w:rsidRPr="004B68BD">
              <w:rPr>
                <w:sz w:val="18"/>
                <w:szCs w:val="18"/>
                <w:lang w:val="en-GB"/>
              </w:rPr>
              <w:t>13.3</w:t>
            </w:r>
          </w:p>
        </w:tc>
        <w:tc>
          <w:tcPr>
            <w:tcW w:w="1135" w:type="dxa"/>
            <w:tcBorders>
              <w:top w:val="single" w:sz="4" w:space="0" w:color="auto"/>
              <w:left w:val="nil"/>
              <w:bottom w:val="single" w:sz="4" w:space="0" w:color="auto"/>
              <w:right w:val="nil"/>
            </w:tcBorders>
            <w:shd w:val="clear" w:color="auto" w:fill="auto"/>
          </w:tcPr>
          <w:p w14:paraId="36D62D1A" w14:textId="20414EA2" w:rsidR="00DD7576" w:rsidRPr="004B68BD" w:rsidRDefault="006C35FF" w:rsidP="00C93E26">
            <w:pPr>
              <w:jc w:val="center"/>
              <w:rPr>
                <w:sz w:val="18"/>
                <w:szCs w:val="18"/>
                <w:lang w:val="en-GB"/>
              </w:rPr>
            </w:pPr>
            <w:r w:rsidRPr="004B68BD">
              <w:rPr>
                <w:sz w:val="18"/>
                <w:szCs w:val="18"/>
                <w:lang w:val="en-GB"/>
              </w:rPr>
              <w:t xml:space="preserve">p </w:t>
            </w:r>
            <w:r w:rsidR="00DD7576" w:rsidRPr="004B68BD">
              <w:rPr>
                <w:sz w:val="18"/>
                <w:szCs w:val="18"/>
                <w:lang w:val="en-GB"/>
              </w:rPr>
              <w:t>=</w:t>
            </w:r>
            <w:r w:rsidRPr="004B68BD">
              <w:rPr>
                <w:sz w:val="18"/>
                <w:szCs w:val="18"/>
                <w:lang w:val="en-GB"/>
              </w:rPr>
              <w:t xml:space="preserve"> </w:t>
            </w:r>
            <w:r w:rsidR="00DD7576" w:rsidRPr="004B68BD">
              <w:rPr>
                <w:sz w:val="18"/>
                <w:szCs w:val="18"/>
                <w:lang w:val="en-GB"/>
              </w:rPr>
              <w:t>0.0002</w:t>
            </w:r>
          </w:p>
        </w:tc>
      </w:tr>
    </w:tbl>
    <w:p w14:paraId="1FCD8752" w14:textId="643EF190" w:rsidR="000B283A" w:rsidRDefault="000B283A" w:rsidP="002A3A36">
      <w:pPr>
        <w:jc w:val="both"/>
        <w:rPr>
          <w:lang w:val="en-US"/>
        </w:rPr>
      </w:pPr>
    </w:p>
    <w:p w14:paraId="4F30CE7B" w14:textId="7E664D0B" w:rsidR="000B7161" w:rsidRDefault="00A32E2F" w:rsidP="00070D43">
      <w:pPr>
        <w:jc w:val="both"/>
        <w:rPr>
          <w:lang w:val="en-US"/>
        </w:rPr>
      </w:pPr>
      <w:r>
        <w:rPr>
          <w:lang w:val="en-US"/>
        </w:rPr>
        <w:t>118 VOC</w:t>
      </w:r>
      <w:r w:rsidRPr="00A32E2F">
        <w:rPr>
          <w:lang w:val="en-US"/>
        </w:rPr>
        <w:t>s were identified and grouped according to chemical classes</w:t>
      </w:r>
      <w:r>
        <w:rPr>
          <w:lang w:val="en-US"/>
        </w:rPr>
        <w:t xml:space="preserve">. </w:t>
      </w:r>
      <w:r w:rsidRPr="00A32E2F">
        <w:rPr>
          <w:lang w:val="en-US"/>
        </w:rPr>
        <w:t xml:space="preserve">The content of the </w:t>
      </w:r>
      <w:r>
        <w:rPr>
          <w:lang w:val="en-US"/>
        </w:rPr>
        <w:t>VOCs</w:t>
      </w:r>
      <w:r w:rsidRPr="00A32E2F">
        <w:rPr>
          <w:lang w:val="en-US"/>
        </w:rPr>
        <w:t xml:space="preserve"> largely varied within samples, some significant differences were evaluated by comparing HC and FI group at the T0</w:t>
      </w:r>
      <w:r>
        <w:rPr>
          <w:lang w:val="en-US"/>
        </w:rPr>
        <w:t>, and at the T30</w:t>
      </w:r>
      <w:r w:rsidRPr="00A32E2F">
        <w:rPr>
          <w:lang w:val="en-US"/>
        </w:rPr>
        <w:t xml:space="preserve"> in FI group</w:t>
      </w:r>
      <w:r>
        <w:rPr>
          <w:lang w:val="en-US"/>
        </w:rPr>
        <w:t xml:space="preserve">. </w:t>
      </w:r>
      <w:r w:rsidRPr="00A32E2F">
        <w:rPr>
          <w:lang w:val="en-US"/>
        </w:rPr>
        <w:t>Th</w:t>
      </w:r>
      <w:r>
        <w:rPr>
          <w:lang w:val="en-US"/>
        </w:rPr>
        <w:t>e permutation</w:t>
      </w:r>
      <w:r w:rsidRPr="00A32E2F">
        <w:rPr>
          <w:lang w:val="en-US"/>
        </w:rPr>
        <w:t xml:space="preserve"> analyses showed how the VOCs profile of HC-T0, HC-T30</w:t>
      </w:r>
      <w:r w:rsidR="00EC2B16">
        <w:rPr>
          <w:lang w:val="en-US"/>
        </w:rPr>
        <w:t>,</w:t>
      </w:r>
      <w:r w:rsidRPr="00A32E2F">
        <w:rPr>
          <w:lang w:val="en-US"/>
        </w:rPr>
        <w:t xml:space="preserve"> and FI-T30 were grouped in one single cluster, whereas fructose intolerant group at </w:t>
      </w:r>
      <w:r>
        <w:rPr>
          <w:lang w:val="en-US"/>
        </w:rPr>
        <w:t xml:space="preserve">the </w:t>
      </w:r>
      <w:r w:rsidRPr="00A32E2F">
        <w:rPr>
          <w:lang w:val="en-US"/>
        </w:rPr>
        <w:t>T0 was un</w:t>
      </w:r>
      <w:r>
        <w:rPr>
          <w:lang w:val="en-US"/>
        </w:rPr>
        <w:t>-</w:t>
      </w:r>
      <w:r w:rsidRPr="00A32E2F">
        <w:rPr>
          <w:lang w:val="en-US"/>
        </w:rPr>
        <w:t>clustered.</w:t>
      </w:r>
      <w:r w:rsidR="00CD7F43" w:rsidRPr="00CD7F43">
        <w:rPr>
          <w:lang w:val="en-US"/>
        </w:rPr>
        <w:t xml:space="preserve"> In the FI-T30 group, some Medium Chain Fatty Acid (MCFA) resulted higher compared to FI-T0, specifically hexanoic acid and heptanoic acid. Interestingly, the MCFA are resulted discriminant between healthy subjects and patients with </w:t>
      </w:r>
      <w:r w:rsidR="00CD7F43" w:rsidRPr="00CD7F43">
        <w:rPr>
          <w:lang w:val="en-US"/>
        </w:rPr>
        <w:lastRenderedPageBreak/>
        <w:t>gastrointestinal pathologies</w:t>
      </w:r>
      <w:r w:rsidR="00CD7F43">
        <w:rPr>
          <w:lang w:val="en-US"/>
        </w:rPr>
        <w:t xml:space="preserve"> (</w:t>
      </w:r>
      <w:r w:rsidR="00CD7F43" w:rsidRPr="00FD658F">
        <w:rPr>
          <w:lang w:val="en-US"/>
        </w:rPr>
        <w:t>De Preter et al.,</w:t>
      </w:r>
      <w:r w:rsidR="00CD7F43">
        <w:rPr>
          <w:lang w:val="en-US"/>
        </w:rPr>
        <w:t xml:space="preserve"> </w:t>
      </w:r>
      <w:r w:rsidR="00FD658F">
        <w:rPr>
          <w:lang w:val="en-US"/>
        </w:rPr>
        <w:t>2015</w:t>
      </w:r>
      <w:r w:rsidR="00CD7F43">
        <w:rPr>
          <w:lang w:val="en-US"/>
        </w:rPr>
        <w:t>)</w:t>
      </w:r>
      <w:r w:rsidR="00CD7F43" w:rsidRPr="00CD7F43">
        <w:rPr>
          <w:lang w:val="en-US"/>
        </w:rPr>
        <w:t>.</w:t>
      </w:r>
    </w:p>
    <w:p w14:paraId="25E06201" w14:textId="5450B101" w:rsidR="00282C10" w:rsidRPr="00FD658F" w:rsidRDefault="006C35FF" w:rsidP="000B7161">
      <w:pPr>
        <w:jc w:val="both"/>
        <w:rPr>
          <w:lang w:val="en-US"/>
        </w:rPr>
      </w:pPr>
      <w:r>
        <w:rPr>
          <w:lang w:val="en-US"/>
        </w:rPr>
        <w:t>A correlation analysis was performed between fecal metabolome and clinical symptoms.</w:t>
      </w:r>
      <w:r w:rsidR="000B7161">
        <w:rPr>
          <w:lang w:val="en-US"/>
        </w:rPr>
        <w:t xml:space="preserve"> </w:t>
      </w:r>
      <w:r w:rsidR="000B283A" w:rsidRPr="000B283A">
        <w:rPr>
          <w:lang w:val="en-US"/>
        </w:rPr>
        <w:t>The bloating scores in fructose intolerant subjects was negatively correlated with 1-pentanol</w:t>
      </w:r>
      <w:r w:rsidR="00D62690">
        <w:rPr>
          <w:lang w:val="en-US"/>
        </w:rPr>
        <w:t xml:space="preserve"> </w:t>
      </w:r>
      <w:r w:rsidR="00D62690" w:rsidRPr="00D62690">
        <w:rPr>
          <w:lang w:val="en-US"/>
        </w:rPr>
        <w:t>(r = – 0.</w:t>
      </w:r>
      <w:r w:rsidR="00A12236">
        <w:rPr>
          <w:lang w:val="en-US"/>
        </w:rPr>
        <w:t>60</w:t>
      </w:r>
      <w:r w:rsidR="00D62690" w:rsidRPr="00D62690">
        <w:rPr>
          <w:lang w:val="en-US"/>
        </w:rPr>
        <w:t xml:space="preserve">, </w:t>
      </w:r>
      <w:r w:rsidR="00A12236">
        <w:rPr>
          <w:lang w:val="en-US"/>
        </w:rPr>
        <w:t>q</w:t>
      </w:r>
      <w:r w:rsidR="00D62690" w:rsidRPr="00D62690">
        <w:rPr>
          <w:lang w:val="en-US"/>
        </w:rPr>
        <w:t xml:space="preserve"> = 0.03)</w:t>
      </w:r>
      <w:r w:rsidR="000B283A" w:rsidRPr="000B283A">
        <w:rPr>
          <w:lang w:val="en-US"/>
        </w:rPr>
        <w:t>, hexanoic acid</w:t>
      </w:r>
      <w:r w:rsidR="00D62690">
        <w:rPr>
          <w:lang w:val="en-US"/>
        </w:rPr>
        <w:t xml:space="preserve"> </w:t>
      </w:r>
      <w:r w:rsidR="00D62690" w:rsidRPr="00D62690">
        <w:rPr>
          <w:lang w:val="en-US"/>
        </w:rPr>
        <w:t xml:space="preserve">(r = – 0.53, </w:t>
      </w:r>
      <w:r w:rsidR="00A12236">
        <w:rPr>
          <w:lang w:val="en-US"/>
        </w:rPr>
        <w:t>q</w:t>
      </w:r>
      <w:r w:rsidR="00D62690" w:rsidRPr="00D62690">
        <w:rPr>
          <w:lang w:val="en-US"/>
        </w:rPr>
        <w:t xml:space="preserve"> = 0.04)</w:t>
      </w:r>
      <w:r w:rsidR="000B283A">
        <w:rPr>
          <w:lang w:val="en-US"/>
        </w:rPr>
        <w:t>,</w:t>
      </w:r>
      <w:r w:rsidR="000B283A" w:rsidRPr="000B283A">
        <w:rPr>
          <w:lang w:val="en-US"/>
        </w:rPr>
        <w:t xml:space="preserve"> and </w:t>
      </w:r>
      <w:r w:rsidR="00D62690">
        <w:rPr>
          <w:lang w:val="en-US"/>
        </w:rPr>
        <w:t xml:space="preserve">carvacrol </w:t>
      </w:r>
      <w:r w:rsidR="00D62690" w:rsidRPr="00D62690">
        <w:rPr>
          <w:lang w:val="en-US"/>
        </w:rPr>
        <w:t xml:space="preserve">(r = – 0.59, </w:t>
      </w:r>
      <w:r w:rsidR="00A12236">
        <w:rPr>
          <w:lang w:val="en-US"/>
        </w:rPr>
        <w:t>q</w:t>
      </w:r>
      <w:r w:rsidR="00D62690" w:rsidRPr="00D62690">
        <w:rPr>
          <w:lang w:val="en-US"/>
        </w:rPr>
        <w:t xml:space="preserve"> = 0.03)</w:t>
      </w:r>
      <w:r w:rsidR="000B283A" w:rsidRPr="000B283A">
        <w:rPr>
          <w:lang w:val="en-US"/>
        </w:rPr>
        <w:t xml:space="preserve">. </w:t>
      </w:r>
      <w:r w:rsidR="00A12236">
        <w:rPr>
          <w:lang w:val="en-US"/>
        </w:rPr>
        <w:t>T</w:t>
      </w:r>
      <w:r w:rsidR="000B283A" w:rsidRPr="000B283A">
        <w:rPr>
          <w:lang w:val="en-US"/>
        </w:rPr>
        <w:t>he abdominal pain score showed the same trend</w:t>
      </w:r>
      <w:r w:rsidR="000B283A">
        <w:rPr>
          <w:lang w:val="en-US"/>
        </w:rPr>
        <w:t>,</w:t>
      </w:r>
      <w:r w:rsidR="000B283A" w:rsidRPr="000B283A">
        <w:rPr>
          <w:lang w:val="en-US"/>
        </w:rPr>
        <w:t xml:space="preserve"> in </w:t>
      </w:r>
      <w:r w:rsidR="00A12236">
        <w:rPr>
          <w:lang w:val="en-US"/>
        </w:rPr>
        <w:t>detail showed</w:t>
      </w:r>
      <w:r w:rsidR="000B283A" w:rsidRPr="000B283A">
        <w:rPr>
          <w:lang w:val="en-US"/>
        </w:rPr>
        <w:t xml:space="preserve"> a negative correlation with 1-pentanol</w:t>
      </w:r>
      <w:r w:rsidR="00CD7F43">
        <w:rPr>
          <w:lang w:val="en-US"/>
        </w:rPr>
        <w:t xml:space="preserve"> </w:t>
      </w:r>
      <w:r w:rsidR="00CD7F43" w:rsidRPr="00CD7F43">
        <w:rPr>
          <w:lang w:val="en-US"/>
        </w:rPr>
        <w:t xml:space="preserve">(r = – 0.50, </w:t>
      </w:r>
      <w:r w:rsidR="00A12236">
        <w:rPr>
          <w:lang w:val="en-US"/>
        </w:rPr>
        <w:t>p</w:t>
      </w:r>
      <w:r w:rsidR="00CD7F43" w:rsidRPr="00CD7F43">
        <w:rPr>
          <w:lang w:val="en-US"/>
        </w:rPr>
        <w:t xml:space="preserve"> &lt; 0.05)</w:t>
      </w:r>
      <w:r w:rsidR="000B283A" w:rsidRPr="000B283A">
        <w:rPr>
          <w:lang w:val="en-US"/>
        </w:rPr>
        <w:t>, carvacrol, and beta-bisabolene</w:t>
      </w:r>
      <w:r w:rsidR="00CD7F43">
        <w:rPr>
          <w:lang w:val="en-US"/>
        </w:rPr>
        <w:t xml:space="preserve"> </w:t>
      </w:r>
      <w:r w:rsidR="00CD7F43" w:rsidRPr="00CD7F43">
        <w:rPr>
          <w:lang w:val="en-US"/>
        </w:rPr>
        <w:t>(r = – 0.50, p &lt; 0.05)</w:t>
      </w:r>
      <w:r w:rsidR="000B283A" w:rsidRPr="000B283A">
        <w:rPr>
          <w:lang w:val="en-US"/>
        </w:rPr>
        <w:t>. Conversely, the ethyl ester of hexadecenoic acid was positive correlated with bloating</w:t>
      </w:r>
      <w:r w:rsidR="00CD7F43" w:rsidRPr="00CD7F43">
        <w:rPr>
          <w:lang w:val="en-US"/>
        </w:rPr>
        <w:t xml:space="preserve"> (r = 0.54, p &lt; 0.05)</w:t>
      </w:r>
      <w:r w:rsidR="000B283A" w:rsidRPr="000B283A">
        <w:rPr>
          <w:lang w:val="en-US"/>
        </w:rPr>
        <w:t xml:space="preserve"> and abdominal pain</w:t>
      </w:r>
      <w:r w:rsidR="00CD7F43" w:rsidRPr="00CD7F43">
        <w:rPr>
          <w:lang w:val="en-US"/>
        </w:rPr>
        <w:t xml:space="preserve"> (r = 0.60, </w:t>
      </w:r>
      <w:r w:rsidR="00A12236">
        <w:rPr>
          <w:lang w:val="en-US"/>
        </w:rPr>
        <w:t>q</w:t>
      </w:r>
      <w:r w:rsidR="00CD7F43" w:rsidRPr="00CD7F43">
        <w:rPr>
          <w:lang w:val="en-US"/>
        </w:rPr>
        <w:t xml:space="preserve"> = 0.01)</w:t>
      </w:r>
      <w:r w:rsidR="000B283A" w:rsidRPr="000B283A">
        <w:rPr>
          <w:lang w:val="en-US"/>
        </w:rPr>
        <w:t xml:space="preserve"> scores.</w:t>
      </w:r>
      <w:r w:rsidR="00FD658F">
        <w:rPr>
          <w:lang w:val="en-US"/>
        </w:rPr>
        <w:t xml:space="preserve"> This compound </w:t>
      </w:r>
      <w:r w:rsidR="00FD658F" w:rsidRPr="00FD658F">
        <w:rPr>
          <w:lang w:val="en-US"/>
        </w:rPr>
        <w:t>belongs to the Fatty Acid Ethyl Esters (FAEE).</w:t>
      </w:r>
      <w:r w:rsidR="00FD658F">
        <w:rPr>
          <w:lang w:val="en-US"/>
        </w:rPr>
        <w:t xml:space="preserve"> I</w:t>
      </w:r>
      <w:r w:rsidR="00FD658F" w:rsidRPr="00FD658F">
        <w:rPr>
          <w:lang w:val="en-US"/>
        </w:rPr>
        <w:t xml:space="preserve">t has been shown that FAEE are able to induce dysfunctions of the intestinal barrier, with the induction of oxidative stress at the level of the intestinal </w:t>
      </w:r>
      <w:r w:rsidR="00FD658F" w:rsidRPr="00FD658F">
        <w:rPr>
          <w:i/>
          <w:iCs/>
          <w:lang w:val="en-US"/>
        </w:rPr>
        <w:t>epithelium</w:t>
      </w:r>
      <w:r w:rsidR="00FD658F">
        <w:rPr>
          <w:lang w:val="en-US"/>
        </w:rPr>
        <w:t xml:space="preserve"> (Elamin et al., 2013)</w:t>
      </w:r>
    </w:p>
    <w:p w14:paraId="31AB9238" w14:textId="52E71589" w:rsidR="006C35FF" w:rsidRDefault="00D62690" w:rsidP="002A3A36">
      <w:pPr>
        <w:jc w:val="both"/>
        <w:rPr>
          <w:lang w:val="en-GB"/>
        </w:rPr>
      </w:pPr>
      <w:r>
        <w:rPr>
          <w:lang w:val="en-US"/>
        </w:rPr>
        <w:t xml:space="preserve">The treatment with EQBIOTA </w:t>
      </w:r>
      <w:r w:rsidRPr="00170CE1">
        <w:rPr>
          <w:lang w:val="en-US"/>
        </w:rPr>
        <w:t xml:space="preserve">determined changes in VOC profile </w:t>
      </w:r>
      <w:r w:rsidR="00B75F57">
        <w:rPr>
          <w:lang w:val="en-US"/>
        </w:rPr>
        <w:t xml:space="preserve">of FI patients </w:t>
      </w:r>
      <w:r w:rsidRPr="00170CE1">
        <w:rPr>
          <w:lang w:val="en-US"/>
        </w:rPr>
        <w:t>with a specific increase of potentially anti-inflammatory and protective compounds. These changes occurred in parallel with a decrease of FAEE, which might have a potential detrimental effect on the intestinal barrier and oxidative stress.</w:t>
      </w:r>
    </w:p>
    <w:p w14:paraId="422D8B47" w14:textId="0393FECB" w:rsidR="006C35FF" w:rsidRDefault="006C35FF" w:rsidP="002A3A36">
      <w:pPr>
        <w:jc w:val="both"/>
        <w:rPr>
          <w:lang w:val="en-GB"/>
        </w:rPr>
      </w:pPr>
    </w:p>
    <w:p w14:paraId="2C1C9436" w14:textId="1218C82A" w:rsidR="00282C10" w:rsidRDefault="00282C10" w:rsidP="002A3A36">
      <w:pPr>
        <w:jc w:val="both"/>
        <w:rPr>
          <w:b/>
          <w:bCs/>
          <w:lang w:val="en-US"/>
        </w:rPr>
      </w:pPr>
      <w:r>
        <w:rPr>
          <w:b/>
          <w:bCs/>
          <w:lang w:val="en-US"/>
        </w:rPr>
        <w:t>3</w:t>
      </w:r>
      <w:r w:rsidRPr="009869A1">
        <w:rPr>
          <w:b/>
          <w:bCs/>
          <w:lang w:val="en-US"/>
        </w:rPr>
        <w:t>.</w:t>
      </w:r>
      <w:r>
        <w:rPr>
          <w:b/>
          <w:bCs/>
          <w:lang w:val="en-US"/>
        </w:rPr>
        <w:t>2</w:t>
      </w:r>
      <w:r w:rsidRPr="009869A1">
        <w:rPr>
          <w:b/>
          <w:bCs/>
          <w:lang w:val="en-US"/>
        </w:rPr>
        <w:t xml:space="preserve"> </w:t>
      </w:r>
      <w:r w:rsidRPr="00282C10">
        <w:rPr>
          <w:b/>
          <w:bCs/>
          <w:lang w:val="en-US"/>
        </w:rPr>
        <w:t xml:space="preserve">Explores the effect of the symbiotic </w:t>
      </w:r>
      <w:proofErr w:type="spellStart"/>
      <w:r w:rsidRPr="00282C10">
        <w:rPr>
          <w:b/>
          <w:bCs/>
          <w:lang w:val="en-US"/>
        </w:rPr>
        <w:t>NatuREN</w:t>
      </w:r>
      <w:proofErr w:type="spellEnd"/>
      <w:r w:rsidRPr="00282C10">
        <w:rPr>
          <w:b/>
          <w:bCs/>
          <w:lang w:val="en-US"/>
        </w:rPr>
        <w:t xml:space="preserve"> G on the gut microbiota of stage </w:t>
      </w:r>
      <w:proofErr w:type="spellStart"/>
      <w:r w:rsidRPr="00282C10">
        <w:rPr>
          <w:b/>
          <w:bCs/>
          <w:lang w:val="en-US"/>
        </w:rPr>
        <w:t>IIIb</w:t>
      </w:r>
      <w:proofErr w:type="spellEnd"/>
      <w:r w:rsidRPr="00282C10">
        <w:rPr>
          <w:b/>
          <w:bCs/>
          <w:lang w:val="en-US"/>
        </w:rPr>
        <w:t>-IV CKD patients.</w:t>
      </w:r>
    </w:p>
    <w:p w14:paraId="30ECEC73" w14:textId="521A1342" w:rsidR="00282C10" w:rsidRDefault="008D5B16" w:rsidP="002A3A36">
      <w:pPr>
        <w:jc w:val="both"/>
        <w:rPr>
          <w:color w:val="000000"/>
          <w:lang w:val="en-US"/>
        </w:rPr>
      </w:pPr>
      <w:r w:rsidRPr="008D5B16">
        <w:rPr>
          <w:lang w:val="en-GB"/>
        </w:rPr>
        <w:t>The alpha diversity of the GI microbiota</w:t>
      </w:r>
      <w:r w:rsidR="00DC360E" w:rsidRPr="00DC360E">
        <w:rPr>
          <w:lang w:val="en-US"/>
        </w:rPr>
        <w:t xml:space="preserve"> </w:t>
      </w:r>
      <w:r w:rsidR="00DC360E">
        <w:rPr>
          <w:lang w:val="en-US"/>
        </w:rPr>
        <w:t>reported n</w:t>
      </w:r>
      <w:r w:rsidR="00DC360E" w:rsidRPr="000B2752">
        <w:rPr>
          <w:lang w:val="en-US"/>
        </w:rPr>
        <w:t xml:space="preserve">o differences </w:t>
      </w:r>
      <w:r w:rsidR="00DC360E">
        <w:rPr>
          <w:lang w:val="en-US"/>
        </w:rPr>
        <w:t>comparing</w:t>
      </w:r>
      <w:r w:rsidR="00DC360E" w:rsidRPr="000B2752">
        <w:rPr>
          <w:lang w:val="en-US"/>
        </w:rPr>
        <w:t xml:space="preserve"> the run-in (T0) </w:t>
      </w:r>
      <w:r w:rsidR="00DC360E">
        <w:rPr>
          <w:lang w:val="en-US"/>
        </w:rPr>
        <w:t>values after the randomization (</w:t>
      </w:r>
      <w:r w:rsidR="00DC360E" w:rsidRPr="000B2752">
        <w:rPr>
          <w:lang w:val="en-US"/>
        </w:rPr>
        <w:t xml:space="preserve">P </w:t>
      </w:r>
      <w:r w:rsidR="00DC360E" w:rsidRPr="000B2752">
        <w:rPr>
          <w:i/>
          <w:iCs/>
          <w:lang w:val="en-US"/>
        </w:rPr>
        <w:t>vs</w:t>
      </w:r>
      <w:r w:rsidR="00DC360E" w:rsidRPr="000B2752">
        <w:rPr>
          <w:lang w:val="en-US"/>
        </w:rPr>
        <w:t xml:space="preserve"> S</w:t>
      </w:r>
      <w:r w:rsidR="00DC360E">
        <w:rPr>
          <w:lang w:val="en-US"/>
        </w:rPr>
        <w:t>) of both CKD and HC</w:t>
      </w:r>
      <w:r w:rsidR="00DC360E" w:rsidRPr="000B2752">
        <w:rPr>
          <w:lang w:val="en-US"/>
        </w:rPr>
        <w:t>.</w:t>
      </w:r>
      <w:r w:rsidR="00812672" w:rsidRPr="00812672">
        <w:rPr>
          <w:lang w:val="en-US"/>
        </w:rPr>
        <w:t xml:space="preserve"> </w:t>
      </w:r>
      <w:proofErr w:type="spellStart"/>
      <w:r w:rsidR="00812672" w:rsidRPr="000B2752">
        <w:rPr>
          <w:lang w:val="en-US"/>
        </w:rPr>
        <w:t>NatuREN</w:t>
      </w:r>
      <w:proofErr w:type="spellEnd"/>
      <w:r w:rsidR="00812672" w:rsidRPr="000B2752">
        <w:rPr>
          <w:lang w:val="en-US"/>
        </w:rPr>
        <w:t xml:space="preserve"> G</w:t>
      </w:r>
      <w:r w:rsidR="00812672" w:rsidRPr="003E6F3C">
        <w:rPr>
          <w:color w:val="000000" w:themeColor="text1"/>
          <w:vertAlign w:val="superscript"/>
          <w:lang w:val="en-US"/>
        </w:rPr>
        <w:t>®</w:t>
      </w:r>
      <w:r w:rsidR="00812672" w:rsidRPr="000B2752">
        <w:rPr>
          <w:color w:val="000000" w:themeColor="text1"/>
          <w:lang w:val="en-US"/>
        </w:rPr>
        <w:t xml:space="preserve"> </w:t>
      </w:r>
      <w:r w:rsidR="00812672" w:rsidRPr="000B2752">
        <w:rPr>
          <w:lang w:val="en-US"/>
        </w:rPr>
        <w:t>increase</w:t>
      </w:r>
      <w:r w:rsidR="00812672">
        <w:rPr>
          <w:lang w:val="en-US"/>
        </w:rPr>
        <w:t>d</w:t>
      </w:r>
      <w:r w:rsidR="00812672" w:rsidRPr="000B2752">
        <w:rPr>
          <w:lang w:val="en-US"/>
        </w:rPr>
        <w:t xml:space="preserve"> the number </w:t>
      </w:r>
      <w:r w:rsidR="00812672">
        <w:rPr>
          <w:lang w:val="en-US"/>
        </w:rPr>
        <w:t xml:space="preserve">of </w:t>
      </w:r>
      <w:r w:rsidR="00812672" w:rsidRPr="000B2752">
        <w:rPr>
          <w:lang w:val="en-US"/>
        </w:rPr>
        <w:t xml:space="preserve">identified species in both </w:t>
      </w:r>
      <w:r w:rsidR="00812672">
        <w:rPr>
          <w:lang w:val="en-US"/>
        </w:rPr>
        <w:t>subgroups</w:t>
      </w:r>
      <w:r w:rsidR="00812672" w:rsidRPr="000B2752">
        <w:rPr>
          <w:lang w:val="en-US"/>
        </w:rPr>
        <w:t xml:space="preserve"> (CKD and HC)</w:t>
      </w:r>
      <w:r w:rsidR="00A12236">
        <w:rPr>
          <w:lang w:val="en-US"/>
        </w:rPr>
        <w:t>,</w:t>
      </w:r>
      <w:r w:rsidR="00812672">
        <w:rPr>
          <w:lang w:val="en-US"/>
        </w:rPr>
        <w:t xml:space="preserve"> but</w:t>
      </w:r>
      <w:r w:rsidR="00812672" w:rsidRPr="000B2752">
        <w:rPr>
          <w:lang w:val="en-US"/>
        </w:rPr>
        <w:t xml:space="preserve"> the carry-on effect </w:t>
      </w:r>
      <w:r w:rsidR="00812672">
        <w:rPr>
          <w:lang w:val="en-US"/>
        </w:rPr>
        <w:t>till</w:t>
      </w:r>
      <w:r w:rsidR="00812672" w:rsidRPr="000B2752">
        <w:rPr>
          <w:lang w:val="en-US"/>
        </w:rPr>
        <w:t xml:space="preserve"> T90 was found only in CKD.</w:t>
      </w:r>
      <w:r w:rsidR="00812672" w:rsidRPr="00812672">
        <w:rPr>
          <w:lang w:val="en-US"/>
        </w:rPr>
        <w:t xml:space="preserve"> </w:t>
      </w:r>
      <w:r w:rsidR="00812672">
        <w:rPr>
          <w:lang w:val="en-US"/>
        </w:rPr>
        <w:t xml:space="preserve">In CKD-S, </w:t>
      </w:r>
      <w:proofErr w:type="spellStart"/>
      <w:r w:rsidR="00812672" w:rsidRPr="000B2752">
        <w:rPr>
          <w:lang w:val="en-US"/>
        </w:rPr>
        <w:t>NatuREN</w:t>
      </w:r>
      <w:proofErr w:type="spellEnd"/>
      <w:r w:rsidR="00812672" w:rsidRPr="000B2752">
        <w:rPr>
          <w:lang w:val="en-US"/>
        </w:rPr>
        <w:t xml:space="preserve"> G</w:t>
      </w:r>
      <w:r w:rsidR="00812672" w:rsidRPr="003344C2">
        <w:rPr>
          <w:color w:val="000000" w:themeColor="text1"/>
          <w:vertAlign w:val="superscript"/>
          <w:lang w:val="en-US"/>
        </w:rPr>
        <w:t>®</w:t>
      </w:r>
      <w:r w:rsidR="00812672" w:rsidRPr="000B2752">
        <w:rPr>
          <w:lang w:val="en-US"/>
        </w:rPr>
        <w:t xml:space="preserve"> </w:t>
      </w:r>
      <w:r w:rsidR="00812672">
        <w:rPr>
          <w:lang w:val="en-US"/>
        </w:rPr>
        <w:t xml:space="preserve">significantly shifted the ratio Firmicutes/Bacteroidetes. In </w:t>
      </w:r>
      <w:r w:rsidR="00A12236">
        <w:rPr>
          <w:lang w:val="en-US"/>
        </w:rPr>
        <w:t>detail</w:t>
      </w:r>
      <w:r w:rsidR="00812672">
        <w:rPr>
          <w:lang w:val="en-US"/>
        </w:rPr>
        <w:t>, Firmicutes</w:t>
      </w:r>
      <w:r w:rsidR="00812672" w:rsidRPr="000B2752">
        <w:rPr>
          <w:lang w:val="en-US"/>
        </w:rPr>
        <w:t xml:space="preserve"> </w:t>
      </w:r>
      <w:r w:rsidR="00812672">
        <w:rPr>
          <w:lang w:val="en-US"/>
        </w:rPr>
        <w:t xml:space="preserve">were positively affected by the </w:t>
      </w:r>
      <w:proofErr w:type="spellStart"/>
      <w:r w:rsidR="00812672" w:rsidRPr="000B2752">
        <w:rPr>
          <w:lang w:val="en-US"/>
        </w:rPr>
        <w:t>NatuREN</w:t>
      </w:r>
      <w:proofErr w:type="spellEnd"/>
      <w:r w:rsidR="00812672" w:rsidRPr="000B2752">
        <w:rPr>
          <w:lang w:val="en-US"/>
        </w:rPr>
        <w:t xml:space="preserve"> G</w:t>
      </w:r>
      <w:r w:rsidR="00812672" w:rsidRPr="003344C2">
        <w:rPr>
          <w:color w:val="000000" w:themeColor="text1"/>
          <w:vertAlign w:val="superscript"/>
          <w:lang w:val="en-US"/>
        </w:rPr>
        <w:t>®</w:t>
      </w:r>
      <w:r w:rsidR="00812672">
        <w:rPr>
          <w:lang w:val="en-US"/>
        </w:rPr>
        <w:t xml:space="preserve"> being found significantly associated to the innovative </w:t>
      </w:r>
      <w:proofErr w:type="spellStart"/>
      <w:r w:rsidR="00812672">
        <w:rPr>
          <w:lang w:val="en-US"/>
        </w:rPr>
        <w:t>synbiotic</w:t>
      </w:r>
      <w:proofErr w:type="spellEnd"/>
      <w:r w:rsidR="00812672">
        <w:rPr>
          <w:lang w:val="en-US"/>
        </w:rPr>
        <w:t xml:space="preserve"> at both follow-ups, whereas </w:t>
      </w:r>
      <w:r w:rsidR="00812672" w:rsidRPr="000B2752">
        <w:rPr>
          <w:lang w:val="en-US"/>
        </w:rPr>
        <w:t xml:space="preserve">Bacteroidetes </w:t>
      </w:r>
      <w:r w:rsidR="00812672">
        <w:rPr>
          <w:lang w:val="en-US"/>
        </w:rPr>
        <w:t>showed the opposite</w:t>
      </w:r>
      <w:r w:rsidR="00812672" w:rsidRPr="000B2752">
        <w:rPr>
          <w:lang w:val="en-US"/>
        </w:rPr>
        <w:t xml:space="preserve">. </w:t>
      </w:r>
      <w:r w:rsidR="00812672">
        <w:rPr>
          <w:lang w:val="en-US"/>
        </w:rPr>
        <w:t xml:space="preserve">At family level, </w:t>
      </w:r>
      <w:proofErr w:type="spellStart"/>
      <w:r w:rsidR="00812672" w:rsidRPr="00606A7A">
        <w:rPr>
          <w:i/>
          <w:iCs/>
          <w:lang w:val="en-US"/>
        </w:rPr>
        <w:t>Coriobacteriaceae</w:t>
      </w:r>
      <w:proofErr w:type="spellEnd"/>
      <w:r w:rsidR="00812672">
        <w:rPr>
          <w:lang w:val="en-US"/>
        </w:rPr>
        <w:t xml:space="preserve"> and </w:t>
      </w:r>
      <w:proofErr w:type="spellStart"/>
      <w:r w:rsidR="00812672" w:rsidRPr="00606A7A">
        <w:rPr>
          <w:i/>
          <w:iCs/>
          <w:lang w:val="en-US"/>
        </w:rPr>
        <w:t>Flavobacteriaceae</w:t>
      </w:r>
      <w:proofErr w:type="spellEnd"/>
      <w:r w:rsidR="00812672">
        <w:rPr>
          <w:lang w:val="en-US"/>
        </w:rPr>
        <w:t xml:space="preserve"> positively and negatively correlated with the </w:t>
      </w:r>
      <w:proofErr w:type="spellStart"/>
      <w:r w:rsidR="00812672" w:rsidRPr="000B2752">
        <w:rPr>
          <w:lang w:val="en-US"/>
        </w:rPr>
        <w:t>NatuREN</w:t>
      </w:r>
      <w:proofErr w:type="spellEnd"/>
      <w:r w:rsidR="00812672" w:rsidRPr="000B2752">
        <w:rPr>
          <w:lang w:val="en-US"/>
        </w:rPr>
        <w:t xml:space="preserve"> G</w:t>
      </w:r>
      <w:r w:rsidR="00812672" w:rsidRPr="003344C2">
        <w:rPr>
          <w:color w:val="000000" w:themeColor="text1"/>
          <w:vertAlign w:val="superscript"/>
          <w:lang w:val="en-US"/>
        </w:rPr>
        <w:t>®</w:t>
      </w:r>
      <w:r w:rsidR="00812672">
        <w:rPr>
          <w:color w:val="000000" w:themeColor="text1"/>
          <w:lang w:val="en-US"/>
        </w:rPr>
        <w:t xml:space="preserve">, respectively, since these tendencies were also detected till the end of the trial (T90). </w:t>
      </w:r>
      <w:r w:rsidR="00812672" w:rsidRPr="00EB42E1">
        <w:rPr>
          <w:i/>
          <w:iCs/>
          <w:color w:val="000000" w:themeColor="text1"/>
          <w:lang w:val="en-US"/>
        </w:rPr>
        <w:t>Blautia</w:t>
      </w:r>
      <w:r w:rsidR="00812672">
        <w:rPr>
          <w:color w:val="000000" w:themeColor="text1"/>
          <w:lang w:val="en-US"/>
        </w:rPr>
        <w:t xml:space="preserve"> was the only genus that showed a positive correlation with </w:t>
      </w:r>
      <w:proofErr w:type="spellStart"/>
      <w:r w:rsidR="00812672" w:rsidRPr="000B2752">
        <w:rPr>
          <w:lang w:val="en-US"/>
        </w:rPr>
        <w:t>NatuREN</w:t>
      </w:r>
      <w:proofErr w:type="spellEnd"/>
      <w:r w:rsidR="00812672" w:rsidRPr="000B2752">
        <w:rPr>
          <w:lang w:val="en-US"/>
        </w:rPr>
        <w:t xml:space="preserve"> G</w:t>
      </w:r>
      <w:r w:rsidR="00812672" w:rsidRPr="003344C2">
        <w:rPr>
          <w:color w:val="000000" w:themeColor="text1"/>
          <w:vertAlign w:val="superscript"/>
          <w:lang w:val="en-US"/>
        </w:rPr>
        <w:t>®</w:t>
      </w:r>
      <w:r w:rsidR="00812672">
        <w:rPr>
          <w:color w:val="000000" w:themeColor="text1"/>
          <w:lang w:val="en-US"/>
        </w:rPr>
        <w:t xml:space="preserve"> at both follow-ups.</w:t>
      </w:r>
      <w:r w:rsidR="00812672" w:rsidRPr="00812672">
        <w:rPr>
          <w:lang w:val="en-US"/>
        </w:rPr>
        <w:t xml:space="preserve"> </w:t>
      </w:r>
      <w:r w:rsidR="00812672">
        <w:rPr>
          <w:lang w:val="en-US"/>
        </w:rPr>
        <w:t xml:space="preserve">According to 60 days of treatments, only </w:t>
      </w:r>
      <w:proofErr w:type="spellStart"/>
      <w:r w:rsidR="00812672">
        <w:rPr>
          <w:i/>
          <w:iCs/>
          <w:color w:val="000000" w:themeColor="text1"/>
          <w:lang w:val="en-US"/>
        </w:rPr>
        <w:t>Selenomonas</w:t>
      </w:r>
      <w:proofErr w:type="spellEnd"/>
      <w:r w:rsidR="00812672">
        <w:rPr>
          <w:color w:val="000000" w:themeColor="text1"/>
          <w:lang w:val="en-US"/>
        </w:rPr>
        <w:t xml:space="preserve"> </w:t>
      </w:r>
      <w:r w:rsidR="00812672">
        <w:rPr>
          <w:lang w:val="en-US"/>
        </w:rPr>
        <w:t xml:space="preserve">significantly differed in CKD patients between subgroups (P </w:t>
      </w:r>
      <w:r w:rsidR="00812672" w:rsidRPr="004B4144">
        <w:rPr>
          <w:i/>
          <w:iCs/>
          <w:lang w:val="en-US"/>
        </w:rPr>
        <w:t>vs</w:t>
      </w:r>
      <w:r w:rsidR="00812672">
        <w:rPr>
          <w:lang w:val="en-US"/>
        </w:rPr>
        <w:t xml:space="preserve"> S) in metataxonomic relative abundances. Specifically, the taxa </w:t>
      </w:r>
      <w:r w:rsidR="00812672">
        <w:rPr>
          <w:color w:val="000000" w:themeColor="text1"/>
          <w:lang w:val="en-US"/>
        </w:rPr>
        <w:t>had a higher relative abundance in CKD</w:t>
      </w:r>
      <w:r w:rsidR="00A12236">
        <w:rPr>
          <w:color w:val="000000" w:themeColor="text1"/>
          <w:lang w:val="en-US"/>
        </w:rPr>
        <w:t xml:space="preserve"> treated with </w:t>
      </w:r>
      <w:proofErr w:type="spellStart"/>
      <w:r w:rsidR="00A12236">
        <w:rPr>
          <w:color w:val="000000" w:themeColor="text1"/>
          <w:lang w:val="en-US"/>
        </w:rPr>
        <w:t>synbiotic</w:t>
      </w:r>
      <w:proofErr w:type="spellEnd"/>
      <w:r w:rsidR="00812672">
        <w:rPr>
          <w:color w:val="000000" w:themeColor="text1"/>
          <w:lang w:val="en-US"/>
        </w:rPr>
        <w:t xml:space="preserve"> th</w:t>
      </w:r>
      <w:r w:rsidR="00A12236">
        <w:rPr>
          <w:color w:val="000000" w:themeColor="text1"/>
          <w:lang w:val="en-US"/>
        </w:rPr>
        <w:t>an treated with probiotic too</w:t>
      </w:r>
      <w:r w:rsidR="00812672">
        <w:rPr>
          <w:color w:val="000000" w:themeColor="text1"/>
          <w:lang w:val="en-US"/>
        </w:rPr>
        <w:t>.</w:t>
      </w:r>
      <w:r w:rsidR="00812672" w:rsidRPr="00812672">
        <w:rPr>
          <w:color w:val="000000" w:themeColor="text1"/>
          <w:lang w:val="en-US"/>
        </w:rPr>
        <w:t xml:space="preserve"> A</w:t>
      </w:r>
      <w:r w:rsidR="00587066">
        <w:rPr>
          <w:color w:val="000000" w:themeColor="text1"/>
          <w:lang w:val="en-US"/>
        </w:rPr>
        <w:t xml:space="preserve">t </w:t>
      </w:r>
      <w:r w:rsidR="00812672" w:rsidRPr="00812672">
        <w:rPr>
          <w:color w:val="000000" w:themeColor="text1"/>
          <w:lang w:val="en-US"/>
        </w:rPr>
        <w:t xml:space="preserve">T60 and T90 not significantly increased in numbers for </w:t>
      </w:r>
      <w:r w:rsidR="00812672" w:rsidRPr="00587066">
        <w:rPr>
          <w:i/>
          <w:iCs/>
          <w:color w:val="000000" w:themeColor="text1"/>
          <w:lang w:val="en-US"/>
        </w:rPr>
        <w:t>Lactobacillus</w:t>
      </w:r>
      <w:r w:rsidR="00812672" w:rsidRPr="00812672">
        <w:rPr>
          <w:color w:val="000000" w:themeColor="text1"/>
          <w:lang w:val="en-US"/>
        </w:rPr>
        <w:t xml:space="preserve"> were observed in CKD-S, while decreased in CKD-P (p &lt; 0.05).</w:t>
      </w:r>
      <w:r w:rsidR="00587066" w:rsidRPr="00587066">
        <w:rPr>
          <w:lang w:val="en-US"/>
        </w:rPr>
        <w:t xml:space="preserve"> </w:t>
      </w:r>
      <w:r w:rsidR="00587066">
        <w:rPr>
          <w:lang w:val="en-US"/>
        </w:rPr>
        <w:t xml:space="preserve">In CKD-S, the abundance of </w:t>
      </w:r>
      <w:r w:rsidR="00587066" w:rsidRPr="00794DAB">
        <w:rPr>
          <w:i/>
          <w:iCs/>
          <w:lang w:val="en-US"/>
        </w:rPr>
        <w:t>Bifidobacterium</w:t>
      </w:r>
      <w:r w:rsidR="00587066">
        <w:rPr>
          <w:lang w:val="en-US"/>
        </w:rPr>
        <w:t xml:space="preserve"> increased during the study.</w:t>
      </w:r>
      <w:r w:rsidR="00587066" w:rsidRPr="00587066">
        <w:rPr>
          <w:color w:val="000000"/>
          <w:lang w:val="en-US"/>
        </w:rPr>
        <w:t xml:space="preserve"> </w:t>
      </w:r>
      <w:r w:rsidR="00587066">
        <w:rPr>
          <w:color w:val="000000"/>
          <w:lang w:val="en-US"/>
        </w:rPr>
        <w:t>T</w:t>
      </w:r>
      <w:r w:rsidR="00587066" w:rsidRPr="000B2752">
        <w:rPr>
          <w:color w:val="000000"/>
          <w:lang w:val="en-US"/>
        </w:rPr>
        <w:t>he metaboli</w:t>
      </w:r>
      <w:r w:rsidR="00587066">
        <w:rPr>
          <w:color w:val="000000"/>
          <w:lang w:val="en-US"/>
        </w:rPr>
        <w:t>c</w:t>
      </w:r>
      <w:r w:rsidR="00587066" w:rsidRPr="000B2752">
        <w:rPr>
          <w:color w:val="000000"/>
          <w:lang w:val="en-US"/>
        </w:rPr>
        <w:t xml:space="preserve"> profiles varied between groups after treatment</w:t>
      </w:r>
      <w:r w:rsidR="00587066">
        <w:rPr>
          <w:color w:val="000000"/>
          <w:lang w:val="en-US"/>
        </w:rPr>
        <w:t>.</w:t>
      </w:r>
    </w:p>
    <w:p w14:paraId="2457EF5E" w14:textId="3A455FA7" w:rsidR="00D62690" w:rsidRPr="00D62690" w:rsidRDefault="00D62690" w:rsidP="002A3A36">
      <w:pPr>
        <w:jc w:val="both"/>
        <w:rPr>
          <w:lang w:val="en-US"/>
        </w:rPr>
      </w:pPr>
      <w:r>
        <w:rPr>
          <w:lang w:val="en-US"/>
        </w:rPr>
        <w:t xml:space="preserve">The </w:t>
      </w:r>
      <w:proofErr w:type="spellStart"/>
      <w:r>
        <w:rPr>
          <w:lang w:val="en-US"/>
        </w:rPr>
        <w:t>synbiontic</w:t>
      </w:r>
      <w:proofErr w:type="spellEnd"/>
      <w:r>
        <w:rPr>
          <w:lang w:val="en-US"/>
        </w:rPr>
        <w:t xml:space="preserve"> </w:t>
      </w:r>
      <w:proofErr w:type="spellStart"/>
      <w:r w:rsidRPr="000B2752">
        <w:rPr>
          <w:color w:val="000000" w:themeColor="text1"/>
          <w:lang w:val="en-US"/>
        </w:rPr>
        <w:t>NatuREN</w:t>
      </w:r>
      <w:proofErr w:type="spellEnd"/>
      <w:r w:rsidRPr="000B2752">
        <w:rPr>
          <w:color w:val="000000" w:themeColor="text1"/>
          <w:lang w:val="en-US"/>
        </w:rPr>
        <w:t xml:space="preserve"> G</w:t>
      </w:r>
      <w:r w:rsidRPr="00314E1A">
        <w:rPr>
          <w:color w:val="000000" w:themeColor="text1"/>
          <w:vertAlign w:val="superscript"/>
          <w:lang w:val="en-US"/>
        </w:rPr>
        <w:t>®</w:t>
      </w:r>
      <w:r>
        <w:rPr>
          <w:color w:val="000000" w:themeColor="text1"/>
          <w:lang w:val="en-US"/>
        </w:rPr>
        <w:t xml:space="preserve"> was able to modulate the gut microbiota profiling and the related metabolism</w:t>
      </w:r>
      <w:r w:rsidRPr="00587066">
        <w:rPr>
          <w:color w:val="000000" w:themeColor="text1"/>
          <w:lang w:val="en-US"/>
        </w:rPr>
        <w:t xml:space="preserve"> </w:t>
      </w:r>
      <w:r w:rsidRPr="00FA5752">
        <w:rPr>
          <w:color w:val="000000" w:themeColor="text1"/>
          <w:lang w:val="en-US"/>
        </w:rPr>
        <w:t xml:space="preserve">in stage </w:t>
      </w:r>
      <w:proofErr w:type="spellStart"/>
      <w:r w:rsidRPr="00FA5752">
        <w:rPr>
          <w:color w:val="000000" w:themeColor="text1"/>
          <w:lang w:val="en-US"/>
        </w:rPr>
        <w:t>IIIb</w:t>
      </w:r>
      <w:proofErr w:type="spellEnd"/>
      <w:r w:rsidRPr="00FA5752">
        <w:rPr>
          <w:color w:val="000000" w:themeColor="text1"/>
          <w:lang w:val="en-US"/>
        </w:rPr>
        <w:t>-IV CKD patients</w:t>
      </w:r>
      <w:r>
        <w:rPr>
          <w:color w:val="000000" w:themeColor="text1"/>
          <w:lang w:val="en-US"/>
        </w:rPr>
        <w:t xml:space="preserve">. Specifically, </w:t>
      </w:r>
      <w:proofErr w:type="spellStart"/>
      <w:r w:rsidRPr="000B2752">
        <w:rPr>
          <w:color w:val="000000" w:themeColor="text1"/>
          <w:lang w:val="en-US"/>
        </w:rPr>
        <w:t>NatuREN</w:t>
      </w:r>
      <w:proofErr w:type="spellEnd"/>
      <w:r w:rsidRPr="000B2752">
        <w:rPr>
          <w:color w:val="000000" w:themeColor="text1"/>
          <w:lang w:val="en-US"/>
        </w:rPr>
        <w:t xml:space="preserve"> G</w:t>
      </w:r>
      <w:r w:rsidRPr="00314E1A">
        <w:rPr>
          <w:color w:val="000000" w:themeColor="text1"/>
          <w:vertAlign w:val="superscript"/>
          <w:lang w:val="en-US"/>
        </w:rPr>
        <w:t>®</w:t>
      </w:r>
      <w:r>
        <w:rPr>
          <w:color w:val="000000" w:themeColor="text1"/>
          <w:lang w:val="en-US"/>
        </w:rPr>
        <w:t xml:space="preserve"> increased the ratio Firmicutes</w:t>
      </w:r>
      <w:r w:rsidR="00A12236">
        <w:rPr>
          <w:color w:val="000000" w:themeColor="text1"/>
          <w:lang w:val="en-US"/>
        </w:rPr>
        <w:t>/</w:t>
      </w:r>
      <w:r>
        <w:rPr>
          <w:color w:val="000000" w:themeColor="text1"/>
          <w:lang w:val="en-US"/>
        </w:rPr>
        <w:t>Bacteroidetes and this was reflected in an increase of the saccharolytic metabolism reducing the proteolytic</w:t>
      </w:r>
      <w:r w:rsidR="00A12236">
        <w:rPr>
          <w:color w:val="000000" w:themeColor="text1"/>
          <w:lang w:val="en-US"/>
        </w:rPr>
        <w:t xml:space="preserve"> </w:t>
      </w:r>
      <w:r>
        <w:rPr>
          <w:color w:val="000000" w:themeColor="text1"/>
          <w:lang w:val="en-US"/>
        </w:rPr>
        <w:t xml:space="preserve">one, </w:t>
      </w:r>
      <w:r w:rsidRPr="00C36570">
        <w:rPr>
          <w:color w:val="000000" w:themeColor="text1"/>
          <w:lang w:val="en-US"/>
        </w:rPr>
        <w:t>according with an increased concentration of acetic and propanoic acids in</w:t>
      </w:r>
      <w:r w:rsidR="00A12236">
        <w:rPr>
          <w:color w:val="000000" w:themeColor="text1"/>
          <w:lang w:val="en-US"/>
        </w:rPr>
        <w:t xml:space="preserve"> </w:t>
      </w:r>
      <w:proofErr w:type="spellStart"/>
      <w:r w:rsidR="00A12236">
        <w:rPr>
          <w:color w:val="000000" w:themeColor="text1"/>
          <w:lang w:val="en-US"/>
        </w:rPr>
        <w:t>faecal</w:t>
      </w:r>
      <w:proofErr w:type="spellEnd"/>
      <w:r w:rsidR="00A12236">
        <w:rPr>
          <w:color w:val="000000" w:themeColor="text1"/>
          <w:lang w:val="en-US"/>
        </w:rPr>
        <w:t xml:space="preserve"> samples</w:t>
      </w:r>
      <w:r>
        <w:rPr>
          <w:color w:val="000000" w:themeColor="text1"/>
          <w:lang w:val="en-US"/>
        </w:rPr>
        <w:t>.</w:t>
      </w:r>
      <w:r w:rsidRPr="00C36570">
        <w:rPr>
          <w:lang w:val="en-US"/>
        </w:rPr>
        <w:t xml:space="preserve"> </w:t>
      </w:r>
      <w:r w:rsidRPr="00C36570">
        <w:rPr>
          <w:color w:val="000000" w:themeColor="text1"/>
          <w:lang w:val="en-US"/>
        </w:rPr>
        <w:t>Therefore, present work opens the way towards further studies based on nutritional managements and adjuvant therapies based on probiotics and prebiotics administration in diseases, such as the nephropathy.</w:t>
      </w:r>
    </w:p>
    <w:p w14:paraId="27D97607" w14:textId="77777777" w:rsidR="00ED42F3" w:rsidRDefault="00ED42F3" w:rsidP="002A3A36">
      <w:pPr>
        <w:jc w:val="both"/>
        <w:rPr>
          <w:lang w:val="en-GB"/>
        </w:rPr>
      </w:pPr>
    </w:p>
    <w:p w14:paraId="0C37CE66" w14:textId="7E3ED0AD" w:rsidR="00282C10" w:rsidRDefault="00282C10" w:rsidP="002A3A36">
      <w:pPr>
        <w:jc w:val="both"/>
        <w:rPr>
          <w:b/>
          <w:bCs/>
          <w:lang w:val="en-US"/>
        </w:rPr>
      </w:pPr>
      <w:r>
        <w:rPr>
          <w:b/>
          <w:bCs/>
          <w:lang w:val="en-US"/>
        </w:rPr>
        <w:t>3</w:t>
      </w:r>
      <w:r w:rsidRPr="009869A1">
        <w:rPr>
          <w:b/>
          <w:bCs/>
          <w:lang w:val="en-US"/>
        </w:rPr>
        <w:t>.</w:t>
      </w:r>
      <w:r>
        <w:rPr>
          <w:b/>
          <w:bCs/>
          <w:lang w:val="en-US"/>
        </w:rPr>
        <w:t>3</w:t>
      </w:r>
      <w:r w:rsidRPr="009869A1">
        <w:rPr>
          <w:b/>
          <w:bCs/>
          <w:lang w:val="en-US"/>
        </w:rPr>
        <w:t xml:space="preserve"> </w:t>
      </w:r>
      <w:r w:rsidRPr="00282C10">
        <w:rPr>
          <w:b/>
          <w:bCs/>
          <w:lang w:val="en-US"/>
        </w:rPr>
        <w:t>Provide a comprehensive view of the correlation between the intestinal microbiome and the metabolic alterations in obese patients.</w:t>
      </w:r>
    </w:p>
    <w:p w14:paraId="0D313F68" w14:textId="314A9EEC" w:rsidR="00766DAB" w:rsidRDefault="00A71C66" w:rsidP="00766DAB">
      <w:pPr>
        <w:jc w:val="both"/>
        <w:rPr>
          <w:lang w:val="en-GB"/>
        </w:rPr>
      </w:pPr>
      <w:r>
        <w:rPr>
          <w:lang w:val="en-GB"/>
        </w:rPr>
        <w:t xml:space="preserve">The clinical </w:t>
      </w:r>
      <w:r w:rsidR="00A12236">
        <w:rPr>
          <w:lang w:val="en-GB"/>
        </w:rPr>
        <w:t>picture</w:t>
      </w:r>
      <w:r>
        <w:rPr>
          <w:lang w:val="en-GB"/>
        </w:rPr>
        <w:t xml:space="preserve"> of OB patients differed from HC and MHO ones. Compared to MHO, OB patients showed higher levels of HOMA index (q</w:t>
      </w:r>
      <w:r w:rsidR="00766DAB">
        <w:rPr>
          <w:lang w:val="en-GB"/>
        </w:rPr>
        <w:t xml:space="preserve"> </w:t>
      </w:r>
      <w:r>
        <w:rPr>
          <w:lang w:val="en-GB"/>
        </w:rPr>
        <w:t>= 0.01) and Glycate Haemoglobin (q</w:t>
      </w:r>
      <w:r w:rsidR="00766DAB">
        <w:rPr>
          <w:lang w:val="en-GB"/>
        </w:rPr>
        <w:t xml:space="preserve"> </w:t>
      </w:r>
      <w:r>
        <w:rPr>
          <w:lang w:val="en-GB"/>
        </w:rPr>
        <w:t>= 0.03), and lower level of Glomerular Filtration Rate (q</w:t>
      </w:r>
      <w:r w:rsidR="00766DAB">
        <w:rPr>
          <w:lang w:val="en-GB"/>
        </w:rPr>
        <w:t xml:space="preserve"> </w:t>
      </w:r>
      <w:r>
        <w:rPr>
          <w:lang w:val="en-GB"/>
        </w:rPr>
        <w:t xml:space="preserve">= 0.03). The DAPC statistical analysis reported the </w:t>
      </w:r>
      <w:r w:rsidR="00766DAB">
        <w:rPr>
          <w:lang w:val="en-GB"/>
        </w:rPr>
        <w:t xml:space="preserve">separation of subjects in three groups. Several </w:t>
      </w:r>
      <w:r w:rsidR="00766DAB" w:rsidRPr="00766DAB">
        <w:rPr>
          <w:lang w:val="en-GB"/>
        </w:rPr>
        <w:t xml:space="preserve">variables have a greater impact on the subdivision of the groups, </w:t>
      </w:r>
      <w:r w:rsidR="00766DAB">
        <w:rPr>
          <w:lang w:val="en-GB"/>
        </w:rPr>
        <w:t>including</w:t>
      </w:r>
      <w:r w:rsidR="00766DAB" w:rsidRPr="00766DAB">
        <w:rPr>
          <w:lang w:val="en-GB"/>
        </w:rPr>
        <w:t xml:space="preserve"> </w:t>
      </w:r>
      <w:r w:rsidR="00766DAB">
        <w:rPr>
          <w:lang w:val="en-GB"/>
        </w:rPr>
        <w:t>body mass index (</w:t>
      </w:r>
      <w:r w:rsidR="00766DAB" w:rsidRPr="00766DAB">
        <w:rPr>
          <w:lang w:val="en-GB"/>
        </w:rPr>
        <w:t>BMI</w:t>
      </w:r>
      <w:r w:rsidR="00766DAB">
        <w:rPr>
          <w:lang w:val="en-GB"/>
        </w:rPr>
        <w:t>)</w:t>
      </w:r>
      <w:r w:rsidR="00766DAB" w:rsidRPr="00766DAB">
        <w:rPr>
          <w:lang w:val="en-GB"/>
        </w:rPr>
        <w:t xml:space="preserve">, </w:t>
      </w:r>
      <w:r w:rsidR="00766DAB">
        <w:rPr>
          <w:lang w:val="en-GB"/>
        </w:rPr>
        <w:t>erythrocytes sedimentation rate</w:t>
      </w:r>
      <w:r w:rsidR="00766DAB" w:rsidRPr="00766DAB">
        <w:rPr>
          <w:lang w:val="en-GB"/>
        </w:rPr>
        <w:t xml:space="preserve"> </w:t>
      </w:r>
      <w:r w:rsidR="00766DAB">
        <w:rPr>
          <w:lang w:val="en-GB"/>
        </w:rPr>
        <w:t>(</w:t>
      </w:r>
      <w:r w:rsidR="00766DAB" w:rsidRPr="00766DAB">
        <w:rPr>
          <w:lang w:val="en-GB"/>
        </w:rPr>
        <w:t>ESR</w:t>
      </w:r>
      <w:r w:rsidR="00766DAB">
        <w:rPr>
          <w:lang w:val="en-GB"/>
        </w:rPr>
        <w:t>)</w:t>
      </w:r>
      <w:r w:rsidR="00766DAB" w:rsidRPr="00766DAB">
        <w:rPr>
          <w:lang w:val="en-GB"/>
        </w:rPr>
        <w:t xml:space="preserve">, </w:t>
      </w:r>
      <w:r w:rsidR="00766DAB">
        <w:rPr>
          <w:lang w:val="en-GB"/>
        </w:rPr>
        <w:t>C reactive protein (</w:t>
      </w:r>
      <w:r w:rsidR="00766DAB" w:rsidRPr="00766DAB">
        <w:rPr>
          <w:lang w:val="en-GB"/>
        </w:rPr>
        <w:t>CRP</w:t>
      </w:r>
      <w:r w:rsidR="00766DAB">
        <w:rPr>
          <w:lang w:val="en-GB"/>
        </w:rPr>
        <w:t>)</w:t>
      </w:r>
      <w:r w:rsidR="00766DAB" w:rsidRPr="00766DAB">
        <w:rPr>
          <w:lang w:val="en-GB"/>
        </w:rPr>
        <w:t>, and several thyroid hormones.</w:t>
      </w:r>
    </w:p>
    <w:p w14:paraId="590D6E34" w14:textId="5EACFCE1" w:rsidR="00B93B1C" w:rsidRDefault="00766DAB" w:rsidP="00766DAB">
      <w:pPr>
        <w:jc w:val="both"/>
        <w:rPr>
          <w:lang w:val="en-GB"/>
        </w:rPr>
      </w:pPr>
      <w:r>
        <w:rPr>
          <w:lang w:val="en-GB"/>
        </w:rPr>
        <w:t>A target group of intestinal population were investigated</w:t>
      </w:r>
      <w:r w:rsidR="00B93B1C">
        <w:rPr>
          <w:lang w:val="en-GB"/>
        </w:rPr>
        <w:t xml:space="preserve"> (Fig</w:t>
      </w:r>
      <w:r w:rsidR="000B7161">
        <w:rPr>
          <w:lang w:val="en-GB"/>
        </w:rPr>
        <w:t>.</w:t>
      </w:r>
      <w:r w:rsidR="00B93B1C">
        <w:rPr>
          <w:lang w:val="en-GB"/>
        </w:rPr>
        <w:t xml:space="preserve"> </w:t>
      </w:r>
      <w:r w:rsidR="000B7161">
        <w:rPr>
          <w:lang w:val="en-GB"/>
        </w:rPr>
        <w:t>1</w:t>
      </w:r>
      <w:r w:rsidR="00B93B1C">
        <w:rPr>
          <w:lang w:val="en-GB"/>
        </w:rPr>
        <w:t>)</w:t>
      </w:r>
      <w:r>
        <w:rPr>
          <w:lang w:val="en-GB"/>
        </w:rPr>
        <w:t>.</w:t>
      </w:r>
    </w:p>
    <w:p w14:paraId="1B65DFC9" w14:textId="77777777" w:rsidR="004B68BD" w:rsidRDefault="00B93B1C" w:rsidP="000B7161">
      <w:pPr>
        <w:keepNext/>
        <w:spacing w:before="240" w:after="240"/>
        <w:jc w:val="both"/>
      </w:pPr>
      <w:r w:rsidRPr="00FF4FCC">
        <w:rPr>
          <w:noProof/>
          <w:lang w:val="en-GB" w:eastAsia="it-IT"/>
        </w:rPr>
        <w:drawing>
          <wp:inline distT="0" distB="0" distL="0" distR="0" wp14:anchorId="7676712D" wp14:editId="475880FE">
            <wp:extent cx="3977640" cy="1667787"/>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grayscl/>
                      <a:extLst>
                        <a:ext uri="{28A0092B-C50C-407E-A947-70E740481C1C}">
                          <a14:useLocalDpi xmlns:a14="http://schemas.microsoft.com/office/drawing/2010/main" val="0"/>
                        </a:ext>
                      </a:extLst>
                    </a:blip>
                    <a:stretch>
                      <a:fillRect/>
                    </a:stretch>
                  </pic:blipFill>
                  <pic:spPr>
                    <a:xfrm>
                      <a:off x="0" y="0"/>
                      <a:ext cx="3998409" cy="1676495"/>
                    </a:xfrm>
                    <a:prstGeom prst="rect">
                      <a:avLst/>
                    </a:prstGeom>
                  </pic:spPr>
                </pic:pic>
              </a:graphicData>
            </a:graphic>
          </wp:inline>
        </w:drawing>
      </w:r>
    </w:p>
    <w:p w14:paraId="6DBE3BB1" w14:textId="556F0150" w:rsidR="00B93B1C" w:rsidRPr="004B68BD" w:rsidRDefault="004B68BD" w:rsidP="00070D43">
      <w:pPr>
        <w:pStyle w:val="Didascalia"/>
        <w:keepNext/>
        <w:jc w:val="both"/>
        <w:rPr>
          <w:color w:val="auto"/>
          <w:lang w:val="en-US"/>
        </w:rPr>
      </w:pPr>
      <w:r w:rsidRPr="004B68BD">
        <w:rPr>
          <w:b/>
          <w:bCs/>
          <w:i w:val="0"/>
          <w:iCs w:val="0"/>
          <w:color w:val="auto"/>
          <w:lang w:val="en-US"/>
        </w:rPr>
        <w:t xml:space="preserve">Figure </w:t>
      </w:r>
      <w:r w:rsidR="000B7161" w:rsidRPr="00EC2B16">
        <w:rPr>
          <w:b/>
          <w:bCs/>
          <w:i w:val="0"/>
          <w:iCs w:val="0"/>
          <w:color w:val="auto"/>
          <w:lang w:val="en-US"/>
        </w:rPr>
        <w:t>1</w:t>
      </w:r>
      <w:r w:rsidRPr="004B68BD">
        <w:rPr>
          <w:b/>
          <w:bCs/>
          <w:i w:val="0"/>
          <w:iCs w:val="0"/>
          <w:color w:val="auto"/>
          <w:lang w:val="en-US"/>
        </w:rPr>
        <w:t xml:space="preserve">. </w:t>
      </w:r>
      <w:r w:rsidRPr="00B93B1C">
        <w:rPr>
          <w:color w:val="auto"/>
          <w:lang w:val="en-GB"/>
        </w:rPr>
        <w:t>Statistically significant qPCR tested taxa emerging from pairwise comparison of HC, MHO, and OB cohorts.</w:t>
      </w:r>
    </w:p>
    <w:p w14:paraId="53F5D1A1" w14:textId="23B4F12D" w:rsidR="00282C10" w:rsidRDefault="00A71C66" w:rsidP="00766DAB">
      <w:pPr>
        <w:jc w:val="both"/>
        <w:rPr>
          <w:lang w:val="en-GB"/>
        </w:rPr>
      </w:pPr>
      <w:r w:rsidRPr="00A71C66">
        <w:rPr>
          <w:lang w:val="en-GB"/>
        </w:rPr>
        <w:t xml:space="preserve">The amount of </w:t>
      </w:r>
      <w:r w:rsidRPr="00766DAB">
        <w:rPr>
          <w:i/>
          <w:iCs/>
          <w:lang w:val="en-GB"/>
        </w:rPr>
        <w:t>Clostridium coccoides</w:t>
      </w:r>
      <w:r w:rsidRPr="00A71C66">
        <w:rPr>
          <w:lang w:val="en-GB"/>
        </w:rPr>
        <w:t xml:space="preserve"> was lower in </w:t>
      </w:r>
      <w:r w:rsidR="00766DAB">
        <w:rPr>
          <w:lang w:val="en-GB"/>
        </w:rPr>
        <w:t>OB</w:t>
      </w:r>
      <w:r w:rsidRPr="00A71C66">
        <w:rPr>
          <w:lang w:val="en-GB"/>
        </w:rPr>
        <w:t xml:space="preserve"> </w:t>
      </w:r>
      <w:r w:rsidR="00973573">
        <w:rPr>
          <w:lang w:val="en-GB"/>
        </w:rPr>
        <w:t xml:space="preserve">and MHO </w:t>
      </w:r>
      <w:r w:rsidRPr="00A71C66">
        <w:rPr>
          <w:lang w:val="en-GB"/>
        </w:rPr>
        <w:t xml:space="preserve">than in </w:t>
      </w:r>
      <w:r w:rsidR="00766DAB">
        <w:rPr>
          <w:lang w:val="en-GB"/>
        </w:rPr>
        <w:t>HC</w:t>
      </w:r>
      <w:r w:rsidR="00973573">
        <w:rPr>
          <w:lang w:val="en-GB"/>
        </w:rPr>
        <w:t xml:space="preserve"> group</w:t>
      </w:r>
      <w:r w:rsidRPr="00A71C66">
        <w:rPr>
          <w:lang w:val="en-GB"/>
        </w:rPr>
        <w:t xml:space="preserve"> (q</w:t>
      </w:r>
      <w:r w:rsidR="00B93B1C">
        <w:rPr>
          <w:lang w:val="en-GB"/>
        </w:rPr>
        <w:t xml:space="preserve"> </w:t>
      </w:r>
      <w:r w:rsidRPr="00A71C66">
        <w:rPr>
          <w:lang w:val="en-GB"/>
        </w:rPr>
        <w:t>= 0.0003).</w:t>
      </w:r>
      <w:r w:rsidR="00973573" w:rsidRPr="00973573">
        <w:rPr>
          <w:lang w:val="en-US"/>
        </w:rPr>
        <w:t xml:space="preserve"> </w:t>
      </w:r>
      <w:r w:rsidR="00B75F57">
        <w:rPr>
          <w:lang w:val="en-GB"/>
        </w:rPr>
        <w:t>St</w:t>
      </w:r>
      <w:r w:rsidR="00973573" w:rsidRPr="00973573">
        <w:rPr>
          <w:lang w:val="en-GB"/>
        </w:rPr>
        <w:t xml:space="preserve">udies reported the same trend of </w:t>
      </w:r>
      <w:r w:rsidR="00973573" w:rsidRPr="00973573">
        <w:rPr>
          <w:i/>
          <w:iCs/>
          <w:lang w:val="en-GB"/>
        </w:rPr>
        <w:t>Clostridium</w:t>
      </w:r>
      <w:r w:rsidR="00973573" w:rsidRPr="00973573">
        <w:rPr>
          <w:lang w:val="en-GB"/>
        </w:rPr>
        <w:t xml:space="preserve"> species comparing obese and control subjects, and </w:t>
      </w:r>
      <w:r w:rsidR="00973573" w:rsidRPr="00973573">
        <w:rPr>
          <w:i/>
          <w:iCs/>
          <w:lang w:val="en-GB"/>
        </w:rPr>
        <w:t>Clostridium coccoides</w:t>
      </w:r>
      <w:r w:rsidR="00973573" w:rsidRPr="00973573">
        <w:rPr>
          <w:lang w:val="en-GB"/>
        </w:rPr>
        <w:t xml:space="preserve"> resulted inversely related to insulin and HOMA index levels</w:t>
      </w:r>
      <w:r w:rsidR="00973573">
        <w:rPr>
          <w:lang w:val="en-GB"/>
        </w:rPr>
        <w:t xml:space="preserve"> (</w:t>
      </w:r>
      <w:r w:rsidR="00973573" w:rsidRPr="00973573">
        <w:rPr>
          <w:lang w:val="en-GB"/>
        </w:rPr>
        <w:t>Teixeira et al., 2013</w:t>
      </w:r>
      <w:r w:rsidR="00973573">
        <w:rPr>
          <w:lang w:val="en-GB"/>
        </w:rPr>
        <w:t>)</w:t>
      </w:r>
      <w:r w:rsidR="00973573" w:rsidRPr="00973573">
        <w:rPr>
          <w:lang w:val="en-GB"/>
        </w:rPr>
        <w:t>.</w:t>
      </w:r>
      <w:r w:rsidRPr="00A71C66">
        <w:rPr>
          <w:lang w:val="en-GB"/>
        </w:rPr>
        <w:t xml:space="preserve"> </w:t>
      </w:r>
      <w:r w:rsidRPr="00766DAB">
        <w:rPr>
          <w:i/>
          <w:iCs/>
          <w:lang w:val="en-GB"/>
        </w:rPr>
        <w:t>Lactobacillus</w:t>
      </w:r>
      <w:r w:rsidRPr="00A71C66">
        <w:rPr>
          <w:lang w:val="en-GB"/>
        </w:rPr>
        <w:t xml:space="preserve"> genus (q = 0.0</w:t>
      </w:r>
      <w:r w:rsidR="00A12236">
        <w:rPr>
          <w:lang w:val="en-GB"/>
        </w:rPr>
        <w:t>2</w:t>
      </w:r>
      <w:r w:rsidRPr="00A71C66">
        <w:rPr>
          <w:lang w:val="en-GB"/>
        </w:rPr>
        <w:t xml:space="preserve">) and </w:t>
      </w:r>
      <w:proofErr w:type="spellStart"/>
      <w:r w:rsidRPr="00766DAB">
        <w:rPr>
          <w:i/>
          <w:iCs/>
          <w:lang w:val="en-GB"/>
        </w:rPr>
        <w:t>Lactiplantibacillus</w:t>
      </w:r>
      <w:proofErr w:type="spellEnd"/>
      <w:r w:rsidR="00766DAB">
        <w:rPr>
          <w:i/>
          <w:iCs/>
          <w:lang w:val="en-GB"/>
        </w:rPr>
        <w:t xml:space="preserve"> (</w:t>
      </w:r>
      <w:proofErr w:type="spellStart"/>
      <w:r w:rsidR="00766DAB">
        <w:rPr>
          <w:i/>
          <w:iCs/>
          <w:lang w:val="en-GB"/>
        </w:rPr>
        <w:t>Lp</w:t>
      </w:r>
      <w:proofErr w:type="spellEnd"/>
      <w:r w:rsidR="00766DAB">
        <w:rPr>
          <w:i/>
          <w:iCs/>
          <w:lang w:val="en-GB"/>
        </w:rPr>
        <w:t>.)</w:t>
      </w:r>
      <w:r w:rsidRPr="00766DAB">
        <w:rPr>
          <w:i/>
          <w:iCs/>
          <w:lang w:val="en-GB"/>
        </w:rPr>
        <w:t xml:space="preserve"> plantarum </w:t>
      </w:r>
      <w:r w:rsidRPr="00A71C66">
        <w:rPr>
          <w:lang w:val="en-GB"/>
        </w:rPr>
        <w:t>(q</w:t>
      </w:r>
      <w:r w:rsidR="00B93B1C">
        <w:rPr>
          <w:lang w:val="en-GB"/>
        </w:rPr>
        <w:t xml:space="preserve"> </w:t>
      </w:r>
      <w:r w:rsidRPr="00A71C66">
        <w:rPr>
          <w:lang w:val="en-GB"/>
        </w:rPr>
        <w:t>= 0.0</w:t>
      </w:r>
      <w:r w:rsidR="00A12236">
        <w:rPr>
          <w:lang w:val="en-GB"/>
        </w:rPr>
        <w:t>2</w:t>
      </w:r>
      <w:r w:rsidRPr="00A71C66">
        <w:rPr>
          <w:lang w:val="en-GB"/>
        </w:rPr>
        <w:t xml:space="preserve">) were higher in </w:t>
      </w:r>
      <w:r w:rsidR="00766DAB">
        <w:rPr>
          <w:lang w:val="en-GB"/>
        </w:rPr>
        <w:t xml:space="preserve">MHO </w:t>
      </w:r>
      <w:r w:rsidRPr="00A71C66">
        <w:rPr>
          <w:lang w:val="en-GB"/>
        </w:rPr>
        <w:t xml:space="preserve">subjects, while </w:t>
      </w:r>
      <w:r w:rsidRPr="00766DAB">
        <w:rPr>
          <w:i/>
          <w:iCs/>
          <w:lang w:val="en-GB"/>
        </w:rPr>
        <w:t>Prevotella</w:t>
      </w:r>
      <w:r w:rsidRPr="00A71C66">
        <w:rPr>
          <w:lang w:val="en-GB"/>
        </w:rPr>
        <w:t xml:space="preserve"> (q</w:t>
      </w:r>
      <w:r w:rsidR="00B93B1C">
        <w:rPr>
          <w:lang w:val="en-GB"/>
        </w:rPr>
        <w:t xml:space="preserve"> </w:t>
      </w:r>
      <w:r w:rsidRPr="00A71C66">
        <w:rPr>
          <w:lang w:val="en-GB"/>
        </w:rPr>
        <w:t xml:space="preserve">= 0.03), </w:t>
      </w:r>
      <w:r w:rsidRPr="00766DAB">
        <w:rPr>
          <w:i/>
          <w:iCs/>
          <w:lang w:val="en-GB"/>
        </w:rPr>
        <w:t>Desulfovibrio</w:t>
      </w:r>
      <w:r w:rsidRPr="00A71C66">
        <w:rPr>
          <w:lang w:val="en-GB"/>
        </w:rPr>
        <w:t xml:space="preserve"> (q</w:t>
      </w:r>
      <w:r w:rsidR="00B93B1C">
        <w:rPr>
          <w:lang w:val="en-GB"/>
        </w:rPr>
        <w:t xml:space="preserve"> </w:t>
      </w:r>
      <w:r w:rsidRPr="00A71C66">
        <w:rPr>
          <w:lang w:val="en-GB"/>
        </w:rPr>
        <w:t xml:space="preserve">= 0.02), and </w:t>
      </w:r>
      <w:proofErr w:type="spellStart"/>
      <w:r w:rsidRPr="00766DAB">
        <w:rPr>
          <w:i/>
          <w:iCs/>
          <w:lang w:val="en-GB"/>
        </w:rPr>
        <w:t>L</w:t>
      </w:r>
      <w:r w:rsidR="00766DAB" w:rsidRPr="00766DAB">
        <w:rPr>
          <w:i/>
          <w:iCs/>
          <w:lang w:val="en-GB"/>
        </w:rPr>
        <w:t>p</w:t>
      </w:r>
      <w:proofErr w:type="spellEnd"/>
      <w:r w:rsidR="00766DAB" w:rsidRPr="00766DAB">
        <w:rPr>
          <w:i/>
          <w:iCs/>
          <w:lang w:val="en-GB"/>
        </w:rPr>
        <w:t>.</w:t>
      </w:r>
      <w:r w:rsidRPr="00766DAB">
        <w:rPr>
          <w:i/>
          <w:iCs/>
          <w:lang w:val="en-GB"/>
        </w:rPr>
        <w:t xml:space="preserve"> plantarum</w:t>
      </w:r>
      <w:r w:rsidRPr="00A71C66">
        <w:rPr>
          <w:lang w:val="en-GB"/>
        </w:rPr>
        <w:t xml:space="preserve"> (q</w:t>
      </w:r>
      <w:r w:rsidR="00B93B1C">
        <w:rPr>
          <w:lang w:val="en-GB"/>
        </w:rPr>
        <w:t xml:space="preserve"> </w:t>
      </w:r>
      <w:r w:rsidRPr="00A71C66">
        <w:rPr>
          <w:lang w:val="en-GB"/>
        </w:rPr>
        <w:t xml:space="preserve">= 0.04) enriched the microbiome of </w:t>
      </w:r>
      <w:r w:rsidR="00766DAB">
        <w:rPr>
          <w:lang w:val="en-GB"/>
        </w:rPr>
        <w:t>OB patients</w:t>
      </w:r>
      <w:r w:rsidR="00973573">
        <w:rPr>
          <w:lang w:val="en-GB"/>
        </w:rPr>
        <w:t>, compared to HC</w:t>
      </w:r>
      <w:r w:rsidRPr="00A71C66">
        <w:rPr>
          <w:lang w:val="en-GB"/>
        </w:rPr>
        <w:t xml:space="preserve">. </w:t>
      </w:r>
      <w:r w:rsidR="00973573" w:rsidRPr="00973573">
        <w:rPr>
          <w:i/>
          <w:iCs/>
          <w:lang w:val="en-GB"/>
        </w:rPr>
        <w:lastRenderedPageBreak/>
        <w:t>Prevotella</w:t>
      </w:r>
      <w:r w:rsidR="00973573" w:rsidRPr="00973573">
        <w:rPr>
          <w:lang w:val="en-GB"/>
        </w:rPr>
        <w:t xml:space="preserve"> is correlated with the hormone ghrelin, lead to an </w:t>
      </w:r>
      <w:r w:rsidR="00973573" w:rsidRPr="00A12236">
        <w:rPr>
          <w:lang w:val="en-GB"/>
        </w:rPr>
        <w:t xml:space="preserve">increment of appetite </w:t>
      </w:r>
      <w:r w:rsidR="00973573" w:rsidRPr="00A12236">
        <w:rPr>
          <w:lang w:val="en-US"/>
        </w:rPr>
        <w:t>(Gomes et al., 2018)</w:t>
      </w:r>
      <w:r w:rsidR="00973573" w:rsidRPr="00A12236">
        <w:rPr>
          <w:lang w:val="en-GB"/>
        </w:rPr>
        <w:t>; while</w:t>
      </w:r>
      <w:r w:rsidR="00973573" w:rsidRPr="00973573">
        <w:rPr>
          <w:lang w:val="en-GB"/>
        </w:rPr>
        <w:t xml:space="preserve"> higher amounts of </w:t>
      </w:r>
      <w:r w:rsidR="00973573" w:rsidRPr="00973573">
        <w:rPr>
          <w:i/>
          <w:iCs/>
          <w:lang w:val="en-GB"/>
        </w:rPr>
        <w:t>Desulfovibrio</w:t>
      </w:r>
      <w:r w:rsidR="00973573" w:rsidRPr="00973573">
        <w:rPr>
          <w:lang w:val="en-GB"/>
        </w:rPr>
        <w:t xml:space="preserve">, is correlated with metabolic alteration, as </w:t>
      </w:r>
      <w:proofErr w:type="gramStart"/>
      <w:r w:rsidR="00973573" w:rsidRPr="00973573">
        <w:rPr>
          <w:lang w:val="en-GB"/>
        </w:rPr>
        <w:t>Non Alcoholic</w:t>
      </w:r>
      <w:proofErr w:type="gramEnd"/>
      <w:r w:rsidR="00973573" w:rsidRPr="00973573">
        <w:rPr>
          <w:lang w:val="en-GB"/>
        </w:rPr>
        <w:t xml:space="preserve"> Fatty Liver Disease (Lin et al., 2022)</w:t>
      </w:r>
      <w:r w:rsidR="00973573">
        <w:rPr>
          <w:lang w:val="en-GB"/>
        </w:rPr>
        <w:t xml:space="preserve">. </w:t>
      </w:r>
      <w:r w:rsidR="00766DAB">
        <w:rPr>
          <w:lang w:val="en-GB"/>
        </w:rPr>
        <w:t>Considering volatile metabolome</w:t>
      </w:r>
      <w:r w:rsidR="00766DAB" w:rsidRPr="00766DAB">
        <w:rPr>
          <w:lang w:val="en-GB"/>
        </w:rPr>
        <w:t xml:space="preserve">, compared to MHO subjects, the HC group presented higher quantity of </w:t>
      </w:r>
      <w:r w:rsidR="00766DAB">
        <w:rPr>
          <w:lang w:val="en-GB"/>
        </w:rPr>
        <w:t>t</w:t>
      </w:r>
      <w:r w:rsidR="00766DAB" w:rsidRPr="00766DAB">
        <w:rPr>
          <w:lang w:val="en-GB"/>
        </w:rPr>
        <w:t>etradecane, 2H-</w:t>
      </w:r>
      <w:r w:rsidR="00766DAB">
        <w:rPr>
          <w:lang w:val="en-GB"/>
        </w:rPr>
        <w:t>i</w:t>
      </w:r>
      <w:r w:rsidR="00766DAB" w:rsidRPr="00766DAB">
        <w:rPr>
          <w:lang w:val="en-GB"/>
        </w:rPr>
        <w:t>ndol-2-one-1,3-dihydro, 2-</w:t>
      </w:r>
      <w:r w:rsidR="00766DAB">
        <w:rPr>
          <w:lang w:val="en-GB"/>
        </w:rPr>
        <w:t>t</w:t>
      </w:r>
      <w:r w:rsidR="00766DAB" w:rsidRPr="00766DAB">
        <w:rPr>
          <w:lang w:val="en-GB"/>
        </w:rPr>
        <w:t xml:space="preserve">ridecanone, </w:t>
      </w:r>
      <w:proofErr w:type="spellStart"/>
      <w:r w:rsidR="00766DAB">
        <w:rPr>
          <w:lang w:val="en-GB"/>
        </w:rPr>
        <w:t>b</w:t>
      </w:r>
      <w:r w:rsidR="00766DAB" w:rsidRPr="00766DAB">
        <w:rPr>
          <w:lang w:val="en-GB"/>
        </w:rPr>
        <w:t>enzeneacetaldehyde</w:t>
      </w:r>
      <w:proofErr w:type="spellEnd"/>
      <w:r w:rsidR="00766DAB" w:rsidRPr="00766DAB">
        <w:rPr>
          <w:lang w:val="en-GB"/>
        </w:rPr>
        <w:t xml:space="preserve">, </w:t>
      </w:r>
      <w:r w:rsidR="00766DAB">
        <w:rPr>
          <w:lang w:val="en-GB"/>
        </w:rPr>
        <w:t>b</w:t>
      </w:r>
      <w:r w:rsidR="00766DAB" w:rsidRPr="00766DAB">
        <w:rPr>
          <w:lang w:val="en-GB"/>
        </w:rPr>
        <w:t>utanal-3-methyl-2, and gamma</w:t>
      </w:r>
      <w:r w:rsidR="00766DAB">
        <w:rPr>
          <w:lang w:val="en-GB"/>
        </w:rPr>
        <w:t>-t</w:t>
      </w:r>
      <w:r w:rsidR="00766DAB" w:rsidRPr="00766DAB">
        <w:rPr>
          <w:lang w:val="en-GB"/>
        </w:rPr>
        <w:t>erpinene (</w:t>
      </w:r>
      <w:r w:rsidR="00A12236">
        <w:rPr>
          <w:lang w:val="en-GB"/>
        </w:rPr>
        <w:t>p</w:t>
      </w:r>
      <w:r w:rsidR="00766DAB" w:rsidRPr="00766DAB">
        <w:rPr>
          <w:lang w:val="en-GB"/>
        </w:rPr>
        <w:t xml:space="preserve"> &gt; 0.05). Compared to OB subjects, HC volunteers reported greater amount of </w:t>
      </w:r>
      <w:r w:rsidR="00B93B1C">
        <w:rPr>
          <w:lang w:val="en-GB"/>
        </w:rPr>
        <w:t>n</w:t>
      </w:r>
      <w:r w:rsidR="00766DAB" w:rsidRPr="00766DAB">
        <w:rPr>
          <w:lang w:val="en-GB"/>
        </w:rPr>
        <w:t>onanoic acid, gamma</w:t>
      </w:r>
      <w:r w:rsidR="00B93B1C">
        <w:rPr>
          <w:lang w:val="en-GB"/>
        </w:rPr>
        <w:t>-t</w:t>
      </w:r>
      <w:r w:rsidR="00766DAB" w:rsidRPr="00766DAB">
        <w:rPr>
          <w:lang w:val="en-GB"/>
        </w:rPr>
        <w:t xml:space="preserve">erpinene, </w:t>
      </w:r>
      <w:proofErr w:type="spellStart"/>
      <w:r w:rsidR="00B93B1C">
        <w:rPr>
          <w:lang w:val="en-GB"/>
        </w:rPr>
        <w:t>c</w:t>
      </w:r>
      <w:r w:rsidR="00766DAB" w:rsidRPr="00766DAB">
        <w:rPr>
          <w:lang w:val="en-GB"/>
        </w:rPr>
        <w:t>yclohexanecarboxylic</w:t>
      </w:r>
      <w:proofErr w:type="spellEnd"/>
      <w:r w:rsidR="00766DAB" w:rsidRPr="00766DAB">
        <w:rPr>
          <w:lang w:val="en-GB"/>
        </w:rPr>
        <w:t xml:space="preserve"> acid, </w:t>
      </w:r>
      <w:proofErr w:type="spellStart"/>
      <w:r w:rsidR="00B93B1C">
        <w:rPr>
          <w:lang w:val="en-GB"/>
        </w:rPr>
        <w:t>p</w:t>
      </w:r>
      <w:r w:rsidR="00766DAB" w:rsidRPr="00766DAB">
        <w:rPr>
          <w:lang w:val="en-GB"/>
        </w:rPr>
        <w:t>entanoic</w:t>
      </w:r>
      <w:proofErr w:type="spellEnd"/>
      <w:r w:rsidR="00766DAB" w:rsidRPr="00766DAB">
        <w:rPr>
          <w:lang w:val="en-GB"/>
        </w:rPr>
        <w:t xml:space="preserve"> acid, butyl ester, alpha </w:t>
      </w:r>
      <w:proofErr w:type="spellStart"/>
      <w:r w:rsidR="00B93B1C">
        <w:rPr>
          <w:lang w:val="en-GB"/>
        </w:rPr>
        <w:t>p</w:t>
      </w:r>
      <w:r w:rsidR="00766DAB" w:rsidRPr="00766DAB">
        <w:rPr>
          <w:lang w:val="en-GB"/>
        </w:rPr>
        <w:t>helladrene</w:t>
      </w:r>
      <w:proofErr w:type="spellEnd"/>
      <w:r w:rsidR="00766DAB" w:rsidRPr="00766DAB">
        <w:rPr>
          <w:lang w:val="en-GB"/>
        </w:rPr>
        <w:t xml:space="preserve">, and </w:t>
      </w:r>
      <w:r w:rsidR="00B93B1C">
        <w:rPr>
          <w:lang w:val="en-GB"/>
        </w:rPr>
        <w:t>h</w:t>
      </w:r>
      <w:r w:rsidR="00766DAB" w:rsidRPr="00766DAB">
        <w:rPr>
          <w:lang w:val="en-GB"/>
        </w:rPr>
        <w:t>umulene. On the other hand, OB subjects showed higher levels of 2-</w:t>
      </w:r>
      <w:r w:rsidR="00B93B1C">
        <w:rPr>
          <w:lang w:val="en-GB"/>
        </w:rPr>
        <w:t>u</w:t>
      </w:r>
      <w:r w:rsidR="00766DAB" w:rsidRPr="00766DAB">
        <w:rPr>
          <w:lang w:val="en-GB"/>
        </w:rPr>
        <w:t>ndecanone, 2-</w:t>
      </w:r>
      <w:r w:rsidR="00B93B1C">
        <w:rPr>
          <w:lang w:val="en-GB"/>
        </w:rPr>
        <w:t>p</w:t>
      </w:r>
      <w:r w:rsidR="00766DAB" w:rsidRPr="00766DAB">
        <w:rPr>
          <w:lang w:val="en-GB"/>
        </w:rPr>
        <w:t>entadecanone, and 2-</w:t>
      </w:r>
      <w:r w:rsidR="00B93B1C">
        <w:rPr>
          <w:lang w:val="en-GB"/>
        </w:rPr>
        <w:t>h</w:t>
      </w:r>
      <w:r w:rsidR="00766DAB" w:rsidRPr="00766DAB">
        <w:rPr>
          <w:lang w:val="en-GB"/>
        </w:rPr>
        <w:t xml:space="preserve">exadecanone compared to HC subjects, and higher levels of </w:t>
      </w:r>
      <w:r w:rsidR="00B93B1C">
        <w:rPr>
          <w:lang w:val="en-GB"/>
        </w:rPr>
        <w:t>n</w:t>
      </w:r>
      <w:r w:rsidR="00766DAB" w:rsidRPr="00766DAB">
        <w:rPr>
          <w:lang w:val="en-GB"/>
        </w:rPr>
        <w:t xml:space="preserve">onadecane, </w:t>
      </w:r>
      <w:r w:rsidR="00B93B1C">
        <w:rPr>
          <w:lang w:val="en-GB"/>
        </w:rPr>
        <w:t>i</w:t>
      </w:r>
      <w:r w:rsidR="00766DAB" w:rsidRPr="00766DAB">
        <w:rPr>
          <w:lang w:val="en-GB"/>
        </w:rPr>
        <w:t>ndole, and 1H-</w:t>
      </w:r>
      <w:r w:rsidR="00B93B1C">
        <w:rPr>
          <w:lang w:val="en-GB"/>
        </w:rPr>
        <w:t>p</w:t>
      </w:r>
      <w:r w:rsidR="00766DAB" w:rsidRPr="00766DAB">
        <w:rPr>
          <w:lang w:val="en-GB"/>
        </w:rPr>
        <w:t>yrrole-2,5-dione, 3-ehyl than MHO group</w:t>
      </w:r>
      <w:r w:rsidR="00766DAB">
        <w:rPr>
          <w:lang w:val="en-GB"/>
        </w:rPr>
        <w:t>.</w:t>
      </w:r>
      <w:r w:rsidR="00766DAB" w:rsidRPr="00766DAB">
        <w:rPr>
          <w:lang w:val="en-GB"/>
        </w:rPr>
        <w:t xml:space="preserve"> </w:t>
      </w:r>
      <w:r w:rsidRPr="00A71C66">
        <w:rPr>
          <w:lang w:val="en-GB"/>
        </w:rPr>
        <w:t xml:space="preserve">In addition, a lower presence of </w:t>
      </w:r>
      <w:r w:rsidR="00B93B1C">
        <w:rPr>
          <w:lang w:val="en-GB"/>
        </w:rPr>
        <w:t>b</w:t>
      </w:r>
      <w:r w:rsidRPr="00A71C66">
        <w:rPr>
          <w:lang w:val="en-GB"/>
        </w:rPr>
        <w:t xml:space="preserve">utanoic acid was observed in </w:t>
      </w:r>
      <w:r w:rsidR="00B93B1C">
        <w:rPr>
          <w:lang w:val="en-GB"/>
        </w:rPr>
        <w:t>OB patients compared to MHO group</w:t>
      </w:r>
      <w:r w:rsidRPr="00A71C66">
        <w:rPr>
          <w:lang w:val="en-GB"/>
        </w:rPr>
        <w:t>.</w:t>
      </w:r>
    </w:p>
    <w:p w14:paraId="1D04E319" w14:textId="5B57134B" w:rsidR="002C1002" w:rsidRDefault="002C1002" w:rsidP="00766DAB">
      <w:pPr>
        <w:jc w:val="both"/>
        <w:rPr>
          <w:lang w:val="en-GB"/>
        </w:rPr>
      </w:pPr>
      <w:r>
        <w:rPr>
          <w:lang w:val="en-US"/>
        </w:rPr>
        <w:t>The preliminary results support the association between metabolic diseases and differences in gut microbiota between healthy and unhealthy obese subjects. Furthermore, such differences in gut microbiota could be used as biomarkers for a less invasive diagnosis of pathological obesity.</w:t>
      </w:r>
    </w:p>
    <w:p w14:paraId="1877FEA2" w14:textId="77777777" w:rsidR="00282C10" w:rsidRDefault="00282C10" w:rsidP="002A3A36">
      <w:pPr>
        <w:jc w:val="both"/>
        <w:rPr>
          <w:lang w:val="en-GB"/>
        </w:rPr>
      </w:pPr>
    </w:p>
    <w:p w14:paraId="44F8D5D3" w14:textId="30564E9F" w:rsidR="00282C10" w:rsidRDefault="00282C10" w:rsidP="002A3A36">
      <w:pPr>
        <w:jc w:val="both"/>
        <w:rPr>
          <w:b/>
          <w:bCs/>
          <w:lang w:val="en-US"/>
        </w:rPr>
      </w:pPr>
      <w:r>
        <w:rPr>
          <w:b/>
          <w:bCs/>
          <w:lang w:val="en-US"/>
        </w:rPr>
        <w:t>3</w:t>
      </w:r>
      <w:r w:rsidRPr="009869A1">
        <w:rPr>
          <w:b/>
          <w:bCs/>
          <w:lang w:val="en-US"/>
        </w:rPr>
        <w:t>.</w:t>
      </w:r>
      <w:r>
        <w:rPr>
          <w:b/>
          <w:bCs/>
          <w:lang w:val="en-US"/>
        </w:rPr>
        <w:t>4</w:t>
      </w:r>
      <w:r w:rsidRPr="009869A1">
        <w:rPr>
          <w:b/>
          <w:bCs/>
          <w:lang w:val="en-US"/>
        </w:rPr>
        <w:t xml:space="preserve"> </w:t>
      </w:r>
      <w:r w:rsidR="001D1D3C">
        <w:rPr>
          <w:b/>
          <w:bCs/>
          <w:lang w:val="en-US"/>
        </w:rPr>
        <w:t>Investigate the d</w:t>
      </w:r>
      <w:r w:rsidR="002C1002" w:rsidRPr="002C1002">
        <w:rPr>
          <w:b/>
          <w:bCs/>
          <w:lang w:val="en-US"/>
        </w:rPr>
        <w:t>ifferences of the gut microbiota and metabolome in patients affected by different types of nephropathies.</w:t>
      </w:r>
    </w:p>
    <w:p w14:paraId="52EF556C" w14:textId="39F790F8" w:rsidR="00B143C7" w:rsidRPr="004B68BD" w:rsidRDefault="00A30C07" w:rsidP="004B68BD">
      <w:pPr>
        <w:spacing w:after="240"/>
        <w:jc w:val="both"/>
        <w:rPr>
          <w:lang w:val="en-GB"/>
        </w:rPr>
      </w:pPr>
      <w:r w:rsidRPr="00A30C07">
        <w:rPr>
          <w:lang w:val="en-GB"/>
        </w:rPr>
        <w:t xml:space="preserve">Blood biochemical variables highlighted four distinct profiles relative to the four groups of nephropathic patients. </w:t>
      </w:r>
      <w:r w:rsidR="004D5775">
        <w:rPr>
          <w:lang w:val="en-GB"/>
        </w:rPr>
        <w:t>A</w:t>
      </w:r>
      <w:r w:rsidRPr="00A30C07">
        <w:rPr>
          <w:lang w:val="en-GB"/>
        </w:rPr>
        <w:t xml:space="preserve"> discriminant analysis of principal components separat</w:t>
      </w:r>
      <w:r w:rsidR="004D5775">
        <w:rPr>
          <w:lang w:val="en-GB"/>
        </w:rPr>
        <w:t>ed samples</w:t>
      </w:r>
      <w:r w:rsidRPr="00A30C07">
        <w:rPr>
          <w:lang w:val="en-GB"/>
        </w:rPr>
        <w:t xml:space="preserve"> </w:t>
      </w:r>
      <w:r w:rsidR="004D5775">
        <w:rPr>
          <w:lang w:val="en-GB"/>
        </w:rPr>
        <w:t>based on</w:t>
      </w:r>
      <w:r w:rsidRPr="00A30C07">
        <w:rPr>
          <w:lang w:val="en-GB"/>
        </w:rPr>
        <w:t xml:space="preserve"> the microbial profiles</w:t>
      </w:r>
      <w:r w:rsidR="004D5775">
        <w:rPr>
          <w:lang w:val="en-GB"/>
        </w:rPr>
        <w:t>. In detail,</w:t>
      </w:r>
      <w:r w:rsidRPr="00A30C07">
        <w:rPr>
          <w:lang w:val="en-GB"/>
        </w:rPr>
        <w:t xml:space="preserve"> HC and ADPKD </w:t>
      </w:r>
      <w:r w:rsidR="004D5775">
        <w:rPr>
          <w:lang w:val="en-GB"/>
        </w:rPr>
        <w:t xml:space="preserve">were separated to </w:t>
      </w:r>
      <w:r w:rsidRPr="00A30C07">
        <w:rPr>
          <w:lang w:val="en-GB"/>
        </w:rPr>
        <w:t xml:space="preserve">CKD, DKD, and IgAn groups, </w:t>
      </w:r>
      <w:r w:rsidR="004D5775">
        <w:rPr>
          <w:lang w:val="en-GB"/>
        </w:rPr>
        <w:t>which</w:t>
      </w:r>
      <w:r w:rsidRPr="00A30C07">
        <w:rPr>
          <w:lang w:val="en-GB"/>
        </w:rPr>
        <w:t xml:space="preserve"> cluster</w:t>
      </w:r>
      <w:r w:rsidR="004D5775">
        <w:rPr>
          <w:lang w:val="en-GB"/>
        </w:rPr>
        <w:t>ed</w:t>
      </w:r>
      <w:r w:rsidRPr="00A30C07">
        <w:rPr>
          <w:lang w:val="en-GB"/>
        </w:rPr>
        <w:t xml:space="preserve"> together</w:t>
      </w:r>
      <w:r w:rsidR="00B143C7">
        <w:rPr>
          <w:lang w:val="en-GB"/>
        </w:rPr>
        <w:t xml:space="preserve"> (Fig</w:t>
      </w:r>
      <w:r w:rsidR="000B7161">
        <w:rPr>
          <w:lang w:val="en-GB"/>
        </w:rPr>
        <w:t>.</w:t>
      </w:r>
      <w:r w:rsidR="00B143C7">
        <w:rPr>
          <w:lang w:val="en-GB"/>
        </w:rPr>
        <w:t xml:space="preserve"> </w:t>
      </w:r>
      <w:r w:rsidR="000B7161">
        <w:rPr>
          <w:lang w:val="en-GB"/>
        </w:rPr>
        <w:t>2</w:t>
      </w:r>
      <w:r w:rsidR="00B143C7">
        <w:rPr>
          <w:lang w:val="en-GB"/>
        </w:rPr>
        <w:t>)</w:t>
      </w:r>
      <w:r w:rsidRPr="00A30C07">
        <w:rPr>
          <w:lang w:val="en-GB"/>
        </w:rPr>
        <w:t>.</w:t>
      </w:r>
    </w:p>
    <w:p w14:paraId="29E20970" w14:textId="77777777" w:rsidR="004B68BD" w:rsidRDefault="00B143C7" w:rsidP="004B68BD">
      <w:pPr>
        <w:keepNext/>
        <w:spacing w:after="240"/>
        <w:jc w:val="both"/>
      </w:pPr>
      <w:r>
        <w:rPr>
          <w:b/>
          <w:bCs/>
          <w:noProof/>
        </w:rPr>
        <w:drawing>
          <wp:inline distT="0" distB="0" distL="0" distR="0" wp14:anchorId="54C1C3EE" wp14:editId="1A627DBE">
            <wp:extent cx="4826000" cy="2127703"/>
            <wp:effectExtent l="0" t="0" r="0" b="6350"/>
            <wp:docPr id="193186513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865133" name="Immagine 1931865133"/>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4841075" cy="2134349"/>
                    </a:xfrm>
                    <a:prstGeom prst="rect">
                      <a:avLst/>
                    </a:prstGeom>
                  </pic:spPr>
                </pic:pic>
              </a:graphicData>
            </a:graphic>
          </wp:inline>
        </w:drawing>
      </w:r>
    </w:p>
    <w:p w14:paraId="7C10BFFD" w14:textId="63C9A08D" w:rsidR="00B143C7" w:rsidRPr="004B68BD" w:rsidRDefault="004B68BD" w:rsidP="004B68BD">
      <w:pPr>
        <w:pStyle w:val="Didascalia"/>
        <w:keepNext/>
        <w:spacing w:before="240"/>
        <w:jc w:val="both"/>
        <w:rPr>
          <w:b/>
          <w:bCs/>
          <w:color w:val="auto"/>
          <w:sz w:val="20"/>
          <w:szCs w:val="20"/>
          <w:lang w:val="en-US"/>
        </w:rPr>
      </w:pPr>
      <w:r w:rsidRPr="004B68BD">
        <w:rPr>
          <w:b/>
          <w:bCs/>
          <w:i w:val="0"/>
          <w:iCs w:val="0"/>
          <w:color w:val="auto"/>
          <w:lang w:val="en-US"/>
        </w:rPr>
        <w:t xml:space="preserve">Figure </w:t>
      </w:r>
      <w:r w:rsidR="000B7161" w:rsidRPr="00EC2B16">
        <w:rPr>
          <w:b/>
          <w:bCs/>
          <w:i w:val="0"/>
          <w:iCs w:val="0"/>
          <w:color w:val="auto"/>
          <w:lang w:val="en-US"/>
        </w:rPr>
        <w:t>2</w:t>
      </w:r>
      <w:r w:rsidRPr="004B68BD">
        <w:rPr>
          <w:b/>
          <w:bCs/>
          <w:i w:val="0"/>
          <w:iCs w:val="0"/>
          <w:color w:val="auto"/>
          <w:lang w:val="en-US"/>
        </w:rPr>
        <w:t xml:space="preserve">. </w:t>
      </w:r>
      <w:r w:rsidRPr="00B143C7">
        <w:rPr>
          <w:color w:val="auto"/>
          <w:lang w:val="en-US"/>
        </w:rPr>
        <w:t>A priori (A) and a posteriori (B) DAPC analysis of qPCR analysis.</w:t>
      </w:r>
    </w:p>
    <w:p w14:paraId="34537139" w14:textId="5F7963CC" w:rsidR="00A30C07" w:rsidRPr="00A30C07" w:rsidRDefault="004D5775" w:rsidP="00A30C07">
      <w:pPr>
        <w:jc w:val="both"/>
        <w:rPr>
          <w:lang w:val="en-GB"/>
        </w:rPr>
      </w:pPr>
      <w:r>
        <w:rPr>
          <w:lang w:val="en-GB"/>
        </w:rPr>
        <w:t>The variables that</w:t>
      </w:r>
      <w:r w:rsidR="00B143C7">
        <w:rPr>
          <w:lang w:val="en-GB"/>
        </w:rPr>
        <w:t xml:space="preserve"> had the</w:t>
      </w:r>
      <w:r>
        <w:rPr>
          <w:lang w:val="en-GB"/>
        </w:rPr>
        <w:t xml:space="preserve"> main </w:t>
      </w:r>
      <w:r w:rsidR="00B143C7">
        <w:rPr>
          <w:lang w:val="en-GB"/>
        </w:rPr>
        <w:t>impact on the subdivision in groups include species belonging to</w:t>
      </w:r>
      <w:r w:rsidR="00A30C07" w:rsidRPr="00A30C07">
        <w:rPr>
          <w:lang w:val="en-GB"/>
        </w:rPr>
        <w:t xml:space="preserve"> </w:t>
      </w:r>
      <w:r w:rsidR="00A30C07" w:rsidRPr="004D5775">
        <w:rPr>
          <w:i/>
          <w:iCs/>
          <w:lang w:val="en-GB"/>
        </w:rPr>
        <w:t>Bifidobacteria</w:t>
      </w:r>
      <w:r w:rsidR="00A30C07" w:rsidRPr="00A30C07">
        <w:rPr>
          <w:lang w:val="en-GB"/>
        </w:rPr>
        <w:t xml:space="preserve">, </w:t>
      </w:r>
      <w:r w:rsidR="00A30C07" w:rsidRPr="004D5775">
        <w:rPr>
          <w:i/>
          <w:iCs/>
          <w:lang w:val="en-GB"/>
        </w:rPr>
        <w:t>Lactobacillus</w:t>
      </w:r>
      <w:r w:rsidR="00A30C07" w:rsidRPr="00A30C07">
        <w:rPr>
          <w:lang w:val="en-GB"/>
        </w:rPr>
        <w:t xml:space="preserve">, </w:t>
      </w:r>
      <w:r w:rsidR="00A30C07" w:rsidRPr="004D5775">
        <w:rPr>
          <w:i/>
          <w:iCs/>
          <w:lang w:val="en-GB"/>
        </w:rPr>
        <w:t>Bacteroides</w:t>
      </w:r>
      <w:r w:rsidR="00A30C07" w:rsidRPr="00A30C07">
        <w:rPr>
          <w:lang w:val="en-GB"/>
        </w:rPr>
        <w:t xml:space="preserve">, and </w:t>
      </w:r>
      <w:r w:rsidR="00A30C07" w:rsidRPr="004D5775">
        <w:rPr>
          <w:i/>
          <w:iCs/>
          <w:lang w:val="en-GB"/>
        </w:rPr>
        <w:t>Clostridium</w:t>
      </w:r>
      <w:r w:rsidR="00B143C7">
        <w:rPr>
          <w:lang w:val="en-GB"/>
        </w:rPr>
        <w:t>,</w:t>
      </w:r>
      <w:r w:rsidR="00A30C07" w:rsidRPr="00A30C07">
        <w:rPr>
          <w:lang w:val="en-GB"/>
        </w:rPr>
        <w:t xml:space="preserve"> and </w:t>
      </w:r>
      <w:r w:rsidR="00A30C07" w:rsidRPr="004D5775">
        <w:rPr>
          <w:i/>
          <w:iCs/>
          <w:lang w:val="en-GB"/>
        </w:rPr>
        <w:t>Bifidobacterium</w:t>
      </w:r>
      <w:r w:rsidR="00A30C07" w:rsidRPr="00A30C07">
        <w:rPr>
          <w:lang w:val="en-GB"/>
        </w:rPr>
        <w:t xml:space="preserve">, </w:t>
      </w:r>
      <w:r w:rsidR="00A30C07" w:rsidRPr="004D5775">
        <w:rPr>
          <w:i/>
          <w:iCs/>
          <w:lang w:val="en-GB"/>
        </w:rPr>
        <w:t>Prevotella</w:t>
      </w:r>
      <w:r w:rsidR="00A30C07" w:rsidRPr="00A30C07">
        <w:rPr>
          <w:lang w:val="en-GB"/>
        </w:rPr>
        <w:t xml:space="preserve">, </w:t>
      </w:r>
      <w:r w:rsidR="00A30C07" w:rsidRPr="004D5775">
        <w:rPr>
          <w:i/>
          <w:iCs/>
          <w:lang w:val="en-GB"/>
        </w:rPr>
        <w:t>Desulfovibrio</w:t>
      </w:r>
      <w:r w:rsidR="00A30C07" w:rsidRPr="00A30C07">
        <w:rPr>
          <w:lang w:val="en-GB"/>
        </w:rPr>
        <w:t xml:space="preserve">, and </w:t>
      </w:r>
      <w:r w:rsidR="00A30C07" w:rsidRPr="004D5775">
        <w:rPr>
          <w:i/>
          <w:iCs/>
          <w:lang w:val="en-GB"/>
        </w:rPr>
        <w:t>Atopobium</w:t>
      </w:r>
      <w:r w:rsidR="00A30C07" w:rsidRPr="00A30C07">
        <w:rPr>
          <w:lang w:val="en-GB"/>
        </w:rPr>
        <w:t xml:space="preserve"> at the genus level.</w:t>
      </w:r>
      <w:r w:rsidR="00735E4F">
        <w:rPr>
          <w:lang w:val="en-GB"/>
        </w:rPr>
        <w:t xml:space="preserve"> T</w:t>
      </w:r>
      <w:r w:rsidR="00A30C07" w:rsidRPr="00A30C07">
        <w:rPr>
          <w:lang w:val="en-GB"/>
        </w:rPr>
        <w:t xml:space="preserve">he </w:t>
      </w:r>
      <w:r w:rsidR="00735E4F">
        <w:rPr>
          <w:lang w:val="en-GB"/>
        </w:rPr>
        <w:t xml:space="preserve">analysis of </w:t>
      </w:r>
      <w:r w:rsidR="00A30C07" w:rsidRPr="00A30C07">
        <w:rPr>
          <w:lang w:val="en-GB"/>
        </w:rPr>
        <w:t>volatile metabol</w:t>
      </w:r>
      <w:r w:rsidR="00735E4F">
        <w:rPr>
          <w:lang w:val="en-GB"/>
        </w:rPr>
        <w:t>ome led to distinguish</w:t>
      </w:r>
      <w:r w:rsidR="00A30C07" w:rsidRPr="00A30C07">
        <w:rPr>
          <w:lang w:val="en-GB"/>
        </w:rPr>
        <w:t xml:space="preserve"> three cluster</w:t>
      </w:r>
      <w:r w:rsidR="00735E4F">
        <w:rPr>
          <w:lang w:val="en-GB"/>
        </w:rPr>
        <w:t>s of samples</w:t>
      </w:r>
      <w:r w:rsidR="00A30C07" w:rsidRPr="00A30C07">
        <w:rPr>
          <w:lang w:val="en-GB"/>
        </w:rPr>
        <w:t>. IgAn was characterized by greater amounts of esters and ketones, ADPK and CKD by aldehydes, terpenes, sulfuric compounds, and fatty acids, while DKD and HC by greater concentration of indoles, hydrocarbons, alcohols, phenols, and carboxylic acids.</w:t>
      </w:r>
    </w:p>
    <w:p w14:paraId="5311D9DF" w14:textId="7E9D2CBB" w:rsidR="002C1002" w:rsidRPr="002C1002" w:rsidRDefault="00735E4F" w:rsidP="00957C34">
      <w:pPr>
        <w:jc w:val="both"/>
        <w:rPr>
          <w:lang w:val="en-GB"/>
        </w:rPr>
      </w:pPr>
      <w:r>
        <w:rPr>
          <w:lang w:val="en-GB"/>
        </w:rPr>
        <w:t xml:space="preserve">The different </w:t>
      </w:r>
      <w:r w:rsidR="00A30C07" w:rsidRPr="00A30C07">
        <w:rPr>
          <w:lang w:val="en-GB"/>
        </w:rPr>
        <w:t>nephropath</w:t>
      </w:r>
      <w:r>
        <w:rPr>
          <w:lang w:val="en-GB"/>
        </w:rPr>
        <w:t>ies were correlated with</w:t>
      </w:r>
      <w:r w:rsidR="00A30C07" w:rsidRPr="00A30C07">
        <w:rPr>
          <w:lang w:val="en-GB"/>
        </w:rPr>
        <w:t xml:space="preserve"> altered homeostasis. </w:t>
      </w:r>
      <w:r>
        <w:rPr>
          <w:lang w:val="en-GB"/>
        </w:rPr>
        <w:t xml:space="preserve">Our results highlighted the differences of microbial population and </w:t>
      </w:r>
      <w:r w:rsidR="00957C34">
        <w:rPr>
          <w:lang w:val="en-GB"/>
        </w:rPr>
        <w:t xml:space="preserve">intestinal metabolome associated with the different </w:t>
      </w:r>
      <w:r w:rsidR="00A30C07" w:rsidRPr="00A30C07">
        <w:rPr>
          <w:lang w:val="en-GB"/>
        </w:rPr>
        <w:t>impaired kidney function</w:t>
      </w:r>
      <w:r w:rsidR="00957C34">
        <w:rPr>
          <w:lang w:val="en-GB"/>
        </w:rPr>
        <w:t>s.</w:t>
      </w:r>
      <w:r w:rsidR="00A30C07" w:rsidRPr="00A30C07">
        <w:rPr>
          <w:lang w:val="en-GB"/>
        </w:rPr>
        <w:t xml:space="preserve"> </w:t>
      </w:r>
      <w:r w:rsidR="00957C34">
        <w:rPr>
          <w:lang w:val="en-GB"/>
        </w:rPr>
        <w:t>T</w:t>
      </w:r>
      <w:r w:rsidR="00A30C07" w:rsidRPr="00A30C07">
        <w:rPr>
          <w:lang w:val="en-GB"/>
        </w:rPr>
        <w:t xml:space="preserve">hese </w:t>
      </w:r>
      <w:r w:rsidR="00957C34">
        <w:rPr>
          <w:lang w:val="en-GB"/>
        </w:rPr>
        <w:t xml:space="preserve">preliminary results could be useful to understand the role of gut microbiota in nephropathic diseases, and evidence the possibility of </w:t>
      </w:r>
      <w:r w:rsidR="001D1D3C">
        <w:rPr>
          <w:lang w:val="en-GB"/>
        </w:rPr>
        <w:t>identifying</w:t>
      </w:r>
      <w:r w:rsidR="00957C34">
        <w:rPr>
          <w:lang w:val="en-GB"/>
        </w:rPr>
        <w:t xml:space="preserve"> some</w:t>
      </w:r>
      <w:r w:rsidR="00A30C07" w:rsidRPr="00A30C07">
        <w:rPr>
          <w:lang w:val="en-GB"/>
        </w:rPr>
        <w:t xml:space="preserve"> metabolites and taxa as </w:t>
      </w:r>
      <w:r w:rsidR="00957C34">
        <w:rPr>
          <w:lang w:val="en-GB"/>
        </w:rPr>
        <w:t>bio</w:t>
      </w:r>
      <w:r w:rsidR="00A30C07" w:rsidRPr="00A30C07">
        <w:rPr>
          <w:lang w:val="en-GB"/>
        </w:rPr>
        <w:t>markers useful to predict and stratify patient groups.</w:t>
      </w:r>
    </w:p>
    <w:p w14:paraId="192FCF4E" w14:textId="77777777" w:rsidR="00282C10" w:rsidRDefault="00282C10" w:rsidP="002A3A36">
      <w:pPr>
        <w:jc w:val="both"/>
        <w:rPr>
          <w:lang w:val="en-GB"/>
        </w:rPr>
      </w:pPr>
    </w:p>
    <w:p w14:paraId="5A309A08" w14:textId="7F0285E1" w:rsidR="00282C10" w:rsidRPr="001D1D3C" w:rsidRDefault="00282C10" w:rsidP="002A3A36">
      <w:pPr>
        <w:jc w:val="both"/>
        <w:rPr>
          <w:b/>
          <w:bCs/>
          <w:lang w:val="en-US"/>
        </w:rPr>
      </w:pPr>
      <w:r>
        <w:rPr>
          <w:b/>
          <w:bCs/>
          <w:lang w:val="en-US"/>
        </w:rPr>
        <w:t>3</w:t>
      </w:r>
      <w:r w:rsidRPr="009869A1">
        <w:rPr>
          <w:b/>
          <w:bCs/>
          <w:lang w:val="en-US"/>
        </w:rPr>
        <w:t>.</w:t>
      </w:r>
      <w:r>
        <w:rPr>
          <w:b/>
          <w:bCs/>
          <w:lang w:val="en-US"/>
        </w:rPr>
        <w:t>5</w:t>
      </w:r>
      <w:r w:rsidRPr="009869A1">
        <w:rPr>
          <w:b/>
          <w:bCs/>
          <w:lang w:val="en-US"/>
        </w:rPr>
        <w:t xml:space="preserve"> </w:t>
      </w:r>
      <w:r w:rsidR="001D1D3C" w:rsidRPr="001D1D3C">
        <w:rPr>
          <w:b/>
          <w:bCs/>
          <w:lang w:val="en-US"/>
        </w:rPr>
        <w:t>Characteriz</w:t>
      </w:r>
      <w:r w:rsidR="001D1D3C">
        <w:rPr>
          <w:b/>
          <w:bCs/>
          <w:lang w:val="en-US"/>
        </w:rPr>
        <w:t>e</w:t>
      </w:r>
      <w:r w:rsidR="001D1D3C" w:rsidRPr="001D1D3C">
        <w:rPr>
          <w:b/>
          <w:bCs/>
          <w:lang w:val="en-US"/>
        </w:rPr>
        <w:t xml:space="preserve"> and </w:t>
      </w:r>
      <w:proofErr w:type="spellStart"/>
      <w:r w:rsidR="001D1D3C" w:rsidRPr="001D1D3C">
        <w:rPr>
          <w:b/>
          <w:bCs/>
          <w:lang w:val="en-US"/>
        </w:rPr>
        <w:t>analys</w:t>
      </w:r>
      <w:r w:rsidR="001D1D3C">
        <w:rPr>
          <w:b/>
          <w:bCs/>
          <w:lang w:val="en-US"/>
        </w:rPr>
        <w:t>e</w:t>
      </w:r>
      <w:proofErr w:type="spellEnd"/>
      <w:r w:rsidR="001D1D3C" w:rsidRPr="001D1D3C">
        <w:rPr>
          <w:b/>
          <w:bCs/>
          <w:lang w:val="en-US"/>
        </w:rPr>
        <w:t xml:space="preserve"> </w:t>
      </w:r>
      <w:r w:rsidR="001D1D3C">
        <w:rPr>
          <w:b/>
          <w:bCs/>
          <w:lang w:val="en-US"/>
        </w:rPr>
        <w:t>the</w:t>
      </w:r>
      <w:r w:rsidR="001D1D3C" w:rsidRPr="001D1D3C">
        <w:rPr>
          <w:b/>
          <w:bCs/>
          <w:lang w:val="en-US"/>
        </w:rPr>
        <w:t xml:space="preserve"> microbiological activity of functional pasta samples enriched with different bioactive waste ingredients.</w:t>
      </w:r>
    </w:p>
    <w:p w14:paraId="29008E74" w14:textId="2C23275C" w:rsidR="001234D3" w:rsidRDefault="001234D3" w:rsidP="00070D43">
      <w:pPr>
        <w:jc w:val="both"/>
        <w:rPr>
          <w:lang w:val="en-US"/>
        </w:rPr>
      </w:pPr>
      <w:r>
        <w:rPr>
          <w:lang w:val="en-US"/>
        </w:rPr>
        <w:t>From the analysis of the pasta extracts, the samples subdivision in three groups based on their characteristics (phenols quantity and antioxidant activity) has emerged. In detail, GPmO and GP samples were included in the group with the highest levels of antioxidant activity and phenols quantity; the second group included BPmO and BP samples, characterized by intermediate antioxidant activity and phenolic content; finally, CP sample was excluded from the other groups, with the lowest levels of measured parameters</w:t>
      </w:r>
      <w:r w:rsidR="000B2203">
        <w:rPr>
          <w:lang w:val="en-GB"/>
        </w:rPr>
        <w:t>.</w:t>
      </w:r>
      <w:r w:rsidR="00070D43">
        <w:rPr>
          <w:lang w:val="en-GB"/>
        </w:rPr>
        <w:t xml:space="preserve"> </w:t>
      </w:r>
      <w:r w:rsidRPr="007D5907">
        <w:rPr>
          <w:i/>
          <w:iCs/>
          <w:lang w:val="en-US"/>
        </w:rPr>
        <w:t>In vitro</w:t>
      </w:r>
      <w:r w:rsidRPr="007D5907">
        <w:rPr>
          <w:lang w:val="en-US"/>
        </w:rPr>
        <w:t xml:space="preserve"> digestion </w:t>
      </w:r>
      <w:r>
        <w:rPr>
          <w:lang w:val="en-US"/>
        </w:rPr>
        <w:t xml:space="preserve">results highlighted the impact of the pasta tested on the </w:t>
      </w:r>
      <w:r w:rsidRPr="007D5907">
        <w:rPr>
          <w:lang w:val="en-US"/>
        </w:rPr>
        <w:t>intestinal microbial population</w:t>
      </w:r>
      <w:r>
        <w:rPr>
          <w:lang w:val="en-US"/>
        </w:rPr>
        <w:t xml:space="preserve"> (Fig</w:t>
      </w:r>
      <w:r w:rsidR="000B7161">
        <w:rPr>
          <w:lang w:val="en-US"/>
        </w:rPr>
        <w:t>.</w:t>
      </w:r>
      <w:r>
        <w:rPr>
          <w:lang w:val="en-US"/>
        </w:rPr>
        <w:t xml:space="preserve"> </w:t>
      </w:r>
      <w:r w:rsidR="000B7161">
        <w:rPr>
          <w:lang w:val="en-US"/>
        </w:rPr>
        <w:t>3</w:t>
      </w:r>
      <w:r>
        <w:rPr>
          <w:lang w:val="en-US"/>
        </w:rPr>
        <w:t>).</w:t>
      </w:r>
      <w:r w:rsidR="00F1740F">
        <w:rPr>
          <w:lang w:val="en-US"/>
        </w:rPr>
        <w:t xml:space="preserve"> Coliforms, streptococci, </w:t>
      </w:r>
      <w:r w:rsidR="004D1C0E">
        <w:rPr>
          <w:lang w:val="en-US"/>
        </w:rPr>
        <w:t>total aerobes microbial count (</w:t>
      </w:r>
      <w:r w:rsidR="00F1740F">
        <w:rPr>
          <w:lang w:val="en-US"/>
        </w:rPr>
        <w:t>TAMC</w:t>
      </w:r>
      <w:r w:rsidR="004D1C0E">
        <w:rPr>
          <w:lang w:val="en-US"/>
        </w:rPr>
        <w:t>)</w:t>
      </w:r>
      <w:r w:rsidR="00F1740F">
        <w:rPr>
          <w:lang w:val="en-US"/>
        </w:rPr>
        <w:t>, and</w:t>
      </w:r>
      <w:r w:rsidR="004D1C0E">
        <w:rPr>
          <w:lang w:val="en-US"/>
        </w:rPr>
        <w:t xml:space="preserve"> total anaerobes microbial count</w:t>
      </w:r>
      <w:r w:rsidR="00F1740F">
        <w:rPr>
          <w:lang w:val="en-US"/>
        </w:rPr>
        <w:t xml:space="preserve"> </w:t>
      </w:r>
      <w:r w:rsidR="004D1C0E">
        <w:rPr>
          <w:lang w:val="en-US"/>
        </w:rPr>
        <w:t>(</w:t>
      </w:r>
      <w:r w:rsidR="00F1740F">
        <w:rPr>
          <w:lang w:val="en-US"/>
        </w:rPr>
        <w:t>TANMC</w:t>
      </w:r>
      <w:r w:rsidR="004D1C0E">
        <w:rPr>
          <w:lang w:val="en-US"/>
        </w:rPr>
        <w:t>)</w:t>
      </w:r>
      <w:r w:rsidR="00F1740F">
        <w:rPr>
          <w:lang w:val="en-US"/>
        </w:rPr>
        <w:t xml:space="preserve"> were mainly present in GPmO sample</w:t>
      </w:r>
      <w:r w:rsidR="00F1740F" w:rsidRPr="00091C08">
        <w:rPr>
          <w:lang w:val="en-US"/>
        </w:rPr>
        <w:t xml:space="preserve">. </w:t>
      </w:r>
      <w:r w:rsidR="004D1C0E">
        <w:rPr>
          <w:lang w:val="en-US"/>
        </w:rPr>
        <w:t>Lactic acid bacteria (</w:t>
      </w:r>
      <w:r w:rsidR="00F1740F">
        <w:rPr>
          <w:lang w:val="en-US"/>
        </w:rPr>
        <w:t>LAB</w:t>
      </w:r>
      <w:r w:rsidR="004D1C0E">
        <w:rPr>
          <w:lang w:val="en-US"/>
        </w:rPr>
        <w:t>)</w:t>
      </w:r>
      <w:r w:rsidR="00F1740F">
        <w:rPr>
          <w:lang w:val="en-US"/>
        </w:rPr>
        <w:t xml:space="preserve"> population was significantly underrepresented in </w:t>
      </w:r>
      <w:r w:rsidR="00F1740F" w:rsidRPr="00091C08">
        <w:rPr>
          <w:lang w:val="en-US"/>
        </w:rPr>
        <w:t xml:space="preserve">GPmO </w:t>
      </w:r>
      <w:r w:rsidR="00F1740F">
        <w:rPr>
          <w:lang w:val="en-US"/>
        </w:rPr>
        <w:t>and</w:t>
      </w:r>
      <w:r w:rsidR="00F1740F" w:rsidRPr="00091C08">
        <w:rPr>
          <w:lang w:val="en-US"/>
        </w:rPr>
        <w:t xml:space="preserve"> BPmO</w:t>
      </w:r>
      <w:r w:rsidR="00F1740F">
        <w:rPr>
          <w:lang w:val="en-US"/>
        </w:rPr>
        <w:t xml:space="preserve"> samples. GP and BP non-microencapsulated samples showed a greater population of bifidobacteria than the others.</w:t>
      </w:r>
    </w:p>
    <w:p w14:paraId="090A0F6A" w14:textId="77777777" w:rsidR="004B68BD" w:rsidRDefault="00F1740F" w:rsidP="004B68BD">
      <w:pPr>
        <w:keepNext/>
        <w:spacing w:after="240"/>
        <w:jc w:val="both"/>
      </w:pPr>
      <w:r>
        <w:rPr>
          <w:noProof/>
          <w:lang w:val="en-US"/>
        </w:rPr>
        <w:lastRenderedPageBreak/>
        <w:drawing>
          <wp:inline distT="0" distB="0" distL="0" distR="0" wp14:anchorId="655DAB9A" wp14:editId="73B3C398">
            <wp:extent cx="4394013" cy="1949450"/>
            <wp:effectExtent l="0" t="0" r="6985" b="0"/>
            <wp:docPr id="2076190758" name="Immagine 6" descr="Immagine che contiene testo, diagramm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190758" name="Immagine 6" descr="Immagine che contiene testo, diagramma, linea, Diagramma&#10;&#10;Descrizione generata automaticamente"/>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4400558" cy="1952354"/>
                    </a:xfrm>
                    <a:prstGeom prst="rect">
                      <a:avLst/>
                    </a:prstGeom>
                  </pic:spPr>
                </pic:pic>
              </a:graphicData>
            </a:graphic>
          </wp:inline>
        </w:drawing>
      </w:r>
    </w:p>
    <w:p w14:paraId="34457DAD" w14:textId="43915C0A" w:rsidR="00F1740F" w:rsidRDefault="004B68BD" w:rsidP="004B68BD">
      <w:pPr>
        <w:pStyle w:val="Didascalia"/>
        <w:jc w:val="both"/>
        <w:rPr>
          <w:lang w:val="en-US"/>
        </w:rPr>
      </w:pPr>
      <w:r w:rsidRPr="004B68BD">
        <w:rPr>
          <w:b/>
          <w:bCs/>
          <w:i w:val="0"/>
          <w:iCs w:val="0"/>
          <w:color w:val="auto"/>
          <w:lang w:val="en-US"/>
        </w:rPr>
        <w:t xml:space="preserve">Figure </w:t>
      </w:r>
      <w:r w:rsidR="000B7161" w:rsidRPr="00EC2B16">
        <w:rPr>
          <w:b/>
          <w:bCs/>
          <w:i w:val="0"/>
          <w:iCs w:val="0"/>
          <w:color w:val="auto"/>
          <w:lang w:val="en-US"/>
        </w:rPr>
        <w:t>3</w:t>
      </w:r>
      <w:r w:rsidRPr="004B68BD">
        <w:rPr>
          <w:b/>
          <w:bCs/>
          <w:i w:val="0"/>
          <w:iCs w:val="0"/>
          <w:color w:val="auto"/>
          <w:lang w:val="en-US"/>
        </w:rPr>
        <w:t>.</w:t>
      </w:r>
      <w:r w:rsidRPr="004B68BD">
        <w:rPr>
          <w:color w:val="auto"/>
          <w:lang w:val="en-US"/>
        </w:rPr>
        <w:t xml:space="preserve"> </w:t>
      </w:r>
      <w:r w:rsidRPr="00F1740F">
        <w:rPr>
          <w:color w:val="auto"/>
          <w:lang w:val="en-US"/>
        </w:rPr>
        <w:t xml:space="preserve">Results on cell viability in fermented </w:t>
      </w:r>
      <w:r>
        <w:rPr>
          <w:color w:val="auto"/>
          <w:lang w:val="en-US"/>
        </w:rPr>
        <w:t>samples</w:t>
      </w:r>
      <w:r w:rsidRPr="00F1740F">
        <w:rPr>
          <w:color w:val="auto"/>
          <w:lang w:val="en-US"/>
        </w:rPr>
        <w:t>. The first graph (A) shows the arrangement of cases (samples of pasta);</w:t>
      </w:r>
      <w:r>
        <w:rPr>
          <w:color w:val="auto"/>
          <w:lang w:val="en-US"/>
        </w:rPr>
        <w:t xml:space="preserve"> </w:t>
      </w:r>
      <w:r w:rsidRPr="00F1740F">
        <w:rPr>
          <w:color w:val="auto"/>
          <w:lang w:val="en-US"/>
        </w:rPr>
        <w:t>the loading plot (B) shows the cell densities of the plated microbial groups.</w:t>
      </w:r>
    </w:p>
    <w:p w14:paraId="54D54078" w14:textId="7CD66030" w:rsidR="00F1740F" w:rsidRDefault="00F1740F" w:rsidP="002A3A36">
      <w:pPr>
        <w:jc w:val="both"/>
        <w:rPr>
          <w:lang w:val="en-US"/>
        </w:rPr>
      </w:pPr>
      <w:r>
        <w:rPr>
          <w:lang w:val="en-US"/>
        </w:rPr>
        <w:t>Based on the analysis of a target group of microbial population, we observed differences between the five samples of pasta, each characterized by a microbial profile.</w:t>
      </w:r>
      <w:r w:rsidRPr="00F1740F">
        <w:rPr>
          <w:lang w:val="en-US"/>
        </w:rPr>
        <w:t xml:space="preserve"> </w:t>
      </w:r>
      <w:r>
        <w:rPr>
          <w:lang w:val="en-US"/>
        </w:rPr>
        <w:t xml:space="preserve">Based on </w:t>
      </w:r>
      <w:r w:rsidRPr="00EA21CF">
        <w:rPr>
          <w:lang w:val="en-US"/>
        </w:rPr>
        <w:t>statistically different compounds</w:t>
      </w:r>
      <w:r>
        <w:rPr>
          <w:lang w:val="en-US"/>
        </w:rPr>
        <w:t>,</w:t>
      </w:r>
      <w:r w:rsidRPr="00EA21CF">
        <w:rPr>
          <w:lang w:val="en-US"/>
        </w:rPr>
        <w:t xml:space="preserve"> a hierarchical clustering analysis</w:t>
      </w:r>
      <w:r>
        <w:rPr>
          <w:lang w:val="en-US"/>
        </w:rPr>
        <w:t xml:space="preserve"> was performed.</w:t>
      </w:r>
      <w:r w:rsidRPr="00F1740F">
        <w:rPr>
          <w:lang w:val="en-US"/>
        </w:rPr>
        <w:t xml:space="preserve"> </w:t>
      </w:r>
      <w:r>
        <w:rPr>
          <w:lang w:val="en-US"/>
        </w:rPr>
        <w:t xml:space="preserve">BPmO un-clustered with the other samples. The other two groups included CP and BP samples </w:t>
      </w:r>
      <w:r w:rsidR="008472AC">
        <w:rPr>
          <w:lang w:val="en-US"/>
        </w:rPr>
        <w:t xml:space="preserve">in the first </w:t>
      </w:r>
      <w:r>
        <w:rPr>
          <w:lang w:val="en-US"/>
        </w:rPr>
        <w:t xml:space="preserve">and GPmO and GP samples </w:t>
      </w:r>
      <w:r w:rsidR="008472AC">
        <w:rPr>
          <w:lang w:val="en-US"/>
        </w:rPr>
        <w:t xml:space="preserve">in </w:t>
      </w:r>
      <w:r>
        <w:rPr>
          <w:lang w:val="en-US"/>
        </w:rPr>
        <w:t>the other one.</w:t>
      </w:r>
      <w:r w:rsidRPr="00F1740F">
        <w:rPr>
          <w:lang w:val="en-US"/>
        </w:rPr>
        <w:t xml:space="preserve"> </w:t>
      </w:r>
      <w:r>
        <w:rPr>
          <w:lang w:val="en-US"/>
        </w:rPr>
        <w:t>Finally, a</w:t>
      </w:r>
      <w:r w:rsidRPr="00AE22A1">
        <w:rPr>
          <w:lang w:val="en-US"/>
        </w:rPr>
        <w:t xml:space="preserve"> targeted</w:t>
      </w:r>
      <w:r>
        <w:rPr>
          <w:lang w:val="en-US"/>
        </w:rPr>
        <w:t xml:space="preserve"> analysis of</w:t>
      </w:r>
      <w:r w:rsidRPr="00AE22A1">
        <w:rPr>
          <w:lang w:val="en-US"/>
        </w:rPr>
        <w:t xml:space="preserve"> </w:t>
      </w:r>
      <w:r>
        <w:rPr>
          <w:lang w:val="en-US"/>
        </w:rPr>
        <w:t>S</w:t>
      </w:r>
      <w:r w:rsidRPr="00AE22A1">
        <w:rPr>
          <w:lang w:val="en-US"/>
        </w:rPr>
        <w:t xml:space="preserve">hort </w:t>
      </w:r>
      <w:r>
        <w:rPr>
          <w:lang w:val="en-US"/>
        </w:rPr>
        <w:t>C</w:t>
      </w:r>
      <w:r w:rsidRPr="00AE22A1">
        <w:rPr>
          <w:lang w:val="en-US"/>
        </w:rPr>
        <w:t xml:space="preserve">hain </w:t>
      </w:r>
      <w:r>
        <w:rPr>
          <w:lang w:val="en-US"/>
        </w:rPr>
        <w:t>Fatty</w:t>
      </w:r>
      <w:r w:rsidRPr="00AE22A1">
        <w:rPr>
          <w:lang w:val="en-US"/>
        </w:rPr>
        <w:t xml:space="preserve"> </w:t>
      </w:r>
      <w:r>
        <w:rPr>
          <w:lang w:val="en-US"/>
        </w:rPr>
        <w:t>A</w:t>
      </w:r>
      <w:r w:rsidRPr="00AE22A1">
        <w:rPr>
          <w:lang w:val="en-US"/>
        </w:rPr>
        <w:t>cid (SCFA) was conducted.</w:t>
      </w:r>
      <w:r w:rsidRPr="00F1740F">
        <w:rPr>
          <w:lang w:val="en-US"/>
        </w:rPr>
        <w:t xml:space="preserve"> </w:t>
      </w:r>
      <w:r>
        <w:rPr>
          <w:lang w:val="en-US"/>
        </w:rPr>
        <w:t xml:space="preserve">GPmO sample presented the highest quantities of all SCFA and showed </w:t>
      </w:r>
      <w:r w:rsidRPr="00531240">
        <w:rPr>
          <w:lang w:val="en-US"/>
        </w:rPr>
        <w:t>statistically significant</w:t>
      </w:r>
      <w:r>
        <w:rPr>
          <w:lang w:val="en-US"/>
        </w:rPr>
        <w:t xml:space="preserve"> (</w:t>
      </w:r>
      <w:r w:rsidR="008472AC">
        <w:rPr>
          <w:lang w:val="en-US"/>
        </w:rPr>
        <w:t>p</w:t>
      </w:r>
      <w:r w:rsidRPr="00531240">
        <w:rPr>
          <w:i/>
          <w:iCs/>
          <w:lang w:val="en-US"/>
        </w:rPr>
        <w:t xml:space="preserve"> </w:t>
      </w:r>
      <w:r>
        <w:rPr>
          <w:lang w:val="en-US"/>
        </w:rPr>
        <w:t>&lt; 0.05)</w:t>
      </w:r>
      <w:r w:rsidRPr="00531240">
        <w:rPr>
          <w:lang w:val="en-US"/>
        </w:rPr>
        <w:t xml:space="preserve"> higher amounts of</w:t>
      </w:r>
      <w:r>
        <w:rPr>
          <w:lang w:val="en-US"/>
        </w:rPr>
        <w:t xml:space="preserve"> </w:t>
      </w:r>
      <w:r w:rsidR="008472AC">
        <w:rPr>
          <w:lang w:val="en-US"/>
        </w:rPr>
        <w:t>i</w:t>
      </w:r>
      <w:r>
        <w:rPr>
          <w:lang w:val="en-US"/>
        </w:rPr>
        <w:t xml:space="preserve">sovaleric acid and </w:t>
      </w:r>
      <w:r w:rsidR="008472AC">
        <w:rPr>
          <w:lang w:val="en-US"/>
        </w:rPr>
        <w:t>i</w:t>
      </w:r>
      <w:r>
        <w:rPr>
          <w:lang w:val="en-US"/>
        </w:rPr>
        <w:t xml:space="preserve">sobutyric acid, compared both to CP, GP, and BPmO samples, and higher quantities of </w:t>
      </w:r>
      <w:r w:rsidR="008472AC">
        <w:rPr>
          <w:lang w:val="en-US"/>
        </w:rPr>
        <w:t>b</w:t>
      </w:r>
      <w:r>
        <w:rPr>
          <w:lang w:val="en-US"/>
        </w:rPr>
        <w:t>utanoic acid and</w:t>
      </w:r>
      <w:r w:rsidR="008472AC">
        <w:rPr>
          <w:lang w:val="en-US"/>
        </w:rPr>
        <w:t xml:space="preserve"> p</w:t>
      </w:r>
      <w:r>
        <w:rPr>
          <w:lang w:val="en-US"/>
        </w:rPr>
        <w:t>ropanoic acid, compared to BPmO and CP samples, respectively.</w:t>
      </w:r>
      <w:r w:rsidR="00CC1951" w:rsidRPr="00CC1951">
        <w:rPr>
          <w:lang w:val="en-US"/>
        </w:rPr>
        <w:t xml:space="preserve"> </w:t>
      </w:r>
      <w:r w:rsidR="00CC1951">
        <w:rPr>
          <w:lang w:val="en-US"/>
        </w:rPr>
        <w:t>In summary, t</w:t>
      </w:r>
      <w:r w:rsidR="00CC1951" w:rsidRPr="00CC1951">
        <w:rPr>
          <w:lang w:val="en-US"/>
        </w:rPr>
        <w:t xml:space="preserve">he analyses carried out reported different antioxidant and microbiological characteristics of the experimental pasta preparations, based on the </w:t>
      </w:r>
      <w:r w:rsidR="004D1C0E">
        <w:rPr>
          <w:lang w:val="en-US"/>
        </w:rPr>
        <w:t>added ingredients</w:t>
      </w:r>
      <w:r w:rsidR="00CC1951" w:rsidRPr="00CC1951">
        <w:rPr>
          <w:lang w:val="en-US"/>
        </w:rPr>
        <w:t>.</w:t>
      </w:r>
    </w:p>
    <w:p w14:paraId="7445255C" w14:textId="6927FA46" w:rsidR="007D40F9" w:rsidRDefault="00D62690" w:rsidP="002A3A36">
      <w:pPr>
        <w:pStyle w:val="Titolo1"/>
        <w:tabs>
          <w:tab w:val="left" w:pos="567"/>
        </w:tabs>
        <w:spacing w:before="240" w:after="120"/>
        <w:ind w:right="0"/>
        <w:jc w:val="both"/>
        <w:rPr>
          <w:b/>
          <w:bCs/>
          <w:color w:val="000000"/>
          <w:sz w:val="24"/>
          <w:lang w:val="en-GB"/>
        </w:rPr>
      </w:pPr>
      <w:r>
        <w:rPr>
          <w:b/>
          <w:bCs/>
          <w:color w:val="000000"/>
          <w:sz w:val="24"/>
          <w:lang w:val="en-GB"/>
        </w:rPr>
        <w:t>4</w:t>
      </w:r>
      <w:r w:rsidR="007D40F9">
        <w:rPr>
          <w:b/>
          <w:bCs/>
          <w:color w:val="000000"/>
          <w:sz w:val="24"/>
          <w:lang w:val="en-GB"/>
        </w:rPr>
        <w:t>. References</w:t>
      </w:r>
    </w:p>
    <w:p w14:paraId="334CD8F6" w14:textId="6F1367C0" w:rsidR="000B2203" w:rsidRDefault="000B2203" w:rsidP="002A3A36">
      <w:pPr>
        <w:jc w:val="both"/>
        <w:rPr>
          <w:sz w:val="18"/>
          <w:szCs w:val="18"/>
          <w:lang w:val="en-US"/>
        </w:rPr>
      </w:pPr>
      <w:r w:rsidRPr="000B2203">
        <w:rPr>
          <w:sz w:val="18"/>
          <w:szCs w:val="18"/>
          <w:lang w:val="en-US"/>
        </w:rPr>
        <w:t xml:space="preserve">De Angelis M, Siragusa S, Vacca M, Di Cagno R, Cristofori F, Schwarm M, Pelzer S, </w:t>
      </w:r>
      <w:proofErr w:type="spellStart"/>
      <w:r w:rsidRPr="000B2203">
        <w:rPr>
          <w:sz w:val="18"/>
          <w:szCs w:val="18"/>
          <w:lang w:val="en-US"/>
        </w:rPr>
        <w:t>Flügel</w:t>
      </w:r>
      <w:proofErr w:type="spellEnd"/>
      <w:r w:rsidRPr="000B2203">
        <w:rPr>
          <w:sz w:val="18"/>
          <w:szCs w:val="18"/>
          <w:lang w:val="en-US"/>
        </w:rPr>
        <w:t xml:space="preserve"> M, Speckmann B, Francavilla R, </w:t>
      </w:r>
      <w:proofErr w:type="spellStart"/>
      <w:r w:rsidRPr="000B2203">
        <w:rPr>
          <w:sz w:val="18"/>
          <w:szCs w:val="18"/>
          <w:lang w:val="en-US"/>
        </w:rPr>
        <w:t>Gobbetti</w:t>
      </w:r>
      <w:proofErr w:type="spellEnd"/>
      <w:r w:rsidRPr="000B2203">
        <w:rPr>
          <w:sz w:val="18"/>
          <w:szCs w:val="18"/>
          <w:lang w:val="en-US"/>
        </w:rPr>
        <w:t xml:space="preserve"> M</w:t>
      </w:r>
      <w:r>
        <w:rPr>
          <w:sz w:val="18"/>
          <w:szCs w:val="18"/>
          <w:lang w:val="en-US"/>
        </w:rPr>
        <w:t xml:space="preserve"> (2021)</w:t>
      </w:r>
      <w:r w:rsidRPr="000B2203">
        <w:rPr>
          <w:sz w:val="18"/>
          <w:szCs w:val="18"/>
          <w:lang w:val="en-US"/>
        </w:rPr>
        <w:t xml:space="preserve"> Selection of Gut-Resistant Bacteria and Construction of Microbial Consortia for Improving Gluten Digestion under Simulated Gastrointestinal Conditions. </w:t>
      </w:r>
      <w:r w:rsidRPr="000B2203">
        <w:rPr>
          <w:i/>
          <w:iCs/>
          <w:sz w:val="18"/>
          <w:szCs w:val="18"/>
          <w:lang w:val="en-US"/>
        </w:rPr>
        <w:t>Nutrients</w:t>
      </w:r>
      <w:r w:rsidRPr="000B2203">
        <w:rPr>
          <w:sz w:val="18"/>
          <w:szCs w:val="18"/>
          <w:lang w:val="en-US"/>
        </w:rPr>
        <w:t xml:space="preserve">. </w:t>
      </w:r>
      <w:r w:rsidRPr="000B2203">
        <w:rPr>
          <w:b/>
          <w:bCs/>
          <w:sz w:val="18"/>
          <w:szCs w:val="18"/>
          <w:lang w:val="en-US"/>
        </w:rPr>
        <w:t>13</w:t>
      </w:r>
      <w:r w:rsidRPr="000B2203">
        <w:rPr>
          <w:sz w:val="18"/>
          <w:szCs w:val="18"/>
          <w:lang w:val="en-US"/>
        </w:rPr>
        <w:t>:992.</w:t>
      </w:r>
    </w:p>
    <w:p w14:paraId="550730DB" w14:textId="59BDD692" w:rsidR="00FD658F" w:rsidRDefault="004B68BD" w:rsidP="002A3A36">
      <w:pPr>
        <w:jc w:val="both"/>
        <w:rPr>
          <w:sz w:val="18"/>
          <w:szCs w:val="18"/>
          <w:lang w:val="en-US"/>
        </w:rPr>
      </w:pPr>
      <w:r w:rsidRPr="004B68BD">
        <w:rPr>
          <w:sz w:val="18"/>
          <w:szCs w:val="18"/>
          <w:lang w:val="en-US"/>
        </w:rPr>
        <w:t xml:space="preserve">De Preter V, </w:t>
      </w:r>
      <w:proofErr w:type="spellStart"/>
      <w:r w:rsidRPr="004B68BD">
        <w:rPr>
          <w:sz w:val="18"/>
          <w:szCs w:val="18"/>
          <w:lang w:val="en-US"/>
        </w:rPr>
        <w:t>Machiels</w:t>
      </w:r>
      <w:proofErr w:type="spellEnd"/>
      <w:r w:rsidRPr="004B68BD">
        <w:rPr>
          <w:sz w:val="18"/>
          <w:szCs w:val="18"/>
          <w:lang w:val="en-US"/>
        </w:rPr>
        <w:t xml:space="preserve"> K, Joossens M, </w:t>
      </w:r>
      <w:proofErr w:type="spellStart"/>
      <w:r w:rsidRPr="004B68BD">
        <w:rPr>
          <w:sz w:val="18"/>
          <w:szCs w:val="18"/>
          <w:lang w:val="en-US"/>
        </w:rPr>
        <w:t>Arijs</w:t>
      </w:r>
      <w:proofErr w:type="spellEnd"/>
      <w:r w:rsidRPr="004B68BD">
        <w:rPr>
          <w:sz w:val="18"/>
          <w:szCs w:val="18"/>
          <w:lang w:val="en-US"/>
        </w:rPr>
        <w:t xml:space="preserve"> I, Matthys C, Vermeire S, </w:t>
      </w:r>
      <w:proofErr w:type="spellStart"/>
      <w:r w:rsidRPr="004B68BD">
        <w:rPr>
          <w:sz w:val="18"/>
          <w:szCs w:val="18"/>
          <w:lang w:val="en-US"/>
        </w:rPr>
        <w:t>Rutgeerts</w:t>
      </w:r>
      <w:proofErr w:type="spellEnd"/>
      <w:r w:rsidRPr="004B68BD">
        <w:rPr>
          <w:sz w:val="18"/>
          <w:szCs w:val="18"/>
          <w:lang w:val="en-US"/>
        </w:rPr>
        <w:t xml:space="preserve"> P, Verbeke K </w:t>
      </w:r>
      <w:r w:rsidR="00FD658F" w:rsidRPr="00FD658F">
        <w:rPr>
          <w:iCs/>
          <w:sz w:val="18"/>
          <w:szCs w:val="18"/>
          <w:lang w:val="en-US"/>
        </w:rPr>
        <w:t>(2015)</w:t>
      </w:r>
      <w:r w:rsidR="00FD658F" w:rsidRPr="00FD658F">
        <w:rPr>
          <w:sz w:val="18"/>
          <w:szCs w:val="18"/>
          <w:lang w:val="en-US"/>
        </w:rPr>
        <w:t xml:space="preserve"> </w:t>
      </w:r>
      <w:proofErr w:type="spellStart"/>
      <w:r w:rsidR="00FD658F" w:rsidRPr="00FD658F">
        <w:rPr>
          <w:sz w:val="18"/>
          <w:szCs w:val="18"/>
          <w:lang w:val="en-US"/>
        </w:rPr>
        <w:t>Faecal</w:t>
      </w:r>
      <w:proofErr w:type="spellEnd"/>
      <w:r w:rsidR="00FD658F" w:rsidRPr="00FD658F">
        <w:rPr>
          <w:sz w:val="18"/>
          <w:szCs w:val="18"/>
          <w:lang w:val="en-US"/>
        </w:rPr>
        <w:t xml:space="preserve"> metabolite profiling identifies medium-chain fatty acids as discriminating compounds in IBD. </w:t>
      </w:r>
      <w:r w:rsidR="00FD658F" w:rsidRPr="00973573">
        <w:rPr>
          <w:i/>
          <w:sz w:val="18"/>
          <w:szCs w:val="18"/>
          <w:lang w:val="en-US"/>
        </w:rPr>
        <w:t xml:space="preserve">Gut </w:t>
      </w:r>
      <w:r w:rsidR="00FD658F" w:rsidRPr="00973573">
        <w:rPr>
          <w:b/>
          <w:sz w:val="18"/>
          <w:szCs w:val="18"/>
          <w:lang w:val="en-US"/>
        </w:rPr>
        <w:t>64</w:t>
      </w:r>
      <w:r w:rsidR="00FD658F" w:rsidRPr="00973573">
        <w:rPr>
          <w:sz w:val="18"/>
          <w:szCs w:val="18"/>
          <w:lang w:val="en-US"/>
        </w:rPr>
        <w:t>:447-58.</w:t>
      </w:r>
    </w:p>
    <w:p w14:paraId="2FD7CD97" w14:textId="723058A8" w:rsidR="000B2203" w:rsidRPr="00973573" w:rsidRDefault="000B2203" w:rsidP="002A3A36">
      <w:pPr>
        <w:jc w:val="both"/>
        <w:rPr>
          <w:sz w:val="18"/>
          <w:szCs w:val="18"/>
          <w:lang w:val="en-US"/>
        </w:rPr>
      </w:pPr>
      <w:proofErr w:type="spellStart"/>
      <w:r w:rsidRPr="008472AC">
        <w:rPr>
          <w:sz w:val="18"/>
          <w:szCs w:val="18"/>
          <w:lang w:val="en-US"/>
        </w:rPr>
        <w:t>Difonzo</w:t>
      </w:r>
      <w:proofErr w:type="spellEnd"/>
      <w:r w:rsidRPr="008472AC">
        <w:rPr>
          <w:sz w:val="18"/>
          <w:szCs w:val="18"/>
          <w:lang w:val="en-US"/>
        </w:rPr>
        <w:t xml:space="preserve"> G, Russo A, Trani A, Paradiso VM, Ranieri M, Pasqualone A, </w:t>
      </w:r>
      <w:proofErr w:type="spellStart"/>
      <w:r w:rsidRPr="000B2203">
        <w:rPr>
          <w:sz w:val="18"/>
          <w:szCs w:val="18"/>
          <w:lang w:val="en-US"/>
        </w:rPr>
        <w:t>Caponio</w:t>
      </w:r>
      <w:proofErr w:type="spellEnd"/>
      <w:r w:rsidRPr="000B2203">
        <w:rPr>
          <w:sz w:val="18"/>
          <w:szCs w:val="18"/>
          <w:lang w:val="en-US"/>
        </w:rPr>
        <w:t xml:space="preserve"> F (2017) Green extracts from </w:t>
      </w:r>
      <w:proofErr w:type="spellStart"/>
      <w:r w:rsidRPr="000B2203">
        <w:rPr>
          <w:sz w:val="18"/>
          <w:szCs w:val="18"/>
          <w:lang w:val="en-US"/>
        </w:rPr>
        <w:t>Coratina</w:t>
      </w:r>
      <w:proofErr w:type="spellEnd"/>
      <w:r w:rsidRPr="000B2203">
        <w:rPr>
          <w:sz w:val="18"/>
          <w:szCs w:val="18"/>
          <w:lang w:val="en-US"/>
        </w:rPr>
        <w:t xml:space="preserve"> olive cultivar leaves: Antioxidant characterization and biological activity. </w:t>
      </w:r>
      <w:r w:rsidRPr="000B2203">
        <w:rPr>
          <w:i/>
          <w:iCs/>
          <w:sz w:val="18"/>
          <w:szCs w:val="18"/>
          <w:lang w:val="en-US"/>
        </w:rPr>
        <w:t>Journal of Functional Foods</w:t>
      </w:r>
      <w:r>
        <w:rPr>
          <w:sz w:val="18"/>
          <w:szCs w:val="18"/>
          <w:lang w:val="en-US"/>
        </w:rPr>
        <w:t>.</w:t>
      </w:r>
      <w:r w:rsidRPr="000B2203">
        <w:rPr>
          <w:sz w:val="18"/>
          <w:szCs w:val="18"/>
          <w:lang w:val="en-US"/>
        </w:rPr>
        <w:t xml:space="preserve"> </w:t>
      </w:r>
      <w:r w:rsidRPr="000B2203">
        <w:rPr>
          <w:b/>
          <w:bCs/>
          <w:sz w:val="18"/>
          <w:szCs w:val="18"/>
          <w:lang w:val="en-US"/>
        </w:rPr>
        <w:t>31</w:t>
      </w:r>
      <w:r>
        <w:rPr>
          <w:b/>
          <w:bCs/>
          <w:sz w:val="18"/>
          <w:szCs w:val="18"/>
          <w:lang w:val="en-US"/>
        </w:rPr>
        <w:t>:</w:t>
      </w:r>
      <w:r w:rsidRPr="000B2203">
        <w:rPr>
          <w:sz w:val="18"/>
          <w:szCs w:val="18"/>
          <w:lang w:val="en-US"/>
        </w:rPr>
        <w:t>63-70</w:t>
      </w:r>
    </w:p>
    <w:p w14:paraId="0ECF9FB3" w14:textId="50F8B007" w:rsidR="00FD658F" w:rsidRDefault="004B68BD" w:rsidP="002A3A36">
      <w:pPr>
        <w:jc w:val="both"/>
        <w:rPr>
          <w:sz w:val="18"/>
          <w:szCs w:val="18"/>
          <w:lang w:val="en-US"/>
        </w:rPr>
      </w:pPr>
      <w:r w:rsidRPr="004B68BD">
        <w:rPr>
          <w:sz w:val="18"/>
          <w:szCs w:val="18"/>
          <w:lang w:val="en-US"/>
        </w:rPr>
        <w:t xml:space="preserve">Elamin E, </w:t>
      </w:r>
      <w:proofErr w:type="spellStart"/>
      <w:r w:rsidRPr="004B68BD">
        <w:rPr>
          <w:sz w:val="18"/>
          <w:szCs w:val="18"/>
          <w:lang w:val="en-US"/>
        </w:rPr>
        <w:t>Masclee</w:t>
      </w:r>
      <w:proofErr w:type="spellEnd"/>
      <w:r w:rsidRPr="004B68BD">
        <w:rPr>
          <w:sz w:val="18"/>
          <w:szCs w:val="18"/>
          <w:lang w:val="en-US"/>
        </w:rPr>
        <w:t xml:space="preserve"> A, Juuti-Uusitalo K, van </w:t>
      </w:r>
      <w:proofErr w:type="spellStart"/>
      <w:r w:rsidRPr="004B68BD">
        <w:rPr>
          <w:sz w:val="18"/>
          <w:szCs w:val="18"/>
          <w:lang w:val="en-US"/>
        </w:rPr>
        <w:t>Ijzendoorn</w:t>
      </w:r>
      <w:proofErr w:type="spellEnd"/>
      <w:r w:rsidRPr="004B68BD">
        <w:rPr>
          <w:sz w:val="18"/>
          <w:szCs w:val="18"/>
          <w:lang w:val="en-US"/>
        </w:rPr>
        <w:t xml:space="preserve"> S, Troost F, Pieters HJ, Dekker J, Jonkers D </w:t>
      </w:r>
      <w:r w:rsidR="00FD658F" w:rsidRPr="00FD658F">
        <w:rPr>
          <w:iCs/>
          <w:sz w:val="18"/>
          <w:szCs w:val="18"/>
          <w:lang w:val="en-US"/>
        </w:rPr>
        <w:t>(2013)</w:t>
      </w:r>
      <w:r w:rsidR="00FD658F" w:rsidRPr="00FD658F">
        <w:rPr>
          <w:sz w:val="18"/>
          <w:szCs w:val="18"/>
          <w:lang w:val="en-US"/>
        </w:rPr>
        <w:t xml:space="preserve"> Fatty acid ethyl esters induce intestinal epithelial barrier dysfunction via a reactive oxygen species-dependent mechanism in a three-dimensional cell culture model. </w:t>
      </w:r>
      <w:proofErr w:type="spellStart"/>
      <w:r w:rsidR="00FD658F" w:rsidRPr="00FD658F">
        <w:rPr>
          <w:i/>
          <w:sz w:val="18"/>
          <w:szCs w:val="18"/>
          <w:lang w:val="en-US"/>
        </w:rPr>
        <w:t>PLoS</w:t>
      </w:r>
      <w:proofErr w:type="spellEnd"/>
      <w:r w:rsidR="00FD658F" w:rsidRPr="00FD658F">
        <w:rPr>
          <w:i/>
          <w:sz w:val="18"/>
          <w:szCs w:val="18"/>
          <w:lang w:val="en-US"/>
        </w:rPr>
        <w:t xml:space="preserve"> </w:t>
      </w:r>
      <w:r w:rsidR="00FD658F" w:rsidRPr="00973573">
        <w:rPr>
          <w:i/>
          <w:sz w:val="18"/>
          <w:szCs w:val="18"/>
          <w:lang w:val="en-US"/>
        </w:rPr>
        <w:t xml:space="preserve">One </w:t>
      </w:r>
      <w:proofErr w:type="gramStart"/>
      <w:r w:rsidR="00FD658F" w:rsidRPr="00973573">
        <w:rPr>
          <w:b/>
          <w:sz w:val="18"/>
          <w:szCs w:val="18"/>
          <w:lang w:val="en-US"/>
        </w:rPr>
        <w:t>8</w:t>
      </w:r>
      <w:r w:rsidR="00FD658F" w:rsidRPr="00973573">
        <w:rPr>
          <w:sz w:val="18"/>
          <w:szCs w:val="18"/>
          <w:lang w:val="en-US"/>
        </w:rPr>
        <w:t>:e</w:t>
      </w:r>
      <w:proofErr w:type="gramEnd"/>
      <w:r w:rsidR="00FD658F" w:rsidRPr="00973573">
        <w:rPr>
          <w:sz w:val="18"/>
          <w:szCs w:val="18"/>
          <w:lang w:val="en-US"/>
        </w:rPr>
        <w:t>58561.</w:t>
      </w:r>
    </w:p>
    <w:p w14:paraId="033AE7D6" w14:textId="6E568DF0" w:rsidR="00973573" w:rsidRPr="004B68BD" w:rsidRDefault="00973573" w:rsidP="002A3A36">
      <w:pPr>
        <w:jc w:val="both"/>
        <w:rPr>
          <w:sz w:val="18"/>
          <w:szCs w:val="18"/>
          <w:lang w:val="en-US"/>
        </w:rPr>
      </w:pPr>
      <w:r w:rsidRPr="00973573">
        <w:rPr>
          <w:sz w:val="18"/>
          <w:szCs w:val="18"/>
          <w:lang w:val="en-US"/>
        </w:rPr>
        <w:t xml:space="preserve">Gomes AC, Hoffmann C, Mota JF (2018). The human gut microbiota: Metabolism and perspective in obesity. </w:t>
      </w:r>
      <w:r w:rsidRPr="00973573">
        <w:rPr>
          <w:i/>
          <w:iCs/>
          <w:sz w:val="18"/>
          <w:szCs w:val="18"/>
          <w:lang w:val="en-US"/>
        </w:rPr>
        <w:t>Gut Microbes</w:t>
      </w:r>
      <w:r w:rsidR="004B68BD">
        <w:rPr>
          <w:sz w:val="18"/>
          <w:szCs w:val="18"/>
          <w:lang w:val="en-US"/>
        </w:rPr>
        <w:t xml:space="preserve"> </w:t>
      </w:r>
      <w:r w:rsidR="004B68BD" w:rsidRPr="004B68BD">
        <w:rPr>
          <w:b/>
          <w:bCs/>
          <w:sz w:val="18"/>
          <w:szCs w:val="18"/>
          <w:lang w:val="en-US"/>
        </w:rPr>
        <w:t>9</w:t>
      </w:r>
      <w:r w:rsidR="004B68BD" w:rsidRPr="004B68BD">
        <w:rPr>
          <w:sz w:val="18"/>
          <w:szCs w:val="18"/>
          <w:lang w:val="en-US"/>
        </w:rPr>
        <w:t>:308-325.</w:t>
      </w:r>
    </w:p>
    <w:p w14:paraId="112EA1D9" w14:textId="101D3709" w:rsidR="000B2203" w:rsidRDefault="000B2203" w:rsidP="002A3A36">
      <w:pPr>
        <w:jc w:val="both"/>
        <w:rPr>
          <w:sz w:val="18"/>
          <w:szCs w:val="18"/>
          <w:lang w:val="en-US"/>
        </w:rPr>
      </w:pPr>
      <w:r w:rsidRPr="000B2203">
        <w:rPr>
          <w:sz w:val="18"/>
          <w:szCs w:val="18"/>
          <w:lang w:val="en-US"/>
        </w:rPr>
        <w:t xml:space="preserve">Limongelli R, Minervini F, </w:t>
      </w:r>
      <w:proofErr w:type="spellStart"/>
      <w:r w:rsidRPr="000B2203">
        <w:rPr>
          <w:sz w:val="18"/>
          <w:szCs w:val="18"/>
          <w:lang w:val="en-US"/>
        </w:rPr>
        <w:t>Calasso</w:t>
      </w:r>
      <w:proofErr w:type="spellEnd"/>
      <w:r w:rsidRPr="000B2203">
        <w:rPr>
          <w:sz w:val="18"/>
          <w:szCs w:val="18"/>
          <w:lang w:val="en-US"/>
        </w:rPr>
        <w:t xml:space="preserve"> M (2023) Fermentation of pomegranate matrices with</w:t>
      </w:r>
      <w:r w:rsidRPr="000B2203">
        <w:rPr>
          <w:i/>
          <w:iCs/>
          <w:sz w:val="18"/>
          <w:szCs w:val="18"/>
          <w:lang w:val="en-US"/>
        </w:rPr>
        <w:t xml:space="preserve"> </w:t>
      </w:r>
      <w:proofErr w:type="spellStart"/>
      <w:r w:rsidRPr="000B2203">
        <w:rPr>
          <w:i/>
          <w:iCs/>
          <w:sz w:val="18"/>
          <w:szCs w:val="18"/>
          <w:lang w:val="en-US"/>
        </w:rPr>
        <w:t>Hanseniaspora</w:t>
      </w:r>
      <w:proofErr w:type="spellEnd"/>
      <w:r w:rsidRPr="000B2203">
        <w:rPr>
          <w:i/>
          <w:iCs/>
          <w:sz w:val="18"/>
          <w:szCs w:val="18"/>
          <w:lang w:val="en-US"/>
        </w:rPr>
        <w:t xml:space="preserve"> </w:t>
      </w:r>
      <w:proofErr w:type="spellStart"/>
      <w:r w:rsidRPr="000B2203">
        <w:rPr>
          <w:i/>
          <w:iCs/>
          <w:sz w:val="18"/>
          <w:szCs w:val="18"/>
          <w:lang w:val="en-US"/>
        </w:rPr>
        <w:t>valbyensis</w:t>
      </w:r>
      <w:proofErr w:type="spellEnd"/>
      <w:r w:rsidRPr="000B2203">
        <w:rPr>
          <w:i/>
          <w:iCs/>
          <w:sz w:val="18"/>
          <w:szCs w:val="18"/>
          <w:lang w:val="en-US"/>
        </w:rPr>
        <w:t xml:space="preserve"> </w:t>
      </w:r>
      <w:r w:rsidRPr="000B2203">
        <w:rPr>
          <w:sz w:val="18"/>
          <w:szCs w:val="18"/>
          <w:lang w:val="en-US"/>
        </w:rPr>
        <w:t xml:space="preserve">to produce a novel food ingredient. </w:t>
      </w:r>
      <w:r w:rsidRPr="000B2203">
        <w:rPr>
          <w:i/>
          <w:iCs/>
          <w:sz w:val="18"/>
          <w:szCs w:val="18"/>
          <w:lang w:val="en-US"/>
        </w:rPr>
        <w:t>LWT</w:t>
      </w:r>
      <w:r>
        <w:rPr>
          <w:sz w:val="18"/>
          <w:szCs w:val="18"/>
          <w:lang w:val="en-US"/>
        </w:rPr>
        <w:t>.</w:t>
      </w:r>
      <w:r w:rsidRPr="000B2203">
        <w:rPr>
          <w:sz w:val="18"/>
          <w:szCs w:val="18"/>
          <w:lang w:val="en-US"/>
        </w:rPr>
        <w:t xml:space="preserve"> </w:t>
      </w:r>
      <w:r w:rsidRPr="000B2203">
        <w:rPr>
          <w:b/>
          <w:bCs/>
          <w:sz w:val="18"/>
          <w:szCs w:val="18"/>
          <w:lang w:val="en-US"/>
        </w:rPr>
        <w:t>180</w:t>
      </w:r>
      <w:r>
        <w:rPr>
          <w:sz w:val="18"/>
          <w:szCs w:val="18"/>
          <w:lang w:val="en-US"/>
        </w:rPr>
        <w:t>:</w:t>
      </w:r>
      <w:r w:rsidRPr="000B2203">
        <w:rPr>
          <w:sz w:val="18"/>
          <w:szCs w:val="18"/>
          <w:lang w:val="en-US"/>
        </w:rPr>
        <w:t>114687.</w:t>
      </w:r>
    </w:p>
    <w:p w14:paraId="69188145" w14:textId="5369A830" w:rsidR="00973573" w:rsidRPr="00973573" w:rsidRDefault="00973573" w:rsidP="002A3A36">
      <w:pPr>
        <w:jc w:val="both"/>
        <w:rPr>
          <w:sz w:val="18"/>
          <w:szCs w:val="18"/>
          <w:lang w:val="en-US"/>
        </w:rPr>
      </w:pPr>
      <w:r w:rsidRPr="00973573">
        <w:rPr>
          <w:sz w:val="18"/>
          <w:szCs w:val="18"/>
          <w:lang w:val="en-US"/>
        </w:rPr>
        <w:t>Lin YC, Lin HF, Wu CC, Chen CL, Ni YH</w:t>
      </w:r>
      <w:r>
        <w:rPr>
          <w:sz w:val="18"/>
          <w:szCs w:val="18"/>
          <w:lang w:val="en-US"/>
        </w:rPr>
        <w:t xml:space="preserve"> (2022)</w:t>
      </w:r>
      <w:r w:rsidRPr="00973573">
        <w:rPr>
          <w:sz w:val="18"/>
          <w:szCs w:val="18"/>
          <w:lang w:val="en-US"/>
        </w:rPr>
        <w:t xml:space="preserve"> Pathogenic effects of </w:t>
      </w:r>
      <w:r w:rsidRPr="00973573">
        <w:rPr>
          <w:i/>
          <w:iCs/>
          <w:sz w:val="18"/>
          <w:szCs w:val="18"/>
          <w:lang w:val="en-US"/>
        </w:rPr>
        <w:t>Desulfovibrio</w:t>
      </w:r>
      <w:r w:rsidRPr="00973573">
        <w:rPr>
          <w:sz w:val="18"/>
          <w:szCs w:val="18"/>
          <w:lang w:val="en-US"/>
        </w:rPr>
        <w:t xml:space="preserve"> in the gut on fatty liver in diet-induced obese mice and children with obesity. </w:t>
      </w:r>
      <w:r w:rsidRPr="00973573">
        <w:rPr>
          <w:i/>
          <w:iCs/>
          <w:sz w:val="18"/>
          <w:szCs w:val="18"/>
          <w:lang w:val="en-US"/>
        </w:rPr>
        <w:t>J Gastroenterol</w:t>
      </w:r>
      <w:r w:rsidRPr="00973573">
        <w:rPr>
          <w:sz w:val="18"/>
          <w:szCs w:val="18"/>
          <w:lang w:val="en-US"/>
        </w:rPr>
        <w:t xml:space="preserve"> </w:t>
      </w:r>
      <w:r w:rsidRPr="00070D43">
        <w:rPr>
          <w:b/>
          <w:bCs/>
          <w:sz w:val="18"/>
          <w:szCs w:val="18"/>
          <w:lang w:val="en-US"/>
        </w:rPr>
        <w:t>57</w:t>
      </w:r>
      <w:r w:rsidRPr="00973573">
        <w:rPr>
          <w:sz w:val="18"/>
          <w:szCs w:val="18"/>
          <w:lang w:val="en-US"/>
        </w:rPr>
        <w:t>:913-925.</w:t>
      </w:r>
    </w:p>
    <w:p w14:paraId="2BC2A8F3" w14:textId="2BC8A579" w:rsidR="00973573" w:rsidRDefault="00973573" w:rsidP="002A3A36">
      <w:pPr>
        <w:jc w:val="both"/>
        <w:rPr>
          <w:sz w:val="18"/>
          <w:szCs w:val="18"/>
          <w:lang w:val="en-US"/>
        </w:rPr>
      </w:pPr>
      <w:r w:rsidRPr="00973573">
        <w:rPr>
          <w:sz w:val="18"/>
          <w:szCs w:val="18"/>
          <w:lang w:val="en-US"/>
        </w:rPr>
        <w:t xml:space="preserve">Teixeira TFS, </w:t>
      </w:r>
      <w:proofErr w:type="spellStart"/>
      <w:r w:rsidRPr="00973573">
        <w:rPr>
          <w:sz w:val="18"/>
          <w:szCs w:val="18"/>
          <w:lang w:val="en-US"/>
        </w:rPr>
        <w:t>Grześkowiak</w:t>
      </w:r>
      <w:proofErr w:type="spellEnd"/>
      <w:r w:rsidRPr="00973573">
        <w:rPr>
          <w:sz w:val="18"/>
          <w:szCs w:val="18"/>
          <w:lang w:val="en-US"/>
        </w:rPr>
        <w:t xml:space="preserve"> LM, Salminen S, Laitinen K, Bressan J, do Carmo Gouveia </w:t>
      </w:r>
      <w:proofErr w:type="spellStart"/>
      <w:r w:rsidRPr="00973573">
        <w:rPr>
          <w:sz w:val="18"/>
          <w:szCs w:val="18"/>
          <w:lang w:val="en-US"/>
        </w:rPr>
        <w:t>Peluzio</w:t>
      </w:r>
      <w:proofErr w:type="spellEnd"/>
      <w:r w:rsidRPr="00973573">
        <w:rPr>
          <w:sz w:val="18"/>
          <w:szCs w:val="18"/>
          <w:lang w:val="en-US"/>
        </w:rPr>
        <w:t xml:space="preserve"> M (2013) </w:t>
      </w:r>
      <w:proofErr w:type="spellStart"/>
      <w:r w:rsidRPr="00973573">
        <w:rPr>
          <w:sz w:val="18"/>
          <w:szCs w:val="18"/>
          <w:lang w:val="en-US"/>
        </w:rPr>
        <w:t>Faecal</w:t>
      </w:r>
      <w:proofErr w:type="spellEnd"/>
      <w:r w:rsidRPr="00973573">
        <w:rPr>
          <w:sz w:val="18"/>
          <w:szCs w:val="18"/>
          <w:lang w:val="en-US"/>
        </w:rPr>
        <w:t xml:space="preserve"> levels of </w:t>
      </w:r>
      <w:r w:rsidRPr="00973573">
        <w:rPr>
          <w:i/>
          <w:iCs/>
          <w:sz w:val="18"/>
          <w:szCs w:val="18"/>
          <w:lang w:val="en-US"/>
        </w:rPr>
        <w:t>Bifidobacterium</w:t>
      </w:r>
      <w:r w:rsidRPr="00973573">
        <w:rPr>
          <w:sz w:val="18"/>
          <w:szCs w:val="18"/>
          <w:lang w:val="en-US"/>
        </w:rPr>
        <w:t xml:space="preserve"> and </w:t>
      </w:r>
      <w:r w:rsidRPr="00973573">
        <w:rPr>
          <w:i/>
          <w:iCs/>
          <w:sz w:val="18"/>
          <w:szCs w:val="18"/>
          <w:lang w:val="en-US"/>
        </w:rPr>
        <w:t>Clostridium coccoides</w:t>
      </w:r>
      <w:r w:rsidRPr="00973573">
        <w:rPr>
          <w:sz w:val="18"/>
          <w:szCs w:val="18"/>
          <w:lang w:val="en-US"/>
        </w:rPr>
        <w:t xml:space="preserve"> but not plasma lipopolysaccharide </w:t>
      </w:r>
      <w:proofErr w:type="gramStart"/>
      <w:r w:rsidRPr="00973573">
        <w:rPr>
          <w:sz w:val="18"/>
          <w:szCs w:val="18"/>
          <w:lang w:val="en-US"/>
        </w:rPr>
        <w:t>are</w:t>
      </w:r>
      <w:proofErr w:type="gramEnd"/>
      <w:r w:rsidRPr="00973573">
        <w:rPr>
          <w:sz w:val="18"/>
          <w:szCs w:val="18"/>
          <w:lang w:val="en-US"/>
        </w:rPr>
        <w:t xml:space="preserve"> inversely related to insulin and HOMA index in women. </w:t>
      </w:r>
      <w:r w:rsidRPr="00973573">
        <w:rPr>
          <w:i/>
          <w:iCs/>
          <w:sz w:val="18"/>
          <w:szCs w:val="18"/>
          <w:lang w:val="en-US"/>
        </w:rPr>
        <w:t>Clinical Nutrition</w:t>
      </w:r>
      <w:r w:rsidR="00070D43">
        <w:rPr>
          <w:sz w:val="18"/>
          <w:szCs w:val="18"/>
          <w:lang w:val="en-US"/>
        </w:rPr>
        <w:t xml:space="preserve"> </w:t>
      </w:r>
      <w:r w:rsidR="00070D43" w:rsidRPr="00070D43">
        <w:rPr>
          <w:b/>
          <w:bCs/>
          <w:sz w:val="18"/>
          <w:szCs w:val="18"/>
          <w:lang w:val="en-US"/>
        </w:rPr>
        <w:t>32</w:t>
      </w:r>
      <w:r w:rsidR="00070D43" w:rsidRPr="00070D43">
        <w:rPr>
          <w:sz w:val="18"/>
          <w:szCs w:val="18"/>
          <w:lang w:val="en-US"/>
        </w:rPr>
        <w:t>:1017-22.</w:t>
      </w:r>
    </w:p>
    <w:p w14:paraId="4BDA6BCC" w14:textId="3BA16BD2" w:rsidR="000B2203" w:rsidRPr="00973573" w:rsidRDefault="000B2203" w:rsidP="002A3A36">
      <w:pPr>
        <w:jc w:val="both"/>
        <w:rPr>
          <w:sz w:val="18"/>
          <w:szCs w:val="18"/>
          <w:lang w:val="en-US"/>
        </w:rPr>
      </w:pPr>
      <w:r w:rsidRPr="000B2203">
        <w:rPr>
          <w:sz w:val="18"/>
          <w:szCs w:val="18"/>
          <w:lang w:val="en-US"/>
        </w:rPr>
        <w:t xml:space="preserve">Vacca M, Pinto D, Annunziato A, Ressa A, </w:t>
      </w:r>
      <w:proofErr w:type="spellStart"/>
      <w:r w:rsidRPr="000B2203">
        <w:rPr>
          <w:sz w:val="18"/>
          <w:szCs w:val="18"/>
          <w:lang w:val="en-US"/>
        </w:rPr>
        <w:t>Calasso</w:t>
      </w:r>
      <w:proofErr w:type="spellEnd"/>
      <w:r w:rsidRPr="000B2203">
        <w:rPr>
          <w:sz w:val="18"/>
          <w:szCs w:val="18"/>
          <w:lang w:val="en-US"/>
        </w:rPr>
        <w:t xml:space="preserve"> M, Pontonio E, Celano G, De Angelis M (2023) Gluten-Free Bread Enriched with Artichoke Leaf Extract In Vitro Exerted Antioxidant and Anti-Inflammatory Properties. </w:t>
      </w:r>
      <w:r w:rsidRPr="000B2203">
        <w:rPr>
          <w:i/>
          <w:iCs/>
          <w:sz w:val="18"/>
          <w:szCs w:val="18"/>
          <w:lang w:val="en-US"/>
        </w:rPr>
        <w:t>Antioxidants</w:t>
      </w:r>
      <w:r>
        <w:rPr>
          <w:sz w:val="18"/>
          <w:szCs w:val="18"/>
          <w:lang w:val="en-US"/>
        </w:rPr>
        <w:t>.</w:t>
      </w:r>
      <w:r w:rsidRPr="000B2203">
        <w:rPr>
          <w:sz w:val="18"/>
          <w:szCs w:val="18"/>
          <w:lang w:val="en-US"/>
        </w:rPr>
        <w:t xml:space="preserve"> </w:t>
      </w:r>
      <w:r w:rsidRPr="000B2203">
        <w:rPr>
          <w:b/>
          <w:bCs/>
          <w:sz w:val="18"/>
          <w:szCs w:val="18"/>
          <w:lang w:val="en-US"/>
        </w:rPr>
        <w:t>12</w:t>
      </w:r>
      <w:r w:rsidRPr="000B2203">
        <w:rPr>
          <w:sz w:val="18"/>
          <w:szCs w:val="18"/>
          <w:lang w:val="en-US"/>
        </w:rPr>
        <w:t>:845.</w:t>
      </w:r>
    </w:p>
    <w:sectPr w:rsidR="000B2203" w:rsidRPr="00973573" w:rsidSect="00F337A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2682" w14:textId="77777777" w:rsidR="008C63C5" w:rsidRDefault="008C63C5">
      <w:r>
        <w:separator/>
      </w:r>
    </w:p>
  </w:endnote>
  <w:endnote w:type="continuationSeparator" w:id="0">
    <w:p w14:paraId="779FF8BE" w14:textId="77777777" w:rsidR="008C63C5" w:rsidRDefault="008C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746B7D"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746B7D" w:rsidRDefault="000000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746B7D"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A11F" w14:textId="77777777" w:rsidR="008C63C5" w:rsidRDefault="008C63C5">
      <w:r>
        <w:separator/>
      </w:r>
    </w:p>
  </w:footnote>
  <w:footnote w:type="continuationSeparator" w:id="0">
    <w:p w14:paraId="3553C2A8" w14:textId="77777777" w:rsidR="008C63C5" w:rsidRDefault="008C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746B7D"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746B7D"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746B7D"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A37AC"/>
    <w:multiLevelType w:val="hybridMultilevel"/>
    <w:tmpl w:val="13749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536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F9"/>
    <w:rsid w:val="000020B3"/>
    <w:rsid w:val="00006FF4"/>
    <w:rsid w:val="00070D43"/>
    <w:rsid w:val="000877BD"/>
    <w:rsid w:val="000B2203"/>
    <w:rsid w:val="000B283A"/>
    <w:rsid w:val="000B7161"/>
    <w:rsid w:val="0011045B"/>
    <w:rsid w:val="001234D3"/>
    <w:rsid w:val="00127524"/>
    <w:rsid w:val="00143B67"/>
    <w:rsid w:val="001473BD"/>
    <w:rsid w:val="00170CE1"/>
    <w:rsid w:val="001C2202"/>
    <w:rsid w:val="001D1D3C"/>
    <w:rsid w:val="0023790D"/>
    <w:rsid w:val="00237F1C"/>
    <w:rsid w:val="00282C10"/>
    <w:rsid w:val="002A3A36"/>
    <w:rsid w:val="002B5D9D"/>
    <w:rsid w:val="002C1002"/>
    <w:rsid w:val="003370DA"/>
    <w:rsid w:val="003C05B4"/>
    <w:rsid w:val="00455CD0"/>
    <w:rsid w:val="004B029A"/>
    <w:rsid w:val="004B68BD"/>
    <w:rsid w:val="004D1C0E"/>
    <w:rsid w:val="004D5775"/>
    <w:rsid w:val="004F6079"/>
    <w:rsid w:val="00516C45"/>
    <w:rsid w:val="00587066"/>
    <w:rsid w:val="005A3B09"/>
    <w:rsid w:val="005A6292"/>
    <w:rsid w:val="005D6E1F"/>
    <w:rsid w:val="006250FC"/>
    <w:rsid w:val="00645545"/>
    <w:rsid w:val="006C35FF"/>
    <w:rsid w:val="006C57C8"/>
    <w:rsid w:val="006F383E"/>
    <w:rsid w:val="007230DD"/>
    <w:rsid w:val="00735E4F"/>
    <w:rsid w:val="00766DAB"/>
    <w:rsid w:val="00767F88"/>
    <w:rsid w:val="00780EC2"/>
    <w:rsid w:val="0078738B"/>
    <w:rsid w:val="007D40F9"/>
    <w:rsid w:val="007E4F47"/>
    <w:rsid w:val="00812672"/>
    <w:rsid w:val="008472AC"/>
    <w:rsid w:val="008C63C5"/>
    <w:rsid w:val="008D5B16"/>
    <w:rsid w:val="00916D6F"/>
    <w:rsid w:val="00925093"/>
    <w:rsid w:val="00954018"/>
    <w:rsid w:val="00957C34"/>
    <w:rsid w:val="0096667A"/>
    <w:rsid w:val="00973573"/>
    <w:rsid w:val="009869A1"/>
    <w:rsid w:val="00A01CC6"/>
    <w:rsid w:val="00A12236"/>
    <w:rsid w:val="00A30C07"/>
    <w:rsid w:val="00A32E2F"/>
    <w:rsid w:val="00A63DA9"/>
    <w:rsid w:val="00A71C66"/>
    <w:rsid w:val="00A903ED"/>
    <w:rsid w:val="00AF788E"/>
    <w:rsid w:val="00B13E4E"/>
    <w:rsid w:val="00B143C7"/>
    <w:rsid w:val="00B75F57"/>
    <w:rsid w:val="00B93B1C"/>
    <w:rsid w:val="00BE04C9"/>
    <w:rsid w:val="00BF19D1"/>
    <w:rsid w:val="00C36570"/>
    <w:rsid w:val="00CC0193"/>
    <w:rsid w:val="00CC1951"/>
    <w:rsid w:val="00CD1998"/>
    <w:rsid w:val="00CD7F43"/>
    <w:rsid w:val="00CE227F"/>
    <w:rsid w:val="00D2780F"/>
    <w:rsid w:val="00D33C3A"/>
    <w:rsid w:val="00D62690"/>
    <w:rsid w:val="00DB5814"/>
    <w:rsid w:val="00DC360E"/>
    <w:rsid w:val="00DD7576"/>
    <w:rsid w:val="00DF0037"/>
    <w:rsid w:val="00E017E5"/>
    <w:rsid w:val="00EC2B16"/>
    <w:rsid w:val="00ED42F3"/>
    <w:rsid w:val="00F1740F"/>
    <w:rsid w:val="00F337AB"/>
    <w:rsid w:val="00F3454D"/>
    <w:rsid w:val="00F929FA"/>
    <w:rsid w:val="00FD65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7D40F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7D40F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7D40F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7D40F9"/>
    <w:rPr>
      <w:rFonts w:ascii="Times New Roman" w:eastAsia="Times New Roman" w:hAnsi="Times New Roman" w:cs="Times New Roman"/>
      <w:b/>
      <w:kern w:val="2"/>
      <w:sz w:val="28"/>
      <w:szCs w:val="20"/>
      <w:lang w:val="nl-NL" w:eastAsia="zh-CN"/>
    </w:rPr>
  </w:style>
  <w:style w:type="paragraph" w:styleId="Corpodeltesto2">
    <w:name w:val="Body Text 2"/>
    <w:basedOn w:val="Normale"/>
    <w:link w:val="Corpodeltesto2Carattere"/>
    <w:qFormat/>
    <w:rsid w:val="007D40F9"/>
    <w:pPr>
      <w:shd w:val="clear" w:color="auto" w:fill="FFFFFF"/>
    </w:pPr>
    <w:rPr>
      <w:b/>
      <w:bCs/>
      <w:i/>
      <w:iCs/>
      <w:sz w:val="28"/>
    </w:rPr>
  </w:style>
  <w:style w:type="character" w:customStyle="1" w:styleId="Corpodeltesto2Carattere">
    <w:name w:val="Corpo del testo 2 Carattere"/>
    <w:basedOn w:val="Carpredefinitoparagrafo"/>
    <w:link w:val="Corpodeltesto2"/>
    <w:rsid w:val="007D40F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7D40F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7D40F9"/>
    <w:rPr>
      <w:rFonts w:ascii="Times New Roman" w:eastAsia="Times New Roman" w:hAnsi="Times New Roman" w:cs="Times New Roman"/>
      <w:kern w:val="2"/>
      <w:sz w:val="20"/>
      <w:szCs w:val="20"/>
      <w:lang w:val="nl-NL" w:eastAsia="zh-CN"/>
    </w:rPr>
  </w:style>
  <w:style w:type="paragraph" w:styleId="Rientrocorpodeltesto2">
    <w:name w:val="Body Text Indent 2"/>
    <w:basedOn w:val="Normale"/>
    <w:link w:val="Rientrocorpodeltesto2Carattere"/>
    <w:qFormat/>
    <w:rsid w:val="007D40F9"/>
    <w:pPr>
      <w:widowControl/>
      <w:ind w:firstLine="426"/>
      <w:jc w:val="both"/>
      <w:textAlignment w:val="baseline"/>
    </w:pPr>
    <w:rPr>
      <w:bCs/>
      <w:sz w:val="24"/>
      <w:lang w:val="en-GB"/>
    </w:rPr>
  </w:style>
  <w:style w:type="character" w:customStyle="1" w:styleId="Rientrocorpodeltesto2Carattere">
    <w:name w:val="Rientro corpo del testo 2 Carattere"/>
    <w:basedOn w:val="Carpredefinitoparagrafo"/>
    <w:link w:val="Rientrocorpodeltesto2"/>
    <w:rsid w:val="007D40F9"/>
    <w:rPr>
      <w:rFonts w:ascii="Times New Roman" w:eastAsia="Times New Roman" w:hAnsi="Times New Roman" w:cs="Times New Roman"/>
      <w:bCs/>
      <w:szCs w:val="20"/>
      <w:lang w:val="en-GB" w:eastAsia="zh-CN"/>
    </w:rPr>
  </w:style>
  <w:style w:type="paragraph" w:styleId="Pidipagina">
    <w:name w:val="footer"/>
    <w:basedOn w:val="Normale"/>
    <w:link w:val="PidipaginaCarattere"/>
    <w:rsid w:val="007D40F9"/>
    <w:pPr>
      <w:tabs>
        <w:tab w:val="center" w:pos="4153"/>
        <w:tab w:val="right" w:pos="8306"/>
      </w:tabs>
    </w:pPr>
  </w:style>
  <w:style w:type="character" w:customStyle="1" w:styleId="PidipaginaCarattere">
    <w:name w:val="Piè di pagina Carattere"/>
    <w:basedOn w:val="Carpredefinitoparagrafo"/>
    <w:link w:val="Pidipagina"/>
    <w:rsid w:val="007D40F9"/>
    <w:rPr>
      <w:rFonts w:ascii="Times New Roman" w:eastAsia="Times New Roman" w:hAnsi="Times New Roman" w:cs="Times New Roman"/>
      <w:sz w:val="20"/>
      <w:szCs w:val="20"/>
      <w:lang w:eastAsia="zh-CN"/>
    </w:rPr>
  </w:style>
  <w:style w:type="character" w:styleId="Rimandocommento">
    <w:name w:val="annotation reference"/>
    <w:basedOn w:val="Carpredefinitoparagrafo"/>
    <w:uiPriority w:val="99"/>
    <w:semiHidden/>
    <w:unhideWhenUsed/>
    <w:rsid w:val="00954018"/>
    <w:rPr>
      <w:sz w:val="16"/>
      <w:szCs w:val="16"/>
    </w:rPr>
  </w:style>
  <w:style w:type="paragraph" w:styleId="Testocommento">
    <w:name w:val="annotation text"/>
    <w:basedOn w:val="Normale"/>
    <w:link w:val="TestocommentoCarattere"/>
    <w:uiPriority w:val="99"/>
    <w:unhideWhenUsed/>
    <w:rsid w:val="00954018"/>
  </w:style>
  <w:style w:type="character" w:customStyle="1" w:styleId="TestocommentoCarattere">
    <w:name w:val="Testo commento Carattere"/>
    <w:basedOn w:val="Carpredefinitoparagrafo"/>
    <w:link w:val="Testocommento"/>
    <w:uiPriority w:val="99"/>
    <w:rsid w:val="00954018"/>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954018"/>
    <w:rPr>
      <w:b/>
      <w:bCs/>
    </w:rPr>
  </w:style>
  <w:style w:type="character" w:customStyle="1" w:styleId="SoggettocommentoCarattere">
    <w:name w:val="Soggetto commento Carattere"/>
    <w:basedOn w:val="TestocommentoCarattere"/>
    <w:link w:val="Soggettocommento"/>
    <w:uiPriority w:val="99"/>
    <w:semiHidden/>
    <w:rsid w:val="00954018"/>
    <w:rPr>
      <w:rFonts w:ascii="Times New Roman" w:eastAsia="Times New Roman" w:hAnsi="Times New Roman" w:cs="Times New Roman"/>
      <w:b/>
      <w:bCs/>
      <w:sz w:val="20"/>
      <w:szCs w:val="20"/>
      <w:lang w:eastAsia="zh-CN"/>
    </w:rPr>
  </w:style>
  <w:style w:type="paragraph" w:styleId="Didascalia">
    <w:name w:val="caption"/>
    <w:basedOn w:val="Normale"/>
    <w:next w:val="Normale"/>
    <w:uiPriority w:val="35"/>
    <w:unhideWhenUsed/>
    <w:qFormat/>
    <w:rsid w:val="00C36570"/>
    <w:pPr>
      <w:spacing w:after="200"/>
    </w:pPr>
    <w:rPr>
      <w:i/>
      <w:iCs/>
      <w:color w:val="44546A" w:themeColor="text2"/>
      <w:sz w:val="18"/>
      <w:szCs w:val="18"/>
    </w:rPr>
  </w:style>
  <w:style w:type="paragraph" w:styleId="Paragrafoelenco">
    <w:name w:val="List Paragraph"/>
    <w:basedOn w:val="Normale"/>
    <w:uiPriority w:val="34"/>
    <w:qFormat/>
    <w:rsid w:val="004B6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C69ED5709CE43B3C4ECE907DA86AC" ma:contentTypeVersion="13" ma:contentTypeDescription="Create a new document." ma:contentTypeScope="" ma:versionID="1a5b5fe807f31a0a0cee99cb3a43b91a">
  <xsd:schema xmlns:xsd="http://www.w3.org/2001/XMLSchema" xmlns:xs="http://www.w3.org/2001/XMLSchema" xmlns:p="http://schemas.microsoft.com/office/2006/metadata/properties" xmlns:ns2="8ba6bf95-db05-4f4e-9947-4a74dcc7a49e" xmlns:ns3="0e194b84-b216-41b7-815a-8b2f34335ead" targetNamespace="http://schemas.microsoft.com/office/2006/metadata/properties" ma:root="true" ma:fieldsID="d3f55b63f63d392441a36668bdb02f34" ns2:_="" ns3:_="">
    <xsd:import namespace="8ba6bf95-db05-4f4e-9947-4a74dcc7a49e"/>
    <xsd:import namespace="0e194b84-b216-41b7-815a-8b2f34335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94b84-b216-41b7-815a-8b2f34335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5a65c-7efd-49b5-bd7b-f211687024b9}" ma:internalName="TaxCatchAll" ma:showField="CatchAllData" ma:web="0e194b84-b216-41b7-815a-8b2f34335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a6bf95-db05-4f4e-9947-4a74dcc7a49e">
      <Terms xmlns="http://schemas.microsoft.com/office/infopath/2007/PartnerControls"/>
    </lcf76f155ced4ddcb4097134ff3c332f>
    <TaxCatchAll xmlns="0e194b84-b216-41b7-815a-8b2f34335ead" xsi:nil="true"/>
  </documentManagement>
</p:properties>
</file>

<file path=customXml/itemProps1.xml><?xml version="1.0" encoding="utf-8"?>
<ds:datastoreItem xmlns:ds="http://schemas.openxmlformats.org/officeDocument/2006/customXml" ds:itemID="{9BDD1008-97E8-453F-9540-B390043E0B90}">
  <ds:schemaRefs>
    <ds:schemaRef ds:uri="http://schemas.openxmlformats.org/officeDocument/2006/bibliography"/>
  </ds:schemaRefs>
</ds:datastoreItem>
</file>

<file path=customXml/itemProps2.xml><?xml version="1.0" encoding="utf-8"?>
<ds:datastoreItem xmlns:ds="http://schemas.openxmlformats.org/officeDocument/2006/customXml" ds:itemID="{E4236DC1-D0A0-4BD4-AA59-AC0E3302E387}"/>
</file>

<file path=customXml/itemProps3.xml><?xml version="1.0" encoding="utf-8"?>
<ds:datastoreItem xmlns:ds="http://schemas.openxmlformats.org/officeDocument/2006/customXml" ds:itemID="{B6C76756-6016-482A-9009-10AD99DB12EE}"/>
</file>

<file path=customXml/itemProps4.xml><?xml version="1.0" encoding="utf-8"?>
<ds:datastoreItem xmlns:ds="http://schemas.openxmlformats.org/officeDocument/2006/customXml" ds:itemID="{C0E7667A-B2B2-4728-BE85-0CAA84623964}"/>
</file>

<file path=docProps/app.xml><?xml version="1.0" encoding="utf-8"?>
<Properties xmlns="http://schemas.openxmlformats.org/officeDocument/2006/extended-properties" xmlns:vt="http://schemas.openxmlformats.org/officeDocument/2006/docPropsVTypes">
  <Template>Normal</Template>
  <TotalTime>1117</TotalTime>
  <Pages>5</Pages>
  <Words>3163</Words>
  <Characters>18035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Nadia Serale</cp:lastModifiedBy>
  <cp:revision>26</cp:revision>
  <cp:lastPrinted>2023-06-09T08:17:00Z</cp:lastPrinted>
  <dcterms:created xsi:type="dcterms:W3CDTF">2023-05-22T08:01:00Z</dcterms:created>
  <dcterms:modified xsi:type="dcterms:W3CDTF">2023-06-26T15:02:00Z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0x010100732C69ED5709CE43B3C4ECE907DA86AC</vt:lpwstr>
  </property>
</Properties>
</file>