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5831" w14:textId="300595FF" w:rsidR="00081E79" w:rsidRDefault="00584DBD" w:rsidP="00F710ED">
      <w:pPr>
        <w:pStyle w:val="Titolo"/>
      </w:pPr>
      <w:r w:rsidRPr="000F3086">
        <w:t>Phenotypic and genotypic diversity among potential next-generation probiotics</w:t>
      </w:r>
    </w:p>
    <w:p w14:paraId="65BE0F40" w14:textId="77777777" w:rsidR="000F3086" w:rsidRPr="000F3086" w:rsidRDefault="000F3086" w:rsidP="00F710ED">
      <w:pPr>
        <w:widowControl/>
        <w:suppressAutoHyphens w:val="0"/>
        <w:rPr>
          <w:b/>
          <w:sz w:val="12"/>
          <w:lang w:val="en-GB"/>
        </w:rPr>
      </w:pPr>
    </w:p>
    <w:p w14:paraId="050008D4" w14:textId="6A54B112" w:rsidR="00081E79" w:rsidRDefault="00584DBD" w:rsidP="00081E79">
      <w:pPr>
        <w:jc w:val="center"/>
        <w:rPr>
          <w:lang w:val="de-DE"/>
        </w:rPr>
      </w:pPr>
      <w:r>
        <w:rPr>
          <w:lang w:val="de-DE"/>
        </w:rPr>
        <w:t>Diletta Francesca Squarzanti</w:t>
      </w:r>
      <w:r w:rsidR="00081E79">
        <w:rPr>
          <w:lang w:val="de-DE"/>
        </w:rPr>
        <w:t xml:space="preserve"> (</w:t>
      </w:r>
      <w:r>
        <w:rPr>
          <w:lang w:val="de-DE"/>
        </w:rPr>
        <w:t>diletta.squarzanti@unimi.it</w:t>
      </w:r>
      <w:r w:rsidR="00081E79">
        <w:rPr>
          <w:lang w:val="de-DE"/>
        </w:rPr>
        <w:t>)</w:t>
      </w:r>
    </w:p>
    <w:p w14:paraId="6D5F5145" w14:textId="458C4291" w:rsidR="00081E79" w:rsidRDefault="00081E79" w:rsidP="00081E79">
      <w:pPr>
        <w:jc w:val="center"/>
        <w:rPr>
          <w:lang w:val="en-GB"/>
        </w:rPr>
      </w:pPr>
      <w:r>
        <w:rPr>
          <w:lang w:val="en-GB"/>
        </w:rPr>
        <w:t xml:space="preserve">Dept. </w:t>
      </w:r>
      <w:r w:rsidR="003B3335" w:rsidRPr="00083F42">
        <w:t xml:space="preserve">of </w:t>
      </w:r>
      <w:proofErr w:type="spellStart"/>
      <w:r w:rsidR="003B3335" w:rsidRPr="00083F42">
        <w:t>Food</w:t>
      </w:r>
      <w:proofErr w:type="spellEnd"/>
      <w:r w:rsidR="003B3335" w:rsidRPr="00083F42">
        <w:t xml:space="preserve">, </w:t>
      </w:r>
      <w:proofErr w:type="spellStart"/>
      <w:r w:rsidR="003B3335" w:rsidRPr="00083F42">
        <w:t>Environmental</w:t>
      </w:r>
      <w:proofErr w:type="spellEnd"/>
      <w:r w:rsidR="003B3335" w:rsidRPr="00083F42">
        <w:t xml:space="preserve"> and </w:t>
      </w:r>
      <w:proofErr w:type="spellStart"/>
      <w:r w:rsidR="003B3335" w:rsidRPr="00083F42">
        <w:t>Nutritional</w:t>
      </w:r>
      <w:proofErr w:type="spellEnd"/>
      <w:r w:rsidR="003B3335" w:rsidRPr="00083F42">
        <w:t xml:space="preserve"> </w:t>
      </w:r>
      <w:proofErr w:type="spellStart"/>
      <w:r w:rsidR="003B3335" w:rsidRPr="00083F42">
        <w:t>Sciences</w:t>
      </w:r>
      <w:proofErr w:type="spellEnd"/>
      <w:r w:rsidR="003B3335" w:rsidRPr="00083F42">
        <w:t xml:space="preserve"> (DEFENS)</w:t>
      </w:r>
      <w:r w:rsidR="003B3335">
        <w:rPr>
          <w:lang w:val="en-GB"/>
        </w:rPr>
        <w:t>,</w:t>
      </w:r>
      <w:r>
        <w:rPr>
          <w:lang w:val="en-GB"/>
        </w:rPr>
        <w:t xml:space="preserve"> University of </w:t>
      </w:r>
      <w:r w:rsidR="003B3335">
        <w:rPr>
          <w:lang w:val="en-GB"/>
        </w:rPr>
        <w:t>Milan</w:t>
      </w:r>
      <w:r>
        <w:rPr>
          <w:lang w:val="en-GB"/>
        </w:rPr>
        <w:t>, Italy</w:t>
      </w:r>
    </w:p>
    <w:p w14:paraId="7CBDB1B6" w14:textId="7168AD0C" w:rsidR="00081E79" w:rsidRPr="00083F42" w:rsidRDefault="00081E79" w:rsidP="00081E79">
      <w:pPr>
        <w:jc w:val="center"/>
        <w:rPr>
          <w:lang w:val="en-GB"/>
        </w:rPr>
      </w:pPr>
      <w:r w:rsidRPr="00083F42">
        <w:rPr>
          <w:lang w:val="en-GB"/>
        </w:rPr>
        <w:t xml:space="preserve">Tutor: </w:t>
      </w:r>
      <w:proofErr w:type="spellStart"/>
      <w:r w:rsidR="003B3335" w:rsidRPr="00083F42">
        <w:rPr>
          <w:lang w:val="en-GB"/>
        </w:rPr>
        <w:t>Prof.</w:t>
      </w:r>
      <w:proofErr w:type="spellEnd"/>
      <w:r w:rsidR="003B3335" w:rsidRPr="00083F42">
        <w:rPr>
          <w:lang w:val="en-GB"/>
        </w:rPr>
        <w:t xml:space="preserve"> Stefania </w:t>
      </w:r>
      <w:proofErr w:type="spellStart"/>
      <w:r w:rsidR="003B3335" w:rsidRPr="00083F42">
        <w:rPr>
          <w:lang w:val="en-GB"/>
        </w:rPr>
        <w:t>Arioli</w:t>
      </w:r>
      <w:proofErr w:type="spellEnd"/>
      <w:r w:rsidR="003B3335" w:rsidRPr="00083F42">
        <w:rPr>
          <w:lang w:val="en-GB"/>
        </w:rPr>
        <w:t>, Patrizia Malfa</w:t>
      </w:r>
    </w:p>
    <w:p w14:paraId="145790C6" w14:textId="77777777" w:rsidR="00081E79" w:rsidRPr="005B20FE" w:rsidRDefault="00081E79" w:rsidP="00081E79">
      <w:pPr>
        <w:jc w:val="center"/>
        <w:rPr>
          <w:sz w:val="12"/>
          <w:lang w:val="en-GB"/>
        </w:rPr>
      </w:pPr>
    </w:p>
    <w:p w14:paraId="6CAA0E8A" w14:textId="32605B09" w:rsidR="003B3335" w:rsidRPr="00083F42" w:rsidRDefault="00CB2318" w:rsidP="00081E79">
      <w:pPr>
        <w:pStyle w:val="Corpotesto"/>
        <w:jc w:val="both"/>
      </w:pPr>
      <w:r w:rsidRPr="003B3335">
        <w:rPr>
          <w:i w:val="0"/>
          <w:iCs w:val="0"/>
          <w:sz w:val="20"/>
          <w:lang w:val="en-GB"/>
        </w:rPr>
        <w:t>The modulation of the gut microbiota is emerging as a promising target for the management or prevention of many diseases</w:t>
      </w:r>
      <w:r>
        <w:rPr>
          <w:i w:val="0"/>
          <w:iCs w:val="0"/>
          <w:sz w:val="20"/>
          <w:lang w:val="en-GB"/>
        </w:rPr>
        <w:t xml:space="preserve">, especially by using traditional probiotics such as </w:t>
      </w:r>
      <w:r w:rsidRPr="00083F42">
        <w:rPr>
          <w:i w:val="0"/>
          <w:sz w:val="20"/>
          <w:lang w:val="en-GB"/>
        </w:rPr>
        <w:t>Lactobacilli</w:t>
      </w:r>
      <w:r w:rsidRPr="00FD69E0">
        <w:rPr>
          <w:i w:val="0"/>
          <w:sz w:val="20"/>
          <w:lang w:val="en-GB"/>
        </w:rPr>
        <w:t xml:space="preserve"> and </w:t>
      </w:r>
      <w:proofErr w:type="spellStart"/>
      <w:r w:rsidRPr="00083F42">
        <w:rPr>
          <w:i w:val="0"/>
          <w:sz w:val="20"/>
          <w:lang w:val="en-GB"/>
        </w:rPr>
        <w:t>Bifidobacteria</w:t>
      </w:r>
      <w:proofErr w:type="spellEnd"/>
      <w:r>
        <w:rPr>
          <w:iCs w:val="0"/>
          <w:sz w:val="20"/>
          <w:lang w:val="en-GB"/>
        </w:rPr>
        <w:t xml:space="preserve">. </w:t>
      </w:r>
      <w:r w:rsidR="00081E79">
        <w:rPr>
          <w:i w:val="0"/>
          <w:iCs w:val="0"/>
          <w:sz w:val="20"/>
          <w:lang w:val="en-GB"/>
        </w:rPr>
        <w:t>Thi</w:t>
      </w:r>
      <w:r w:rsidR="00C65206">
        <w:rPr>
          <w:i w:val="0"/>
          <w:iCs w:val="0"/>
          <w:sz w:val="20"/>
          <w:lang w:val="en-GB"/>
        </w:rPr>
        <w:t>s PhD thesis research project</w:t>
      </w:r>
      <w:r w:rsidR="00081E79">
        <w:rPr>
          <w:i w:val="0"/>
          <w:iCs w:val="0"/>
          <w:sz w:val="20"/>
          <w:lang w:val="en-GB"/>
        </w:rPr>
        <w:t xml:space="preserve"> aim</w:t>
      </w:r>
      <w:r w:rsidR="00C65206">
        <w:rPr>
          <w:i w:val="0"/>
          <w:iCs w:val="0"/>
          <w:sz w:val="20"/>
          <w:lang w:val="en-GB"/>
        </w:rPr>
        <w:t xml:space="preserve">s to isolate and investigate selected microbes and, by an in deep characterization, to discover potential next-generation probiotics (NGPs) that </w:t>
      </w:r>
      <w:r>
        <w:rPr>
          <w:i w:val="0"/>
          <w:iCs w:val="0"/>
          <w:sz w:val="20"/>
          <w:lang w:val="en-GB"/>
        </w:rPr>
        <w:t xml:space="preserve">can exert health benefits and </w:t>
      </w:r>
      <w:r w:rsidR="00C65206">
        <w:rPr>
          <w:i w:val="0"/>
          <w:iCs w:val="0"/>
          <w:sz w:val="20"/>
          <w:lang w:val="en-GB"/>
        </w:rPr>
        <w:t xml:space="preserve">satisfied the World Health Organization (WHO) guidelines in terms of safety, functionality, and technological usability. </w:t>
      </w:r>
    </w:p>
    <w:p w14:paraId="553191D8" w14:textId="40628FF9" w:rsidR="00081E79" w:rsidRDefault="003B3335" w:rsidP="00081E79">
      <w:pPr>
        <w:pStyle w:val="Titolo"/>
        <w:spacing w:before="240" w:line="240" w:lineRule="auto"/>
        <w:rPr>
          <w:sz w:val="24"/>
          <w:lang w:val="it-IT"/>
        </w:rPr>
      </w:pPr>
      <w:r>
        <w:rPr>
          <w:sz w:val="24"/>
          <w:lang w:val="it-IT"/>
        </w:rPr>
        <w:t>Diversità fenotipica e genotipica tra potenziali probiotici di nuova generazione</w:t>
      </w:r>
    </w:p>
    <w:p w14:paraId="69B4EF32" w14:textId="33E0FAC3" w:rsidR="00081E79" w:rsidRDefault="00CB2318" w:rsidP="00081E79">
      <w:pPr>
        <w:jc w:val="both"/>
      </w:pPr>
      <w:r>
        <w:t xml:space="preserve">La modulazione del </w:t>
      </w:r>
      <w:proofErr w:type="spellStart"/>
      <w:r>
        <w:t>microbiota</w:t>
      </w:r>
      <w:proofErr w:type="spellEnd"/>
      <w:r>
        <w:t xml:space="preserve"> intestinale per la gestione e la prevenzione di molte patologie è un argomento di ricerca molto attuale. In questo contesto vengono spesso utilizzati i probiotici definiti tradizionali, principalmente </w:t>
      </w:r>
      <w:r w:rsidRPr="00083F42">
        <w:rPr>
          <w:iCs/>
        </w:rPr>
        <w:t>Lattobacilli</w:t>
      </w:r>
      <w:r w:rsidRPr="00FD69E0">
        <w:rPr>
          <w:iCs/>
        </w:rPr>
        <w:t xml:space="preserve"> e </w:t>
      </w:r>
      <w:proofErr w:type="spellStart"/>
      <w:r w:rsidRPr="00083F42">
        <w:rPr>
          <w:iCs/>
        </w:rPr>
        <w:t>Bifidobatteri</w:t>
      </w:r>
      <w:proofErr w:type="spellEnd"/>
      <w:r w:rsidRPr="00FD69E0">
        <w:rPr>
          <w:iCs/>
        </w:rPr>
        <w:t>.</w:t>
      </w:r>
      <w:r>
        <w:t xml:space="preserve"> </w:t>
      </w:r>
      <w:r w:rsidR="00081E79">
        <w:t xml:space="preserve">Questo progetto di tesi di dottorato mira a </w:t>
      </w:r>
      <w:r w:rsidR="00A3212C">
        <w:t>isolare e caratterizzare in modo specifico e mirato</w:t>
      </w:r>
      <w:r>
        <w:t xml:space="preserve"> </w:t>
      </w:r>
      <w:r w:rsidR="0015717F">
        <w:t>ceppi</w:t>
      </w:r>
      <w:r w:rsidR="00BC630A">
        <w:t xml:space="preserve"> di </w:t>
      </w:r>
      <w:r>
        <w:t>microorganismi</w:t>
      </w:r>
      <w:r w:rsidR="00BC630A">
        <w:t xml:space="preserve"> probiotici</w:t>
      </w:r>
      <w:r>
        <w:t xml:space="preserve"> </w:t>
      </w:r>
      <w:r w:rsidR="00BC630A">
        <w:t xml:space="preserve">di nuova generazione, </w:t>
      </w:r>
      <w:r>
        <w:t>selezionati</w:t>
      </w:r>
      <w:r w:rsidR="001B1442">
        <w:t xml:space="preserve"> </w:t>
      </w:r>
      <w:r w:rsidR="00BC630A">
        <w:t xml:space="preserve">e </w:t>
      </w:r>
      <w:r w:rsidR="001B1442">
        <w:t>identifica</w:t>
      </w:r>
      <w:r w:rsidR="00BC630A">
        <w:t>ti per la loro</w:t>
      </w:r>
      <w:r w:rsidR="001B1442">
        <w:t xml:space="preserve"> potenzial</w:t>
      </w:r>
      <w:r w:rsidR="00BC630A">
        <w:t>e</w:t>
      </w:r>
      <w:r w:rsidR="001B1442">
        <w:t xml:space="preserve"> </w:t>
      </w:r>
      <w:r w:rsidR="00BC630A">
        <w:t xml:space="preserve">capacità di </w:t>
      </w:r>
      <w:r w:rsidR="001B1442">
        <w:t xml:space="preserve">apportare benefici per la salute umana e soddisfare i criteri di sicurezza, funzionalità ed uso tecnologico stabiliti dall’Organizzazione Mondiale della Sanità. </w:t>
      </w:r>
    </w:p>
    <w:p w14:paraId="5F678478" w14:textId="77777777" w:rsidR="00081E79" w:rsidRDefault="00081E79" w:rsidP="00081E79">
      <w:pPr>
        <w:pStyle w:val="Titolo1"/>
        <w:spacing w:before="240"/>
        <w:ind w:right="0"/>
        <w:rPr>
          <w:b w:val="0"/>
          <w:bCs/>
          <w:color w:val="000000"/>
          <w:lang w:val="en-GB"/>
        </w:rPr>
      </w:pPr>
      <w:r>
        <w:rPr>
          <w:bCs/>
          <w:color w:val="000000"/>
          <w:lang w:val="en-GB"/>
        </w:rPr>
        <w:t>1. State-of-the-Art</w:t>
      </w:r>
    </w:p>
    <w:p w14:paraId="6FD1BB52" w14:textId="77777777" w:rsidR="004858D7" w:rsidRDefault="000F3086" w:rsidP="006753AF">
      <w:pPr>
        <w:jc w:val="both"/>
        <w:rPr>
          <w:lang w:val="en-US"/>
        </w:rPr>
      </w:pPr>
      <w:r w:rsidRPr="00B725A1">
        <w:rPr>
          <w:lang w:val="en-US"/>
        </w:rPr>
        <w:t>Du</w:t>
      </w:r>
      <w:r>
        <w:rPr>
          <w:lang w:val="en-US"/>
        </w:rPr>
        <w:t>ring the last years, t</w:t>
      </w:r>
      <w:r w:rsidRPr="002D4805">
        <w:rPr>
          <w:lang w:val="en-US"/>
        </w:rPr>
        <w:t>he human gut microbiota has been appreciated as a pivo</w:t>
      </w:r>
      <w:r>
        <w:rPr>
          <w:lang w:val="en-US"/>
        </w:rPr>
        <w:t xml:space="preserve">tal reservoir of microorganisms present predominantly in the colon - bacteria, archaea, viruses, fungi, and others - that can influence health and disease. The gut microbiota possesses different functions: digestion and metabolism of </w:t>
      </w:r>
      <w:r w:rsidRPr="00163489">
        <w:rPr>
          <w:lang w:val="en-US"/>
        </w:rPr>
        <w:t>dietary elements into bioactive food components</w:t>
      </w:r>
      <w:r>
        <w:rPr>
          <w:lang w:val="en-US"/>
        </w:rPr>
        <w:t xml:space="preserve">, vitamin synthesis, protection from pathogen colonization by adhering to the mucosal surface, production of antimicrobial substances, and stimulation of the immune system. </w:t>
      </w:r>
    </w:p>
    <w:p w14:paraId="58920105" w14:textId="77777777" w:rsidR="004858D7" w:rsidRDefault="000F3086" w:rsidP="006753AF">
      <w:pPr>
        <w:jc w:val="both"/>
        <w:rPr>
          <w:lang w:val="en-US"/>
        </w:rPr>
      </w:pPr>
      <w:proofErr w:type="spellStart"/>
      <w:r>
        <w:rPr>
          <w:lang w:val="en-US"/>
        </w:rPr>
        <w:t>Dysbiosis</w:t>
      </w:r>
      <w:proofErr w:type="spellEnd"/>
      <w:r>
        <w:rPr>
          <w:lang w:val="en-US"/>
        </w:rPr>
        <w:t xml:space="preserve"> is the loss of the balance among microbes, their function, distribution, or metabolic activity. This phenomenon has been linked to the development of inflammatory bowel disease (IBD), </w:t>
      </w:r>
      <w:r w:rsidRPr="0068023C">
        <w:rPr>
          <w:lang w:val="en-US"/>
        </w:rPr>
        <w:t>including Crohn’s disease (CD) and ulcerative colitis (UC</w:t>
      </w:r>
      <w:r>
        <w:rPr>
          <w:lang w:val="en-US"/>
        </w:rPr>
        <w:t xml:space="preserve">), atopic asthma, allergy, obesity, type 2 diabetes (T2D), cardiovascular and neurodegenerative diseases, behavioral disorders, autoimmunity, and cancer </w:t>
      </w:r>
      <w:bookmarkStart w:id="0" w:name="_Hlk111101506"/>
      <w:r>
        <w:rPr>
          <w:lang w:val="en-US"/>
        </w:rPr>
        <w:t>(</w:t>
      </w:r>
      <w:proofErr w:type="spellStart"/>
      <w:r w:rsidR="00E42A5C" w:rsidRPr="00E42A5C">
        <w:rPr>
          <w:lang w:val="en-US"/>
        </w:rPr>
        <w:t>Durack</w:t>
      </w:r>
      <w:proofErr w:type="spellEnd"/>
      <w:r w:rsidR="00E42A5C" w:rsidRPr="00E42A5C">
        <w:rPr>
          <w:lang w:val="en-US"/>
        </w:rPr>
        <w:t xml:space="preserve"> and Lynch, 2019</w:t>
      </w:r>
      <w:r>
        <w:rPr>
          <w:lang w:val="en-US"/>
        </w:rPr>
        <w:t>)</w:t>
      </w:r>
      <w:bookmarkEnd w:id="0"/>
      <w:r>
        <w:rPr>
          <w:lang w:val="en-US"/>
        </w:rPr>
        <w:t xml:space="preserve">. </w:t>
      </w:r>
    </w:p>
    <w:p w14:paraId="0C1D4F50" w14:textId="6FEEBC78" w:rsidR="004858D7" w:rsidRDefault="000F3086" w:rsidP="006753AF">
      <w:pPr>
        <w:jc w:val="both"/>
        <w:rPr>
          <w:lang w:val="en-US"/>
        </w:rPr>
      </w:pPr>
      <w:r w:rsidRPr="00E11492">
        <w:rPr>
          <w:lang w:val="en-US"/>
        </w:rPr>
        <w:t>Strategies to rebalance these harmful conditions are urgently needed, such as probiotic administration, largely used now</w:t>
      </w:r>
      <w:r>
        <w:rPr>
          <w:lang w:val="en-US"/>
        </w:rPr>
        <w:t>aday</w:t>
      </w:r>
      <w:r w:rsidR="004858D7">
        <w:rPr>
          <w:lang w:val="en-US"/>
        </w:rPr>
        <w:t>s</w:t>
      </w:r>
      <w:r>
        <w:rPr>
          <w:lang w:val="en-US"/>
        </w:rPr>
        <w:t xml:space="preserve">. Probiotics are </w:t>
      </w:r>
      <w:r w:rsidRPr="00193E16">
        <w:rPr>
          <w:lang w:val="en-US"/>
        </w:rPr>
        <w:t>live microorganisms that confer a health benefit when consumed in adequate amounts,</w:t>
      </w:r>
      <w:r>
        <w:rPr>
          <w:lang w:val="en-US"/>
        </w:rPr>
        <w:t xml:space="preserve"> as reported by the World Health Organization (WHO)</w:t>
      </w:r>
      <w:r w:rsidRPr="00131D9E">
        <w:rPr>
          <w:lang w:val="en-US"/>
        </w:rPr>
        <w:t xml:space="preserve"> in 2002</w:t>
      </w:r>
      <w:r>
        <w:rPr>
          <w:lang w:val="en-US"/>
        </w:rPr>
        <w:t xml:space="preserve"> (</w:t>
      </w:r>
      <w:r w:rsidRPr="00F72EE8">
        <w:rPr>
          <w:lang w:val="en-US"/>
        </w:rPr>
        <w:t>Hill</w:t>
      </w:r>
      <w:r w:rsidRPr="00F72EE8">
        <w:rPr>
          <w:i/>
          <w:iCs/>
          <w:lang w:val="en-US"/>
        </w:rPr>
        <w:t xml:space="preserve"> et al</w:t>
      </w:r>
      <w:r w:rsidRPr="00F72EE8">
        <w:rPr>
          <w:lang w:val="en-US"/>
        </w:rPr>
        <w:t>, 2014</w:t>
      </w:r>
      <w:r>
        <w:rPr>
          <w:lang w:val="en-US"/>
        </w:rPr>
        <w:t xml:space="preserve">). </w:t>
      </w:r>
      <w:r w:rsidR="00574818" w:rsidRPr="00032FB5">
        <w:rPr>
          <w:lang w:val="en-US"/>
        </w:rPr>
        <w:t>However, the administration of traditional probiotics is not</w:t>
      </w:r>
      <w:r w:rsidR="00032FB5">
        <w:rPr>
          <w:lang w:val="en-US"/>
        </w:rPr>
        <w:t xml:space="preserve"> always</w:t>
      </w:r>
      <w:r w:rsidR="00574818" w:rsidRPr="00032FB5">
        <w:rPr>
          <w:lang w:val="en-US"/>
        </w:rPr>
        <w:t xml:space="preserve"> sufficient</w:t>
      </w:r>
      <w:r w:rsidR="004858D7" w:rsidRPr="00032FB5">
        <w:rPr>
          <w:lang w:val="en-US"/>
        </w:rPr>
        <w:t xml:space="preserve"> in </w:t>
      </w:r>
      <w:r w:rsidR="00574818" w:rsidRPr="00032FB5">
        <w:rPr>
          <w:lang w:val="en-US"/>
        </w:rPr>
        <w:t>specific</w:t>
      </w:r>
      <w:r w:rsidR="004858D7" w:rsidRPr="00032FB5">
        <w:rPr>
          <w:lang w:val="en-US"/>
        </w:rPr>
        <w:t xml:space="preserve"> conditions</w:t>
      </w:r>
      <w:r w:rsidR="00574818" w:rsidRPr="00E844D1">
        <w:rPr>
          <w:lang w:val="en-US"/>
        </w:rPr>
        <w:t>.</w:t>
      </w:r>
      <w:r w:rsidR="00574818">
        <w:rPr>
          <w:lang w:val="en-US"/>
        </w:rPr>
        <w:t xml:space="preserve"> </w:t>
      </w:r>
    </w:p>
    <w:p w14:paraId="363323ED" w14:textId="65E989C0" w:rsidR="004858D7" w:rsidRDefault="00574818" w:rsidP="006753AF">
      <w:pPr>
        <w:jc w:val="both"/>
        <w:rPr>
          <w:lang w:val="en-US"/>
        </w:rPr>
      </w:pPr>
      <w:r w:rsidRPr="00332FC1">
        <w:rPr>
          <w:i/>
          <w:iCs/>
          <w:lang w:val="en-US"/>
        </w:rPr>
        <w:t xml:space="preserve">In </w:t>
      </w:r>
      <w:proofErr w:type="spellStart"/>
      <w:r w:rsidRPr="00332FC1">
        <w:rPr>
          <w:i/>
          <w:iCs/>
          <w:lang w:val="en-US"/>
        </w:rPr>
        <w:t>silico</w:t>
      </w:r>
      <w:proofErr w:type="spellEnd"/>
      <w:r w:rsidRPr="00E844D1">
        <w:rPr>
          <w:lang w:val="en-US"/>
        </w:rPr>
        <w:t xml:space="preserve"> analyses </w:t>
      </w:r>
      <w:r>
        <w:rPr>
          <w:lang w:val="en-US"/>
        </w:rPr>
        <w:t xml:space="preserve">has recently </w:t>
      </w:r>
      <w:r w:rsidRPr="00E844D1">
        <w:rPr>
          <w:lang w:val="en-US"/>
        </w:rPr>
        <w:t>increased the knowledge on microorganisms with potential health benefit to develop probiotics addressing specific consumer needs and issues.</w:t>
      </w:r>
      <w:r>
        <w:rPr>
          <w:lang w:val="en-US"/>
        </w:rPr>
        <w:t xml:space="preserve"> </w:t>
      </w:r>
      <w:r w:rsidRPr="00E844D1">
        <w:rPr>
          <w:lang w:val="en-US"/>
        </w:rPr>
        <w:t xml:space="preserve">These </w:t>
      </w:r>
      <w:r>
        <w:rPr>
          <w:lang w:val="en-US"/>
        </w:rPr>
        <w:t>micro</w:t>
      </w:r>
      <w:r w:rsidRPr="00E844D1">
        <w:rPr>
          <w:lang w:val="en-US"/>
        </w:rPr>
        <w:t xml:space="preserve">organisms are referred </w:t>
      </w:r>
      <w:r>
        <w:rPr>
          <w:lang w:val="en-US"/>
        </w:rPr>
        <w:t xml:space="preserve">to </w:t>
      </w:r>
      <w:r w:rsidRPr="00E844D1">
        <w:rPr>
          <w:lang w:val="en-US"/>
        </w:rPr>
        <w:t>as Next-Generation Probiotics (NGPs) and are considered as a health promoting strategy to re-establish a</w:t>
      </w:r>
      <w:r>
        <w:rPr>
          <w:lang w:val="en-US"/>
        </w:rPr>
        <w:t xml:space="preserve">n </w:t>
      </w:r>
      <w:proofErr w:type="spellStart"/>
      <w:r>
        <w:rPr>
          <w:lang w:val="en-US"/>
        </w:rPr>
        <w:t>eubiosis</w:t>
      </w:r>
      <w:proofErr w:type="spellEnd"/>
      <w:r>
        <w:rPr>
          <w:lang w:val="en-US"/>
        </w:rPr>
        <w:t xml:space="preserve"> condition </w:t>
      </w:r>
      <w:r w:rsidRPr="00E844D1">
        <w:rPr>
          <w:lang w:val="en-US"/>
        </w:rPr>
        <w:t>(</w:t>
      </w:r>
      <w:proofErr w:type="spellStart"/>
      <w:r w:rsidRPr="0008531F">
        <w:rPr>
          <w:lang w:val="en-US"/>
        </w:rPr>
        <w:t>Langella</w:t>
      </w:r>
      <w:proofErr w:type="spellEnd"/>
      <w:r w:rsidRPr="0008531F">
        <w:rPr>
          <w:lang w:val="en-US"/>
        </w:rPr>
        <w:t xml:space="preserve"> </w:t>
      </w:r>
      <w:r w:rsidRPr="0008531F">
        <w:rPr>
          <w:i/>
          <w:iCs/>
          <w:lang w:val="en-US"/>
        </w:rPr>
        <w:t>et al,</w:t>
      </w:r>
      <w:r w:rsidRPr="0008531F">
        <w:rPr>
          <w:lang w:val="en-US"/>
        </w:rPr>
        <w:t xml:space="preserve"> 2019</w:t>
      </w:r>
      <w:r>
        <w:rPr>
          <w:lang w:val="en-US"/>
        </w:rPr>
        <w:t>)</w:t>
      </w:r>
      <w:r w:rsidRPr="00E844D1">
        <w:rPr>
          <w:lang w:val="en-US"/>
        </w:rPr>
        <w:t>.</w:t>
      </w:r>
      <w:r w:rsidRPr="00422FB6">
        <w:rPr>
          <w:lang w:val="en-US"/>
        </w:rPr>
        <w:t xml:space="preserve"> </w:t>
      </w:r>
      <w:r>
        <w:rPr>
          <w:lang w:val="en-US"/>
        </w:rPr>
        <w:t>C</w:t>
      </w:r>
      <w:r w:rsidRPr="00E844D1">
        <w:rPr>
          <w:lang w:val="en-US"/>
        </w:rPr>
        <w:t>ontrary to traditional probiotics, they do not have a long history of use and their safety is thus not considered as proven.</w:t>
      </w:r>
      <w:r>
        <w:rPr>
          <w:lang w:val="en-US"/>
        </w:rPr>
        <w:t xml:space="preserve"> </w:t>
      </w:r>
      <w:r w:rsidR="00326623">
        <w:rPr>
          <w:lang w:val="en-US"/>
        </w:rPr>
        <w:t>These NGPs</w:t>
      </w:r>
      <w:r w:rsidRPr="00326623">
        <w:rPr>
          <w:lang w:val="en-US"/>
        </w:rPr>
        <w:t xml:space="preserve"> are classified as novel foods, increasing the number of requirements to reach their commercialization as food </w:t>
      </w:r>
      <w:r w:rsidR="003A6607">
        <w:rPr>
          <w:lang w:val="en-US"/>
        </w:rPr>
        <w:t>ingredients</w:t>
      </w:r>
      <w:r w:rsidRPr="00F54FA0">
        <w:rPr>
          <w:lang w:val="en-US"/>
        </w:rPr>
        <w:t xml:space="preserve">. </w:t>
      </w:r>
      <w:r>
        <w:rPr>
          <w:lang w:val="en-US"/>
        </w:rPr>
        <w:t xml:space="preserve">In addition, </w:t>
      </w:r>
      <w:r w:rsidRPr="00E844D1">
        <w:rPr>
          <w:lang w:val="en-US"/>
        </w:rPr>
        <w:t>most NGPs are currently no</w:t>
      </w:r>
      <w:r>
        <w:rPr>
          <w:lang w:val="en-US"/>
        </w:rPr>
        <w:t>t</w:t>
      </w:r>
      <w:r w:rsidRPr="00E844D1">
        <w:rPr>
          <w:lang w:val="en-US"/>
        </w:rPr>
        <w:t xml:space="preserve"> commercially available, and more studies are needed to address their safety, efficacy, and technological robustness</w:t>
      </w:r>
      <w:r>
        <w:rPr>
          <w:lang w:val="en-US"/>
        </w:rPr>
        <w:t xml:space="preserve">. </w:t>
      </w:r>
    </w:p>
    <w:p w14:paraId="1ED62292" w14:textId="6217664E" w:rsidR="006753AF" w:rsidRDefault="00574818" w:rsidP="006753AF">
      <w:pPr>
        <w:jc w:val="both"/>
        <w:rPr>
          <w:lang w:val="en-US"/>
        </w:rPr>
      </w:pPr>
      <w:r>
        <w:rPr>
          <w:lang w:val="en-US"/>
        </w:rPr>
        <w:t>C</w:t>
      </w:r>
      <w:r w:rsidRPr="00E844D1">
        <w:rPr>
          <w:lang w:val="en-US"/>
        </w:rPr>
        <w:t xml:space="preserve">andidates for NGPs are </w:t>
      </w:r>
      <w:proofErr w:type="spellStart"/>
      <w:r w:rsidRPr="00F71937">
        <w:rPr>
          <w:i/>
          <w:iCs/>
          <w:lang w:val="en-US"/>
        </w:rPr>
        <w:t>Akkermansia</w:t>
      </w:r>
      <w:proofErr w:type="spellEnd"/>
      <w:r w:rsidRPr="00F71937">
        <w:rPr>
          <w:i/>
          <w:iCs/>
          <w:lang w:val="en-US"/>
        </w:rPr>
        <w:t xml:space="preserve"> </w:t>
      </w:r>
      <w:proofErr w:type="spellStart"/>
      <w:r w:rsidRPr="00F71937">
        <w:rPr>
          <w:i/>
          <w:iCs/>
          <w:lang w:val="en-US"/>
        </w:rPr>
        <w:t>muciniphila</w:t>
      </w:r>
      <w:proofErr w:type="spellEnd"/>
      <w:r>
        <w:rPr>
          <w:lang w:val="en-US"/>
        </w:rPr>
        <w:t xml:space="preserve">, </w:t>
      </w:r>
      <w:proofErr w:type="spellStart"/>
      <w:r w:rsidRPr="00C72F6C">
        <w:rPr>
          <w:i/>
          <w:iCs/>
          <w:lang w:val="en-US"/>
        </w:rPr>
        <w:t>Faecalibacterium</w:t>
      </w:r>
      <w:proofErr w:type="spellEnd"/>
      <w:r w:rsidRPr="00C72F6C">
        <w:rPr>
          <w:i/>
          <w:iCs/>
          <w:lang w:val="en-US"/>
        </w:rPr>
        <w:t xml:space="preserve"> </w:t>
      </w:r>
      <w:proofErr w:type="spellStart"/>
      <w:r w:rsidRPr="00C72F6C">
        <w:rPr>
          <w:i/>
          <w:iCs/>
          <w:lang w:val="en-US"/>
        </w:rPr>
        <w:t>prausnitzii</w:t>
      </w:r>
      <w:proofErr w:type="spellEnd"/>
      <w:r>
        <w:rPr>
          <w:lang w:val="en-US"/>
        </w:rPr>
        <w:t>,</w:t>
      </w:r>
      <w:r w:rsidRPr="005F5396">
        <w:rPr>
          <w:lang w:val="en-US"/>
        </w:rPr>
        <w:t xml:space="preserve"> </w:t>
      </w:r>
      <w:proofErr w:type="spellStart"/>
      <w:r w:rsidRPr="005F5396">
        <w:rPr>
          <w:i/>
          <w:iCs/>
          <w:lang w:val="en-US"/>
        </w:rPr>
        <w:t>Bacteroides</w:t>
      </w:r>
      <w:proofErr w:type="spellEnd"/>
      <w:r w:rsidRPr="005F5396">
        <w:rPr>
          <w:i/>
          <w:iCs/>
          <w:lang w:val="en-US"/>
        </w:rPr>
        <w:t xml:space="preserve"> </w:t>
      </w:r>
      <w:proofErr w:type="spellStart"/>
      <w:r w:rsidRPr="005F5396">
        <w:rPr>
          <w:i/>
          <w:iCs/>
          <w:lang w:val="en-US"/>
        </w:rPr>
        <w:t>fragilis</w:t>
      </w:r>
      <w:proofErr w:type="spellEnd"/>
      <w:r>
        <w:rPr>
          <w:lang w:val="en-US"/>
        </w:rPr>
        <w:t xml:space="preserve">, </w:t>
      </w:r>
      <w:r w:rsidRPr="00F71937">
        <w:rPr>
          <w:i/>
          <w:iCs/>
          <w:lang w:val="en-US"/>
        </w:rPr>
        <w:t xml:space="preserve">Clostridium </w:t>
      </w:r>
      <w:proofErr w:type="spellStart"/>
      <w:r w:rsidRPr="00F71937">
        <w:rPr>
          <w:i/>
          <w:iCs/>
          <w:lang w:val="en-US"/>
        </w:rPr>
        <w:t>butyricum</w:t>
      </w:r>
      <w:proofErr w:type="spellEnd"/>
      <w:r w:rsidRPr="00E844D1">
        <w:rPr>
          <w:lang w:val="en-US"/>
        </w:rPr>
        <w:t xml:space="preserve">, </w:t>
      </w:r>
      <w:proofErr w:type="spellStart"/>
      <w:r w:rsidRPr="005270F6">
        <w:rPr>
          <w:i/>
          <w:iCs/>
          <w:lang w:val="en-US"/>
        </w:rPr>
        <w:t>Prevotella</w:t>
      </w:r>
      <w:proofErr w:type="spellEnd"/>
      <w:r w:rsidRPr="005270F6">
        <w:rPr>
          <w:i/>
          <w:iCs/>
          <w:lang w:val="en-US"/>
        </w:rPr>
        <w:t xml:space="preserve"> </w:t>
      </w:r>
      <w:proofErr w:type="spellStart"/>
      <w:r w:rsidRPr="005270F6">
        <w:rPr>
          <w:i/>
          <w:iCs/>
          <w:lang w:val="en-US"/>
        </w:rPr>
        <w:t>copri</w:t>
      </w:r>
      <w:proofErr w:type="spellEnd"/>
      <w:r w:rsidRPr="005270F6">
        <w:rPr>
          <w:lang w:val="en-US"/>
        </w:rPr>
        <w:t>,</w:t>
      </w:r>
      <w:r w:rsidRPr="005270F6">
        <w:rPr>
          <w:i/>
          <w:iCs/>
          <w:lang w:val="en-US"/>
        </w:rPr>
        <w:t xml:space="preserve"> Parabacteroides </w:t>
      </w:r>
      <w:proofErr w:type="spellStart"/>
      <w:r w:rsidRPr="005270F6">
        <w:rPr>
          <w:i/>
          <w:iCs/>
          <w:lang w:val="en-US"/>
        </w:rPr>
        <w:t>glodsteinii</w:t>
      </w:r>
      <w:proofErr w:type="spellEnd"/>
      <w:r>
        <w:rPr>
          <w:lang w:val="en-US"/>
        </w:rPr>
        <w:t xml:space="preserve">, </w:t>
      </w:r>
      <w:proofErr w:type="spellStart"/>
      <w:r>
        <w:rPr>
          <w:i/>
          <w:iCs/>
          <w:lang w:val="en-US"/>
        </w:rPr>
        <w:t>Christensenella</w:t>
      </w:r>
      <w:proofErr w:type="spellEnd"/>
      <w:r>
        <w:rPr>
          <w:i/>
          <w:iCs/>
          <w:lang w:val="en-US"/>
        </w:rPr>
        <w:t xml:space="preserve"> </w:t>
      </w:r>
      <w:proofErr w:type="spellStart"/>
      <w:r>
        <w:rPr>
          <w:i/>
          <w:iCs/>
          <w:lang w:val="en-US"/>
        </w:rPr>
        <w:t>minuta</w:t>
      </w:r>
      <w:proofErr w:type="spellEnd"/>
      <w:r w:rsidRPr="00987845">
        <w:rPr>
          <w:lang w:val="en-US"/>
        </w:rPr>
        <w:t>.</w:t>
      </w:r>
      <w:r w:rsidRPr="00574818">
        <w:rPr>
          <w:lang w:val="en-US"/>
        </w:rPr>
        <w:t xml:space="preserve"> </w:t>
      </w:r>
      <w:r w:rsidRPr="00E844D1">
        <w:rPr>
          <w:lang w:val="en-US"/>
        </w:rPr>
        <w:t xml:space="preserve">Among these potential NGPs, </w:t>
      </w:r>
      <w:r w:rsidRPr="00987845">
        <w:rPr>
          <w:i/>
          <w:iCs/>
          <w:lang w:val="en-US"/>
        </w:rPr>
        <w:t xml:space="preserve">A. </w:t>
      </w:r>
      <w:proofErr w:type="spellStart"/>
      <w:r w:rsidRPr="00987845">
        <w:rPr>
          <w:i/>
          <w:iCs/>
          <w:lang w:val="en-US"/>
        </w:rPr>
        <w:t>muciniphila</w:t>
      </w:r>
      <w:proofErr w:type="spellEnd"/>
      <w:r w:rsidRPr="00E844D1">
        <w:rPr>
          <w:lang w:val="en-US"/>
        </w:rPr>
        <w:t xml:space="preserve"> is one of the most promising microorganisms with probiotic properties (</w:t>
      </w:r>
      <w:proofErr w:type="spellStart"/>
      <w:r w:rsidRPr="0008531F">
        <w:rPr>
          <w:lang w:val="en-US"/>
        </w:rPr>
        <w:t>Derrien</w:t>
      </w:r>
      <w:proofErr w:type="spellEnd"/>
      <w:r w:rsidRPr="0008531F">
        <w:rPr>
          <w:lang w:val="en-US"/>
        </w:rPr>
        <w:t xml:space="preserve"> </w:t>
      </w:r>
      <w:r w:rsidRPr="0008531F">
        <w:rPr>
          <w:i/>
          <w:iCs/>
          <w:lang w:val="en-US"/>
        </w:rPr>
        <w:t>et al</w:t>
      </w:r>
      <w:r w:rsidR="00CA71E9">
        <w:rPr>
          <w:lang w:val="en-US"/>
        </w:rPr>
        <w:t>, 2004</w:t>
      </w:r>
      <w:r w:rsidRPr="00E844D1">
        <w:rPr>
          <w:lang w:val="en-US"/>
        </w:rPr>
        <w:t>).</w:t>
      </w:r>
      <w:r>
        <w:rPr>
          <w:lang w:val="en-US"/>
        </w:rPr>
        <w:t xml:space="preserve"> </w:t>
      </w:r>
      <w:r w:rsidRPr="00D507D0">
        <w:rPr>
          <w:i/>
          <w:iCs/>
          <w:lang w:val="en-US"/>
        </w:rPr>
        <w:t xml:space="preserve">A. </w:t>
      </w:r>
      <w:proofErr w:type="spellStart"/>
      <w:r w:rsidRPr="00D507D0">
        <w:rPr>
          <w:i/>
          <w:iCs/>
          <w:lang w:val="en-US"/>
        </w:rPr>
        <w:t>muciniphila</w:t>
      </w:r>
      <w:proofErr w:type="spellEnd"/>
      <w:r w:rsidRPr="00D507D0">
        <w:rPr>
          <w:i/>
          <w:iCs/>
          <w:lang w:val="en-US"/>
        </w:rPr>
        <w:t xml:space="preserve"> </w:t>
      </w:r>
      <w:r w:rsidRPr="00D507D0">
        <w:rPr>
          <w:lang w:val="en-US"/>
        </w:rPr>
        <w:t xml:space="preserve">is a commensal bacterium that colonizes the intestinal mucosal layer, the only member of the phylum </w:t>
      </w:r>
      <w:proofErr w:type="spellStart"/>
      <w:r w:rsidRPr="00D507D0">
        <w:rPr>
          <w:lang w:val="en-US"/>
        </w:rPr>
        <w:t>Verrucomicrobia</w:t>
      </w:r>
      <w:proofErr w:type="spellEnd"/>
      <w:r w:rsidRPr="00D507D0">
        <w:rPr>
          <w:lang w:val="en-US"/>
        </w:rPr>
        <w:t xml:space="preserve"> present in the gut of healthy individuals. It is a Gram-negative, non-motile anaerobic microorganism that tolerates low oxygen levels, an</w:t>
      </w:r>
      <w:r>
        <w:rPr>
          <w:lang w:val="en-US"/>
        </w:rPr>
        <w:t>d produces no endospores</w:t>
      </w:r>
      <w:r w:rsidRPr="00D507D0">
        <w:rPr>
          <w:lang w:val="en-US"/>
        </w:rPr>
        <w:t xml:space="preserve">. It degrades mucin </w:t>
      </w:r>
      <w:r w:rsidR="007C5489">
        <w:rPr>
          <w:lang w:val="en-US"/>
        </w:rPr>
        <w:t xml:space="preserve">and </w:t>
      </w:r>
      <w:r w:rsidR="0015717F">
        <w:rPr>
          <w:lang w:val="en-US"/>
        </w:rPr>
        <w:t>is also capable to induce its</w:t>
      </w:r>
      <w:r w:rsidRPr="00D507D0">
        <w:rPr>
          <w:lang w:val="en-US"/>
        </w:rPr>
        <w:t xml:space="preserve"> production by increasing the number and density of goblet cells. Its main positive functions for the host are the ability to strengthen the gut barrier, modulate insulin resistance, protect from metabolic inflammation, and exert anti-inflammatory effects (</w:t>
      </w:r>
      <w:r w:rsidRPr="004858D7">
        <w:rPr>
          <w:lang w:val="en-US"/>
        </w:rPr>
        <w:t xml:space="preserve">Si </w:t>
      </w:r>
      <w:r w:rsidRPr="004858D7">
        <w:rPr>
          <w:i/>
          <w:iCs/>
          <w:lang w:val="en-US"/>
        </w:rPr>
        <w:t>et al</w:t>
      </w:r>
      <w:r w:rsidRPr="004858D7">
        <w:rPr>
          <w:lang w:val="en-US"/>
        </w:rPr>
        <w:t>, 2022</w:t>
      </w:r>
      <w:r w:rsidRPr="00D507D0">
        <w:rPr>
          <w:lang w:val="en-US"/>
        </w:rPr>
        <w:t xml:space="preserve">). Low levels of </w:t>
      </w:r>
      <w:r w:rsidRPr="00D507D0">
        <w:rPr>
          <w:i/>
          <w:iCs/>
          <w:lang w:val="en-US"/>
        </w:rPr>
        <w:t xml:space="preserve">A. </w:t>
      </w:r>
      <w:proofErr w:type="spellStart"/>
      <w:r w:rsidRPr="00D507D0">
        <w:rPr>
          <w:i/>
          <w:iCs/>
          <w:lang w:val="en-US"/>
        </w:rPr>
        <w:t>muciniphila</w:t>
      </w:r>
      <w:proofErr w:type="spellEnd"/>
      <w:r w:rsidRPr="00D507D0">
        <w:rPr>
          <w:i/>
          <w:iCs/>
          <w:lang w:val="en-US"/>
        </w:rPr>
        <w:t xml:space="preserve"> </w:t>
      </w:r>
      <w:r w:rsidRPr="00D507D0">
        <w:rPr>
          <w:lang w:val="en-US"/>
        </w:rPr>
        <w:t>has been associated with several diseases in both mouse models and in humans</w:t>
      </w:r>
      <w:r>
        <w:rPr>
          <w:lang w:val="en-US"/>
        </w:rPr>
        <w:t>, su</w:t>
      </w:r>
      <w:r w:rsidR="004858D7">
        <w:rPr>
          <w:lang w:val="en-US"/>
        </w:rPr>
        <w:t xml:space="preserve">ch as </w:t>
      </w:r>
      <w:r>
        <w:rPr>
          <w:lang w:val="en-US"/>
        </w:rPr>
        <w:t>IBD, UC,</w:t>
      </w:r>
      <w:r w:rsidRPr="00D507D0">
        <w:rPr>
          <w:lang w:val="en-US"/>
        </w:rPr>
        <w:t xml:space="preserve"> and Crohn’s disease. </w:t>
      </w:r>
      <w:r w:rsidR="006753AF" w:rsidRPr="00D507D0">
        <w:rPr>
          <w:lang w:val="en-US"/>
        </w:rPr>
        <w:t>However, there are many controversial aspects that need to be clarified.</w:t>
      </w:r>
      <w:r w:rsidR="006753AF">
        <w:rPr>
          <w:lang w:val="en-US"/>
        </w:rPr>
        <w:t xml:space="preserve"> For example, </w:t>
      </w:r>
      <w:r w:rsidR="006753AF" w:rsidRPr="00D507D0">
        <w:rPr>
          <w:lang w:val="en-US"/>
        </w:rPr>
        <w:t xml:space="preserve">multiple sclerosis and Parkinson’s disease patients exhibited a higher abundance of </w:t>
      </w:r>
      <w:r w:rsidR="006753AF" w:rsidRPr="00D507D0">
        <w:rPr>
          <w:i/>
          <w:iCs/>
          <w:lang w:val="en-US"/>
        </w:rPr>
        <w:t xml:space="preserve">A. </w:t>
      </w:r>
      <w:proofErr w:type="spellStart"/>
      <w:r w:rsidR="006753AF" w:rsidRPr="00D507D0">
        <w:rPr>
          <w:i/>
          <w:iCs/>
          <w:lang w:val="en-US"/>
        </w:rPr>
        <w:t>muciniphila</w:t>
      </w:r>
      <w:proofErr w:type="spellEnd"/>
      <w:r w:rsidR="006753AF" w:rsidRPr="00D507D0">
        <w:rPr>
          <w:lang w:val="en-US"/>
        </w:rPr>
        <w:t xml:space="preserve"> with respect to controls</w:t>
      </w:r>
      <w:r w:rsidR="006753AF">
        <w:rPr>
          <w:lang w:val="en-US"/>
        </w:rPr>
        <w:t>.</w:t>
      </w:r>
      <w:r w:rsidR="006753AF" w:rsidRPr="006753AF">
        <w:rPr>
          <w:lang w:val="en-US"/>
        </w:rPr>
        <w:t xml:space="preserve"> </w:t>
      </w:r>
      <w:r w:rsidR="006753AF" w:rsidRPr="00D857C8">
        <w:rPr>
          <w:lang w:val="en-US"/>
        </w:rPr>
        <w:t xml:space="preserve">The pasteurized </w:t>
      </w:r>
      <w:r w:rsidR="006753AF" w:rsidRPr="00D857C8">
        <w:rPr>
          <w:i/>
          <w:iCs/>
          <w:lang w:val="en-US"/>
        </w:rPr>
        <w:t xml:space="preserve">A. </w:t>
      </w:r>
      <w:proofErr w:type="spellStart"/>
      <w:r w:rsidR="006753AF" w:rsidRPr="00D857C8">
        <w:rPr>
          <w:i/>
          <w:iCs/>
          <w:lang w:val="en-US"/>
        </w:rPr>
        <w:t>muciniphila</w:t>
      </w:r>
      <w:proofErr w:type="spellEnd"/>
      <w:r w:rsidR="006753AF" w:rsidRPr="00D857C8">
        <w:rPr>
          <w:lang w:val="en-US"/>
        </w:rPr>
        <w:t xml:space="preserve"> </w:t>
      </w:r>
      <w:proofErr w:type="spellStart"/>
      <w:r w:rsidR="006753AF" w:rsidRPr="00D857C8">
        <w:rPr>
          <w:lang w:val="en-US"/>
        </w:rPr>
        <w:t>MucT</w:t>
      </w:r>
      <w:proofErr w:type="spellEnd"/>
      <w:r w:rsidR="006753AF" w:rsidRPr="00D857C8">
        <w:rPr>
          <w:lang w:val="en-US"/>
        </w:rPr>
        <w:t xml:space="preserve"> has proven to be more efficient than the live microorganism (</w:t>
      </w:r>
      <w:proofErr w:type="spellStart"/>
      <w:r w:rsidR="006753AF" w:rsidRPr="00433CDE">
        <w:rPr>
          <w:lang w:val="en-US"/>
        </w:rPr>
        <w:t>Cani</w:t>
      </w:r>
      <w:proofErr w:type="spellEnd"/>
      <w:r w:rsidR="006753AF" w:rsidRPr="00433CDE">
        <w:rPr>
          <w:lang w:val="en-US"/>
        </w:rPr>
        <w:t xml:space="preserve"> </w:t>
      </w:r>
      <w:r w:rsidR="006753AF" w:rsidRPr="00433CDE">
        <w:rPr>
          <w:i/>
          <w:iCs/>
          <w:lang w:val="en-US"/>
        </w:rPr>
        <w:t>et al</w:t>
      </w:r>
      <w:r w:rsidR="006753AF" w:rsidRPr="00433CDE">
        <w:rPr>
          <w:lang w:val="en-US"/>
        </w:rPr>
        <w:t>,</w:t>
      </w:r>
      <w:r w:rsidR="006753AF" w:rsidRPr="00D857C8">
        <w:rPr>
          <w:lang w:val="en-US"/>
        </w:rPr>
        <w:t xml:space="preserve"> 2022)</w:t>
      </w:r>
      <w:r w:rsidR="006753AF">
        <w:rPr>
          <w:lang w:val="en-US"/>
        </w:rPr>
        <w:t xml:space="preserve"> and at the moment t</w:t>
      </w:r>
      <w:r w:rsidR="006753AF" w:rsidRPr="00734587">
        <w:rPr>
          <w:lang w:val="en-US"/>
        </w:rPr>
        <w:t>he European Food Safety Authority</w:t>
      </w:r>
      <w:r w:rsidR="006753AF">
        <w:rPr>
          <w:lang w:val="en-US"/>
        </w:rPr>
        <w:t xml:space="preserve"> (EFSA) has approved only </w:t>
      </w:r>
      <w:r w:rsidR="006753AF" w:rsidRPr="00734587">
        <w:rPr>
          <w:lang w:val="en-US"/>
        </w:rPr>
        <w:t xml:space="preserve">pasteurized </w:t>
      </w:r>
      <w:r w:rsidR="006753AF" w:rsidRPr="00D857C8">
        <w:rPr>
          <w:i/>
          <w:iCs/>
          <w:lang w:val="en-US"/>
        </w:rPr>
        <w:t>A</w:t>
      </w:r>
      <w:r w:rsidR="006753AF">
        <w:rPr>
          <w:i/>
          <w:iCs/>
          <w:lang w:val="en-US"/>
        </w:rPr>
        <w:t>.</w:t>
      </w:r>
      <w:r w:rsidR="006753AF" w:rsidRPr="00D857C8">
        <w:rPr>
          <w:i/>
          <w:iCs/>
          <w:lang w:val="en-US"/>
        </w:rPr>
        <w:t xml:space="preserve"> </w:t>
      </w:r>
      <w:proofErr w:type="spellStart"/>
      <w:r w:rsidR="006753AF" w:rsidRPr="00D857C8">
        <w:rPr>
          <w:i/>
          <w:iCs/>
          <w:lang w:val="en-US"/>
        </w:rPr>
        <w:t>muciniphila</w:t>
      </w:r>
      <w:proofErr w:type="spellEnd"/>
      <w:r w:rsidR="006753AF" w:rsidRPr="00734587">
        <w:rPr>
          <w:lang w:val="en-US"/>
        </w:rPr>
        <w:t xml:space="preserve"> </w:t>
      </w:r>
      <w:r w:rsidR="00032FB5" w:rsidRPr="00032FB5">
        <w:rPr>
          <w:lang w:val="en-US"/>
        </w:rPr>
        <w:t>ATCC BAA-835</w:t>
      </w:r>
      <w:r w:rsidR="00032FB5" w:rsidRPr="0015717F">
        <w:rPr>
          <w:vertAlign w:val="superscript"/>
          <w:lang w:val="en-US"/>
        </w:rPr>
        <w:t>T</w:t>
      </w:r>
      <w:r w:rsidR="00032FB5">
        <w:rPr>
          <w:lang w:val="en-US"/>
        </w:rPr>
        <w:t xml:space="preserve"> strain </w:t>
      </w:r>
      <w:r w:rsidR="006753AF" w:rsidRPr="00734587">
        <w:rPr>
          <w:lang w:val="en-US"/>
        </w:rPr>
        <w:t>as a novel food</w:t>
      </w:r>
      <w:r w:rsidR="006753AF">
        <w:rPr>
          <w:lang w:val="en-US"/>
        </w:rPr>
        <w:t xml:space="preserve"> (</w:t>
      </w:r>
      <w:hyperlink r:id="rId5" w:history="1">
        <w:r w:rsidR="006753AF" w:rsidRPr="0004105F">
          <w:rPr>
            <w:rStyle w:val="Collegamentoipertestuale"/>
            <w:lang w:val="en-US"/>
          </w:rPr>
          <w:t>https://www.efsa.europa.eu/en/efsajournal/pub/6780</w:t>
        </w:r>
      </w:hyperlink>
      <w:r w:rsidR="006753AF">
        <w:rPr>
          <w:lang w:val="en-US"/>
        </w:rPr>
        <w:t>).</w:t>
      </w:r>
    </w:p>
    <w:p w14:paraId="5CF44C67" w14:textId="647CD3D0" w:rsidR="00081E79" w:rsidRPr="00F710ED" w:rsidRDefault="00081E79" w:rsidP="00F710ED">
      <w:pPr>
        <w:pStyle w:val="Titolo1"/>
      </w:pPr>
      <w:r w:rsidRPr="00F710ED">
        <w:lastRenderedPageBreak/>
        <w:t>2. PhD Thesis Objectives and Milestones</w:t>
      </w:r>
    </w:p>
    <w:p w14:paraId="7B621FFC" w14:textId="1A595377" w:rsidR="006753AF" w:rsidRDefault="006753AF" w:rsidP="00081E79">
      <w:pPr>
        <w:jc w:val="both"/>
        <w:rPr>
          <w:lang w:val="en-US"/>
        </w:rPr>
      </w:pPr>
      <w:r>
        <w:rPr>
          <w:lang w:val="en-GB"/>
        </w:rPr>
        <w:t>T</w:t>
      </w:r>
      <w:r w:rsidRPr="00E4434D">
        <w:rPr>
          <w:lang w:val="en-US"/>
        </w:rPr>
        <w:t xml:space="preserve">he aim of this project is to </w:t>
      </w:r>
      <w:r>
        <w:rPr>
          <w:lang w:val="en-US"/>
        </w:rPr>
        <w:t>isolate and characterize</w:t>
      </w:r>
      <w:r w:rsidRPr="00E4434D">
        <w:rPr>
          <w:lang w:val="en-US"/>
        </w:rPr>
        <w:t xml:space="preserve"> </w:t>
      </w:r>
      <w:r>
        <w:rPr>
          <w:lang w:val="en-US"/>
        </w:rPr>
        <w:t>new potential</w:t>
      </w:r>
      <w:r w:rsidRPr="00E4434D">
        <w:rPr>
          <w:lang w:val="en-US"/>
        </w:rPr>
        <w:t xml:space="preserve"> NGPs investigating the</w:t>
      </w:r>
      <w:r>
        <w:rPr>
          <w:lang w:val="en-US"/>
        </w:rPr>
        <w:t>ir</w:t>
      </w:r>
      <w:r w:rsidRPr="00E4434D">
        <w:rPr>
          <w:lang w:val="en-US"/>
        </w:rPr>
        <w:t xml:space="preserve"> </w:t>
      </w:r>
      <w:r>
        <w:rPr>
          <w:lang w:val="en-US"/>
        </w:rPr>
        <w:t>c</w:t>
      </w:r>
      <w:r w:rsidRPr="00E4434D">
        <w:rPr>
          <w:lang w:val="en-US"/>
        </w:rPr>
        <w:t>rosstalk with the host</w:t>
      </w:r>
      <w:r>
        <w:rPr>
          <w:lang w:val="en-US"/>
        </w:rPr>
        <w:t>, the c</w:t>
      </w:r>
      <w:r w:rsidRPr="00E4434D">
        <w:rPr>
          <w:lang w:val="en-US"/>
        </w:rPr>
        <w:t xml:space="preserve">ross-feeding processes </w:t>
      </w:r>
      <w:r>
        <w:rPr>
          <w:lang w:val="en-US"/>
        </w:rPr>
        <w:t>among them,</w:t>
      </w:r>
      <w:r w:rsidRPr="00E4434D">
        <w:rPr>
          <w:lang w:val="en-US"/>
        </w:rPr>
        <w:t xml:space="preserve"> </w:t>
      </w:r>
      <w:r>
        <w:rPr>
          <w:lang w:val="en-US"/>
        </w:rPr>
        <w:t>their f</w:t>
      </w:r>
      <w:r w:rsidRPr="00E4434D">
        <w:rPr>
          <w:lang w:val="en-US"/>
        </w:rPr>
        <w:t>unction and mechanisms of action</w:t>
      </w:r>
      <w:r>
        <w:rPr>
          <w:lang w:val="en-US"/>
        </w:rPr>
        <w:t>, their properties</w:t>
      </w:r>
      <w:r w:rsidRPr="00E4434D">
        <w:rPr>
          <w:lang w:val="en-US"/>
        </w:rPr>
        <w:t xml:space="preserve"> against intestinal pathogen</w:t>
      </w:r>
      <w:r>
        <w:rPr>
          <w:lang w:val="en-US"/>
        </w:rPr>
        <w:t xml:space="preserve"> colonization, their e</w:t>
      </w:r>
      <w:r w:rsidRPr="00E4434D">
        <w:rPr>
          <w:lang w:val="en-US"/>
        </w:rPr>
        <w:t>ffectors responsible of the beneficial effects</w:t>
      </w:r>
      <w:r>
        <w:rPr>
          <w:lang w:val="en-US"/>
        </w:rPr>
        <w:t>, also using</w:t>
      </w:r>
      <w:r w:rsidRPr="00E4434D">
        <w:rPr>
          <w:lang w:val="en-US"/>
        </w:rPr>
        <w:t xml:space="preserve"> omics and </w:t>
      </w:r>
      <w:proofErr w:type="spellStart"/>
      <w:r w:rsidRPr="00E4434D">
        <w:rPr>
          <w:lang w:val="en-US"/>
        </w:rPr>
        <w:t>bioinformatic</w:t>
      </w:r>
      <w:proofErr w:type="spellEnd"/>
      <w:r w:rsidRPr="00E4434D">
        <w:rPr>
          <w:lang w:val="en-US"/>
        </w:rPr>
        <w:t xml:space="preserve"> approaches</w:t>
      </w:r>
      <w:r>
        <w:rPr>
          <w:lang w:val="en-US"/>
        </w:rPr>
        <w:t xml:space="preserve">. The results obtained with this research will deepen the knowledge about the molecular mechanisms of action of probiotics to achieve personalized treatments for the general population and for specific categories of patients. </w:t>
      </w:r>
    </w:p>
    <w:p w14:paraId="2323F777" w14:textId="390D4068" w:rsidR="00081E79" w:rsidRDefault="007B6987" w:rsidP="00081E79">
      <w:pPr>
        <w:jc w:val="both"/>
        <w:rPr>
          <w:lang w:val="en-GB"/>
        </w:rPr>
      </w:pPr>
      <w:r>
        <w:rPr>
          <w:lang w:val="en-GB"/>
        </w:rPr>
        <w:t>W</w:t>
      </w:r>
      <w:r w:rsidR="00081E79">
        <w:rPr>
          <w:lang w:val="en-GB"/>
        </w:rPr>
        <w:t>ithin the overall objective mentioned above this PhD thesis project can be subdivided into the following activities</w:t>
      </w:r>
      <w:r>
        <w:rPr>
          <w:lang w:val="en-GB"/>
        </w:rPr>
        <w:t xml:space="preserve"> (work packages, WPs)</w:t>
      </w:r>
      <w:r w:rsidR="00081E79">
        <w:rPr>
          <w:lang w:val="en-GB"/>
        </w:rPr>
        <w:t xml:space="preserve"> according to th</w:t>
      </w:r>
      <w:r>
        <w:rPr>
          <w:lang w:val="en-GB"/>
        </w:rPr>
        <w:t>e Gantt diagram given in Table 1</w:t>
      </w:r>
      <w:r w:rsidR="00081E79">
        <w:rPr>
          <w:lang w:val="en-GB"/>
        </w:rPr>
        <w:t xml:space="preserve">: </w:t>
      </w:r>
    </w:p>
    <w:p w14:paraId="207512BE" w14:textId="3E5D8760" w:rsidR="007B6987" w:rsidRPr="00B04F14" w:rsidRDefault="007B6987" w:rsidP="007B6987">
      <w:pPr>
        <w:jc w:val="both"/>
        <w:rPr>
          <w:b/>
          <w:bCs/>
          <w:lang w:val="en-US"/>
        </w:rPr>
      </w:pPr>
      <w:r>
        <w:rPr>
          <w:lang w:val="en-GB"/>
        </w:rPr>
        <w:t xml:space="preserve">WP1) </w:t>
      </w:r>
      <w:r w:rsidRPr="00B04F14">
        <w:rPr>
          <w:b/>
          <w:bCs/>
          <w:lang w:val="en-US"/>
        </w:rPr>
        <w:t xml:space="preserve">Isolation of bacterial strains from fecal human samples </w:t>
      </w:r>
    </w:p>
    <w:p w14:paraId="35D96739" w14:textId="4B0FCA34" w:rsidR="00081E79" w:rsidRPr="00432AC7" w:rsidRDefault="007B6987" w:rsidP="007B6987">
      <w:pPr>
        <w:ind w:left="426"/>
        <w:jc w:val="both"/>
        <w:rPr>
          <w:lang w:val="en-US"/>
        </w:rPr>
      </w:pPr>
      <w:r w:rsidRPr="00B04F14">
        <w:rPr>
          <w:lang w:val="en-US"/>
        </w:rPr>
        <w:t>S</w:t>
      </w:r>
      <w:r>
        <w:rPr>
          <w:lang w:val="en-US"/>
        </w:rPr>
        <w:t>tarting from s</w:t>
      </w:r>
      <w:r w:rsidRPr="00B04F14">
        <w:rPr>
          <w:lang w:val="en-US"/>
        </w:rPr>
        <w:t xml:space="preserve">tool samples </w:t>
      </w:r>
      <w:r>
        <w:rPr>
          <w:lang w:val="en-US"/>
        </w:rPr>
        <w:t>from healthy donors (</w:t>
      </w:r>
      <w:r w:rsidRPr="00B04F14">
        <w:rPr>
          <w:lang w:val="en-US"/>
        </w:rPr>
        <w:t xml:space="preserve">self-collected in sterile screw-cap specimen cups, transported refrigerated to the laboratory </w:t>
      </w:r>
      <w:r>
        <w:rPr>
          <w:lang w:val="en-US"/>
        </w:rPr>
        <w:t>and</w:t>
      </w:r>
      <w:r w:rsidRPr="00B04F14">
        <w:rPr>
          <w:lang w:val="en-US"/>
        </w:rPr>
        <w:t xml:space="preserve"> processed</w:t>
      </w:r>
      <w:r>
        <w:rPr>
          <w:lang w:val="en-US"/>
        </w:rPr>
        <w:t xml:space="preserve"> in the same day), m</w:t>
      </w:r>
      <w:r w:rsidRPr="00B04F14">
        <w:rPr>
          <w:lang w:val="en-US"/>
        </w:rPr>
        <w:t>icroorganisms of interest</w:t>
      </w:r>
      <w:r>
        <w:rPr>
          <w:lang w:val="en-US"/>
        </w:rPr>
        <w:t xml:space="preserve"> will be isolated</w:t>
      </w:r>
      <w:r w:rsidR="00FD69E0">
        <w:rPr>
          <w:lang w:val="en-US"/>
        </w:rPr>
        <w:t xml:space="preserve"> (according to </w:t>
      </w:r>
      <w:proofErr w:type="spellStart"/>
      <w:r w:rsidR="00FD69E0">
        <w:rPr>
          <w:lang w:val="en-US"/>
        </w:rPr>
        <w:t>Filardi</w:t>
      </w:r>
      <w:proofErr w:type="spellEnd"/>
      <w:r w:rsidR="00FD69E0">
        <w:rPr>
          <w:lang w:val="en-US"/>
        </w:rPr>
        <w:t xml:space="preserve"> </w:t>
      </w:r>
      <w:r w:rsidR="00FD69E0" w:rsidRPr="00083F42">
        <w:rPr>
          <w:i/>
          <w:lang w:val="en-US"/>
        </w:rPr>
        <w:t>et al</w:t>
      </w:r>
      <w:r w:rsidR="00FD69E0">
        <w:rPr>
          <w:lang w:val="en-US"/>
        </w:rPr>
        <w:t>, 2022)</w:t>
      </w:r>
    </w:p>
    <w:p w14:paraId="7313BD56" w14:textId="251F4731" w:rsidR="007B6987" w:rsidRPr="00B12411" w:rsidRDefault="007B6987" w:rsidP="007B6987">
      <w:pPr>
        <w:jc w:val="both"/>
        <w:rPr>
          <w:b/>
          <w:bCs/>
          <w:lang w:val="en-US"/>
        </w:rPr>
      </w:pPr>
      <w:r>
        <w:rPr>
          <w:lang w:val="en-GB"/>
        </w:rPr>
        <w:t xml:space="preserve">WP2) </w:t>
      </w:r>
      <w:r w:rsidRPr="00B12411">
        <w:rPr>
          <w:b/>
          <w:bCs/>
          <w:lang w:val="en-US"/>
        </w:rPr>
        <w:t xml:space="preserve">Taxonomy identification of the isolates </w:t>
      </w:r>
      <w:r>
        <w:rPr>
          <w:b/>
          <w:bCs/>
          <w:lang w:val="en-US"/>
        </w:rPr>
        <w:t>and</w:t>
      </w:r>
      <w:r w:rsidRPr="007B75D8">
        <w:rPr>
          <w:b/>
          <w:bCs/>
          <w:lang w:val="en-US"/>
        </w:rPr>
        <w:t xml:space="preserve"> </w:t>
      </w:r>
      <w:r w:rsidRPr="00923B63">
        <w:rPr>
          <w:b/>
          <w:lang w:val="en-US"/>
        </w:rPr>
        <w:t>genotypic characterization</w:t>
      </w:r>
    </w:p>
    <w:p w14:paraId="7059CB1F" w14:textId="71AB95B3" w:rsidR="00081E79" w:rsidRPr="00432AC7" w:rsidRDefault="007B6987" w:rsidP="007B6987">
      <w:pPr>
        <w:ind w:left="426"/>
        <w:jc w:val="both"/>
        <w:rPr>
          <w:lang w:val="en-US"/>
        </w:rPr>
      </w:pPr>
      <w:r w:rsidRPr="00B12411">
        <w:rPr>
          <w:lang w:val="en-US"/>
        </w:rPr>
        <w:t xml:space="preserve">The </w:t>
      </w:r>
      <w:r w:rsidR="00FD69E0">
        <w:rPr>
          <w:lang w:val="en-US"/>
        </w:rPr>
        <w:t>isolates</w:t>
      </w:r>
      <w:r w:rsidRPr="00B12411">
        <w:rPr>
          <w:lang w:val="en-US"/>
        </w:rPr>
        <w:t xml:space="preserve"> will be identified unambiguously at genus and species level</w:t>
      </w:r>
      <w:r>
        <w:rPr>
          <w:lang w:val="en-US"/>
        </w:rPr>
        <w:t xml:space="preserve"> </w:t>
      </w:r>
      <w:r w:rsidR="00FD69E0">
        <w:rPr>
          <w:lang w:val="en-US"/>
        </w:rPr>
        <w:t>by</w:t>
      </w:r>
      <w:r w:rsidRPr="00B12411">
        <w:rPr>
          <w:lang w:val="en-US"/>
        </w:rPr>
        <w:t xml:space="preserve"> 16S </w:t>
      </w:r>
      <w:proofErr w:type="spellStart"/>
      <w:r w:rsidRPr="00B12411">
        <w:rPr>
          <w:lang w:val="en-US"/>
        </w:rPr>
        <w:t>rRNA</w:t>
      </w:r>
      <w:proofErr w:type="spellEnd"/>
      <w:r w:rsidRPr="00B12411">
        <w:rPr>
          <w:lang w:val="en-US"/>
        </w:rPr>
        <w:t xml:space="preserve"> gene sequencing analysis </w:t>
      </w:r>
      <w:r w:rsidR="00FD69E0">
        <w:rPr>
          <w:lang w:val="en-US"/>
        </w:rPr>
        <w:t>and whole genome sequencing</w:t>
      </w:r>
      <w:r w:rsidR="00083F42">
        <w:rPr>
          <w:lang w:val="en-US"/>
        </w:rPr>
        <w:t>.</w:t>
      </w:r>
    </w:p>
    <w:p w14:paraId="73810357" w14:textId="44E98C14" w:rsidR="007B6987" w:rsidRDefault="007B6987" w:rsidP="007B6987">
      <w:pPr>
        <w:jc w:val="both"/>
        <w:rPr>
          <w:b/>
          <w:bCs/>
          <w:lang w:val="en-US"/>
        </w:rPr>
      </w:pPr>
      <w:r>
        <w:rPr>
          <w:lang w:val="en-GB"/>
        </w:rPr>
        <w:t xml:space="preserve">WP3) </w:t>
      </w:r>
      <w:r>
        <w:rPr>
          <w:b/>
          <w:bCs/>
          <w:lang w:val="en-US"/>
        </w:rPr>
        <w:t>Ph</w:t>
      </w:r>
      <w:r w:rsidRPr="008D0F52">
        <w:rPr>
          <w:b/>
          <w:bCs/>
          <w:lang w:val="en-US"/>
        </w:rPr>
        <w:t>enotypic characterization</w:t>
      </w:r>
      <w:r>
        <w:rPr>
          <w:b/>
          <w:bCs/>
          <w:lang w:val="en-US"/>
        </w:rPr>
        <w:t xml:space="preserve"> of the new strains</w:t>
      </w:r>
    </w:p>
    <w:p w14:paraId="3FD26729" w14:textId="357B0902" w:rsidR="00081E79" w:rsidRPr="00432AC7" w:rsidRDefault="007B6987" w:rsidP="007B6987">
      <w:pPr>
        <w:ind w:left="426"/>
        <w:jc w:val="both"/>
        <w:rPr>
          <w:lang w:val="en-US"/>
        </w:rPr>
      </w:pPr>
      <w:r>
        <w:rPr>
          <w:lang w:val="en-US"/>
        </w:rPr>
        <w:t>This WP</w:t>
      </w:r>
      <w:r w:rsidR="00FD69E0">
        <w:rPr>
          <w:lang w:val="en-US"/>
        </w:rPr>
        <w:t>3</w:t>
      </w:r>
      <w:r>
        <w:rPr>
          <w:lang w:val="en-US"/>
        </w:rPr>
        <w:t xml:space="preserve"> will include different tasks (T). Indeed, </w:t>
      </w:r>
      <w:r w:rsidR="00776637">
        <w:rPr>
          <w:lang w:val="en-US"/>
        </w:rPr>
        <w:t>the new potential NGPs</w:t>
      </w:r>
      <w:r>
        <w:rPr>
          <w:lang w:val="en-US"/>
        </w:rPr>
        <w:t xml:space="preserve"> will </w:t>
      </w:r>
      <w:r w:rsidR="00776637">
        <w:rPr>
          <w:lang w:val="en-US"/>
        </w:rPr>
        <w:t xml:space="preserve">be </w:t>
      </w:r>
      <w:r>
        <w:rPr>
          <w:lang w:val="en-US"/>
        </w:rPr>
        <w:t>evaluate</w:t>
      </w:r>
      <w:r w:rsidR="00776637">
        <w:rPr>
          <w:lang w:val="en-US"/>
        </w:rPr>
        <w:t>d</w:t>
      </w:r>
      <w:r w:rsidR="00FD69E0">
        <w:rPr>
          <w:lang w:val="en-US"/>
        </w:rPr>
        <w:t xml:space="preserve"> for</w:t>
      </w:r>
      <w:r>
        <w:rPr>
          <w:lang w:val="en-US"/>
        </w:rPr>
        <w:t xml:space="preserve"> the </w:t>
      </w:r>
      <w:r w:rsidRPr="00923B63">
        <w:rPr>
          <w:lang w:val="en"/>
        </w:rPr>
        <w:t xml:space="preserve">macroscopic and microscopic morphological properties </w:t>
      </w:r>
      <w:r w:rsidR="00433CDE">
        <w:rPr>
          <w:lang w:val="en-US"/>
        </w:rPr>
        <w:t>(</w:t>
      </w:r>
      <w:r>
        <w:rPr>
          <w:lang w:val="en-US"/>
        </w:rPr>
        <w:t xml:space="preserve">T1), the </w:t>
      </w:r>
      <w:r w:rsidRPr="003D00F7">
        <w:rPr>
          <w:lang w:val="en-US"/>
        </w:rPr>
        <w:t>tolerance to gastrointestinal conditions</w:t>
      </w:r>
      <w:r w:rsidR="00433CDE">
        <w:rPr>
          <w:lang w:val="en-US"/>
        </w:rPr>
        <w:t xml:space="preserve"> (</w:t>
      </w:r>
      <w:r>
        <w:rPr>
          <w:lang w:val="en-US"/>
        </w:rPr>
        <w:t xml:space="preserve">T2), </w:t>
      </w:r>
      <w:r w:rsidR="00257F4D">
        <w:rPr>
          <w:lang w:val="en-US"/>
        </w:rPr>
        <w:t xml:space="preserve">the </w:t>
      </w:r>
      <w:r>
        <w:rPr>
          <w:lang w:val="en"/>
        </w:rPr>
        <w:t>ability to assimilate and</w:t>
      </w:r>
      <w:r w:rsidRPr="00923B63">
        <w:rPr>
          <w:lang w:val="en"/>
        </w:rPr>
        <w:t xml:space="preserve">/or ferment different </w:t>
      </w:r>
      <w:r w:rsidR="00FD69E0" w:rsidRPr="00923B63">
        <w:rPr>
          <w:lang w:val="en"/>
        </w:rPr>
        <w:t>carbon and nitrogen</w:t>
      </w:r>
      <w:r w:rsidR="00FD69E0">
        <w:rPr>
          <w:lang w:val="en"/>
        </w:rPr>
        <w:t xml:space="preserve"> </w:t>
      </w:r>
      <w:r w:rsidRPr="00923B63">
        <w:rPr>
          <w:lang w:val="en"/>
        </w:rPr>
        <w:t xml:space="preserve">sources </w:t>
      </w:r>
      <w:r w:rsidR="00433CDE">
        <w:rPr>
          <w:lang w:val="en"/>
        </w:rPr>
        <w:t>(</w:t>
      </w:r>
      <w:r>
        <w:rPr>
          <w:lang w:val="en"/>
        </w:rPr>
        <w:t xml:space="preserve">T3), the </w:t>
      </w:r>
      <w:r w:rsidR="00776637">
        <w:rPr>
          <w:lang w:val="en"/>
        </w:rPr>
        <w:t>capacity</w:t>
      </w:r>
      <w:r w:rsidRPr="00923B63">
        <w:rPr>
          <w:lang w:val="en"/>
        </w:rPr>
        <w:t xml:space="preserve"> to hydrolyze compounds such as starch, lipids or proteins</w:t>
      </w:r>
      <w:r w:rsidR="00433CDE">
        <w:rPr>
          <w:lang w:val="en-US"/>
        </w:rPr>
        <w:t xml:space="preserve"> (</w:t>
      </w:r>
      <w:r>
        <w:rPr>
          <w:lang w:val="en-US"/>
        </w:rPr>
        <w:t xml:space="preserve">T4), the </w:t>
      </w:r>
      <w:r w:rsidRPr="00923B63">
        <w:rPr>
          <w:lang w:val="en"/>
        </w:rPr>
        <w:t>production of extracellular compounds</w:t>
      </w:r>
      <w:r w:rsidR="00433CDE">
        <w:rPr>
          <w:lang w:val="en-US"/>
        </w:rPr>
        <w:t xml:space="preserve"> (</w:t>
      </w:r>
      <w:r>
        <w:rPr>
          <w:lang w:val="en-US"/>
        </w:rPr>
        <w:t>T5), and the a</w:t>
      </w:r>
      <w:r w:rsidRPr="003D00F7">
        <w:rPr>
          <w:lang w:val="en-US"/>
        </w:rPr>
        <w:t>nti</w:t>
      </w:r>
      <w:r w:rsidR="00433CDE">
        <w:rPr>
          <w:lang w:val="en-US"/>
        </w:rPr>
        <w:t>biotic susceptibility (</w:t>
      </w:r>
      <w:r>
        <w:rPr>
          <w:lang w:val="en-US"/>
        </w:rPr>
        <w:t xml:space="preserve">T6). </w:t>
      </w:r>
    </w:p>
    <w:p w14:paraId="3ADB7534" w14:textId="3FDA04DC" w:rsidR="007B6987" w:rsidRPr="00604812" w:rsidRDefault="007B6987" w:rsidP="007B6987">
      <w:pPr>
        <w:jc w:val="both"/>
        <w:rPr>
          <w:lang w:val="en-US"/>
        </w:rPr>
      </w:pPr>
      <w:r>
        <w:rPr>
          <w:lang w:val="en-GB"/>
        </w:rPr>
        <w:t xml:space="preserve">WP4) </w:t>
      </w:r>
      <w:r w:rsidRPr="008B2454">
        <w:rPr>
          <w:b/>
          <w:bCs/>
          <w:i/>
          <w:lang w:val="en-US"/>
        </w:rPr>
        <w:t>In vitro</w:t>
      </w:r>
      <w:r w:rsidRPr="007B75D8">
        <w:rPr>
          <w:b/>
          <w:bCs/>
          <w:lang w:val="en-US"/>
        </w:rPr>
        <w:t xml:space="preserve"> and</w:t>
      </w:r>
      <w:r w:rsidRPr="00F43809">
        <w:rPr>
          <w:b/>
          <w:bCs/>
          <w:lang w:val="en-US"/>
        </w:rPr>
        <w:t>/or</w:t>
      </w:r>
      <w:r w:rsidRPr="007B75D8">
        <w:rPr>
          <w:b/>
          <w:bCs/>
          <w:lang w:val="en-US"/>
        </w:rPr>
        <w:t xml:space="preserve"> </w:t>
      </w:r>
      <w:r w:rsidRPr="008B2454">
        <w:rPr>
          <w:b/>
          <w:bCs/>
          <w:i/>
          <w:lang w:val="en-US"/>
        </w:rPr>
        <w:t>ex vivo</w:t>
      </w:r>
      <w:r w:rsidRPr="00F43809">
        <w:rPr>
          <w:b/>
          <w:bCs/>
          <w:lang w:val="en-US"/>
        </w:rPr>
        <w:t xml:space="preserve"> efficacy evaluation</w:t>
      </w:r>
      <w:r>
        <w:rPr>
          <w:b/>
          <w:bCs/>
          <w:lang w:val="en-US"/>
        </w:rPr>
        <w:t xml:space="preserve"> of the new strains</w:t>
      </w:r>
    </w:p>
    <w:p w14:paraId="6F08810D" w14:textId="08F02FA0" w:rsidR="00E42A5C" w:rsidRDefault="007B6987" w:rsidP="00E42A5C">
      <w:pPr>
        <w:ind w:left="426"/>
        <w:jc w:val="both"/>
        <w:rPr>
          <w:bCs/>
          <w:lang w:val="en-US"/>
        </w:rPr>
      </w:pPr>
      <w:r>
        <w:rPr>
          <w:bCs/>
          <w:lang w:val="en-US"/>
        </w:rPr>
        <w:t xml:space="preserve">This WP will include different tasks. Indeed, the most suitable </w:t>
      </w:r>
      <w:r w:rsidRPr="008B2454">
        <w:rPr>
          <w:bCs/>
          <w:i/>
          <w:lang w:val="en-US"/>
        </w:rPr>
        <w:t>in vitro</w:t>
      </w:r>
      <w:r>
        <w:rPr>
          <w:bCs/>
          <w:lang w:val="en-US"/>
        </w:rPr>
        <w:t xml:space="preserve"> and/or </w:t>
      </w:r>
      <w:r w:rsidRPr="008B2454">
        <w:rPr>
          <w:bCs/>
          <w:i/>
          <w:lang w:val="en-US"/>
        </w:rPr>
        <w:t>ex vivo</w:t>
      </w:r>
      <w:r>
        <w:rPr>
          <w:bCs/>
          <w:lang w:val="en-US"/>
        </w:rPr>
        <w:t xml:space="preserve"> 2D and 3D models will be used to determine the efficacy of the new potential NGPs in</w:t>
      </w:r>
      <w:r w:rsidRPr="003D00F7">
        <w:rPr>
          <w:lang w:val="en-US"/>
        </w:rPr>
        <w:t xml:space="preserve"> pathogen in</w:t>
      </w:r>
      <w:r w:rsidR="00433CDE">
        <w:rPr>
          <w:lang w:val="en-US"/>
        </w:rPr>
        <w:t>hibition (</w:t>
      </w:r>
      <w:r>
        <w:rPr>
          <w:lang w:val="en-US"/>
        </w:rPr>
        <w:t>T1), adhesion to eukaryotic cells (e.g.</w:t>
      </w:r>
      <w:r w:rsidRPr="003D00F7">
        <w:rPr>
          <w:lang w:val="en-US"/>
        </w:rPr>
        <w:t>,</w:t>
      </w:r>
      <w:r w:rsidR="000E338C">
        <w:rPr>
          <w:lang w:val="en-US"/>
        </w:rPr>
        <w:t xml:space="preserve"> Caco-2) (</w:t>
      </w:r>
      <w:r>
        <w:rPr>
          <w:lang w:val="en-US"/>
        </w:rPr>
        <w:t>T2),</w:t>
      </w:r>
      <w:r w:rsidRPr="003D00F7">
        <w:rPr>
          <w:lang w:val="en-US"/>
        </w:rPr>
        <w:t xml:space="preserve"> effect on intestinal permeability</w:t>
      </w:r>
      <w:r>
        <w:rPr>
          <w:lang w:val="en-US"/>
        </w:rPr>
        <w:t xml:space="preserve"> an</w:t>
      </w:r>
      <w:r w:rsidR="00433CDE">
        <w:rPr>
          <w:lang w:val="en-US"/>
        </w:rPr>
        <w:t>d tight junction integrity (</w:t>
      </w:r>
      <w:r w:rsidR="000E338C">
        <w:rPr>
          <w:lang w:val="en-US"/>
        </w:rPr>
        <w:t xml:space="preserve">T3), </w:t>
      </w:r>
      <w:r>
        <w:rPr>
          <w:bCs/>
          <w:lang w:val="en-US"/>
        </w:rPr>
        <w:t>probiotic metabo</w:t>
      </w:r>
      <w:r w:rsidR="000E338C">
        <w:rPr>
          <w:bCs/>
          <w:lang w:val="en-US"/>
        </w:rPr>
        <w:t>lite effect</w:t>
      </w:r>
      <w:r>
        <w:rPr>
          <w:bCs/>
          <w:lang w:val="en-US"/>
        </w:rPr>
        <w:t xml:space="preserve"> on different kind of cells (intestinal, endothelial and neuronal c</w:t>
      </w:r>
      <w:r w:rsidR="00433CDE">
        <w:rPr>
          <w:bCs/>
          <w:lang w:val="en-US"/>
        </w:rPr>
        <w:t>ells, adipocytes, or others</w:t>
      </w:r>
      <w:r w:rsidR="00257F4D">
        <w:rPr>
          <w:bCs/>
          <w:lang w:val="en-US"/>
        </w:rPr>
        <w:t>)</w:t>
      </w:r>
      <w:r w:rsidR="00433CDE">
        <w:rPr>
          <w:bCs/>
          <w:lang w:val="en-US"/>
        </w:rPr>
        <w:t xml:space="preserve"> </w:t>
      </w:r>
      <w:r w:rsidR="00257F4D">
        <w:rPr>
          <w:bCs/>
          <w:lang w:val="en-US"/>
        </w:rPr>
        <w:t>(</w:t>
      </w:r>
      <w:r>
        <w:rPr>
          <w:bCs/>
          <w:lang w:val="en-US"/>
        </w:rPr>
        <w:t>T4).</w:t>
      </w:r>
    </w:p>
    <w:p w14:paraId="5068FD2A" w14:textId="77777777" w:rsidR="00FD69E0" w:rsidRPr="00AC5113" w:rsidRDefault="00FD69E0" w:rsidP="00E42A5C">
      <w:pPr>
        <w:ind w:left="426"/>
        <w:jc w:val="both"/>
        <w:rPr>
          <w:bCs/>
          <w:sz w:val="30"/>
          <w:szCs w:val="30"/>
          <w:lang w:val="en-US"/>
        </w:rPr>
      </w:pPr>
    </w:p>
    <w:p w14:paraId="3ADCDB1E" w14:textId="17C34D3E" w:rsidR="00081E79" w:rsidRPr="00AC5113" w:rsidRDefault="007B6987" w:rsidP="00083F42">
      <w:pPr>
        <w:rPr>
          <w:i/>
          <w:lang w:val="en-US"/>
        </w:rPr>
      </w:pPr>
      <w:r w:rsidRPr="007640F1">
        <w:rPr>
          <w:b/>
          <w:iCs/>
          <w:lang w:val="en-GB"/>
        </w:rPr>
        <w:t>Table 1.</w:t>
      </w:r>
      <w:r w:rsidRPr="00AC5113">
        <w:rPr>
          <w:b/>
          <w:i/>
          <w:iCs/>
          <w:lang w:val="en-GB"/>
        </w:rPr>
        <w:t xml:space="preserve"> </w:t>
      </w:r>
      <w:r w:rsidR="00081E79" w:rsidRPr="00AC5113">
        <w:rPr>
          <w:i/>
          <w:lang w:val="en-US"/>
        </w:rPr>
        <w:t>Gantt diagram for this PhD thesis project.</w:t>
      </w:r>
    </w:p>
    <w:p w14:paraId="3A76F3A1" w14:textId="77777777" w:rsidR="00AC5113" w:rsidRPr="00AC5113" w:rsidRDefault="00AC5113" w:rsidP="00083F42">
      <w:pPr>
        <w:rPr>
          <w:i/>
          <w:sz w:val="12"/>
          <w:lang w:val="en-US"/>
        </w:rPr>
      </w:pPr>
    </w:p>
    <w:tbl>
      <w:tblPr>
        <w:tblStyle w:val="Tabellasemplice-2"/>
        <w:tblW w:w="0" w:type="auto"/>
        <w:tblLook w:val="04A0" w:firstRow="1" w:lastRow="0" w:firstColumn="1" w:lastColumn="0" w:noHBand="0" w:noVBand="1"/>
      </w:tblPr>
      <w:tblGrid>
        <w:gridCol w:w="3629"/>
        <w:gridCol w:w="907"/>
        <w:gridCol w:w="907"/>
        <w:gridCol w:w="907"/>
        <w:gridCol w:w="907"/>
        <w:gridCol w:w="907"/>
        <w:gridCol w:w="907"/>
      </w:tblGrid>
      <w:tr w:rsidR="007B6987" w14:paraId="0A14D97E" w14:textId="77777777" w:rsidTr="00AC5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F2DFEB" w14:textId="77777777" w:rsidR="007B6987" w:rsidRPr="00031532" w:rsidRDefault="007B6987" w:rsidP="00FD69E0">
            <w:pPr>
              <w:jc w:val="both"/>
              <w:rPr>
                <w:i/>
                <w:sz w:val="18"/>
                <w:lang w:val="en-US"/>
              </w:rPr>
            </w:pPr>
          </w:p>
        </w:tc>
        <w:tc>
          <w:tcPr>
            <w:tcW w:w="907" w:type="dxa"/>
          </w:tcPr>
          <w:p w14:paraId="11851051"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1</w:t>
            </w:r>
            <w:r w:rsidRPr="00031532">
              <w:rPr>
                <w:i/>
                <w:sz w:val="18"/>
                <w:vertAlign w:val="superscript"/>
                <w:lang w:val="en-US"/>
              </w:rPr>
              <w:t>st</w:t>
            </w:r>
            <w:r w:rsidRPr="00031532">
              <w:rPr>
                <w:i/>
                <w:sz w:val="18"/>
                <w:lang w:val="en-US"/>
              </w:rPr>
              <w:t xml:space="preserve"> semester </w:t>
            </w:r>
          </w:p>
        </w:tc>
        <w:tc>
          <w:tcPr>
            <w:tcW w:w="907" w:type="dxa"/>
          </w:tcPr>
          <w:p w14:paraId="38CFB404"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2</w:t>
            </w:r>
            <w:r w:rsidRPr="00031532">
              <w:rPr>
                <w:i/>
                <w:sz w:val="18"/>
                <w:vertAlign w:val="superscript"/>
                <w:lang w:val="en-US"/>
              </w:rPr>
              <w:t>nd</w:t>
            </w:r>
            <w:r w:rsidRPr="00031532">
              <w:rPr>
                <w:i/>
                <w:sz w:val="18"/>
                <w:lang w:val="en-US"/>
              </w:rPr>
              <w:t xml:space="preserve"> semester</w:t>
            </w:r>
          </w:p>
        </w:tc>
        <w:tc>
          <w:tcPr>
            <w:tcW w:w="907" w:type="dxa"/>
          </w:tcPr>
          <w:p w14:paraId="1339C6F6"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3</w:t>
            </w:r>
            <w:r w:rsidRPr="00031532">
              <w:rPr>
                <w:i/>
                <w:sz w:val="18"/>
                <w:vertAlign w:val="superscript"/>
                <w:lang w:val="en-US"/>
              </w:rPr>
              <w:t>rd</w:t>
            </w:r>
            <w:r w:rsidRPr="00031532">
              <w:rPr>
                <w:i/>
                <w:sz w:val="18"/>
                <w:lang w:val="en-US"/>
              </w:rPr>
              <w:t xml:space="preserve"> semester</w:t>
            </w:r>
          </w:p>
        </w:tc>
        <w:tc>
          <w:tcPr>
            <w:tcW w:w="907" w:type="dxa"/>
          </w:tcPr>
          <w:p w14:paraId="2A92861D"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4</w:t>
            </w:r>
            <w:r w:rsidRPr="00031532">
              <w:rPr>
                <w:i/>
                <w:sz w:val="18"/>
                <w:vertAlign w:val="superscript"/>
                <w:lang w:val="en-US"/>
              </w:rPr>
              <w:t>th</w:t>
            </w:r>
            <w:r w:rsidRPr="00031532">
              <w:rPr>
                <w:i/>
                <w:sz w:val="18"/>
                <w:lang w:val="en-US"/>
              </w:rPr>
              <w:t xml:space="preserve"> semester</w:t>
            </w:r>
          </w:p>
        </w:tc>
        <w:tc>
          <w:tcPr>
            <w:tcW w:w="907" w:type="dxa"/>
          </w:tcPr>
          <w:p w14:paraId="522FC998"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5</w:t>
            </w:r>
            <w:r w:rsidRPr="00031532">
              <w:rPr>
                <w:i/>
                <w:sz w:val="18"/>
                <w:vertAlign w:val="superscript"/>
                <w:lang w:val="en-US"/>
              </w:rPr>
              <w:t>th</w:t>
            </w:r>
            <w:r w:rsidRPr="00031532">
              <w:rPr>
                <w:i/>
                <w:sz w:val="18"/>
                <w:lang w:val="en-US"/>
              </w:rPr>
              <w:t xml:space="preserve"> semester</w:t>
            </w:r>
          </w:p>
        </w:tc>
        <w:tc>
          <w:tcPr>
            <w:tcW w:w="907" w:type="dxa"/>
          </w:tcPr>
          <w:p w14:paraId="0E55BBDE" w14:textId="77777777" w:rsidR="007B6987" w:rsidRPr="00031532" w:rsidRDefault="007B6987" w:rsidP="00FD69E0">
            <w:pPr>
              <w:jc w:val="both"/>
              <w:cnfStyle w:val="100000000000" w:firstRow="1" w:lastRow="0" w:firstColumn="0" w:lastColumn="0" w:oddVBand="0" w:evenVBand="0" w:oddHBand="0" w:evenHBand="0" w:firstRowFirstColumn="0" w:firstRowLastColumn="0" w:lastRowFirstColumn="0" w:lastRowLastColumn="0"/>
              <w:rPr>
                <w:b w:val="0"/>
                <w:bCs w:val="0"/>
                <w:i/>
                <w:sz w:val="18"/>
                <w:lang w:val="en-US"/>
              </w:rPr>
            </w:pPr>
            <w:r w:rsidRPr="00031532">
              <w:rPr>
                <w:i/>
                <w:sz w:val="18"/>
                <w:lang w:val="en-US"/>
              </w:rPr>
              <w:t>6</w:t>
            </w:r>
            <w:r w:rsidRPr="00031532">
              <w:rPr>
                <w:i/>
                <w:sz w:val="18"/>
                <w:vertAlign w:val="superscript"/>
                <w:lang w:val="en-US"/>
              </w:rPr>
              <w:t>th</w:t>
            </w:r>
            <w:r w:rsidRPr="00031532">
              <w:rPr>
                <w:i/>
                <w:sz w:val="18"/>
                <w:lang w:val="en-US"/>
              </w:rPr>
              <w:t xml:space="preserve"> semester</w:t>
            </w:r>
          </w:p>
        </w:tc>
      </w:tr>
      <w:tr w:rsidR="007C5489" w:rsidRPr="00FD69E0" w14:paraId="53BA38A4" w14:textId="77777777" w:rsidTr="00AC5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E85FD5" w14:textId="5E9AD97B" w:rsidR="007B6987" w:rsidRPr="00031532" w:rsidRDefault="007B6987" w:rsidP="00D37635">
            <w:pPr>
              <w:jc w:val="both"/>
              <w:rPr>
                <w:i/>
                <w:sz w:val="18"/>
                <w:lang w:val="en-US"/>
              </w:rPr>
            </w:pPr>
            <w:r w:rsidRPr="00031532">
              <w:rPr>
                <w:i/>
                <w:sz w:val="18"/>
                <w:lang w:val="en-US"/>
              </w:rPr>
              <w:t xml:space="preserve">WP1 </w:t>
            </w:r>
            <w:r w:rsidRPr="00AC5113">
              <w:rPr>
                <w:b w:val="0"/>
                <w:i/>
                <w:sz w:val="18"/>
                <w:lang w:val="en-US"/>
              </w:rPr>
              <w:t xml:space="preserve">Isolation of bacterial </w:t>
            </w:r>
            <w:bookmarkStart w:id="1" w:name="_GoBack"/>
            <w:bookmarkEnd w:id="1"/>
            <w:r w:rsidRPr="00AC5113">
              <w:rPr>
                <w:b w:val="0"/>
                <w:i/>
                <w:sz w:val="18"/>
                <w:lang w:val="en-US"/>
              </w:rPr>
              <w:t xml:space="preserve">strains from </w:t>
            </w:r>
            <w:r w:rsidR="00FD69E0" w:rsidRPr="00AC5113">
              <w:rPr>
                <w:b w:val="0"/>
                <w:i/>
                <w:sz w:val="18"/>
                <w:lang w:val="en-US"/>
              </w:rPr>
              <w:t xml:space="preserve">human </w:t>
            </w:r>
            <w:r w:rsidRPr="00AC5113">
              <w:rPr>
                <w:b w:val="0"/>
                <w:i/>
                <w:sz w:val="18"/>
                <w:lang w:val="en-US"/>
              </w:rPr>
              <w:t>fecal samples</w:t>
            </w:r>
          </w:p>
        </w:tc>
        <w:tc>
          <w:tcPr>
            <w:tcW w:w="907" w:type="dxa"/>
            <w:shd w:val="clear" w:color="auto" w:fill="D0CECE" w:themeFill="background2" w:themeFillShade="E6"/>
          </w:tcPr>
          <w:p w14:paraId="59B15CE6"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0445BA53"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0209C2AB"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4B7DDCA8"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3686FE43"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73D52A07"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r>
      <w:tr w:rsidR="007C5489" w:rsidRPr="00FD69E0" w14:paraId="25480E14" w14:textId="77777777" w:rsidTr="00AC5113">
        <w:tc>
          <w:tcPr>
            <w:cnfStyle w:val="001000000000" w:firstRow="0" w:lastRow="0" w:firstColumn="1" w:lastColumn="0" w:oddVBand="0" w:evenVBand="0" w:oddHBand="0" w:evenHBand="0" w:firstRowFirstColumn="0" w:firstRowLastColumn="0" w:lastRowFirstColumn="0" w:lastRowLastColumn="0"/>
            <w:tcW w:w="0" w:type="auto"/>
          </w:tcPr>
          <w:p w14:paraId="2A1BCD36" w14:textId="77777777" w:rsidR="007B6987" w:rsidRPr="00031532" w:rsidRDefault="007B6987" w:rsidP="00D37635">
            <w:pPr>
              <w:jc w:val="both"/>
              <w:rPr>
                <w:i/>
                <w:sz w:val="18"/>
                <w:lang w:val="en-US"/>
              </w:rPr>
            </w:pPr>
            <w:r w:rsidRPr="00031532">
              <w:rPr>
                <w:i/>
                <w:sz w:val="18"/>
                <w:lang w:val="en-US"/>
              </w:rPr>
              <w:t xml:space="preserve">WP2 </w:t>
            </w:r>
            <w:r w:rsidRPr="00AC5113">
              <w:rPr>
                <w:b w:val="0"/>
                <w:i/>
                <w:sz w:val="18"/>
                <w:lang w:val="en-US"/>
              </w:rPr>
              <w:t>Taxonomy identification of the isolates and genotypic characterization</w:t>
            </w:r>
          </w:p>
        </w:tc>
        <w:tc>
          <w:tcPr>
            <w:tcW w:w="907" w:type="dxa"/>
          </w:tcPr>
          <w:p w14:paraId="079C5E19"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14D29184"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6D2543C6"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49A6066E"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01517B6A"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tcPr>
          <w:p w14:paraId="2DF82FA1"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r>
      <w:tr w:rsidR="007C5489" w:rsidRPr="00FD69E0" w14:paraId="53885161" w14:textId="77777777" w:rsidTr="00AC5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50EB65" w14:textId="742C782E" w:rsidR="007B6987" w:rsidRPr="00031532" w:rsidRDefault="007B6987" w:rsidP="00D37635">
            <w:pPr>
              <w:jc w:val="both"/>
              <w:rPr>
                <w:i/>
                <w:sz w:val="18"/>
                <w:lang w:val="en-US"/>
              </w:rPr>
            </w:pPr>
            <w:r w:rsidRPr="00031532">
              <w:rPr>
                <w:i/>
                <w:sz w:val="18"/>
                <w:lang w:val="en-US"/>
              </w:rPr>
              <w:t>WP3</w:t>
            </w:r>
            <w:r w:rsidR="007C5489" w:rsidRPr="00031532">
              <w:rPr>
                <w:i/>
                <w:sz w:val="18"/>
                <w:lang w:val="en-US"/>
              </w:rPr>
              <w:t xml:space="preserve"> </w:t>
            </w:r>
            <w:r w:rsidRPr="00AC5113">
              <w:rPr>
                <w:b w:val="0"/>
                <w:i/>
                <w:sz w:val="18"/>
                <w:lang w:val="en-US"/>
              </w:rPr>
              <w:t xml:space="preserve">Phenotypic characterization of the new strains </w:t>
            </w:r>
          </w:p>
        </w:tc>
        <w:tc>
          <w:tcPr>
            <w:tcW w:w="907" w:type="dxa"/>
          </w:tcPr>
          <w:p w14:paraId="336366E2"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076EBE87"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3E8FED07"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3284F0EC"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311B5D3C"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01D495ED"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r>
      <w:tr w:rsidR="007C5489" w:rsidRPr="00FD69E0" w14:paraId="10ADC3B4" w14:textId="77777777" w:rsidTr="00AC5113">
        <w:tc>
          <w:tcPr>
            <w:cnfStyle w:val="001000000000" w:firstRow="0" w:lastRow="0" w:firstColumn="1" w:lastColumn="0" w:oddVBand="0" w:evenVBand="0" w:oddHBand="0" w:evenHBand="0" w:firstRowFirstColumn="0" w:firstRowLastColumn="0" w:lastRowFirstColumn="0" w:lastRowLastColumn="0"/>
            <w:tcW w:w="0" w:type="auto"/>
          </w:tcPr>
          <w:p w14:paraId="2FA6DD7E" w14:textId="75961B6C" w:rsidR="007B6987" w:rsidRPr="00031532" w:rsidRDefault="007B6987" w:rsidP="00D37635">
            <w:pPr>
              <w:jc w:val="both"/>
              <w:rPr>
                <w:i/>
                <w:sz w:val="18"/>
                <w:lang w:val="en-US"/>
              </w:rPr>
            </w:pPr>
            <w:r w:rsidRPr="00031532">
              <w:rPr>
                <w:i/>
                <w:sz w:val="18"/>
                <w:lang w:val="en-US"/>
              </w:rPr>
              <w:t xml:space="preserve">WP4 </w:t>
            </w:r>
            <w:r w:rsidRPr="00AC5113">
              <w:rPr>
                <w:b w:val="0"/>
                <w:i/>
                <w:sz w:val="18"/>
                <w:lang w:val="en-US"/>
              </w:rPr>
              <w:t>In vitro and/or ex vivo efficacy evaluation of the new strains</w:t>
            </w:r>
          </w:p>
        </w:tc>
        <w:tc>
          <w:tcPr>
            <w:tcW w:w="907" w:type="dxa"/>
          </w:tcPr>
          <w:p w14:paraId="2F8C00CB"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tcPr>
          <w:p w14:paraId="2907334E"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1447FCB9"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28B70054"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0F94560F"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c>
          <w:tcPr>
            <w:tcW w:w="907" w:type="dxa"/>
            <w:shd w:val="clear" w:color="auto" w:fill="D0CECE" w:themeFill="background2" w:themeFillShade="E6"/>
          </w:tcPr>
          <w:p w14:paraId="48B63220" w14:textId="77777777" w:rsidR="007B6987" w:rsidRPr="00031532" w:rsidRDefault="007B6987" w:rsidP="00D37635">
            <w:pPr>
              <w:jc w:val="both"/>
              <w:cnfStyle w:val="000000000000" w:firstRow="0" w:lastRow="0" w:firstColumn="0" w:lastColumn="0" w:oddVBand="0" w:evenVBand="0" w:oddHBand="0" w:evenHBand="0" w:firstRowFirstColumn="0" w:firstRowLastColumn="0" w:lastRowFirstColumn="0" w:lastRowLastColumn="0"/>
              <w:rPr>
                <w:i/>
                <w:sz w:val="18"/>
                <w:lang w:val="en-US"/>
              </w:rPr>
            </w:pPr>
          </w:p>
        </w:tc>
      </w:tr>
      <w:tr w:rsidR="007C5489" w:rsidRPr="00FD69E0" w14:paraId="6F6ED50E" w14:textId="77777777" w:rsidTr="00AC5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98E34" w14:textId="77777777" w:rsidR="007B6987" w:rsidRPr="00031532" w:rsidRDefault="007B6987" w:rsidP="00D37635">
            <w:pPr>
              <w:jc w:val="both"/>
              <w:rPr>
                <w:b w:val="0"/>
                <w:bCs w:val="0"/>
                <w:i/>
                <w:sz w:val="18"/>
                <w:lang w:val="en-US"/>
              </w:rPr>
            </w:pPr>
            <w:r w:rsidRPr="00031532">
              <w:rPr>
                <w:i/>
                <w:sz w:val="18"/>
                <w:lang w:val="en-US"/>
              </w:rPr>
              <w:t>Manuscript(s) and PhD thesis preparation</w:t>
            </w:r>
          </w:p>
        </w:tc>
        <w:tc>
          <w:tcPr>
            <w:tcW w:w="907" w:type="dxa"/>
          </w:tcPr>
          <w:p w14:paraId="3C115B79"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00EF1118"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tcPr>
          <w:p w14:paraId="6E6F7AEA"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45CB61DD"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26762E3C"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c>
          <w:tcPr>
            <w:tcW w:w="907" w:type="dxa"/>
            <w:shd w:val="clear" w:color="auto" w:fill="D0CECE" w:themeFill="background2" w:themeFillShade="E6"/>
          </w:tcPr>
          <w:p w14:paraId="1ED86A32" w14:textId="77777777" w:rsidR="007B6987" w:rsidRPr="00031532" w:rsidRDefault="007B6987" w:rsidP="00D37635">
            <w:pPr>
              <w:jc w:val="both"/>
              <w:cnfStyle w:val="000000100000" w:firstRow="0" w:lastRow="0" w:firstColumn="0" w:lastColumn="0" w:oddVBand="0" w:evenVBand="0" w:oddHBand="1" w:evenHBand="0" w:firstRowFirstColumn="0" w:firstRowLastColumn="0" w:lastRowFirstColumn="0" w:lastRowLastColumn="0"/>
              <w:rPr>
                <w:i/>
                <w:sz w:val="18"/>
                <w:lang w:val="en-US"/>
              </w:rPr>
            </w:pPr>
          </w:p>
        </w:tc>
      </w:tr>
    </w:tbl>
    <w:p w14:paraId="1FCB330E" w14:textId="77777777" w:rsidR="00081E79" w:rsidRDefault="00081E79" w:rsidP="00081E79">
      <w:pPr>
        <w:pStyle w:val="Titolo1"/>
        <w:spacing w:before="240"/>
        <w:ind w:right="0"/>
        <w:rPr>
          <w:b w:val="0"/>
          <w:color w:val="000000"/>
        </w:rPr>
      </w:pPr>
      <w:r>
        <w:rPr>
          <w:color w:val="000000"/>
        </w:rPr>
        <w:t>3. Selected References</w:t>
      </w:r>
    </w:p>
    <w:p w14:paraId="13D6FD91" w14:textId="43E29A4A" w:rsidR="00433CDE" w:rsidRDefault="00433CDE" w:rsidP="003A1EBB">
      <w:pPr>
        <w:ind w:left="426" w:hanging="426"/>
        <w:jc w:val="both"/>
        <w:rPr>
          <w:sz w:val="18"/>
          <w:lang w:val="en-US"/>
        </w:rPr>
      </w:pPr>
      <w:proofErr w:type="spellStart"/>
      <w:r w:rsidRPr="00083F42">
        <w:rPr>
          <w:sz w:val="18"/>
          <w:lang w:val="en-US"/>
        </w:rPr>
        <w:t>Cani</w:t>
      </w:r>
      <w:proofErr w:type="spellEnd"/>
      <w:r w:rsidRPr="00083F42">
        <w:rPr>
          <w:sz w:val="18"/>
          <w:lang w:val="en-US"/>
        </w:rPr>
        <w:t xml:space="preserve"> PD, </w:t>
      </w:r>
      <w:proofErr w:type="spellStart"/>
      <w:r w:rsidRPr="00083F42">
        <w:rPr>
          <w:sz w:val="18"/>
          <w:lang w:val="en-US"/>
        </w:rPr>
        <w:t>Depommier</w:t>
      </w:r>
      <w:proofErr w:type="spellEnd"/>
      <w:r w:rsidRPr="00083F42">
        <w:rPr>
          <w:sz w:val="18"/>
          <w:lang w:val="en-US"/>
        </w:rPr>
        <w:t xml:space="preserve"> C, </w:t>
      </w:r>
      <w:proofErr w:type="spellStart"/>
      <w:r w:rsidRPr="00083F42">
        <w:rPr>
          <w:sz w:val="18"/>
          <w:lang w:val="en-US"/>
        </w:rPr>
        <w:t>Derrien</w:t>
      </w:r>
      <w:proofErr w:type="spellEnd"/>
      <w:r w:rsidRPr="00083F42">
        <w:rPr>
          <w:sz w:val="18"/>
          <w:lang w:val="en-US"/>
        </w:rPr>
        <w:t xml:space="preserve"> M, </w:t>
      </w:r>
      <w:proofErr w:type="spellStart"/>
      <w:r w:rsidRPr="00083F42">
        <w:rPr>
          <w:sz w:val="18"/>
          <w:lang w:val="en-US"/>
        </w:rPr>
        <w:t>Everard</w:t>
      </w:r>
      <w:proofErr w:type="spellEnd"/>
      <w:r w:rsidRPr="00083F42">
        <w:rPr>
          <w:sz w:val="18"/>
          <w:lang w:val="en-US"/>
        </w:rPr>
        <w:t xml:space="preserve"> A, de </w:t>
      </w:r>
      <w:proofErr w:type="spellStart"/>
      <w:r w:rsidRPr="00083F42">
        <w:rPr>
          <w:sz w:val="18"/>
          <w:lang w:val="en-US"/>
        </w:rPr>
        <w:t>Vos</w:t>
      </w:r>
      <w:proofErr w:type="spellEnd"/>
      <w:r w:rsidRPr="00083F42">
        <w:rPr>
          <w:sz w:val="18"/>
          <w:lang w:val="en-US"/>
        </w:rPr>
        <w:t xml:space="preserve"> WM. (2022). </w:t>
      </w:r>
      <w:proofErr w:type="spellStart"/>
      <w:r w:rsidRPr="00083F42">
        <w:rPr>
          <w:i/>
          <w:sz w:val="18"/>
          <w:lang w:val="en-US"/>
        </w:rPr>
        <w:t>Akkermansia</w:t>
      </w:r>
      <w:proofErr w:type="spellEnd"/>
      <w:r w:rsidRPr="00083F42">
        <w:rPr>
          <w:i/>
          <w:sz w:val="18"/>
          <w:lang w:val="en-US"/>
        </w:rPr>
        <w:t xml:space="preserve"> </w:t>
      </w:r>
      <w:proofErr w:type="spellStart"/>
      <w:r w:rsidRPr="00083F42">
        <w:rPr>
          <w:i/>
          <w:sz w:val="18"/>
          <w:lang w:val="en-US"/>
        </w:rPr>
        <w:t>muciniphila</w:t>
      </w:r>
      <w:proofErr w:type="spellEnd"/>
      <w:r w:rsidRPr="00083F42">
        <w:rPr>
          <w:sz w:val="18"/>
          <w:lang w:val="en-US"/>
        </w:rPr>
        <w:t xml:space="preserve">: paradigm for next-generation beneficial microorganisms. </w:t>
      </w:r>
      <w:r w:rsidRPr="00083F42">
        <w:rPr>
          <w:i/>
          <w:sz w:val="18"/>
          <w:lang w:val="en-US"/>
        </w:rPr>
        <w:t xml:space="preserve">Nature reviews. Gastroenterology &amp; </w:t>
      </w:r>
      <w:proofErr w:type="spellStart"/>
      <w:r w:rsidRPr="00083F42">
        <w:rPr>
          <w:i/>
          <w:sz w:val="18"/>
          <w:lang w:val="en-US"/>
        </w:rPr>
        <w:t>hepatology</w:t>
      </w:r>
      <w:proofErr w:type="spellEnd"/>
      <w:r w:rsidRPr="00083F42">
        <w:rPr>
          <w:i/>
          <w:sz w:val="18"/>
          <w:lang w:val="en-US"/>
        </w:rPr>
        <w:t>.</w:t>
      </w:r>
      <w:r w:rsidRPr="00083F42">
        <w:rPr>
          <w:sz w:val="18"/>
          <w:lang w:val="en-US"/>
        </w:rPr>
        <w:t xml:space="preserve"> </w:t>
      </w:r>
      <w:r w:rsidRPr="00083F42">
        <w:rPr>
          <w:b/>
          <w:sz w:val="18"/>
          <w:lang w:val="en-US"/>
        </w:rPr>
        <w:t>19</w:t>
      </w:r>
      <w:r w:rsidRPr="00083F42">
        <w:rPr>
          <w:sz w:val="18"/>
          <w:lang w:val="en-US"/>
        </w:rPr>
        <w:t xml:space="preserve">:625–637. </w:t>
      </w:r>
    </w:p>
    <w:p w14:paraId="323737F6" w14:textId="7DDE52F9" w:rsidR="0008531F" w:rsidRDefault="0008531F" w:rsidP="003A1EBB">
      <w:pPr>
        <w:ind w:left="426" w:hanging="426"/>
        <w:jc w:val="both"/>
        <w:rPr>
          <w:sz w:val="18"/>
          <w:lang w:val="en-US"/>
        </w:rPr>
      </w:pPr>
      <w:proofErr w:type="spellStart"/>
      <w:r w:rsidRPr="00083F42">
        <w:rPr>
          <w:sz w:val="18"/>
          <w:lang w:val="en-US"/>
        </w:rPr>
        <w:t>Derrien</w:t>
      </w:r>
      <w:proofErr w:type="spellEnd"/>
      <w:r w:rsidRPr="00083F42">
        <w:rPr>
          <w:sz w:val="18"/>
          <w:lang w:val="en-US"/>
        </w:rPr>
        <w:t xml:space="preserve"> M, </w:t>
      </w:r>
      <w:proofErr w:type="spellStart"/>
      <w:r w:rsidRPr="00083F42">
        <w:rPr>
          <w:sz w:val="18"/>
          <w:lang w:val="en-US"/>
        </w:rPr>
        <w:t>Belzer</w:t>
      </w:r>
      <w:proofErr w:type="spellEnd"/>
      <w:r w:rsidRPr="00083F42">
        <w:rPr>
          <w:sz w:val="18"/>
          <w:lang w:val="en-US"/>
        </w:rPr>
        <w:t xml:space="preserve"> C, de </w:t>
      </w:r>
      <w:proofErr w:type="spellStart"/>
      <w:r w:rsidRPr="00083F42">
        <w:rPr>
          <w:sz w:val="18"/>
          <w:lang w:val="en-US"/>
        </w:rPr>
        <w:t>Vos</w:t>
      </w:r>
      <w:proofErr w:type="spellEnd"/>
      <w:r w:rsidRPr="00083F42">
        <w:rPr>
          <w:sz w:val="18"/>
          <w:lang w:val="en-US"/>
        </w:rPr>
        <w:t xml:space="preserve"> WM (2017). </w:t>
      </w:r>
      <w:proofErr w:type="spellStart"/>
      <w:r w:rsidRPr="00083F42">
        <w:rPr>
          <w:i/>
          <w:iCs/>
          <w:sz w:val="18"/>
          <w:lang w:val="en-US"/>
        </w:rPr>
        <w:t>Akkermansia</w:t>
      </w:r>
      <w:proofErr w:type="spellEnd"/>
      <w:r w:rsidRPr="00083F42">
        <w:rPr>
          <w:i/>
          <w:iCs/>
          <w:sz w:val="18"/>
          <w:lang w:val="en-US"/>
        </w:rPr>
        <w:t xml:space="preserve"> </w:t>
      </w:r>
      <w:proofErr w:type="spellStart"/>
      <w:r w:rsidRPr="00083F42">
        <w:rPr>
          <w:i/>
          <w:iCs/>
          <w:sz w:val="18"/>
          <w:lang w:val="en-US"/>
        </w:rPr>
        <w:t>muciniphila</w:t>
      </w:r>
      <w:proofErr w:type="spellEnd"/>
      <w:r w:rsidRPr="00083F42">
        <w:rPr>
          <w:sz w:val="18"/>
          <w:lang w:val="en-US"/>
        </w:rPr>
        <w:t xml:space="preserve"> and its role in regulating host functions. </w:t>
      </w:r>
      <w:r w:rsidRPr="00083F42">
        <w:rPr>
          <w:i/>
          <w:iCs/>
          <w:sz w:val="18"/>
          <w:lang w:val="en-US"/>
        </w:rPr>
        <w:t>Microbial pathogenesis.</w:t>
      </w:r>
      <w:r w:rsidRPr="00083F42">
        <w:rPr>
          <w:sz w:val="18"/>
          <w:lang w:val="en-US"/>
        </w:rPr>
        <w:t xml:space="preserve"> </w:t>
      </w:r>
      <w:r w:rsidRPr="00083F42">
        <w:rPr>
          <w:b/>
          <w:iCs/>
          <w:sz w:val="18"/>
          <w:lang w:val="en-US"/>
        </w:rPr>
        <w:t>106</w:t>
      </w:r>
      <w:r w:rsidRPr="00083F42">
        <w:rPr>
          <w:iCs/>
          <w:sz w:val="18"/>
          <w:lang w:val="en-US"/>
        </w:rPr>
        <w:t>:</w:t>
      </w:r>
      <w:r w:rsidRPr="00083F42">
        <w:rPr>
          <w:sz w:val="18"/>
          <w:lang w:val="en-US"/>
        </w:rPr>
        <w:t>171–181.</w:t>
      </w:r>
    </w:p>
    <w:p w14:paraId="47BF2383" w14:textId="04C22CB6" w:rsidR="003A1EBB" w:rsidRDefault="00E42A5C" w:rsidP="003A1EBB">
      <w:pPr>
        <w:ind w:left="426" w:hanging="426"/>
        <w:jc w:val="both"/>
        <w:rPr>
          <w:sz w:val="18"/>
          <w:lang w:val="en-US"/>
        </w:rPr>
      </w:pPr>
      <w:proofErr w:type="spellStart"/>
      <w:r w:rsidRPr="00E42A5C">
        <w:rPr>
          <w:sz w:val="18"/>
          <w:lang w:val="en-US"/>
        </w:rPr>
        <w:t>Durack</w:t>
      </w:r>
      <w:proofErr w:type="spellEnd"/>
      <w:r w:rsidRPr="00E42A5C">
        <w:rPr>
          <w:sz w:val="18"/>
          <w:lang w:val="en-US"/>
        </w:rPr>
        <w:t xml:space="preserve"> J, Lynch SV (2019). The gut microbiome: Relationships with disease and opportunities for therapy. </w:t>
      </w:r>
      <w:r w:rsidRPr="00E42A5C">
        <w:rPr>
          <w:i/>
          <w:sz w:val="18"/>
          <w:lang w:val="en-US"/>
        </w:rPr>
        <w:t xml:space="preserve">J </w:t>
      </w:r>
      <w:proofErr w:type="spellStart"/>
      <w:r w:rsidRPr="00E42A5C">
        <w:rPr>
          <w:i/>
          <w:sz w:val="18"/>
          <w:lang w:val="en-US"/>
        </w:rPr>
        <w:t>Exp</w:t>
      </w:r>
      <w:proofErr w:type="spellEnd"/>
      <w:r w:rsidRPr="00E42A5C">
        <w:rPr>
          <w:i/>
          <w:sz w:val="18"/>
          <w:lang w:val="en-US"/>
        </w:rPr>
        <w:t xml:space="preserve"> Med.</w:t>
      </w:r>
      <w:r w:rsidRPr="00E42A5C">
        <w:rPr>
          <w:sz w:val="18"/>
          <w:lang w:val="en-US"/>
        </w:rPr>
        <w:t xml:space="preserve"> </w:t>
      </w:r>
      <w:r w:rsidRPr="00E42A5C">
        <w:rPr>
          <w:b/>
          <w:sz w:val="18"/>
          <w:lang w:val="en-US"/>
        </w:rPr>
        <w:t>216</w:t>
      </w:r>
      <w:r w:rsidRPr="00E42A5C">
        <w:rPr>
          <w:sz w:val="18"/>
          <w:lang w:val="en-US"/>
        </w:rPr>
        <w:t>:20-40.</w:t>
      </w:r>
    </w:p>
    <w:p w14:paraId="66728F5D" w14:textId="0AC2397A" w:rsidR="00083F42" w:rsidRDefault="00083F42" w:rsidP="003A1EBB">
      <w:pPr>
        <w:ind w:left="426" w:hanging="426"/>
        <w:jc w:val="both"/>
        <w:rPr>
          <w:sz w:val="18"/>
        </w:rPr>
      </w:pPr>
      <w:proofErr w:type="spellStart"/>
      <w:r>
        <w:rPr>
          <w:sz w:val="18"/>
        </w:rPr>
        <w:t>Filardi</w:t>
      </w:r>
      <w:proofErr w:type="spellEnd"/>
      <w:r>
        <w:rPr>
          <w:sz w:val="18"/>
        </w:rPr>
        <w:t xml:space="preserve"> R, </w:t>
      </w:r>
      <w:proofErr w:type="spellStart"/>
      <w:r>
        <w:rPr>
          <w:sz w:val="18"/>
        </w:rPr>
        <w:t>Gargari</w:t>
      </w:r>
      <w:proofErr w:type="spellEnd"/>
      <w:r>
        <w:rPr>
          <w:sz w:val="18"/>
        </w:rPr>
        <w:t xml:space="preserve"> G, Mora D, </w:t>
      </w:r>
      <w:proofErr w:type="spellStart"/>
      <w:r>
        <w:rPr>
          <w:sz w:val="18"/>
        </w:rPr>
        <w:t>Arioli</w:t>
      </w:r>
      <w:proofErr w:type="spellEnd"/>
      <w:r w:rsidRPr="00083F42">
        <w:rPr>
          <w:sz w:val="18"/>
        </w:rPr>
        <w:t xml:space="preserve"> S. (2022). </w:t>
      </w:r>
      <w:proofErr w:type="spellStart"/>
      <w:r w:rsidRPr="00083F42">
        <w:rPr>
          <w:sz w:val="18"/>
        </w:rPr>
        <w:t>Characterization</w:t>
      </w:r>
      <w:proofErr w:type="spellEnd"/>
      <w:r w:rsidRPr="00083F42">
        <w:rPr>
          <w:sz w:val="18"/>
        </w:rPr>
        <w:t xml:space="preserve"> of </w:t>
      </w:r>
      <w:proofErr w:type="spellStart"/>
      <w:r w:rsidRPr="00083F42">
        <w:rPr>
          <w:sz w:val="18"/>
        </w:rPr>
        <w:t>antibiotic-resistance</w:t>
      </w:r>
      <w:proofErr w:type="spellEnd"/>
      <w:r w:rsidRPr="00083F42">
        <w:rPr>
          <w:sz w:val="18"/>
        </w:rPr>
        <w:t xml:space="preserve"> traits in </w:t>
      </w:r>
      <w:proofErr w:type="spellStart"/>
      <w:r w:rsidRPr="00083F42">
        <w:rPr>
          <w:i/>
          <w:sz w:val="18"/>
        </w:rPr>
        <w:t>Akkermansia</w:t>
      </w:r>
      <w:proofErr w:type="spellEnd"/>
      <w:r w:rsidRPr="00083F42">
        <w:rPr>
          <w:i/>
          <w:sz w:val="18"/>
        </w:rPr>
        <w:t xml:space="preserve"> </w:t>
      </w:r>
      <w:proofErr w:type="spellStart"/>
      <w:r w:rsidRPr="00083F42">
        <w:rPr>
          <w:i/>
          <w:sz w:val="18"/>
        </w:rPr>
        <w:t>muciniphila</w:t>
      </w:r>
      <w:proofErr w:type="spellEnd"/>
      <w:r w:rsidRPr="00083F42">
        <w:rPr>
          <w:sz w:val="18"/>
        </w:rPr>
        <w:t xml:space="preserve"> </w:t>
      </w:r>
      <w:proofErr w:type="spellStart"/>
      <w:r w:rsidRPr="00083F42">
        <w:rPr>
          <w:sz w:val="18"/>
        </w:rPr>
        <w:t>strains</w:t>
      </w:r>
      <w:proofErr w:type="spellEnd"/>
      <w:r w:rsidRPr="00083F42">
        <w:rPr>
          <w:sz w:val="18"/>
        </w:rPr>
        <w:t xml:space="preserve"> of human </w:t>
      </w:r>
      <w:proofErr w:type="spellStart"/>
      <w:r w:rsidRPr="00083F42">
        <w:rPr>
          <w:sz w:val="18"/>
        </w:rPr>
        <w:t>origin</w:t>
      </w:r>
      <w:proofErr w:type="spellEnd"/>
      <w:r w:rsidRPr="00083F42">
        <w:rPr>
          <w:sz w:val="18"/>
        </w:rPr>
        <w:t xml:space="preserve">. </w:t>
      </w:r>
      <w:proofErr w:type="spellStart"/>
      <w:r w:rsidRPr="00083F42">
        <w:rPr>
          <w:i/>
          <w:iCs/>
          <w:sz w:val="18"/>
        </w:rPr>
        <w:t>Scientific</w:t>
      </w:r>
      <w:proofErr w:type="spellEnd"/>
      <w:r w:rsidRPr="00083F42">
        <w:rPr>
          <w:i/>
          <w:iCs/>
          <w:sz w:val="18"/>
        </w:rPr>
        <w:t xml:space="preserve"> reports</w:t>
      </w:r>
      <w:r>
        <w:rPr>
          <w:i/>
          <w:iCs/>
          <w:sz w:val="18"/>
        </w:rPr>
        <w:t>.</w:t>
      </w:r>
      <w:r w:rsidRPr="00083F42">
        <w:rPr>
          <w:sz w:val="18"/>
        </w:rPr>
        <w:t xml:space="preserve"> </w:t>
      </w:r>
      <w:r w:rsidRPr="00083F42">
        <w:rPr>
          <w:b/>
          <w:iCs/>
          <w:sz w:val="18"/>
        </w:rPr>
        <w:t>12</w:t>
      </w:r>
      <w:r w:rsidRPr="00083F42">
        <w:rPr>
          <w:iCs/>
          <w:sz w:val="18"/>
        </w:rPr>
        <w:t>:</w:t>
      </w:r>
      <w:r>
        <w:rPr>
          <w:sz w:val="18"/>
        </w:rPr>
        <w:t>19426.</w:t>
      </w:r>
    </w:p>
    <w:p w14:paraId="018526C6" w14:textId="6B763CF6" w:rsidR="00E42A5C" w:rsidRDefault="00E42A5C" w:rsidP="003A1EBB">
      <w:pPr>
        <w:ind w:left="426" w:hanging="426"/>
        <w:jc w:val="both"/>
        <w:rPr>
          <w:sz w:val="18"/>
          <w:lang w:val="en-US"/>
        </w:rPr>
      </w:pPr>
      <w:r w:rsidRPr="00083F42">
        <w:rPr>
          <w:sz w:val="18"/>
          <w:lang w:val="en-US"/>
        </w:rPr>
        <w:t xml:space="preserve">Hill C, </w:t>
      </w:r>
      <w:proofErr w:type="spellStart"/>
      <w:r w:rsidRPr="00083F42">
        <w:rPr>
          <w:sz w:val="18"/>
          <w:lang w:val="en-US"/>
        </w:rPr>
        <w:t>Guarner</w:t>
      </w:r>
      <w:proofErr w:type="spellEnd"/>
      <w:r w:rsidRPr="00083F42">
        <w:rPr>
          <w:sz w:val="18"/>
          <w:lang w:val="en-US"/>
        </w:rPr>
        <w:t xml:space="preserve"> F, Reid G, Gibson GR, </w:t>
      </w:r>
      <w:proofErr w:type="spellStart"/>
      <w:r w:rsidRPr="00083F42">
        <w:rPr>
          <w:sz w:val="18"/>
          <w:lang w:val="en-US"/>
        </w:rPr>
        <w:t>Merenstein</w:t>
      </w:r>
      <w:proofErr w:type="spellEnd"/>
      <w:r w:rsidRPr="00083F42">
        <w:rPr>
          <w:sz w:val="18"/>
          <w:lang w:val="en-US"/>
        </w:rPr>
        <w:t xml:space="preserve"> DJ, Pot B, Morelli L, </w:t>
      </w:r>
      <w:proofErr w:type="spellStart"/>
      <w:r w:rsidRPr="00083F42">
        <w:rPr>
          <w:sz w:val="18"/>
          <w:lang w:val="en-US"/>
        </w:rPr>
        <w:t>Canani</w:t>
      </w:r>
      <w:proofErr w:type="spellEnd"/>
      <w:r w:rsidRPr="00083F42">
        <w:rPr>
          <w:sz w:val="18"/>
          <w:lang w:val="en-US"/>
        </w:rPr>
        <w:t xml:space="preserve"> RB, Flint HJ, </w:t>
      </w:r>
      <w:proofErr w:type="spellStart"/>
      <w:r w:rsidRPr="00083F42">
        <w:rPr>
          <w:sz w:val="18"/>
          <w:lang w:val="en-US"/>
        </w:rPr>
        <w:t>Salminen</w:t>
      </w:r>
      <w:proofErr w:type="spellEnd"/>
      <w:r w:rsidRPr="00083F42">
        <w:rPr>
          <w:sz w:val="18"/>
          <w:lang w:val="en-US"/>
        </w:rPr>
        <w:t xml:space="preserve"> S, Calder PC, Sanders ME (2014). Expert consensus document. The International Scientific Association for Probiotics and Prebiotics consensus statement on the scope and appropriate use of the term probiotic. </w:t>
      </w:r>
      <w:r w:rsidRPr="00083F42">
        <w:rPr>
          <w:i/>
          <w:iCs/>
          <w:sz w:val="18"/>
          <w:lang w:val="en-US"/>
        </w:rPr>
        <w:t xml:space="preserve">Nature reviews. Gastroenterology &amp; </w:t>
      </w:r>
      <w:proofErr w:type="spellStart"/>
      <w:r w:rsidRPr="00083F42">
        <w:rPr>
          <w:i/>
          <w:iCs/>
          <w:sz w:val="18"/>
          <w:lang w:val="en-US"/>
        </w:rPr>
        <w:t>hepatology</w:t>
      </w:r>
      <w:proofErr w:type="spellEnd"/>
      <w:r w:rsidR="0008531F" w:rsidRPr="00083F42">
        <w:rPr>
          <w:sz w:val="18"/>
          <w:lang w:val="en-US"/>
        </w:rPr>
        <w:t>.</w:t>
      </w:r>
      <w:r w:rsidRPr="00083F42">
        <w:rPr>
          <w:sz w:val="18"/>
          <w:lang w:val="en-US"/>
        </w:rPr>
        <w:t xml:space="preserve"> </w:t>
      </w:r>
      <w:r w:rsidRPr="00083F42">
        <w:rPr>
          <w:b/>
          <w:iCs/>
          <w:sz w:val="18"/>
          <w:lang w:val="en-US"/>
        </w:rPr>
        <w:t>11</w:t>
      </w:r>
      <w:r w:rsidRPr="00083F42">
        <w:rPr>
          <w:iCs/>
          <w:sz w:val="18"/>
          <w:lang w:val="en-US"/>
        </w:rPr>
        <w:t>:</w:t>
      </w:r>
      <w:r w:rsidRPr="00083F42">
        <w:rPr>
          <w:sz w:val="18"/>
          <w:lang w:val="en-US"/>
        </w:rPr>
        <w:t>506–514</w:t>
      </w:r>
      <w:r w:rsidR="00F72EE8" w:rsidRPr="00083F42">
        <w:rPr>
          <w:sz w:val="18"/>
          <w:lang w:val="en-US"/>
        </w:rPr>
        <w:t>.</w:t>
      </w:r>
    </w:p>
    <w:p w14:paraId="4700AA89" w14:textId="4EF8D156" w:rsidR="00F72EE8" w:rsidRDefault="00F72EE8" w:rsidP="003A1EBB">
      <w:pPr>
        <w:ind w:left="426" w:hanging="426"/>
        <w:jc w:val="both"/>
        <w:rPr>
          <w:sz w:val="18"/>
          <w:szCs w:val="18"/>
          <w:lang w:val="en-US"/>
        </w:rPr>
      </w:pPr>
      <w:proofErr w:type="spellStart"/>
      <w:r w:rsidRPr="00083F42">
        <w:rPr>
          <w:sz w:val="18"/>
          <w:szCs w:val="18"/>
          <w:lang w:val="en-US"/>
        </w:rPr>
        <w:t>Langella</w:t>
      </w:r>
      <w:proofErr w:type="spellEnd"/>
      <w:r w:rsidRPr="00083F42">
        <w:rPr>
          <w:sz w:val="18"/>
          <w:szCs w:val="18"/>
          <w:lang w:val="en-US"/>
        </w:rPr>
        <w:t xml:space="preserve"> P, </w:t>
      </w:r>
      <w:proofErr w:type="spellStart"/>
      <w:r w:rsidRPr="00083F42">
        <w:rPr>
          <w:sz w:val="18"/>
          <w:szCs w:val="18"/>
          <w:lang w:val="en-US"/>
        </w:rPr>
        <w:t>Guarner</w:t>
      </w:r>
      <w:proofErr w:type="spellEnd"/>
      <w:r w:rsidRPr="00083F42">
        <w:rPr>
          <w:sz w:val="18"/>
          <w:szCs w:val="18"/>
          <w:lang w:val="en-US"/>
        </w:rPr>
        <w:t xml:space="preserve"> F, Martín, R (2019). Editorial: Next-Generation Probiotics: From Commensal Bacteria to Novel Drugs and Food Supplements. </w:t>
      </w:r>
      <w:r w:rsidRPr="00083F42">
        <w:rPr>
          <w:i/>
          <w:iCs/>
          <w:sz w:val="18"/>
          <w:szCs w:val="18"/>
          <w:lang w:val="en-US"/>
        </w:rPr>
        <w:t>Frontiers in microbiology</w:t>
      </w:r>
      <w:r w:rsidR="0008531F" w:rsidRPr="00083F42">
        <w:rPr>
          <w:i/>
          <w:iCs/>
          <w:sz w:val="18"/>
          <w:szCs w:val="18"/>
          <w:lang w:val="en-US"/>
        </w:rPr>
        <w:t>.</w:t>
      </w:r>
      <w:r w:rsidRPr="00083F42">
        <w:rPr>
          <w:sz w:val="18"/>
          <w:szCs w:val="18"/>
          <w:lang w:val="en-US"/>
        </w:rPr>
        <w:t xml:space="preserve"> </w:t>
      </w:r>
      <w:r w:rsidRPr="00083F42">
        <w:rPr>
          <w:b/>
          <w:iCs/>
          <w:sz w:val="18"/>
          <w:szCs w:val="18"/>
          <w:lang w:val="en-US"/>
        </w:rPr>
        <w:t>10</w:t>
      </w:r>
      <w:r w:rsidRPr="00083F42">
        <w:rPr>
          <w:iCs/>
          <w:sz w:val="18"/>
          <w:szCs w:val="18"/>
          <w:lang w:val="en-US"/>
        </w:rPr>
        <w:t>:</w:t>
      </w:r>
      <w:r w:rsidRPr="00083F42">
        <w:rPr>
          <w:sz w:val="18"/>
          <w:szCs w:val="18"/>
          <w:lang w:val="en-US"/>
        </w:rPr>
        <w:t>1973</w:t>
      </w:r>
      <w:r w:rsidR="004858D7" w:rsidRPr="00083F42">
        <w:rPr>
          <w:sz w:val="18"/>
          <w:szCs w:val="18"/>
          <w:lang w:val="en-US"/>
        </w:rPr>
        <w:t>.</w:t>
      </w:r>
    </w:p>
    <w:p w14:paraId="3371CD62" w14:textId="11C4144D" w:rsidR="008604A1" w:rsidRDefault="004858D7" w:rsidP="003A1EBB">
      <w:pPr>
        <w:ind w:left="426" w:hanging="426"/>
        <w:jc w:val="both"/>
      </w:pPr>
      <w:r w:rsidRPr="00083F42">
        <w:rPr>
          <w:sz w:val="18"/>
          <w:szCs w:val="24"/>
          <w:lang w:val="en-US" w:eastAsia="it-IT"/>
        </w:rPr>
        <w:t xml:space="preserve">Si J, Kang H, You HJ, </w:t>
      </w:r>
      <w:proofErr w:type="spellStart"/>
      <w:r w:rsidRPr="00083F42">
        <w:rPr>
          <w:sz w:val="18"/>
          <w:szCs w:val="24"/>
          <w:lang w:val="en-US" w:eastAsia="it-IT"/>
        </w:rPr>
        <w:t>Ko</w:t>
      </w:r>
      <w:proofErr w:type="spellEnd"/>
      <w:r w:rsidRPr="00083F42">
        <w:rPr>
          <w:sz w:val="18"/>
          <w:szCs w:val="24"/>
          <w:lang w:val="en-US" w:eastAsia="it-IT"/>
        </w:rPr>
        <w:t xml:space="preserve"> G (2022). Revisiting the role of </w:t>
      </w:r>
      <w:proofErr w:type="spellStart"/>
      <w:r w:rsidRPr="00083F42">
        <w:rPr>
          <w:i/>
          <w:iCs/>
          <w:sz w:val="18"/>
          <w:szCs w:val="24"/>
          <w:lang w:val="en-US" w:eastAsia="it-IT"/>
        </w:rPr>
        <w:t>Akkermansia</w:t>
      </w:r>
      <w:proofErr w:type="spellEnd"/>
      <w:r w:rsidRPr="00083F42">
        <w:rPr>
          <w:i/>
          <w:iCs/>
          <w:sz w:val="18"/>
          <w:szCs w:val="24"/>
          <w:lang w:val="en-US" w:eastAsia="it-IT"/>
        </w:rPr>
        <w:t xml:space="preserve"> </w:t>
      </w:r>
      <w:proofErr w:type="spellStart"/>
      <w:r w:rsidRPr="00083F42">
        <w:rPr>
          <w:i/>
          <w:iCs/>
          <w:sz w:val="18"/>
          <w:szCs w:val="24"/>
          <w:lang w:val="en-US" w:eastAsia="it-IT"/>
        </w:rPr>
        <w:t>muciniphila</w:t>
      </w:r>
      <w:proofErr w:type="spellEnd"/>
      <w:r w:rsidRPr="00083F42">
        <w:rPr>
          <w:sz w:val="18"/>
          <w:szCs w:val="24"/>
          <w:lang w:val="en-US" w:eastAsia="it-IT"/>
        </w:rPr>
        <w:t xml:space="preserve"> as a therapeutic bacterium. </w:t>
      </w:r>
      <w:proofErr w:type="spellStart"/>
      <w:r w:rsidRPr="004858D7">
        <w:rPr>
          <w:i/>
          <w:iCs/>
          <w:sz w:val="18"/>
          <w:szCs w:val="24"/>
          <w:lang w:eastAsia="it-IT"/>
        </w:rPr>
        <w:t>Gut</w:t>
      </w:r>
      <w:proofErr w:type="spellEnd"/>
      <w:r w:rsidRPr="004858D7">
        <w:rPr>
          <w:i/>
          <w:iCs/>
          <w:sz w:val="18"/>
          <w:szCs w:val="24"/>
          <w:lang w:eastAsia="it-IT"/>
        </w:rPr>
        <w:t xml:space="preserve"> </w:t>
      </w:r>
      <w:proofErr w:type="spellStart"/>
      <w:r w:rsidRPr="004858D7">
        <w:rPr>
          <w:i/>
          <w:iCs/>
          <w:sz w:val="18"/>
          <w:szCs w:val="24"/>
          <w:lang w:eastAsia="it-IT"/>
        </w:rPr>
        <w:t>microbes</w:t>
      </w:r>
      <w:proofErr w:type="spellEnd"/>
      <w:r>
        <w:rPr>
          <w:sz w:val="18"/>
          <w:szCs w:val="24"/>
          <w:lang w:eastAsia="it-IT"/>
        </w:rPr>
        <w:t>.</w:t>
      </w:r>
      <w:r w:rsidRPr="004858D7">
        <w:rPr>
          <w:sz w:val="18"/>
          <w:szCs w:val="24"/>
          <w:lang w:eastAsia="it-IT"/>
        </w:rPr>
        <w:t xml:space="preserve"> </w:t>
      </w:r>
      <w:r w:rsidRPr="004858D7">
        <w:rPr>
          <w:b/>
          <w:iCs/>
          <w:sz w:val="18"/>
          <w:szCs w:val="24"/>
          <w:lang w:eastAsia="it-IT"/>
        </w:rPr>
        <w:t>14</w:t>
      </w:r>
      <w:r>
        <w:rPr>
          <w:sz w:val="18"/>
          <w:szCs w:val="24"/>
          <w:lang w:eastAsia="it-IT"/>
        </w:rPr>
        <w:t>:</w:t>
      </w:r>
      <w:r w:rsidRPr="004858D7">
        <w:rPr>
          <w:sz w:val="18"/>
          <w:szCs w:val="24"/>
          <w:lang w:eastAsia="it-IT"/>
        </w:rPr>
        <w:t xml:space="preserve">2078619. </w:t>
      </w:r>
    </w:p>
    <w:sectPr w:rsidR="008604A1" w:rsidSect="0090183F">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786E" w16cex:dateUtc="2023-06-0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B242F" w16cid:durableId="282978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9"/>
    <w:rsid w:val="000074F4"/>
    <w:rsid w:val="00031532"/>
    <w:rsid w:val="00032FB5"/>
    <w:rsid w:val="00081E79"/>
    <w:rsid w:val="00083F42"/>
    <w:rsid w:val="0008531F"/>
    <w:rsid w:val="000E338C"/>
    <w:rsid w:val="000F3086"/>
    <w:rsid w:val="0015717F"/>
    <w:rsid w:val="001934EF"/>
    <w:rsid w:val="001B1442"/>
    <w:rsid w:val="00257F4D"/>
    <w:rsid w:val="00326623"/>
    <w:rsid w:val="003A1EBB"/>
    <w:rsid w:val="003A6607"/>
    <w:rsid w:val="003B3335"/>
    <w:rsid w:val="00433CDE"/>
    <w:rsid w:val="00454C8B"/>
    <w:rsid w:val="004858D7"/>
    <w:rsid w:val="00574818"/>
    <w:rsid w:val="00584DBD"/>
    <w:rsid w:val="005B20FE"/>
    <w:rsid w:val="00645545"/>
    <w:rsid w:val="006753AF"/>
    <w:rsid w:val="00740654"/>
    <w:rsid w:val="007640F1"/>
    <w:rsid w:val="00776637"/>
    <w:rsid w:val="007B6987"/>
    <w:rsid w:val="007C5489"/>
    <w:rsid w:val="00841049"/>
    <w:rsid w:val="008A083B"/>
    <w:rsid w:val="0090183F"/>
    <w:rsid w:val="00993F1F"/>
    <w:rsid w:val="00A3212C"/>
    <w:rsid w:val="00A65ABD"/>
    <w:rsid w:val="00AC5113"/>
    <w:rsid w:val="00BC3929"/>
    <w:rsid w:val="00BC630A"/>
    <w:rsid w:val="00BD74BE"/>
    <w:rsid w:val="00C27B6D"/>
    <w:rsid w:val="00C65206"/>
    <w:rsid w:val="00CA71E9"/>
    <w:rsid w:val="00CB2318"/>
    <w:rsid w:val="00DB75A9"/>
    <w:rsid w:val="00E017E5"/>
    <w:rsid w:val="00E11492"/>
    <w:rsid w:val="00E42A5C"/>
    <w:rsid w:val="00F66F6B"/>
    <w:rsid w:val="00F710ED"/>
    <w:rsid w:val="00F72EE8"/>
    <w:rsid w:val="00FD6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F710ED"/>
    <w:pPr>
      <w:keepNext/>
      <w:shd w:val="clear" w:color="auto" w:fill="FFFFFF"/>
      <w:spacing w:before="220" w:after="120"/>
      <w:ind w:right="320"/>
      <w:outlineLvl w:val="0"/>
    </w:pPr>
    <w:rPr>
      <w:b/>
      <w:spacing w:val="-2"/>
      <w:sz w:val="24"/>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paragraph" w:styleId="Titolo3">
    <w:name w:val="heading 3"/>
    <w:basedOn w:val="Normale"/>
    <w:next w:val="Normale"/>
    <w:link w:val="Titolo3Carattere"/>
    <w:uiPriority w:val="9"/>
    <w:semiHidden/>
    <w:unhideWhenUsed/>
    <w:qFormat/>
    <w:rsid w:val="0003153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10ED"/>
    <w:rPr>
      <w:rFonts w:ascii="Times New Roman" w:eastAsia="Times New Roman" w:hAnsi="Times New Roman" w:cs="Times New Roman"/>
      <w:b/>
      <w:spacing w:val="-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F710ED"/>
    <w:pPr>
      <w:widowControl/>
      <w:spacing w:before="60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F710ED"/>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6753AF"/>
    <w:rPr>
      <w:color w:val="0563C1" w:themeColor="hyperlink"/>
      <w:u w:val="single"/>
    </w:rPr>
  </w:style>
  <w:style w:type="table" w:styleId="Grigliatabella">
    <w:name w:val="Table Grid"/>
    <w:basedOn w:val="Tabellanormale"/>
    <w:uiPriority w:val="39"/>
    <w:rsid w:val="007B69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C63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30A"/>
    <w:rPr>
      <w:rFonts w:ascii="Segoe UI" w:eastAsia="Times New Roman" w:hAnsi="Segoe UI" w:cs="Segoe UI"/>
      <w:sz w:val="18"/>
      <w:szCs w:val="18"/>
      <w:lang w:eastAsia="zh-CN"/>
    </w:rPr>
  </w:style>
  <w:style w:type="paragraph" w:styleId="Revisione">
    <w:name w:val="Revision"/>
    <w:hidden/>
    <w:uiPriority w:val="99"/>
    <w:semiHidden/>
    <w:rsid w:val="00FD69E0"/>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FD69E0"/>
    <w:rPr>
      <w:sz w:val="16"/>
      <w:szCs w:val="16"/>
    </w:rPr>
  </w:style>
  <w:style w:type="paragraph" w:styleId="Testocommento">
    <w:name w:val="annotation text"/>
    <w:basedOn w:val="Normale"/>
    <w:link w:val="TestocommentoCarattere"/>
    <w:uiPriority w:val="99"/>
    <w:unhideWhenUsed/>
    <w:rsid w:val="00FD69E0"/>
  </w:style>
  <w:style w:type="character" w:customStyle="1" w:styleId="TestocommentoCarattere">
    <w:name w:val="Testo commento Carattere"/>
    <w:basedOn w:val="Carpredefinitoparagrafo"/>
    <w:link w:val="Testocommento"/>
    <w:uiPriority w:val="99"/>
    <w:rsid w:val="00FD69E0"/>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FD69E0"/>
    <w:rPr>
      <w:b/>
      <w:bCs/>
    </w:rPr>
  </w:style>
  <w:style w:type="character" w:customStyle="1" w:styleId="SoggettocommentoCarattere">
    <w:name w:val="Soggetto commento Carattere"/>
    <w:basedOn w:val="TestocommentoCarattere"/>
    <w:link w:val="Soggettocommento"/>
    <w:uiPriority w:val="99"/>
    <w:semiHidden/>
    <w:rsid w:val="00FD69E0"/>
    <w:rPr>
      <w:rFonts w:ascii="Times New Roman" w:eastAsia="Times New Roman" w:hAnsi="Times New Roman" w:cs="Times New Roman"/>
      <w:b/>
      <w:bCs/>
      <w:sz w:val="20"/>
      <w:szCs w:val="20"/>
      <w:lang w:eastAsia="zh-CN"/>
    </w:rPr>
  </w:style>
  <w:style w:type="character" w:customStyle="1" w:styleId="Titolo3Carattere">
    <w:name w:val="Titolo 3 Carattere"/>
    <w:basedOn w:val="Carpredefinitoparagrafo"/>
    <w:link w:val="Titolo3"/>
    <w:uiPriority w:val="9"/>
    <w:semiHidden/>
    <w:rsid w:val="00031532"/>
    <w:rPr>
      <w:rFonts w:asciiTheme="majorHAnsi" w:eastAsiaTheme="majorEastAsia" w:hAnsiTheme="majorHAnsi" w:cstheme="majorBidi"/>
      <w:color w:val="1F3763" w:themeColor="accent1" w:themeShade="7F"/>
      <w:lang w:eastAsia="zh-CN"/>
    </w:rPr>
  </w:style>
  <w:style w:type="table" w:styleId="Tabellasemplice-2">
    <w:name w:val="Plain Table 2"/>
    <w:basedOn w:val="Tabellanormale"/>
    <w:uiPriority w:val="42"/>
    <w:rsid w:val="00AC51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7637">
      <w:bodyDiv w:val="1"/>
      <w:marLeft w:val="0"/>
      <w:marRight w:val="0"/>
      <w:marTop w:val="0"/>
      <w:marBottom w:val="0"/>
      <w:divBdr>
        <w:top w:val="none" w:sz="0" w:space="0" w:color="auto"/>
        <w:left w:val="none" w:sz="0" w:space="0" w:color="auto"/>
        <w:bottom w:val="none" w:sz="0" w:space="0" w:color="auto"/>
        <w:right w:val="none" w:sz="0" w:space="0" w:color="auto"/>
      </w:divBdr>
      <w:divsChild>
        <w:div w:id="496463170">
          <w:marLeft w:val="0"/>
          <w:marRight w:val="0"/>
          <w:marTop w:val="0"/>
          <w:marBottom w:val="0"/>
          <w:divBdr>
            <w:top w:val="none" w:sz="0" w:space="0" w:color="auto"/>
            <w:left w:val="none" w:sz="0" w:space="0" w:color="auto"/>
            <w:bottom w:val="none" w:sz="0" w:space="0" w:color="auto"/>
            <w:right w:val="none" w:sz="0" w:space="0" w:color="auto"/>
          </w:divBdr>
        </w:div>
      </w:divsChild>
    </w:div>
    <w:div w:id="408039483">
      <w:bodyDiv w:val="1"/>
      <w:marLeft w:val="0"/>
      <w:marRight w:val="0"/>
      <w:marTop w:val="0"/>
      <w:marBottom w:val="0"/>
      <w:divBdr>
        <w:top w:val="none" w:sz="0" w:space="0" w:color="auto"/>
        <w:left w:val="none" w:sz="0" w:space="0" w:color="auto"/>
        <w:bottom w:val="none" w:sz="0" w:space="0" w:color="auto"/>
        <w:right w:val="none" w:sz="0" w:space="0" w:color="auto"/>
      </w:divBdr>
      <w:divsChild>
        <w:div w:id="2048528159">
          <w:marLeft w:val="0"/>
          <w:marRight w:val="0"/>
          <w:marTop w:val="0"/>
          <w:marBottom w:val="0"/>
          <w:divBdr>
            <w:top w:val="none" w:sz="0" w:space="0" w:color="auto"/>
            <w:left w:val="none" w:sz="0" w:space="0" w:color="auto"/>
            <w:bottom w:val="none" w:sz="0" w:space="0" w:color="auto"/>
            <w:right w:val="none" w:sz="0" w:space="0" w:color="auto"/>
          </w:divBdr>
        </w:div>
      </w:divsChild>
    </w:div>
    <w:div w:id="431896458">
      <w:bodyDiv w:val="1"/>
      <w:marLeft w:val="0"/>
      <w:marRight w:val="0"/>
      <w:marTop w:val="0"/>
      <w:marBottom w:val="0"/>
      <w:divBdr>
        <w:top w:val="none" w:sz="0" w:space="0" w:color="auto"/>
        <w:left w:val="none" w:sz="0" w:space="0" w:color="auto"/>
        <w:bottom w:val="none" w:sz="0" w:space="0" w:color="auto"/>
        <w:right w:val="none" w:sz="0" w:space="0" w:color="auto"/>
      </w:divBdr>
      <w:divsChild>
        <w:div w:id="1046372526">
          <w:marLeft w:val="0"/>
          <w:marRight w:val="0"/>
          <w:marTop w:val="0"/>
          <w:marBottom w:val="0"/>
          <w:divBdr>
            <w:top w:val="none" w:sz="0" w:space="0" w:color="auto"/>
            <w:left w:val="none" w:sz="0" w:space="0" w:color="auto"/>
            <w:bottom w:val="none" w:sz="0" w:space="0" w:color="auto"/>
            <w:right w:val="none" w:sz="0" w:space="0" w:color="auto"/>
          </w:divBdr>
        </w:div>
      </w:divsChild>
    </w:div>
    <w:div w:id="598416775">
      <w:bodyDiv w:val="1"/>
      <w:marLeft w:val="0"/>
      <w:marRight w:val="0"/>
      <w:marTop w:val="0"/>
      <w:marBottom w:val="0"/>
      <w:divBdr>
        <w:top w:val="none" w:sz="0" w:space="0" w:color="auto"/>
        <w:left w:val="none" w:sz="0" w:space="0" w:color="auto"/>
        <w:bottom w:val="none" w:sz="0" w:space="0" w:color="auto"/>
        <w:right w:val="none" w:sz="0" w:space="0" w:color="auto"/>
      </w:divBdr>
      <w:divsChild>
        <w:div w:id="402797846">
          <w:marLeft w:val="0"/>
          <w:marRight w:val="0"/>
          <w:marTop w:val="0"/>
          <w:marBottom w:val="0"/>
          <w:divBdr>
            <w:top w:val="none" w:sz="0" w:space="0" w:color="auto"/>
            <w:left w:val="none" w:sz="0" w:space="0" w:color="auto"/>
            <w:bottom w:val="none" w:sz="0" w:space="0" w:color="auto"/>
            <w:right w:val="none" w:sz="0" w:space="0" w:color="auto"/>
          </w:divBdr>
        </w:div>
      </w:divsChild>
    </w:div>
    <w:div w:id="602079709">
      <w:bodyDiv w:val="1"/>
      <w:marLeft w:val="0"/>
      <w:marRight w:val="0"/>
      <w:marTop w:val="0"/>
      <w:marBottom w:val="0"/>
      <w:divBdr>
        <w:top w:val="none" w:sz="0" w:space="0" w:color="auto"/>
        <w:left w:val="none" w:sz="0" w:space="0" w:color="auto"/>
        <w:bottom w:val="none" w:sz="0" w:space="0" w:color="auto"/>
        <w:right w:val="none" w:sz="0" w:space="0" w:color="auto"/>
      </w:divBdr>
      <w:divsChild>
        <w:div w:id="359666897">
          <w:marLeft w:val="0"/>
          <w:marRight w:val="0"/>
          <w:marTop w:val="0"/>
          <w:marBottom w:val="0"/>
          <w:divBdr>
            <w:top w:val="none" w:sz="0" w:space="0" w:color="auto"/>
            <w:left w:val="none" w:sz="0" w:space="0" w:color="auto"/>
            <w:bottom w:val="none" w:sz="0" w:space="0" w:color="auto"/>
            <w:right w:val="none" w:sz="0" w:space="0" w:color="auto"/>
          </w:divBdr>
        </w:div>
      </w:divsChild>
    </w:div>
    <w:div w:id="645087719">
      <w:bodyDiv w:val="1"/>
      <w:marLeft w:val="0"/>
      <w:marRight w:val="0"/>
      <w:marTop w:val="0"/>
      <w:marBottom w:val="0"/>
      <w:divBdr>
        <w:top w:val="none" w:sz="0" w:space="0" w:color="auto"/>
        <w:left w:val="none" w:sz="0" w:space="0" w:color="auto"/>
        <w:bottom w:val="none" w:sz="0" w:space="0" w:color="auto"/>
        <w:right w:val="none" w:sz="0" w:space="0" w:color="auto"/>
      </w:divBdr>
      <w:divsChild>
        <w:div w:id="1307003693">
          <w:marLeft w:val="0"/>
          <w:marRight w:val="0"/>
          <w:marTop w:val="0"/>
          <w:marBottom w:val="0"/>
          <w:divBdr>
            <w:top w:val="none" w:sz="0" w:space="0" w:color="auto"/>
            <w:left w:val="none" w:sz="0" w:space="0" w:color="auto"/>
            <w:bottom w:val="none" w:sz="0" w:space="0" w:color="auto"/>
            <w:right w:val="none" w:sz="0" w:space="0" w:color="auto"/>
          </w:divBdr>
        </w:div>
      </w:divsChild>
    </w:div>
    <w:div w:id="970476114">
      <w:bodyDiv w:val="1"/>
      <w:marLeft w:val="0"/>
      <w:marRight w:val="0"/>
      <w:marTop w:val="0"/>
      <w:marBottom w:val="0"/>
      <w:divBdr>
        <w:top w:val="none" w:sz="0" w:space="0" w:color="auto"/>
        <w:left w:val="none" w:sz="0" w:space="0" w:color="auto"/>
        <w:bottom w:val="none" w:sz="0" w:space="0" w:color="auto"/>
        <w:right w:val="none" w:sz="0" w:space="0" w:color="auto"/>
      </w:divBdr>
      <w:divsChild>
        <w:div w:id="1816683892">
          <w:marLeft w:val="0"/>
          <w:marRight w:val="0"/>
          <w:marTop w:val="0"/>
          <w:marBottom w:val="0"/>
          <w:divBdr>
            <w:top w:val="none" w:sz="0" w:space="0" w:color="auto"/>
            <w:left w:val="none" w:sz="0" w:space="0" w:color="auto"/>
            <w:bottom w:val="none" w:sz="0" w:space="0" w:color="auto"/>
            <w:right w:val="none" w:sz="0" w:space="0" w:color="auto"/>
          </w:divBdr>
        </w:div>
      </w:divsChild>
    </w:div>
    <w:div w:id="998341188">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1">
          <w:marLeft w:val="0"/>
          <w:marRight w:val="0"/>
          <w:marTop w:val="0"/>
          <w:marBottom w:val="0"/>
          <w:divBdr>
            <w:top w:val="none" w:sz="0" w:space="0" w:color="auto"/>
            <w:left w:val="none" w:sz="0" w:space="0" w:color="auto"/>
            <w:bottom w:val="none" w:sz="0" w:space="0" w:color="auto"/>
            <w:right w:val="none" w:sz="0" w:space="0" w:color="auto"/>
          </w:divBdr>
        </w:div>
      </w:divsChild>
    </w:div>
    <w:div w:id="1079596449">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sChild>
    </w:div>
    <w:div w:id="1101026900">
      <w:bodyDiv w:val="1"/>
      <w:marLeft w:val="0"/>
      <w:marRight w:val="0"/>
      <w:marTop w:val="0"/>
      <w:marBottom w:val="0"/>
      <w:divBdr>
        <w:top w:val="none" w:sz="0" w:space="0" w:color="auto"/>
        <w:left w:val="none" w:sz="0" w:space="0" w:color="auto"/>
        <w:bottom w:val="none" w:sz="0" w:space="0" w:color="auto"/>
        <w:right w:val="none" w:sz="0" w:space="0" w:color="auto"/>
      </w:divBdr>
      <w:divsChild>
        <w:div w:id="379936129">
          <w:marLeft w:val="0"/>
          <w:marRight w:val="0"/>
          <w:marTop w:val="0"/>
          <w:marBottom w:val="0"/>
          <w:divBdr>
            <w:top w:val="none" w:sz="0" w:space="0" w:color="auto"/>
            <w:left w:val="none" w:sz="0" w:space="0" w:color="auto"/>
            <w:bottom w:val="none" w:sz="0" w:space="0" w:color="auto"/>
            <w:right w:val="none" w:sz="0" w:space="0" w:color="auto"/>
          </w:divBdr>
        </w:div>
      </w:divsChild>
    </w:div>
    <w:div w:id="1237475827">
      <w:bodyDiv w:val="1"/>
      <w:marLeft w:val="0"/>
      <w:marRight w:val="0"/>
      <w:marTop w:val="0"/>
      <w:marBottom w:val="0"/>
      <w:divBdr>
        <w:top w:val="none" w:sz="0" w:space="0" w:color="auto"/>
        <w:left w:val="none" w:sz="0" w:space="0" w:color="auto"/>
        <w:bottom w:val="none" w:sz="0" w:space="0" w:color="auto"/>
        <w:right w:val="none" w:sz="0" w:space="0" w:color="auto"/>
      </w:divBdr>
      <w:divsChild>
        <w:div w:id="500895857">
          <w:marLeft w:val="0"/>
          <w:marRight w:val="0"/>
          <w:marTop w:val="0"/>
          <w:marBottom w:val="0"/>
          <w:divBdr>
            <w:top w:val="none" w:sz="0" w:space="0" w:color="auto"/>
            <w:left w:val="none" w:sz="0" w:space="0" w:color="auto"/>
            <w:bottom w:val="none" w:sz="0" w:space="0" w:color="auto"/>
            <w:right w:val="none" w:sz="0" w:space="0" w:color="auto"/>
          </w:divBdr>
        </w:div>
      </w:divsChild>
    </w:div>
    <w:div w:id="1476945820">
      <w:bodyDiv w:val="1"/>
      <w:marLeft w:val="0"/>
      <w:marRight w:val="0"/>
      <w:marTop w:val="0"/>
      <w:marBottom w:val="0"/>
      <w:divBdr>
        <w:top w:val="none" w:sz="0" w:space="0" w:color="auto"/>
        <w:left w:val="none" w:sz="0" w:space="0" w:color="auto"/>
        <w:bottom w:val="none" w:sz="0" w:space="0" w:color="auto"/>
        <w:right w:val="none" w:sz="0" w:space="0" w:color="auto"/>
      </w:divBdr>
      <w:divsChild>
        <w:div w:id="1505516309">
          <w:marLeft w:val="0"/>
          <w:marRight w:val="0"/>
          <w:marTop w:val="0"/>
          <w:marBottom w:val="0"/>
          <w:divBdr>
            <w:top w:val="none" w:sz="0" w:space="0" w:color="auto"/>
            <w:left w:val="none" w:sz="0" w:space="0" w:color="auto"/>
            <w:bottom w:val="none" w:sz="0" w:space="0" w:color="auto"/>
            <w:right w:val="none" w:sz="0" w:space="0" w:color="auto"/>
          </w:divBdr>
        </w:div>
      </w:divsChild>
    </w:div>
    <w:div w:id="1971089730">
      <w:bodyDiv w:val="1"/>
      <w:marLeft w:val="0"/>
      <w:marRight w:val="0"/>
      <w:marTop w:val="0"/>
      <w:marBottom w:val="0"/>
      <w:divBdr>
        <w:top w:val="none" w:sz="0" w:space="0" w:color="auto"/>
        <w:left w:val="none" w:sz="0" w:space="0" w:color="auto"/>
        <w:bottom w:val="none" w:sz="0" w:space="0" w:color="auto"/>
        <w:right w:val="none" w:sz="0" w:space="0" w:color="auto"/>
      </w:divBdr>
      <w:divsChild>
        <w:div w:id="1765998618">
          <w:marLeft w:val="0"/>
          <w:marRight w:val="0"/>
          <w:marTop w:val="0"/>
          <w:marBottom w:val="0"/>
          <w:divBdr>
            <w:top w:val="none" w:sz="0" w:space="0" w:color="auto"/>
            <w:left w:val="none" w:sz="0" w:space="0" w:color="auto"/>
            <w:bottom w:val="none" w:sz="0" w:space="0" w:color="auto"/>
            <w:right w:val="none" w:sz="0" w:space="0" w:color="auto"/>
          </w:divBdr>
        </w:div>
      </w:divsChild>
    </w:div>
    <w:div w:id="2142846683">
      <w:bodyDiv w:val="1"/>
      <w:marLeft w:val="0"/>
      <w:marRight w:val="0"/>
      <w:marTop w:val="0"/>
      <w:marBottom w:val="0"/>
      <w:divBdr>
        <w:top w:val="none" w:sz="0" w:space="0" w:color="auto"/>
        <w:left w:val="none" w:sz="0" w:space="0" w:color="auto"/>
        <w:bottom w:val="none" w:sz="0" w:space="0" w:color="auto"/>
        <w:right w:val="none" w:sz="0" w:space="0" w:color="auto"/>
      </w:divBdr>
      <w:divsChild>
        <w:div w:id="79039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www.efsa.europa.eu/en/efsajournal/pub/6780"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6C965D-CA96-4442-8CC1-2C6FAE1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1430</Words>
  <Characters>8153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Diletta Francesca Squarzanti</cp:lastModifiedBy>
  <cp:revision>7</cp:revision>
  <dcterms:created xsi:type="dcterms:W3CDTF">2023-06-07T10:57:00Z</dcterms:created>
  <dcterms:modified xsi:type="dcterms:W3CDTF">2023-06-07T11:26:00Z</dcterms:modified>
</cp:coreProperties>
</file>