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B48ABF" w14:textId="77777777" w:rsidR="00A0203F" w:rsidRDefault="00A0203F" w:rsidP="0094112F">
      <w:pPr>
        <w:spacing w:before="600" w:after="120"/>
        <w:jc w:val="center"/>
        <w:rPr>
          <w:b/>
          <w:kern w:val="2"/>
          <w:sz w:val="28"/>
          <w:lang w:val="en-GB"/>
        </w:rPr>
      </w:pPr>
      <w:r w:rsidRPr="00A0203F">
        <w:rPr>
          <w:b/>
          <w:kern w:val="2"/>
          <w:sz w:val="28"/>
          <w:lang w:val="en-GB"/>
        </w:rPr>
        <w:t>Antioxidant Efficiency and Oxidizability of Mayonnaise by Oximetry and Isothermal Calorimetry</w:t>
      </w:r>
    </w:p>
    <w:p w14:paraId="3607B32A" w14:textId="3063F0AE" w:rsidR="00512D9B" w:rsidRPr="00A0203F" w:rsidRDefault="00A0203F">
      <w:pPr>
        <w:jc w:val="center"/>
        <w:rPr>
          <w:lang w:val="fr-FR"/>
        </w:rPr>
      </w:pPr>
      <w:r w:rsidRPr="00A0203F">
        <w:rPr>
          <w:lang w:val="fr-FR"/>
        </w:rPr>
        <w:t>Rajat Suhag</w:t>
      </w:r>
      <w:r w:rsidR="00FB589C" w:rsidRPr="00A0203F">
        <w:rPr>
          <w:lang w:val="fr-FR"/>
        </w:rPr>
        <w:t xml:space="preserve"> (</w:t>
      </w:r>
      <w:r w:rsidRPr="00A0203F">
        <w:rPr>
          <w:lang w:val="fr-FR"/>
        </w:rPr>
        <w:t>rsuhag</w:t>
      </w:r>
      <w:r w:rsidR="00FB589C" w:rsidRPr="00A0203F">
        <w:rPr>
          <w:lang w:val="fr-FR"/>
        </w:rPr>
        <w:t>@unib</w:t>
      </w:r>
      <w:r w:rsidRPr="00A0203F">
        <w:rPr>
          <w:lang w:val="fr-FR"/>
        </w:rPr>
        <w:t>z</w:t>
      </w:r>
      <w:r w:rsidR="00FB589C" w:rsidRPr="00A0203F">
        <w:rPr>
          <w:lang w:val="fr-FR"/>
        </w:rPr>
        <w:t>.it)</w:t>
      </w:r>
    </w:p>
    <w:p w14:paraId="6071147E" w14:textId="10440BE1" w:rsidR="00512D9B" w:rsidRDefault="00A0203F">
      <w:pPr>
        <w:jc w:val="center"/>
        <w:rPr>
          <w:lang w:val="en-GB"/>
        </w:rPr>
      </w:pPr>
      <w:r w:rsidRPr="00A0203F">
        <w:rPr>
          <w:lang w:val="en-GB"/>
        </w:rPr>
        <w:t>Faculty of Agricultural, Environmental and Food Sciences, Free University of Bolzano,</w:t>
      </w:r>
      <w:r w:rsidR="0094112F">
        <w:rPr>
          <w:lang w:val="en-GB"/>
        </w:rPr>
        <w:t xml:space="preserve"> </w:t>
      </w:r>
      <w:r w:rsidRPr="00A0203F">
        <w:rPr>
          <w:lang w:val="en-GB"/>
        </w:rPr>
        <w:t>Italy</w:t>
      </w:r>
    </w:p>
    <w:p w14:paraId="6D2C157D" w14:textId="5DC44375" w:rsidR="00512D9B" w:rsidRPr="00A0203F" w:rsidRDefault="00FB589C">
      <w:pPr>
        <w:jc w:val="center"/>
        <w:rPr>
          <w:lang w:val="en-US"/>
        </w:rPr>
      </w:pPr>
      <w:r w:rsidRPr="00A0203F">
        <w:rPr>
          <w:lang w:val="en-US"/>
        </w:rPr>
        <w:t xml:space="preserve">Tutor: Prof. </w:t>
      </w:r>
      <w:r w:rsidR="00A0203F" w:rsidRPr="00A0203F">
        <w:rPr>
          <w:lang w:val="en-US"/>
        </w:rPr>
        <w:t>Matteo Scampicchio</w:t>
      </w:r>
    </w:p>
    <w:p w14:paraId="27662EC7" w14:textId="58F17536" w:rsidR="00A0203F" w:rsidRDefault="00A0203F" w:rsidP="00A0203F">
      <w:pPr>
        <w:pStyle w:val="Title"/>
        <w:spacing w:before="240" w:line="240" w:lineRule="auto"/>
        <w:jc w:val="both"/>
        <w:rPr>
          <w:b w:val="0"/>
          <w:kern w:val="0"/>
          <w:sz w:val="20"/>
          <w:lang w:val="en-GB"/>
        </w:rPr>
      </w:pPr>
      <w:r w:rsidRPr="00A0203F">
        <w:rPr>
          <w:b w:val="0"/>
          <w:kern w:val="0"/>
          <w:sz w:val="20"/>
          <w:lang w:val="en-GB"/>
        </w:rPr>
        <w:t>The effect of vegetable oils on the resulting rate of autoxidation in mayonnaise samples was studied by oximetry and isothermal calorimetry at 60°C.</w:t>
      </w:r>
      <w:r w:rsidR="00092278">
        <w:rPr>
          <w:b w:val="0"/>
          <w:kern w:val="0"/>
          <w:sz w:val="20"/>
          <w:lang w:val="en-GB"/>
        </w:rPr>
        <w:t xml:space="preserve"> </w:t>
      </w:r>
      <w:r w:rsidRPr="00A0203F">
        <w:rPr>
          <w:b w:val="0"/>
          <w:kern w:val="0"/>
          <w:sz w:val="20"/>
          <w:lang w:val="en-GB"/>
        </w:rPr>
        <w:t>The two methods were highly correlated (R</w:t>
      </w:r>
      <w:r w:rsidRPr="00A0203F">
        <w:rPr>
          <w:b w:val="0"/>
          <w:kern w:val="0"/>
          <w:sz w:val="20"/>
          <w:vertAlign w:val="superscript"/>
          <w:lang w:val="en-GB"/>
        </w:rPr>
        <w:t>2</w:t>
      </w:r>
      <w:r w:rsidRPr="00A0203F">
        <w:rPr>
          <w:b w:val="0"/>
          <w:kern w:val="0"/>
          <w:sz w:val="20"/>
          <w:lang w:val="en-GB"/>
        </w:rPr>
        <w:t xml:space="preserve"> = 0.99), showing similar onset times (i.e., antioxidant capacity,</w:t>
      </w:r>
      <w:r>
        <w:rPr>
          <w:b w:val="0"/>
          <w:kern w:val="0"/>
          <w:sz w:val="20"/>
          <w:lang w:val="en-GB"/>
        </w:rPr>
        <w:t xml:space="preserve"> </w:t>
      </w:r>
      <w:r w:rsidRPr="009B67D5">
        <w:rPr>
          <w:b w:val="0"/>
          <w:i/>
          <w:iCs/>
          <w:kern w:val="0"/>
          <w:sz w:val="20"/>
          <w:lang w:val="en-GB"/>
        </w:rPr>
        <w:t>τ</w:t>
      </w:r>
      <w:r w:rsidRPr="00A0203F">
        <w:rPr>
          <w:b w:val="0"/>
          <w:kern w:val="0"/>
          <w:sz w:val="20"/>
          <w:lang w:val="en-GB"/>
        </w:rPr>
        <w:t>), and rates of inhibited (</w:t>
      </w:r>
      <w:proofErr w:type="spellStart"/>
      <w:r w:rsidRPr="00A0203F">
        <w:rPr>
          <w:b w:val="0"/>
          <w:i/>
          <w:iCs/>
          <w:kern w:val="0"/>
          <w:sz w:val="20"/>
          <w:lang w:val="en-GB"/>
        </w:rPr>
        <w:t>R</w:t>
      </w:r>
      <w:r w:rsidRPr="00A0203F">
        <w:rPr>
          <w:b w:val="0"/>
          <w:i/>
          <w:iCs/>
          <w:kern w:val="0"/>
          <w:sz w:val="20"/>
          <w:vertAlign w:val="subscript"/>
          <w:lang w:val="en-GB"/>
        </w:rPr>
        <w:t>inh</w:t>
      </w:r>
      <w:proofErr w:type="spellEnd"/>
      <w:r w:rsidRPr="00A0203F">
        <w:rPr>
          <w:b w:val="0"/>
          <w:kern w:val="0"/>
          <w:sz w:val="20"/>
          <w:lang w:val="en-GB"/>
        </w:rPr>
        <w:t>) and uninhibited (</w:t>
      </w:r>
      <w:proofErr w:type="spellStart"/>
      <w:r w:rsidRPr="00A0203F">
        <w:rPr>
          <w:b w:val="0"/>
          <w:i/>
          <w:iCs/>
          <w:kern w:val="0"/>
          <w:sz w:val="20"/>
          <w:lang w:val="en-GB"/>
        </w:rPr>
        <w:t>R</w:t>
      </w:r>
      <w:r w:rsidRPr="00A0203F">
        <w:rPr>
          <w:b w:val="0"/>
          <w:i/>
          <w:iCs/>
          <w:kern w:val="0"/>
          <w:sz w:val="20"/>
          <w:vertAlign w:val="subscript"/>
          <w:lang w:val="en-GB"/>
        </w:rPr>
        <w:t>uni</w:t>
      </w:r>
      <w:proofErr w:type="spellEnd"/>
      <w:r w:rsidRPr="00A0203F">
        <w:rPr>
          <w:b w:val="0"/>
          <w:kern w:val="0"/>
          <w:sz w:val="20"/>
          <w:lang w:val="en-GB"/>
        </w:rPr>
        <w:t xml:space="preserve">) periods. The mayonnaise samples showing the highest resistance against peroxidation (i.e., highest </w:t>
      </w:r>
      <w:r>
        <w:rPr>
          <w:b w:val="0"/>
          <w:kern w:val="0"/>
          <w:sz w:val="20"/>
          <w:lang w:val="en-GB"/>
        </w:rPr>
        <w:t>τ</w:t>
      </w:r>
      <w:r w:rsidRPr="00A0203F">
        <w:rPr>
          <w:b w:val="0"/>
          <w:kern w:val="0"/>
          <w:sz w:val="20"/>
          <w:lang w:val="en-GB"/>
        </w:rPr>
        <w:t xml:space="preserve"> and lowest </w:t>
      </w:r>
      <w:proofErr w:type="spellStart"/>
      <w:r w:rsidRPr="00A0203F">
        <w:rPr>
          <w:b w:val="0"/>
          <w:i/>
          <w:iCs/>
          <w:kern w:val="0"/>
          <w:sz w:val="20"/>
          <w:lang w:val="en-GB"/>
        </w:rPr>
        <w:t>R</w:t>
      </w:r>
      <w:r w:rsidRPr="00A0203F">
        <w:rPr>
          <w:b w:val="0"/>
          <w:i/>
          <w:iCs/>
          <w:kern w:val="0"/>
          <w:sz w:val="20"/>
          <w:vertAlign w:val="subscript"/>
          <w:lang w:val="en-GB"/>
        </w:rPr>
        <w:t>inh</w:t>
      </w:r>
      <w:proofErr w:type="spellEnd"/>
      <w:r w:rsidRPr="00A0203F">
        <w:rPr>
          <w:b w:val="0"/>
          <w:kern w:val="0"/>
          <w:sz w:val="20"/>
          <w:lang w:val="en-GB"/>
        </w:rPr>
        <w:t xml:space="preserve">) were those prepared with extra virgin olive, followed by corn &gt; grapeseed &gt; sunflower &gt; apple seed oil, whereas the </w:t>
      </w:r>
      <w:r w:rsidRPr="00A0203F">
        <w:rPr>
          <w:b w:val="0"/>
          <w:i/>
          <w:iCs/>
          <w:kern w:val="0"/>
          <w:sz w:val="20"/>
          <w:lang w:val="en-GB"/>
        </w:rPr>
        <w:t>A.E.</w:t>
      </w:r>
      <w:r w:rsidRPr="00A0203F">
        <w:rPr>
          <w:b w:val="0"/>
          <w:kern w:val="0"/>
          <w:sz w:val="20"/>
          <w:lang w:val="en-GB"/>
        </w:rPr>
        <w:t xml:space="preserve"> was maximum for sunflower oil. Most importantly, isothermal calorimetry allowed the simultaneous measurement of up to 24 samples, with minimal experimental effort.</w:t>
      </w:r>
    </w:p>
    <w:p w14:paraId="25341C9E" w14:textId="62D59EEF" w:rsidR="00512D9B" w:rsidRDefault="004D5E21">
      <w:pPr>
        <w:pStyle w:val="Title"/>
        <w:spacing w:before="240" w:line="240" w:lineRule="auto"/>
        <w:rPr>
          <w:sz w:val="24"/>
          <w:lang w:val="it-IT"/>
        </w:rPr>
      </w:pPr>
      <w:r w:rsidRPr="004D5E21">
        <w:rPr>
          <w:sz w:val="24"/>
          <w:lang w:val="it-IT"/>
        </w:rPr>
        <w:t>Efficienza antiossidante e ossidabilità della maionese mediante ossimetria e calorimetria isotermica</w:t>
      </w:r>
    </w:p>
    <w:p w14:paraId="33ED0853" w14:textId="316C75F7" w:rsidR="00344390" w:rsidRDefault="00344390" w:rsidP="00344390">
      <w:pPr>
        <w:jc w:val="both"/>
      </w:pPr>
      <w:r w:rsidRPr="00344390">
        <w:t>L'effetto degli oli vegetali sulla risultante velocità di autossidazione nei campioni di maionese è stato studiato mediante ossimetria e calorimetria isotermica a 60°C. I due metodi erano altamente correlati (R</w:t>
      </w:r>
      <w:r w:rsidRPr="00344390">
        <w:rPr>
          <w:vertAlign w:val="superscript"/>
        </w:rPr>
        <w:t>2</w:t>
      </w:r>
      <w:r>
        <w:t xml:space="preserve"> </w:t>
      </w:r>
      <w:r w:rsidRPr="00344390">
        <w:t>= 0,99), mostrando tempi di insorgenza simili (cioè capacità antiossidante, τ) e tassi di periodi inibiti (</w:t>
      </w:r>
      <w:proofErr w:type="spellStart"/>
      <w:r w:rsidRPr="00344390">
        <w:t>R</w:t>
      </w:r>
      <w:r w:rsidRPr="00344390">
        <w:rPr>
          <w:vertAlign w:val="subscript"/>
        </w:rPr>
        <w:t>inh</w:t>
      </w:r>
      <w:proofErr w:type="spellEnd"/>
      <w:r w:rsidRPr="00344390">
        <w:t>) e non inibiti (</w:t>
      </w:r>
      <w:proofErr w:type="spellStart"/>
      <w:r w:rsidRPr="00344390">
        <w:t>R</w:t>
      </w:r>
      <w:r w:rsidRPr="00344390">
        <w:rPr>
          <w:vertAlign w:val="subscript"/>
        </w:rPr>
        <w:t>uni</w:t>
      </w:r>
      <w:proofErr w:type="spellEnd"/>
      <w:r w:rsidRPr="00344390">
        <w:t xml:space="preserve">). I campioni di maionese che hanno mostrato la più alta resistenza alla </w:t>
      </w:r>
      <w:proofErr w:type="spellStart"/>
      <w:r w:rsidRPr="00344390">
        <w:t>perossidazione</w:t>
      </w:r>
      <w:proofErr w:type="spellEnd"/>
      <w:r w:rsidRPr="00344390">
        <w:t xml:space="preserve"> (cioè, τ più alto e </w:t>
      </w:r>
      <w:proofErr w:type="spellStart"/>
      <w:r w:rsidRPr="00344390">
        <w:t>R</w:t>
      </w:r>
      <w:r w:rsidRPr="00344390">
        <w:rPr>
          <w:vertAlign w:val="subscript"/>
        </w:rPr>
        <w:t>inh</w:t>
      </w:r>
      <w:proofErr w:type="spellEnd"/>
      <w:r w:rsidRPr="00344390">
        <w:t xml:space="preserve"> più basso) sono stati quelli preparati con olio extravergine di oliva, seguiti da mais &gt; vinaccioli &gt; girasole &gt; olio di semi di mela, mentre l'A.E. è stato massimo per l'olio di girasole. Ancora più importante, la calorimetria isotermica ha consentito la misurazione simultanea di un massimo di 24 campioni, con uno sforzo sperimentale minimo.</w:t>
      </w:r>
    </w:p>
    <w:p w14:paraId="154288C4" w14:textId="4F3895C7" w:rsidR="00A749F0" w:rsidRPr="00344390" w:rsidRDefault="00FB589C" w:rsidP="00F0253D">
      <w:pPr>
        <w:ind w:left="567" w:hanging="567"/>
        <w:jc w:val="both"/>
        <w:rPr>
          <w:lang w:val="en-US"/>
        </w:rPr>
      </w:pPr>
      <w:r w:rsidRPr="00344390">
        <w:rPr>
          <w:b/>
          <w:bCs/>
          <w:lang w:val="en-US"/>
        </w:rPr>
        <w:t>Keywords</w:t>
      </w:r>
      <w:r w:rsidRPr="00344390">
        <w:rPr>
          <w:lang w:val="en-US"/>
        </w:rPr>
        <w:t xml:space="preserve">: </w:t>
      </w:r>
      <w:r w:rsidR="00A749F0" w:rsidRPr="00344390">
        <w:rPr>
          <w:lang w:val="en-US"/>
        </w:rPr>
        <w:t>Induction time; Fatty acids; Antioxidant activity; Lipid oxidation; Oxidation rate.</w:t>
      </w:r>
    </w:p>
    <w:p w14:paraId="716F1329" w14:textId="77777777" w:rsidR="009F6482" w:rsidRDefault="009F6482" w:rsidP="009F6482">
      <w:pPr>
        <w:pStyle w:val="Heading1"/>
        <w:numPr>
          <w:ilvl w:val="0"/>
          <w:numId w:val="0"/>
        </w:numPr>
        <w:spacing w:before="240" w:after="120"/>
        <w:ind w:left="432" w:right="0" w:hanging="432"/>
        <w:jc w:val="both"/>
        <w:rPr>
          <w:b/>
          <w:bCs/>
          <w:color w:val="000000"/>
          <w:sz w:val="24"/>
          <w:lang w:val="en-GB"/>
        </w:rPr>
      </w:pPr>
      <w:r>
        <w:rPr>
          <w:b/>
          <w:bCs/>
          <w:color w:val="000000"/>
          <w:sz w:val="24"/>
          <w:lang w:val="en-GB"/>
        </w:rPr>
        <w:t>1. Introduction</w:t>
      </w:r>
    </w:p>
    <w:p w14:paraId="7FF3CCDD" w14:textId="3F62D88A" w:rsidR="00252625" w:rsidRPr="00252625" w:rsidRDefault="00FB589C" w:rsidP="00252625">
      <w:pPr>
        <w:jc w:val="both"/>
        <w:rPr>
          <w:lang w:val="en-GB"/>
        </w:rPr>
      </w:pPr>
      <w:r>
        <w:rPr>
          <w:lang w:val="en-GB"/>
        </w:rPr>
        <w:t>In accordance with the PhD thesis project, this poster reports the main results of the first activit</w:t>
      </w:r>
      <w:r w:rsidR="00405A55">
        <w:rPr>
          <w:lang w:val="en-GB"/>
        </w:rPr>
        <w:t>y</w:t>
      </w:r>
      <w:r>
        <w:rPr>
          <w:lang w:val="en-GB"/>
        </w:rPr>
        <w:t xml:space="preserve"> concerning: </w:t>
      </w:r>
      <w:r w:rsidR="00252625">
        <w:rPr>
          <w:lang w:val="en-GB"/>
        </w:rPr>
        <w:t xml:space="preserve"> </w:t>
      </w:r>
      <w:r>
        <w:rPr>
          <w:lang w:val="en-GB"/>
        </w:rPr>
        <w:t>A1</w:t>
      </w:r>
      <w:r w:rsidR="00252625">
        <w:rPr>
          <w:lang w:val="en-GB"/>
        </w:rPr>
        <w:t xml:space="preserve"> - </w:t>
      </w:r>
      <w:r>
        <w:rPr>
          <w:lang w:val="en-GB"/>
        </w:rPr>
        <w:t xml:space="preserve">the </w:t>
      </w:r>
      <w:r w:rsidR="00405A55">
        <w:rPr>
          <w:lang w:val="en-GB"/>
        </w:rPr>
        <w:t>o</w:t>
      </w:r>
      <w:r w:rsidR="00405A55" w:rsidRPr="00405A55">
        <w:rPr>
          <w:lang w:val="en-GB"/>
        </w:rPr>
        <w:t>xidation kinetics of mayonnaise</w:t>
      </w:r>
      <w:r w:rsidR="00405A55" w:rsidRPr="00405A55">
        <w:rPr>
          <w:lang w:val="en-US"/>
        </w:rPr>
        <w:t xml:space="preserve"> </w:t>
      </w:r>
      <w:r w:rsidR="00405A55">
        <w:rPr>
          <w:lang w:val="en-US"/>
        </w:rPr>
        <w:t xml:space="preserve">by oximetry and </w:t>
      </w:r>
      <w:proofErr w:type="spellStart"/>
      <w:r w:rsidR="00405A55">
        <w:rPr>
          <w:lang w:val="en-US"/>
        </w:rPr>
        <w:t>i</w:t>
      </w:r>
      <w:r w:rsidR="00405A55" w:rsidRPr="00405A55">
        <w:rPr>
          <w:lang w:val="en-GB"/>
        </w:rPr>
        <w:t>sothermal</w:t>
      </w:r>
      <w:proofErr w:type="spellEnd"/>
      <w:r w:rsidR="00405A55" w:rsidRPr="00405A55">
        <w:rPr>
          <w:lang w:val="en-GB"/>
        </w:rPr>
        <w:t xml:space="preserve"> calorimetr</w:t>
      </w:r>
      <w:r w:rsidR="00F01A21">
        <w:rPr>
          <w:lang w:val="en-GB"/>
        </w:rPr>
        <w:t>ic</w:t>
      </w:r>
      <w:r w:rsidR="00405A55" w:rsidRPr="00405A55">
        <w:rPr>
          <w:lang w:val="en-GB"/>
        </w:rPr>
        <w:t xml:space="preserve"> analysis</w:t>
      </w:r>
      <w:r w:rsidR="00F01A21">
        <w:rPr>
          <w:lang w:val="en-GB"/>
        </w:rPr>
        <w:t>.</w:t>
      </w:r>
    </w:p>
    <w:p w14:paraId="525E1D35" w14:textId="4B868897" w:rsidR="00512D9B" w:rsidRPr="00FC4318" w:rsidRDefault="00FC4318" w:rsidP="00FC4318">
      <w:pPr>
        <w:pStyle w:val="Heading1"/>
        <w:numPr>
          <w:ilvl w:val="0"/>
          <w:numId w:val="0"/>
        </w:numPr>
        <w:spacing w:before="240" w:after="120"/>
        <w:ind w:left="432" w:right="0" w:hanging="432"/>
        <w:jc w:val="both"/>
        <w:rPr>
          <w:b/>
          <w:bCs/>
          <w:color w:val="000000"/>
          <w:sz w:val="24"/>
          <w:lang w:val="en-GB"/>
        </w:rPr>
      </w:pPr>
      <w:r>
        <w:rPr>
          <w:b/>
          <w:bCs/>
          <w:color w:val="000000"/>
          <w:sz w:val="24"/>
          <w:lang w:val="en-GB"/>
        </w:rPr>
        <w:t>2. Materials and Methods</w:t>
      </w:r>
    </w:p>
    <w:p w14:paraId="7F935417" w14:textId="5EF57C0E" w:rsidR="00512D9B" w:rsidRPr="00746B7D" w:rsidRDefault="00F01A21">
      <w:pPr>
        <w:jc w:val="both"/>
        <w:rPr>
          <w:lang w:val="en-US"/>
        </w:rPr>
      </w:pPr>
      <w:r w:rsidRPr="00F01A21">
        <w:rPr>
          <w:lang w:val="en-US"/>
        </w:rPr>
        <w:t xml:space="preserve">Mayonnaise samples were prepared by mixing oil (80%), egg yolk (10%) and vinegar (10%). Sodium </w:t>
      </w:r>
      <w:proofErr w:type="spellStart"/>
      <w:r w:rsidRPr="00F01A21">
        <w:rPr>
          <w:lang w:val="en-US"/>
        </w:rPr>
        <w:t>azide</w:t>
      </w:r>
      <w:proofErr w:type="spellEnd"/>
      <w:r w:rsidRPr="00F01A21">
        <w:rPr>
          <w:lang w:val="en-US"/>
        </w:rPr>
        <w:t xml:space="preserve"> (0.05% w/w) was added as microbial inhibitor. T</w:t>
      </w:r>
      <w:r>
        <w:rPr>
          <w:lang w:val="en-US"/>
        </w:rPr>
        <w:t>o control the rate of free radical formation a</w:t>
      </w:r>
      <w:r w:rsidRPr="00F01A21">
        <w:rPr>
          <w:lang w:val="en-US"/>
        </w:rPr>
        <w:t xml:space="preserve"> lipid soluble radical initiator AIBN was added in the oil phase to reach a final concentration of 25 </w:t>
      </w:r>
      <w:proofErr w:type="spellStart"/>
      <w:r w:rsidRPr="00F01A21">
        <w:rPr>
          <w:lang w:val="en-US"/>
        </w:rPr>
        <w:t>mM.</w:t>
      </w:r>
      <w:proofErr w:type="spellEnd"/>
      <w:r w:rsidRPr="00F01A21">
        <w:rPr>
          <w:lang w:val="en-US"/>
        </w:rPr>
        <w:t xml:space="preserve"> Samples were labelled according to the oil type used, as MSO, MCO, MEVOO, MGO and MAO, respectively, for sunflower, corn, extra virgin olive, grapeseed, and apple seed oils.</w:t>
      </w:r>
      <w:r>
        <w:rPr>
          <w:lang w:val="en-US"/>
        </w:rPr>
        <w:t xml:space="preserve"> To determine the </w:t>
      </w:r>
      <w:r w:rsidRPr="00F01A21">
        <w:rPr>
          <w:lang w:val="en-US"/>
        </w:rPr>
        <w:t>oxidative stability</w:t>
      </w:r>
      <w:r>
        <w:rPr>
          <w:lang w:val="en-US"/>
        </w:rPr>
        <w:t xml:space="preserve">, </w:t>
      </w:r>
      <w:r w:rsidRPr="00F01A21">
        <w:rPr>
          <w:lang w:val="en-US"/>
        </w:rPr>
        <w:t>mayonnaise samples</w:t>
      </w:r>
      <w:r>
        <w:rPr>
          <w:lang w:val="en-US"/>
        </w:rPr>
        <w:t xml:space="preserve"> (</w:t>
      </w:r>
      <w:r w:rsidRPr="003C31DC">
        <w:rPr>
          <w:lang w:val="en-GB"/>
        </w:rPr>
        <w:t>200±5 mg</w:t>
      </w:r>
      <w:r>
        <w:rPr>
          <w:lang w:val="en-US"/>
        </w:rPr>
        <w:t xml:space="preserve">) </w:t>
      </w:r>
      <w:r w:rsidRPr="00F01A21">
        <w:rPr>
          <w:lang w:val="en-US"/>
        </w:rPr>
        <w:t>w</w:t>
      </w:r>
      <w:r>
        <w:rPr>
          <w:lang w:val="en-US"/>
        </w:rPr>
        <w:t>ere</w:t>
      </w:r>
      <w:r w:rsidRPr="00F01A21">
        <w:rPr>
          <w:lang w:val="en-US"/>
        </w:rPr>
        <w:t xml:space="preserve"> </w:t>
      </w:r>
      <w:r>
        <w:rPr>
          <w:lang w:val="en-US"/>
        </w:rPr>
        <w:t xml:space="preserve">kept in hermetically sealed </w:t>
      </w:r>
      <w:r w:rsidRPr="00F01A21">
        <w:rPr>
          <w:lang w:val="en-US"/>
        </w:rPr>
        <w:t>glass ampoules (4.0 cm3)</w:t>
      </w:r>
      <w:r>
        <w:rPr>
          <w:lang w:val="en-US"/>
        </w:rPr>
        <w:t xml:space="preserve"> </w:t>
      </w:r>
      <w:r w:rsidR="009B67D5">
        <w:rPr>
          <w:lang w:val="en-US"/>
        </w:rPr>
        <w:t xml:space="preserve">and heat flow over time was recorded using an </w:t>
      </w:r>
      <w:r w:rsidRPr="00F01A21">
        <w:rPr>
          <w:lang w:val="en-US"/>
        </w:rPr>
        <w:t>isothermal calorimeter (Thermal Activity Monitor, Model 421 TAM III, TA Instruments)</w:t>
      </w:r>
      <w:r>
        <w:rPr>
          <w:lang w:val="en-US"/>
        </w:rPr>
        <w:t xml:space="preserve"> at 60</w:t>
      </w:r>
      <w:r w:rsidR="009B67D5" w:rsidRPr="006975E9">
        <w:rPr>
          <w:lang w:val="en-GB"/>
        </w:rPr>
        <w:t>°C</w:t>
      </w:r>
      <w:r w:rsidRPr="00F01A21">
        <w:rPr>
          <w:lang w:val="en-US"/>
        </w:rPr>
        <w:t>.</w:t>
      </w:r>
      <w:r w:rsidR="009B67D5">
        <w:rPr>
          <w:lang w:val="en-US"/>
        </w:rPr>
        <w:t xml:space="preserve"> In addition, t</w:t>
      </w:r>
      <w:r w:rsidR="009B67D5" w:rsidRPr="009B67D5">
        <w:rPr>
          <w:lang w:val="en-US"/>
        </w:rPr>
        <w:t>he concentration of oxygen inside the glass ampoules was monitored with an oxygen meter (</w:t>
      </w:r>
      <w:proofErr w:type="spellStart"/>
      <w:r w:rsidR="009B67D5" w:rsidRPr="009B67D5">
        <w:rPr>
          <w:lang w:val="en-US"/>
        </w:rPr>
        <w:t>Fibox</w:t>
      </w:r>
      <w:proofErr w:type="spellEnd"/>
      <w:r w:rsidR="009B67D5" w:rsidRPr="009B67D5">
        <w:rPr>
          <w:lang w:val="en-US"/>
        </w:rPr>
        <w:t xml:space="preserve"> 4, </w:t>
      </w:r>
      <w:proofErr w:type="spellStart"/>
      <w:r w:rsidR="009B67D5" w:rsidRPr="009B67D5">
        <w:rPr>
          <w:lang w:val="en-US"/>
        </w:rPr>
        <w:t>PreSens</w:t>
      </w:r>
      <w:proofErr w:type="spellEnd"/>
      <w:r w:rsidR="009B67D5" w:rsidRPr="009B67D5">
        <w:rPr>
          <w:lang w:val="en-US"/>
        </w:rPr>
        <w:t xml:space="preserve"> GmbH, Germany)</w:t>
      </w:r>
      <w:r w:rsidR="009B67D5">
        <w:rPr>
          <w:lang w:val="en-US"/>
        </w:rPr>
        <w:t xml:space="preserve"> at 60</w:t>
      </w:r>
      <w:r w:rsidR="009B67D5" w:rsidRPr="006975E9">
        <w:rPr>
          <w:lang w:val="en-GB"/>
        </w:rPr>
        <w:t>°C</w:t>
      </w:r>
      <w:r w:rsidR="009B67D5" w:rsidRPr="009B67D5">
        <w:rPr>
          <w:lang w:val="en-US"/>
        </w:rPr>
        <w:t>.</w:t>
      </w:r>
      <w:r w:rsidR="009B67D5">
        <w:rPr>
          <w:lang w:val="en-US"/>
        </w:rPr>
        <w:t xml:space="preserve"> </w:t>
      </w:r>
      <w:r w:rsidRPr="00F01A21">
        <w:rPr>
          <w:lang w:val="en-US"/>
        </w:rPr>
        <w:t>A typical workflow was used to transform the isothermal calorimetric heat flow to oxygen concentration, which was then used to determine the onset time (</w:t>
      </w:r>
      <w:r w:rsidRPr="009B67D5">
        <w:rPr>
          <w:rFonts w:ascii="Symbol" w:hAnsi="Symbol"/>
          <w:i/>
          <w:iCs/>
        </w:rPr>
        <w:t>t</w:t>
      </w:r>
      <w:r>
        <w:rPr>
          <w:rFonts w:ascii="Symbol" w:hAnsi="Symbol"/>
        </w:rPr>
        <w:t xml:space="preserve">, </w:t>
      </w:r>
      <w:r w:rsidRPr="00F01A21">
        <w:rPr>
          <w:lang w:val="en-US"/>
        </w:rPr>
        <w:t>antioxidant capacity), rate of inhibited period (</w:t>
      </w:r>
      <w:proofErr w:type="spellStart"/>
      <w:r w:rsidRPr="009B67D5">
        <w:rPr>
          <w:i/>
          <w:iCs/>
          <w:lang w:val="en-US"/>
        </w:rPr>
        <w:t>R</w:t>
      </w:r>
      <w:r w:rsidRPr="009B67D5">
        <w:rPr>
          <w:i/>
          <w:iCs/>
          <w:vertAlign w:val="subscript"/>
          <w:lang w:val="en-US"/>
        </w:rPr>
        <w:t>inh</w:t>
      </w:r>
      <w:proofErr w:type="spellEnd"/>
      <w:r w:rsidRPr="00F01A21">
        <w:rPr>
          <w:lang w:val="en-US"/>
        </w:rPr>
        <w:t>), and rate of uninhibited period (</w:t>
      </w:r>
      <w:proofErr w:type="spellStart"/>
      <w:r w:rsidRPr="009B67D5">
        <w:rPr>
          <w:i/>
          <w:iCs/>
          <w:lang w:val="en-US"/>
        </w:rPr>
        <w:t>R</w:t>
      </w:r>
      <w:r w:rsidRPr="009B67D5">
        <w:rPr>
          <w:i/>
          <w:iCs/>
          <w:vertAlign w:val="subscript"/>
          <w:lang w:val="en-US"/>
        </w:rPr>
        <w:t>uni</w:t>
      </w:r>
      <w:proofErr w:type="spellEnd"/>
      <w:r w:rsidRPr="00F01A21">
        <w:rPr>
          <w:lang w:val="en-US"/>
        </w:rPr>
        <w:t xml:space="preserve">). The oxidizability of mayonnaise was determined based on </w:t>
      </w:r>
      <w:proofErr w:type="spellStart"/>
      <w:r w:rsidRPr="009B67D5">
        <w:rPr>
          <w:i/>
          <w:iCs/>
          <w:lang w:val="en-US"/>
        </w:rPr>
        <w:t>R</w:t>
      </w:r>
      <w:r w:rsidRPr="009B67D5">
        <w:rPr>
          <w:i/>
          <w:iCs/>
          <w:vertAlign w:val="subscript"/>
          <w:lang w:val="en-US"/>
        </w:rPr>
        <w:t>uni</w:t>
      </w:r>
      <w:proofErr w:type="spellEnd"/>
      <w:r w:rsidRPr="00F01A21">
        <w:rPr>
          <w:lang w:val="en-US"/>
        </w:rPr>
        <w:t>. Additionally, antioxidant efficiency (</w:t>
      </w:r>
      <w:r w:rsidRPr="009B67D5">
        <w:rPr>
          <w:i/>
          <w:iCs/>
          <w:lang w:val="en-US"/>
        </w:rPr>
        <w:t>A.E.</w:t>
      </w:r>
      <w:r w:rsidRPr="00F01A21">
        <w:rPr>
          <w:lang w:val="en-US"/>
        </w:rPr>
        <w:t xml:space="preserve">) was calculated using </w:t>
      </w:r>
      <w:r w:rsidRPr="009B67D5">
        <w:rPr>
          <w:rFonts w:ascii="Symbol" w:hAnsi="Symbol"/>
          <w:i/>
          <w:iCs/>
        </w:rPr>
        <w:t>t</w:t>
      </w:r>
      <w:r w:rsidRPr="00F01A21">
        <w:rPr>
          <w:lang w:val="en-US"/>
        </w:rPr>
        <w:t xml:space="preserve"> and </w:t>
      </w:r>
      <w:proofErr w:type="spellStart"/>
      <w:r w:rsidRPr="009B67D5">
        <w:rPr>
          <w:i/>
          <w:iCs/>
          <w:lang w:val="en-US"/>
        </w:rPr>
        <w:t>R</w:t>
      </w:r>
      <w:r w:rsidRPr="009B67D5">
        <w:rPr>
          <w:i/>
          <w:iCs/>
          <w:vertAlign w:val="subscript"/>
          <w:lang w:val="en-US"/>
        </w:rPr>
        <w:t>inh</w:t>
      </w:r>
      <w:proofErr w:type="spellEnd"/>
      <w:r w:rsidRPr="00F01A21">
        <w:rPr>
          <w:lang w:val="en-US"/>
        </w:rPr>
        <w:t>.</w:t>
      </w:r>
    </w:p>
    <w:p w14:paraId="4E8365C5" w14:textId="77777777" w:rsidR="00AA6A98" w:rsidRDefault="00AA6A98" w:rsidP="00AA6A98">
      <w:pPr>
        <w:pStyle w:val="Heading1"/>
        <w:numPr>
          <w:ilvl w:val="0"/>
          <w:numId w:val="0"/>
        </w:numPr>
        <w:spacing w:before="240" w:after="120"/>
        <w:ind w:left="432" w:right="0" w:hanging="432"/>
        <w:jc w:val="both"/>
        <w:rPr>
          <w:b/>
          <w:bCs/>
          <w:color w:val="000000"/>
          <w:sz w:val="24"/>
          <w:lang w:val="en-GB"/>
        </w:rPr>
      </w:pPr>
      <w:r>
        <w:rPr>
          <w:b/>
          <w:bCs/>
          <w:color w:val="000000"/>
          <w:sz w:val="24"/>
          <w:lang w:val="en-GB"/>
        </w:rPr>
        <w:t>3. Results and Discussion</w:t>
      </w:r>
    </w:p>
    <w:p w14:paraId="7F47A2DD" w14:textId="4D5ECE2E" w:rsidR="00014EF4" w:rsidRPr="00BA6ADA" w:rsidRDefault="00312D2B" w:rsidP="00BA6ADA">
      <w:pPr>
        <w:jc w:val="both"/>
        <w:rPr>
          <w:noProof/>
          <w:lang w:val="en-US"/>
        </w:rPr>
      </w:pPr>
      <w:r w:rsidRPr="00312D2B">
        <w:rPr>
          <w:lang w:val="en-GB"/>
        </w:rPr>
        <w:t xml:space="preserve">Figure </w:t>
      </w:r>
      <w:r>
        <w:rPr>
          <w:lang w:val="en-GB"/>
        </w:rPr>
        <w:t>1</w:t>
      </w:r>
      <w:r w:rsidRPr="00312D2B">
        <w:rPr>
          <w:lang w:val="en-GB"/>
        </w:rPr>
        <w:t xml:space="preserve"> (A) shows the calorimetric traces obtained for the analysis of five different mayonnaise samples, each prepared with the same water phase, but with different plant-based oils. Figure </w:t>
      </w:r>
      <w:r>
        <w:rPr>
          <w:lang w:val="en-GB"/>
        </w:rPr>
        <w:t>1</w:t>
      </w:r>
      <w:r w:rsidRPr="00312D2B">
        <w:rPr>
          <w:lang w:val="en-GB"/>
        </w:rPr>
        <w:t xml:space="preserve"> (B) shows the transformation of the calorimetric trace into the corresponding oxygen consumptions.</w:t>
      </w:r>
      <w:r>
        <w:rPr>
          <w:lang w:val="en-GB"/>
        </w:rPr>
        <w:t xml:space="preserve"> F</w:t>
      </w:r>
      <w:r w:rsidRPr="00312D2B">
        <w:rPr>
          <w:lang w:val="en-GB"/>
        </w:rPr>
        <w:t xml:space="preserve">rom Figure </w:t>
      </w:r>
      <w:r>
        <w:rPr>
          <w:lang w:val="en-GB"/>
        </w:rPr>
        <w:t>1</w:t>
      </w:r>
      <w:r w:rsidRPr="00312D2B">
        <w:rPr>
          <w:lang w:val="en-GB"/>
        </w:rPr>
        <w:t xml:space="preserve"> (B), it was possible to determine the induction time (</w:t>
      </w:r>
      <w:r>
        <w:rPr>
          <w:lang w:val="en-GB"/>
        </w:rPr>
        <w:t>τ</w:t>
      </w:r>
      <w:r w:rsidRPr="00312D2B">
        <w:rPr>
          <w:lang w:val="en-GB"/>
        </w:rPr>
        <w:t>) for the oxidation of each mayonnaise samples, as well as the rates of oxygen consumption during the inhibited (</w:t>
      </w:r>
      <w:proofErr w:type="spellStart"/>
      <w:r w:rsidRPr="00312D2B">
        <w:rPr>
          <w:i/>
          <w:iCs/>
          <w:lang w:val="en-GB"/>
        </w:rPr>
        <w:t>R</w:t>
      </w:r>
      <w:r w:rsidRPr="00312D2B">
        <w:rPr>
          <w:i/>
          <w:iCs/>
          <w:vertAlign w:val="subscript"/>
          <w:lang w:val="en-GB"/>
        </w:rPr>
        <w:t>inh</w:t>
      </w:r>
      <w:proofErr w:type="spellEnd"/>
      <w:r w:rsidRPr="00312D2B">
        <w:rPr>
          <w:lang w:val="en-GB"/>
        </w:rPr>
        <w:t>) and uninhibited (</w:t>
      </w:r>
      <w:proofErr w:type="spellStart"/>
      <w:r w:rsidRPr="00312D2B">
        <w:rPr>
          <w:i/>
          <w:iCs/>
          <w:lang w:val="en-GB"/>
        </w:rPr>
        <w:t>R</w:t>
      </w:r>
      <w:r w:rsidRPr="00312D2B">
        <w:rPr>
          <w:i/>
          <w:iCs/>
          <w:vertAlign w:val="subscript"/>
          <w:lang w:val="en-GB"/>
        </w:rPr>
        <w:t>uni</w:t>
      </w:r>
      <w:proofErr w:type="spellEnd"/>
      <w:r w:rsidRPr="00312D2B">
        <w:rPr>
          <w:lang w:val="en-GB"/>
        </w:rPr>
        <w:t>) periods.</w:t>
      </w:r>
    </w:p>
    <w:p w14:paraId="31A87C31" w14:textId="5DFA04EB" w:rsidR="007F6D35" w:rsidRDefault="00BA6ADA" w:rsidP="00BA6ADA">
      <w:pPr>
        <w:pStyle w:val="Heading2"/>
        <w:numPr>
          <w:ilvl w:val="0"/>
          <w:numId w:val="0"/>
        </w:numPr>
        <w:ind w:left="576" w:hanging="576"/>
        <w:jc w:val="both"/>
        <w:rPr>
          <w:lang w:val="en-GB"/>
        </w:rPr>
        <w:sectPr w:rsidR="007F6D35" w:rsidSect="00B0249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8" w:right="1138" w:bottom="1138" w:left="1699" w:header="0" w:footer="0" w:gutter="0"/>
          <w:cols w:space="720"/>
          <w:formProt w:val="0"/>
          <w:docGrid w:linePitch="360"/>
        </w:sectPr>
      </w:pPr>
      <w:r>
        <w:rPr>
          <w:b/>
          <w:bCs/>
          <w:sz w:val="20"/>
          <w:lang w:val="en-GB"/>
        </w:rPr>
        <w:t>3.1 Oxidizability</w:t>
      </w:r>
    </w:p>
    <w:p w14:paraId="498CE560" w14:textId="1ABB9845" w:rsidR="007F6D35" w:rsidRDefault="007F6D35" w:rsidP="007F6D35">
      <w:pPr>
        <w:widowControl/>
        <w:suppressAutoHyphens w:val="0"/>
        <w:jc w:val="both"/>
        <w:rPr>
          <w:rFonts w:eastAsia="Calibri"/>
          <w:lang w:val="en-GB" w:eastAsia="en-US"/>
        </w:rPr>
      </w:pPr>
      <w:r w:rsidRPr="005341D9">
        <w:rPr>
          <w:rFonts w:eastAsia="Calibri"/>
          <w:lang w:val="en-GB" w:eastAsia="en-US"/>
        </w:rPr>
        <w:t>O</w:t>
      </w:r>
      <w:r w:rsidRPr="007F6D35">
        <w:rPr>
          <w:rFonts w:eastAsia="Calibri"/>
          <w:lang w:val="en-GB" w:eastAsia="en-US"/>
        </w:rPr>
        <w:t xml:space="preserve">xidizability index </w:t>
      </w:r>
      <w:r w:rsidRPr="007F6D35">
        <w:rPr>
          <w:rFonts w:eastAsia="Calibri"/>
          <w:i/>
          <w:iCs/>
          <w:lang w:val="en-GB" w:eastAsia="en-US"/>
        </w:rPr>
        <w:t>(O.I.)</w:t>
      </w:r>
      <w:r w:rsidRPr="007F6D35">
        <w:rPr>
          <w:rFonts w:eastAsia="Calibri"/>
          <w:lang w:val="en-GB" w:eastAsia="en-US"/>
        </w:rPr>
        <w:t xml:space="preserve"> of mayonnaise</w:t>
      </w:r>
      <w:r w:rsidRPr="005341D9">
        <w:rPr>
          <w:rFonts w:eastAsia="Calibri"/>
          <w:lang w:val="en-GB" w:eastAsia="en-US"/>
        </w:rPr>
        <w:t xml:space="preserve"> </w:t>
      </w:r>
      <w:r w:rsidRPr="007F6D35">
        <w:rPr>
          <w:rFonts w:eastAsia="Calibri"/>
          <w:lang w:val="en-GB" w:eastAsia="en-US"/>
        </w:rPr>
        <w:t xml:space="preserve">samples </w:t>
      </w:r>
      <w:r w:rsidRPr="005341D9">
        <w:rPr>
          <w:rFonts w:eastAsia="Calibri"/>
          <w:lang w:val="en-GB" w:eastAsia="en-US"/>
        </w:rPr>
        <w:t xml:space="preserve">was determined </w:t>
      </w:r>
      <w:r w:rsidRPr="007F6D35">
        <w:rPr>
          <w:rFonts w:eastAsia="Calibri"/>
          <w:lang w:val="en-GB" w:eastAsia="en-US"/>
        </w:rPr>
        <w:t>based on eq. (</w:t>
      </w:r>
      <w:r w:rsidR="00D950F3">
        <w:rPr>
          <w:rFonts w:eastAsia="Calibri"/>
          <w:lang w:val="en-GB" w:eastAsia="en-US"/>
        </w:rPr>
        <w:t>1</w:t>
      </w:r>
      <w:r w:rsidRPr="007F6D35">
        <w:rPr>
          <w:rFonts w:eastAsia="Calibri"/>
          <w:lang w:val="en-GB" w:eastAsia="en-US"/>
        </w:rPr>
        <w:t xml:space="preserve">). </w:t>
      </w:r>
    </w:p>
    <w:tbl>
      <w:tblPr>
        <w:tblStyle w:val="TableGrid"/>
        <w:tblpPr w:leftFromText="180" w:rightFromText="180" w:vertAnchor="text" w:horzAnchor="margin" w:tblpXSpec="center"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3859"/>
        <w:gridCol w:w="2709"/>
      </w:tblGrid>
      <w:tr w:rsidR="00D950F3" w:rsidRPr="007F6D35" w14:paraId="434AAE9E" w14:textId="77777777" w:rsidTr="00D950F3">
        <w:trPr>
          <w:trHeight w:val="768"/>
        </w:trPr>
        <w:tc>
          <w:tcPr>
            <w:tcW w:w="2204" w:type="dxa"/>
            <w:shd w:val="clear" w:color="auto" w:fill="auto"/>
            <w:vAlign w:val="center"/>
          </w:tcPr>
          <w:p w14:paraId="63E0B819" w14:textId="77777777" w:rsidR="00D950F3" w:rsidRPr="007F6D35" w:rsidRDefault="00D950F3" w:rsidP="00D950F3">
            <w:pPr>
              <w:widowControl/>
              <w:suppressAutoHyphens w:val="0"/>
              <w:spacing w:before="120" w:after="120"/>
              <w:jc w:val="both"/>
              <w:rPr>
                <w:rFonts w:eastAsia="Calibri"/>
                <w:lang w:val="en-GB"/>
              </w:rPr>
            </w:pPr>
            <w:r w:rsidRPr="005341D9">
              <w:rPr>
                <w:rFonts w:eastAsia="Calibri"/>
                <w:lang w:val="en-GB"/>
              </w:rPr>
              <w:t xml:space="preserve">                                                                                                               </w:t>
            </w:r>
          </w:p>
        </w:tc>
        <w:tc>
          <w:tcPr>
            <w:tcW w:w="3859" w:type="dxa"/>
            <w:shd w:val="clear" w:color="auto" w:fill="auto"/>
            <w:vAlign w:val="center"/>
          </w:tcPr>
          <w:p w14:paraId="3F0383CE" w14:textId="77777777" w:rsidR="00D950F3" w:rsidRPr="002E4609" w:rsidRDefault="00D950F3" w:rsidP="00D950F3">
            <w:pPr>
              <w:widowControl/>
              <w:suppressAutoHyphens w:val="0"/>
              <w:spacing w:before="120" w:after="120"/>
              <w:jc w:val="center"/>
              <w:rPr>
                <w:rFonts w:eastAsia="Calibri"/>
                <w:lang w:val="en-GB"/>
              </w:rPr>
            </w:pPr>
            <m:oMathPara>
              <m:oMath>
                <m:r>
                  <w:rPr>
                    <w:rFonts w:ascii="Cambria Math" w:eastAsia="Calibri" w:hAnsi="Cambria Math"/>
                    <w:lang w:val="en-GB"/>
                  </w:rPr>
                  <m:t>O.I.=</m:t>
                </m:r>
                <m:f>
                  <m:fPr>
                    <m:ctrlPr>
                      <w:rPr>
                        <w:rFonts w:ascii="Cambria Math" w:eastAsia="Calibri" w:hAnsi="Cambria Math"/>
                        <w:i/>
                        <w:lang w:val="en-GB"/>
                      </w:rPr>
                    </m:ctrlPr>
                  </m:fPr>
                  <m:num>
                    <m:sSub>
                      <m:sSubPr>
                        <m:ctrlPr>
                          <w:rPr>
                            <w:rFonts w:ascii="Cambria Math" w:eastAsia="Calibri" w:hAnsi="Cambria Math"/>
                            <w:i/>
                            <w:lang w:val="en-GB"/>
                          </w:rPr>
                        </m:ctrlPr>
                      </m:sSubPr>
                      <m:e>
                        <m:r>
                          <w:rPr>
                            <w:rFonts w:ascii="Cambria Math" w:eastAsia="Calibri" w:hAnsi="Cambria Math"/>
                            <w:lang w:val="en-GB"/>
                          </w:rPr>
                          <m:t>k</m:t>
                        </m:r>
                      </m:e>
                      <m:sub>
                        <m:r>
                          <w:rPr>
                            <w:rFonts w:ascii="Cambria Math" w:eastAsia="Calibri" w:hAnsi="Cambria Math"/>
                            <w:lang w:val="en-GB"/>
                          </w:rPr>
                          <m:t>p</m:t>
                        </m:r>
                      </m:sub>
                    </m:sSub>
                  </m:num>
                  <m:den>
                    <m:rad>
                      <m:radPr>
                        <m:degHide m:val="1"/>
                        <m:ctrlPr>
                          <w:rPr>
                            <w:rFonts w:ascii="Cambria Math" w:eastAsia="Calibri" w:hAnsi="Cambria Math"/>
                            <w:i/>
                            <w:lang w:val="en-GB"/>
                          </w:rPr>
                        </m:ctrlPr>
                      </m:radPr>
                      <m:deg/>
                      <m:e>
                        <m:r>
                          <w:rPr>
                            <w:rFonts w:ascii="Cambria Math" w:eastAsia="Calibri" w:hAnsi="Cambria Math"/>
                            <w:lang w:val="en-GB"/>
                          </w:rPr>
                          <m:t>2</m:t>
                        </m:r>
                        <m:sSub>
                          <m:sSubPr>
                            <m:ctrlPr>
                              <w:rPr>
                                <w:rFonts w:ascii="Cambria Math" w:eastAsia="Calibri" w:hAnsi="Cambria Math"/>
                                <w:i/>
                                <w:lang w:val="en-GB"/>
                              </w:rPr>
                            </m:ctrlPr>
                          </m:sSubPr>
                          <m:e>
                            <m:r>
                              <w:rPr>
                                <w:rFonts w:ascii="Cambria Math" w:eastAsia="Calibri" w:hAnsi="Cambria Math"/>
                                <w:lang w:val="en-GB"/>
                              </w:rPr>
                              <m:t>k</m:t>
                            </m:r>
                          </m:e>
                          <m:sub>
                            <m:r>
                              <w:rPr>
                                <w:rFonts w:ascii="Cambria Math" w:eastAsia="Calibri" w:hAnsi="Cambria Math"/>
                                <w:lang w:val="en-GB"/>
                              </w:rPr>
                              <m:t>t</m:t>
                            </m:r>
                          </m:sub>
                        </m:sSub>
                      </m:e>
                    </m:rad>
                  </m:den>
                </m:f>
                <m:r>
                  <w:rPr>
                    <w:rFonts w:ascii="Cambria Math" w:eastAsia="Calibri" w:hAnsi="Cambria Math"/>
                    <w:lang w:val="en-GB"/>
                  </w:rPr>
                  <m:t>=</m:t>
                </m:r>
                <m:f>
                  <m:fPr>
                    <m:ctrlPr>
                      <w:rPr>
                        <w:rFonts w:ascii="Cambria Math" w:eastAsia="Calibri" w:hAnsi="Cambria Math"/>
                        <w:i/>
                        <w:lang w:val="en-GB"/>
                      </w:rPr>
                    </m:ctrlPr>
                  </m:fPr>
                  <m:num>
                    <m:sSub>
                      <m:sSubPr>
                        <m:ctrlPr>
                          <w:rPr>
                            <w:rFonts w:ascii="Cambria Math" w:eastAsia="Calibri" w:hAnsi="Cambria Math"/>
                            <w:i/>
                            <w:lang w:val="en-GB"/>
                          </w:rPr>
                        </m:ctrlPr>
                      </m:sSubPr>
                      <m:e>
                        <m:r>
                          <w:rPr>
                            <w:rFonts w:ascii="Cambria Math" w:eastAsia="Calibri" w:hAnsi="Cambria Math"/>
                            <w:lang w:val="en-GB"/>
                          </w:rPr>
                          <m:t>R</m:t>
                        </m:r>
                      </m:e>
                      <m:sub>
                        <m:r>
                          <w:rPr>
                            <w:rFonts w:ascii="Cambria Math" w:eastAsia="Calibri" w:hAnsi="Cambria Math"/>
                            <w:lang w:val="en-GB"/>
                          </w:rPr>
                          <m:t>uni</m:t>
                        </m:r>
                      </m:sub>
                    </m:sSub>
                  </m:num>
                  <m:den>
                    <m:sSub>
                      <m:sSubPr>
                        <m:ctrlPr>
                          <w:rPr>
                            <w:rFonts w:ascii="Cambria Math" w:eastAsia="Calibri" w:hAnsi="Cambria Math"/>
                            <w:i/>
                            <w:lang w:val="en-GB"/>
                          </w:rPr>
                        </m:ctrlPr>
                      </m:sSubPr>
                      <m:e>
                        <m:d>
                          <m:dPr>
                            <m:begChr m:val="["/>
                            <m:endChr m:val="]"/>
                            <m:ctrlPr>
                              <w:rPr>
                                <w:rFonts w:ascii="Cambria Math" w:eastAsia="Calibri" w:hAnsi="Cambria Math"/>
                                <w:i/>
                                <w:lang w:val="en-GB"/>
                              </w:rPr>
                            </m:ctrlPr>
                          </m:dPr>
                          <m:e>
                            <m:r>
                              <m:rPr>
                                <m:sty m:val="p"/>
                              </m:rPr>
                              <w:rPr>
                                <w:rFonts w:ascii="Cambria Math" w:eastAsia="Calibri" w:hAnsi="Cambria Math"/>
                                <w:lang w:val="en-GB"/>
                              </w:rPr>
                              <m:t>RH</m:t>
                            </m:r>
                          </m:e>
                        </m:d>
                      </m:e>
                      <m:sub>
                        <m:r>
                          <w:rPr>
                            <w:rFonts w:ascii="Cambria Math" w:eastAsia="Calibri" w:hAnsi="Cambria Math"/>
                            <w:lang w:val="en-GB"/>
                          </w:rPr>
                          <m:t>0</m:t>
                        </m:r>
                      </m:sub>
                    </m:sSub>
                    <m:r>
                      <w:rPr>
                        <w:rFonts w:ascii="Cambria Math" w:eastAsia="Calibri" w:hAnsi="Cambria Math"/>
                        <w:lang w:val="en-GB"/>
                      </w:rPr>
                      <m:t>∙</m:t>
                    </m:r>
                    <m:rad>
                      <m:radPr>
                        <m:degHide m:val="1"/>
                        <m:ctrlPr>
                          <w:rPr>
                            <w:rFonts w:ascii="Cambria Math" w:eastAsia="Calibri" w:hAnsi="Cambria Math"/>
                            <w:i/>
                            <w:lang w:val="en-GB"/>
                          </w:rPr>
                        </m:ctrlPr>
                      </m:radPr>
                      <m:deg/>
                      <m:e>
                        <m:sSub>
                          <m:sSubPr>
                            <m:ctrlPr>
                              <w:rPr>
                                <w:rFonts w:ascii="Cambria Math" w:eastAsia="Calibri" w:hAnsi="Cambria Math"/>
                                <w:i/>
                                <w:lang w:val="en-GB"/>
                              </w:rPr>
                            </m:ctrlPr>
                          </m:sSubPr>
                          <m:e>
                            <m:r>
                              <w:rPr>
                                <w:rFonts w:ascii="Cambria Math" w:eastAsia="Calibri" w:hAnsi="Cambria Math"/>
                                <w:lang w:val="en-GB"/>
                              </w:rPr>
                              <m:t>R</m:t>
                            </m:r>
                          </m:e>
                          <m:sub>
                            <m:r>
                              <w:rPr>
                                <w:rFonts w:ascii="Cambria Math" w:eastAsia="Calibri" w:hAnsi="Cambria Math"/>
                                <w:lang w:val="en-GB"/>
                              </w:rPr>
                              <m:t>i</m:t>
                            </m:r>
                          </m:sub>
                        </m:sSub>
                      </m:e>
                    </m:rad>
                  </m:den>
                </m:f>
              </m:oMath>
            </m:oMathPara>
          </w:p>
        </w:tc>
        <w:tc>
          <w:tcPr>
            <w:tcW w:w="2709" w:type="dxa"/>
            <w:shd w:val="clear" w:color="auto" w:fill="auto"/>
            <w:vAlign w:val="center"/>
          </w:tcPr>
          <w:p w14:paraId="04E43ED2" w14:textId="05DC9F48" w:rsidR="00D950F3" w:rsidRPr="007F6D35" w:rsidRDefault="00D950F3" w:rsidP="002E4609">
            <w:pPr>
              <w:widowControl/>
              <w:suppressAutoHyphens w:val="0"/>
              <w:spacing w:before="120" w:after="120"/>
              <w:jc w:val="both"/>
              <w:rPr>
                <w:rFonts w:eastAsia="Calibri"/>
                <w:lang w:val="en-GB"/>
              </w:rPr>
            </w:pPr>
            <w:bookmarkStart w:id="0" w:name="_Ref127117733"/>
            <w:r w:rsidRPr="005341D9">
              <w:rPr>
                <w:rFonts w:eastAsia="Calibri"/>
                <w:lang w:val="en-GB"/>
              </w:rPr>
              <w:t xml:space="preserve">      </w:t>
            </w:r>
            <w:r>
              <w:rPr>
                <w:rFonts w:eastAsia="Calibri"/>
                <w:lang w:val="en-GB"/>
              </w:rPr>
              <w:t xml:space="preserve">  </w:t>
            </w:r>
            <w:r w:rsidRPr="007F6D35">
              <w:rPr>
                <w:rFonts w:eastAsia="Calibri"/>
                <w:lang w:val="en-GB"/>
              </w:rPr>
              <w:t>(</w:t>
            </w:r>
            <w:bookmarkEnd w:id="0"/>
            <w:r>
              <w:rPr>
                <w:rFonts w:eastAsia="Calibri"/>
                <w:lang w:val="en-GB"/>
              </w:rPr>
              <w:t>1</w:t>
            </w:r>
            <w:r w:rsidRPr="007F6D35">
              <w:rPr>
                <w:rFonts w:eastAsia="Calibri"/>
                <w:lang w:val="en-GB"/>
              </w:rPr>
              <w:t>)</w:t>
            </w:r>
          </w:p>
        </w:tc>
      </w:tr>
    </w:tbl>
    <w:p w14:paraId="585CAE93" w14:textId="2364BFF4" w:rsidR="00CF6B02" w:rsidRDefault="00CF6B02" w:rsidP="00C97EE4">
      <w:pPr>
        <w:pStyle w:val="ListParagraph"/>
        <w:ind w:left="0"/>
        <w:jc w:val="both"/>
        <w:rPr>
          <w:lang w:val="en-GB"/>
        </w:rPr>
      </w:pPr>
      <w:r>
        <w:rPr>
          <w:lang w:val="en-GB"/>
        </w:rPr>
        <w:lastRenderedPageBreak/>
        <w:t>Where,</w:t>
      </w:r>
      <w:r w:rsidR="00A749F0">
        <w:rPr>
          <w:lang w:val="en-GB"/>
        </w:rPr>
        <w:t xml:space="preserve"> </w:t>
      </w:r>
      <w:proofErr w:type="spellStart"/>
      <w:r w:rsidR="00A749F0" w:rsidRPr="00A749F0">
        <w:rPr>
          <w:i/>
          <w:iCs/>
          <w:lang w:val="en-GB"/>
        </w:rPr>
        <w:t>R</w:t>
      </w:r>
      <w:r w:rsidR="00A749F0" w:rsidRPr="00A749F0">
        <w:rPr>
          <w:i/>
          <w:iCs/>
          <w:vertAlign w:val="subscript"/>
          <w:lang w:val="en-GB"/>
        </w:rPr>
        <w:t>uni</w:t>
      </w:r>
      <w:proofErr w:type="spellEnd"/>
      <w:r w:rsidR="00A749F0">
        <w:rPr>
          <w:lang w:val="en-GB"/>
        </w:rPr>
        <w:t xml:space="preserve"> is</w:t>
      </w:r>
      <w:r w:rsidR="00A749F0" w:rsidRPr="00A749F0">
        <w:rPr>
          <w:lang w:val="en-GB"/>
        </w:rPr>
        <w:t xml:space="preserve"> </w:t>
      </w:r>
      <w:r w:rsidR="00A749F0">
        <w:rPr>
          <w:lang w:val="en-GB"/>
        </w:rPr>
        <w:t xml:space="preserve">the </w:t>
      </w:r>
      <w:r w:rsidR="00A749F0" w:rsidRPr="00A749F0">
        <w:rPr>
          <w:lang w:val="en-GB"/>
        </w:rPr>
        <w:t>rate of oxidation during uninhibited period</w:t>
      </w:r>
      <w:r w:rsidR="00A749F0">
        <w:rPr>
          <w:lang w:val="en-GB"/>
        </w:rPr>
        <w:t>,</w:t>
      </w:r>
      <w:r w:rsidR="00A749F0" w:rsidRPr="00A749F0">
        <w:rPr>
          <w:lang w:val="en-GB"/>
        </w:rPr>
        <w:t xml:space="preserve"> [RH</w:t>
      </w:r>
      <w:r w:rsidR="00A749F0">
        <w:rPr>
          <w:lang w:val="en-GB"/>
        </w:rPr>
        <w:t>]</w:t>
      </w:r>
      <w:r w:rsidR="00A749F0" w:rsidRPr="00A749F0">
        <w:rPr>
          <w:vertAlign w:val="subscript"/>
          <w:lang w:val="en-GB"/>
        </w:rPr>
        <w:t>0</w:t>
      </w:r>
      <w:r w:rsidR="00A749F0" w:rsidRPr="00A749F0">
        <w:rPr>
          <w:lang w:val="en-GB"/>
        </w:rPr>
        <w:t xml:space="preserve"> represent the molar concentration</w:t>
      </w:r>
      <w:r w:rsidR="00A749F0">
        <w:rPr>
          <w:lang w:val="en-GB"/>
        </w:rPr>
        <w:t xml:space="preserve"> </w:t>
      </w:r>
      <w:r w:rsidR="00A749F0" w:rsidRPr="00A749F0">
        <w:rPr>
          <w:lang w:val="en-GB"/>
        </w:rPr>
        <w:t>of</w:t>
      </w:r>
      <w:r w:rsidR="00A749F0">
        <w:rPr>
          <w:lang w:val="en-GB"/>
        </w:rPr>
        <w:t xml:space="preserve"> </w:t>
      </w:r>
      <w:r w:rsidR="00A749F0" w:rsidRPr="00A749F0">
        <w:rPr>
          <w:lang w:val="en-GB"/>
        </w:rPr>
        <w:t>lipid substrate</w:t>
      </w:r>
      <w:r w:rsidR="00A749F0">
        <w:rPr>
          <w:lang w:val="en-GB"/>
        </w:rPr>
        <w:t xml:space="preserve"> and </w:t>
      </w:r>
      <w:r w:rsidR="00A749F0" w:rsidRPr="00A749F0">
        <w:rPr>
          <w:i/>
          <w:iCs/>
          <w:lang w:val="en-GB"/>
        </w:rPr>
        <w:t>R</w:t>
      </w:r>
      <w:r w:rsidR="00A749F0" w:rsidRPr="00A749F0">
        <w:rPr>
          <w:i/>
          <w:iCs/>
          <w:vertAlign w:val="subscript"/>
          <w:lang w:val="en-GB"/>
        </w:rPr>
        <w:t>i</w:t>
      </w:r>
      <w:r w:rsidR="00A749F0" w:rsidRPr="00A749F0">
        <w:rPr>
          <w:lang w:val="en-GB"/>
        </w:rPr>
        <w:t xml:space="preserve"> is the rate of initiation</w:t>
      </w:r>
      <w:r w:rsidR="00A749F0">
        <w:rPr>
          <w:lang w:val="en-GB"/>
        </w:rPr>
        <w:t>.</w:t>
      </w:r>
    </w:p>
    <w:p w14:paraId="7ADF72BB" w14:textId="2834150A" w:rsidR="00C97EE4" w:rsidRDefault="00BD33B4" w:rsidP="00C97EE4">
      <w:pPr>
        <w:pStyle w:val="ListParagraph"/>
        <w:ind w:left="0"/>
        <w:jc w:val="both"/>
        <w:rPr>
          <w:lang w:val="en-GB"/>
        </w:rPr>
      </w:pPr>
      <w:r w:rsidRPr="005341D9">
        <w:rPr>
          <w:lang w:val="en-GB"/>
        </w:rPr>
        <w:t xml:space="preserve">The mayonnaise sample with the highest </w:t>
      </w:r>
      <w:r w:rsidRPr="005341D9">
        <w:rPr>
          <w:i/>
          <w:iCs/>
          <w:lang w:val="en-GB"/>
        </w:rPr>
        <w:t>O.I.</w:t>
      </w:r>
      <w:r w:rsidRPr="005341D9">
        <w:rPr>
          <w:lang w:val="en-GB"/>
        </w:rPr>
        <w:t xml:space="preserve"> – i.e., the ones with the highest susceptibility toward oxidation were apple seed oil and sunflower oil mayonnaise with no statistical significant difference (</w:t>
      </w:r>
      <w:r w:rsidRPr="005341D9">
        <w:rPr>
          <w:i/>
          <w:iCs/>
          <w:lang w:val="en-GB"/>
        </w:rPr>
        <w:t>p</w:t>
      </w:r>
      <w:r w:rsidRPr="005341D9">
        <w:rPr>
          <w:lang w:val="en-GB"/>
        </w:rPr>
        <w:t xml:space="preserve"> &lt; 0.05), followed by grape seed oil &gt; corn oil &gt; extra virgin olive oil</w:t>
      </w:r>
      <w:r w:rsidR="00D950F3">
        <w:rPr>
          <w:lang w:val="en-GB"/>
        </w:rPr>
        <w:t xml:space="preserve"> (Table 1)</w:t>
      </w:r>
      <w:r w:rsidRPr="005341D9">
        <w:rPr>
          <w:lang w:val="en-GB"/>
        </w:rPr>
        <w:t xml:space="preserve">. The </w:t>
      </w:r>
      <w:r w:rsidRPr="005341D9">
        <w:rPr>
          <w:i/>
          <w:iCs/>
          <w:lang w:val="en-GB"/>
        </w:rPr>
        <w:t>O.I.</w:t>
      </w:r>
      <w:r w:rsidRPr="005341D9">
        <w:rPr>
          <w:lang w:val="en-GB"/>
        </w:rPr>
        <w:t xml:space="preserve"> values were correlated with the content of unsaturated fatty acids (R</w:t>
      </w:r>
      <w:r w:rsidRPr="005341D9">
        <w:rPr>
          <w:vertAlign w:val="superscript"/>
          <w:lang w:val="en-GB"/>
        </w:rPr>
        <w:t>2</w:t>
      </w:r>
      <w:r w:rsidRPr="005341D9">
        <w:rPr>
          <w:lang w:val="en-GB"/>
        </w:rPr>
        <w:t xml:space="preserve"> = 0.99). This correlation can be expected considering that the rate constant for a termination reaction, 2</w:t>
      </w:r>
      <w:r w:rsidRPr="005341D9">
        <w:rPr>
          <w:i/>
          <w:iCs/>
          <w:lang w:val="en-GB"/>
        </w:rPr>
        <w:t>k</w:t>
      </w:r>
      <w:r w:rsidRPr="005341D9">
        <w:rPr>
          <w:i/>
          <w:iCs/>
          <w:vertAlign w:val="subscript"/>
          <w:lang w:val="en-GB"/>
        </w:rPr>
        <w:t>t</w:t>
      </w:r>
      <w:r w:rsidRPr="005341D9">
        <w:rPr>
          <w:lang w:val="en-GB"/>
        </w:rPr>
        <w:t>, is similar among different oxidizable substrates (~10</w:t>
      </w:r>
      <w:r w:rsidRPr="005341D9">
        <w:rPr>
          <w:vertAlign w:val="superscript"/>
          <w:lang w:val="en-GB"/>
        </w:rPr>
        <w:t>7</w:t>
      </w:r>
      <w:r w:rsidRPr="005341D9">
        <w:rPr>
          <w:lang w:val="en-GB"/>
        </w:rPr>
        <w:t xml:space="preserve"> M</w:t>
      </w:r>
      <w:r w:rsidRPr="005341D9">
        <w:rPr>
          <w:vertAlign w:val="superscript"/>
          <w:lang w:val="en-GB"/>
        </w:rPr>
        <w:t>-1</w:t>
      </w:r>
      <w:r w:rsidRPr="005341D9">
        <w:rPr>
          <w:lang w:val="en-GB"/>
        </w:rPr>
        <w:t>s</w:t>
      </w:r>
      <w:r w:rsidRPr="005341D9">
        <w:rPr>
          <w:vertAlign w:val="superscript"/>
          <w:lang w:val="en-GB"/>
        </w:rPr>
        <w:t>-1</w:t>
      </w:r>
      <w:r w:rsidRPr="005341D9">
        <w:rPr>
          <w:lang w:val="en-GB"/>
        </w:rPr>
        <w:t xml:space="preserve">) </w:t>
      </w:r>
      <w:r w:rsidR="006A2506" w:rsidRPr="006A2506">
        <w:rPr>
          <w:noProof/>
          <w:lang w:val="en-GB"/>
        </w:rPr>
        <w:t xml:space="preserve">(Baschieri </w:t>
      </w:r>
      <w:r w:rsidR="006A2506" w:rsidRPr="006A2506">
        <w:rPr>
          <w:i/>
          <w:noProof/>
          <w:lang w:val="en-GB"/>
        </w:rPr>
        <w:t>et al.</w:t>
      </w:r>
      <w:r w:rsidR="006A2506" w:rsidRPr="006A2506">
        <w:rPr>
          <w:noProof/>
          <w:lang w:val="en-GB"/>
        </w:rPr>
        <w:t>, 2019)</w:t>
      </w:r>
      <w:r w:rsidRPr="005341D9">
        <w:rPr>
          <w:lang w:val="en-GB"/>
        </w:rPr>
        <w:t xml:space="preserve">, whereas the values for the propagation rate constant </w:t>
      </w:r>
      <w:proofErr w:type="spellStart"/>
      <w:r w:rsidRPr="005341D9">
        <w:rPr>
          <w:i/>
          <w:iCs/>
          <w:lang w:val="en-GB"/>
        </w:rPr>
        <w:t>k</w:t>
      </w:r>
      <w:r w:rsidRPr="005341D9">
        <w:rPr>
          <w:vertAlign w:val="subscript"/>
          <w:lang w:val="en-GB"/>
        </w:rPr>
        <w:t>p</w:t>
      </w:r>
      <w:proofErr w:type="spellEnd"/>
      <w:r w:rsidRPr="005341D9">
        <w:rPr>
          <w:lang w:val="en-GB"/>
        </w:rPr>
        <w:t xml:space="preserve"> is greatly dependent on the degree of unsaturation in the fatty acids </w:t>
      </w:r>
      <w:r w:rsidR="006A2506" w:rsidRPr="006A2506">
        <w:rPr>
          <w:noProof/>
          <w:lang w:val="en-GB"/>
        </w:rPr>
        <w:t>(Xu</w:t>
      </w:r>
      <w:r w:rsidR="00CF2A7B">
        <w:rPr>
          <w:noProof/>
          <w:lang w:val="en-GB"/>
        </w:rPr>
        <w:t xml:space="preserve"> </w:t>
      </w:r>
      <w:r w:rsidR="00CF2A7B" w:rsidRPr="00CF2A7B">
        <w:rPr>
          <w:i/>
          <w:iCs/>
          <w:noProof/>
          <w:lang w:val="en-GB"/>
        </w:rPr>
        <w:t>et al.</w:t>
      </w:r>
      <w:r w:rsidR="006A2506" w:rsidRPr="00CF2A7B">
        <w:rPr>
          <w:i/>
          <w:iCs/>
          <w:noProof/>
          <w:lang w:val="en-GB"/>
        </w:rPr>
        <w:t>,</w:t>
      </w:r>
      <w:r w:rsidR="00CF2A7B">
        <w:rPr>
          <w:noProof/>
          <w:lang w:val="en-GB"/>
        </w:rPr>
        <w:t xml:space="preserve"> </w:t>
      </w:r>
      <w:r w:rsidR="006A2506" w:rsidRPr="006A2506">
        <w:rPr>
          <w:noProof/>
          <w:lang w:val="en-GB"/>
        </w:rPr>
        <w:t>2009)</w:t>
      </w:r>
      <w:r w:rsidRPr="005341D9">
        <w:rPr>
          <w:lang w:val="en-GB"/>
        </w:rPr>
        <w:t xml:space="preserve">. Moreover, the </w:t>
      </w:r>
      <w:proofErr w:type="spellStart"/>
      <w:r w:rsidRPr="005341D9">
        <w:rPr>
          <w:i/>
          <w:iCs/>
          <w:lang w:val="en-GB"/>
        </w:rPr>
        <w:t>k</w:t>
      </w:r>
      <w:r w:rsidRPr="005341D9">
        <w:rPr>
          <w:i/>
          <w:iCs/>
          <w:vertAlign w:val="subscript"/>
          <w:lang w:val="en-GB"/>
        </w:rPr>
        <w:t>p</w:t>
      </w:r>
      <w:proofErr w:type="spellEnd"/>
      <w:r w:rsidRPr="005341D9">
        <w:rPr>
          <w:lang w:val="en-GB"/>
        </w:rPr>
        <w:t xml:space="preserve"> values that can be calculated from </w:t>
      </w:r>
      <w:r w:rsidRPr="005341D9">
        <w:rPr>
          <w:i/>
          <w:iCs/>
          <w:lang w:val="en-GB"/>
        </w:rPr>
        <w:t>O.I.</w:t>
      </w:r>
      <w:r w:rsidRPr="005341D9">
        <w:rPr>
          <w:lang w:val="en-GB"/>
        </w:rPr>
        <w:t xml:space="preserve"> and a 2</w:t>
      </w:r>
      <w:r w:rsidRPr="005341D9">
        <w:rPr>
          <w:i/>
          <w:iCs/>
          <w:lang w:val="en-GB"/>
        </w:rPr>
        <w:t>k</w:t>
      </w:r>
      <w:r w:rsidRPr="005341D9">
        <w:rPr>
          <w:i/>
          <w:iCs/>
          <w:vertAlign w:val="subscript"/>
          <w:lang w:val="en-GB"/>
        </w:rPr>
        <w:t>t</w:t>
      </w:r>
      <w:r w:rsidRPr="005341D9">
        <w:rPr>
          <w:lang w:val="en-GB"/>
        </w:rPr>
        <w:t xml:space="preserve"> value of 10</w:t>
      </w:r>
      <w:r w:rsidRPr="005341D9">
        <w:rPr>
          <w:vertAlign w:val="superscript"/>
          <w:lang w:val="en-GB"/>
        </w:rPr>
        <w:t>7</w:t>
      </w:r>
      <w:r w:rsidRPr="005341D9">
        <w:rPr>
          <w:lang w:val="en-GB"/>
        </w:rPr>
        <w:t xml:space="preserve"> M</w:t>
      </w:r>
      <w:r w:rsidRPr="005341D9">
        <w:rPr>
          <w:vertAlign w:val="superscript"/>
          <w:lang w:val="en-GB"/>
        </w:rPr>
        <w:t>-1</w:t>
      </w:r>
      <w:r w:rsidRPr="005341D9">
        <w:rPr>
          <w:lang w:val="en-GB"/>
        </w:rPr>
        <w:t>s</w:t>
      </w:r>
      <w:r w:rsidRPr="005341D9">
        <w:rPr>
          <w:vertAlign w:val="superscript"/>
          <w:lang w:val="en-GB"/>
        </w:rPr>
        <w:t>-1</w:t>
      </w:r>
      <w:r w:rsidRPr="005341D9">
        <w:rPr>
          <w:lang w:val="en-GB"/>
        </w:rPr>
        <w:t xml:space="preserve"> is of the same order of magnitude (Table 1) as that determined in homogeneous system by oximetry technique, as </w:t>
      </w:r>
      <w:proofErr w:type="spellStart"/>
      <w:r w:rsidRPr="005341D9">
        <w:rPr>
          <w:i/>
          <w:iCs/>
          <w:lang w:val="en-GB"/>
        </w:rPr>
        <w:t>k</w:t>
      </w:r>
      <w:r w:rsidRPr="005341D9">
        <w:rPr>
          <w:i/>
          <w:iCs/>
          <w:vertAlign w:val="subscript"/>
          <w:lang w:val="en-GB"/>
        </w:rPr>
        <w:t>p</w:t>
      </w:r>
      <w:proofErr w:type="spellEnd"/>
      <w:r w:rsidRPr="005341D9">
        <w:rPr>
          <w:lang w:val="en-GB"/>
        </w:rPr>
        <w:t xml:space="preserve"> of pure methyl linoleate is 62 M</w:t>
      </w:r>
      <w:r w:rsidRPr="005341D9">
        <w:rPr>
          <w:vertAlign w:val="superscript"/>
          <w:lang w:val="en-GB"/>
        </w:rPr>
        <w:t>-1</w:t>
      </w:r>
      <w:r w:rsidRPr="005341D9">
        <w:rPr>
          <w:lang w:val="en-GB"/>
        </w:rPr>
        <w:t>s</w:t>
      </w:r>
      <w:r w:rsidRPr="005341D9">
        <w:rPr>
          <w:vertAlign w:val="superscript"/>
          <w:lang w:val="en-GB"/>
        </w:rPr>
        <w:t>-1</w:t>
      </w:r>
      <w:r w:rsidRPr="005341D9">
        <w:rPr>
          <w:lang w:val="en-GB"/>
        </w:rPr>
        <w:t>.</w:t>
      </w:r>
    </w:p>
    <w:p w14:paraId="54BEBA1E" w14:textId="77777777" w:rsidR="00191FAF" w:rsidRDefault="00312D2B" w:rsidP="00CB31BE">
      <w:pPr>
        <w:pStyle w:val="ListParagraph"/>
        <w:keepNext/>
        <w:spacing w:before="300" w:after="120"/>
        <w:ind w:left="0"/>
        <w:jc w:val="both"/>
      </w:pPr>
      <w:r>
        <w:rPr>
          <w:noProof/>
        </w:rPr>
        <w:drawing>
          <wp:inline distT="0" distB="0" distL="0" distR="0" wp14:anchorId="16A5A976" wp14:editId="7A96B586">
            <wp:extent cx="3355848" cy="1737360"/>
            <wp:effectExtent l="0" t="0" r="0" b="0"/>
            <wp:docPr id="8" name="Picture 8" descr="A picture containing diagram, line,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 line, plo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5848" cy="1737360"/>
                    </a:xfrm>
                    <a:prstGeom prst="rect">
                      <a:avLst/>
                    </a:prstGeom>
                    <a:noFill/>
                    <a:ln>
                      <a:noFill/>
                    </a:ln>
                  </pic:spPr>
                </pic:pic>
              </a:graphicData>
            </a:graphic>
          </wp:inline>
        </w:drawing>
      </w:r>
    </w:p>
    <w:p w14:paraId="23925A03" w14:textId="1E92CC99" w:rsidR="00806CD7" w:rsidRPr="00411704" w:rsidRDefault="00191FAF" w:rsidP="00A90298">
      <w:pPr>
        <w:pStyle w:val="Caption"/>
        <w:spacing w:after="300"/>
        <w:jc w:val="both"/>
        <w:rPr>
          <w:sz w:val="18"/>
          <w:szCs w:val="18"/>
          <w:lang w:val="en-US"/>
        </w:rPr>
      </w:pPr>
      <w:r w:rsidRPr="00E71BC6">
        <w:rPr>
          <w:b/>
          <w:bCs/>
          <w:i w:val="0"/>
          <w:iCs w:val="0"/>
          <w:sz w:val="18"/>
          <w:szCs w:val="18"/>
          <w:lang w:val="en-US"/>
        </w:rPr>
        <w:t xml:space="preserve">Figure </w:t>
      </w:r>
      <w:r w:rsidR="003A20D0" w:rsidRPr="00E71BC6">
        <w:rPr>
          <w:b/>
          <w:bCs/>
          <w:i w:val="0"/>
          <w:iCs w:val="0"/>
          <w:sz w:val="18"/>
          <w:szCs w:val="18"/>
          <w:lang w:val="en-US"/>
        </w:rPr>
        <w:t>1</w:t>
      </w:r>
      <w:r w:rsidR="003A20D0" w:rsidRPr="003A20D0">
        <w:rPr>
          <w:sz w:val="18"/>
          <w:szCs w:val="18"/>
          <w:lang w:val="en-US"/>
        </w:rPr>
        <w:t xml:space="preserve"> </w:t>
      </w:r>
      <w:r w:rsidRPr="003A20D0">
        <w:rPr>
          <w:sz w:val="18"/>
          <w:szCs w:val="18"/>
          <w:lang w:val="en-US"/>
        </w:rPr>
        <w:t>(A) Isothermal calorimetry trace of mayonnaise at 60°C, (B) oxygen consumption derived from heat flow data. (1) MAO, (2) MSO, (3) MGO, (4) MCO and (5) MEVOO.</w:t>
      </w:r>
    </w:p>
    <w:p w14:paraId="7180A786" w14:textId="4BBF7BE3" w:rsidR="00411704" w:rsidRPr="00411704" w:rsidRDefault="00411704" w:rsidP="00411704">
      <w:pPr>
        <w:pStyle w:val="Heading2"/>
        <w:numPr>
          <w:ilvl w:val="0"/>
          <w:numId w:val="0"/>
        </w:numPr>
        <w:ind w:left="576" w:hanging="576"/>
        <w:jc w:val="both"/>
        <w:rPr>
          <w:lang w:val="en-GB"/>
        </w:rPr>
      </w:pPr>
      <w:r>
        <w:rPr>
          <w:b/>
          <w:bCs/>
          <w:sz w:val="20"/>
          <w:lang w:val="en-GB"/>
        </w:rPr>
        <w:t>3.2  Antioxidant Efficiency</w:t>
      </w:r>
    </w:p>
    <w:p w14:paraId="1E89A65D" w14:textId="28D39340" w:rsidR="00806CD7" w:rsidRPr="005341D9" w:rsidRDefault="00806CD7" w:rsidP="00806CD7">
      <w:pPr>
        <w:jc w:val="both"/>
        <w:rPr>
          <w:lang w:val="en-GB"/>
        </w:rPr>
      </w:pPr>
      <w:r w:rsidRPr="005341D9">
        <w:rPr>
          <w:lang w:val="en-GB"/>
        </w:rPr>
        <w:t xml:space="preserve">The concept of "antioxidant efficiency" is far more helpful and practical for quantitatively describing the effects of antioxidants in inhibiting lipid peroxidation </w:t>
      </w:r>
      <w:r w:rsidRPr="005341D9">
        <w:rPr>
          <w:noProof/>
          <w:lang w:val="en-GB"/>
        </w:rPr>
        <w:t>(Bravo-Díaz, 2022)</w:t>
      </w:r>
      <w:r w:rsidRPr="005341D9">
        <w:rPr>
          <w:lang w:val="en-GB"/>
        </w:rPr>
        <w:t xml:space="preserve">. The </w:t>
      </w:r>
      <w:r w:rsidRPr="005341D9">
        <w:rPr>
          <w:i/>
          <w:iCs/>
          <w:lang w:val="en-GB"/>
        </w:rPr>
        <w:t>A.E.</w:t>
      </w:r>
      <w:r w:rsidRPr="005341D9">
        <w:rPr>
          <w:lang w:val="en-GB"/>
        </w:rPr>
        <w:t xml:space="preserve"> of mayonnaise samples was expressed with eq. (</w:t>
      </w:r>
      <w:r w:rsidR="00D950F3">
        <w:rPr>
          <w:lang w:val="en-GB"/>
        </w:rPr>
        <w:t>2</w:t>
      </w:r>
      <w:r w:rsidRPr="005341D9">
        <w:rPr>
          <w:lang w:val="en-GB"/>
        </w:rPr>
        <w:t xml:space="preserve">) </w:t>
      </w:r>
      <w:r w:rsidR="006A2506" w:rsidRPr="006A2506">
        <w:rPr>
          <w:noProof/>
          <w:lang w:val="en-GB"/>
        </w:rPr>
        <w:t xml:space="preserve">(Pryor </w:t>
      </w:r>
      <w:r w:rsidR="006A2506" w:rsidRPr="006A2506">
        <w:rPr>
          <w:i/>
          <w:noProof/>
          <w:lang w:val="en-GB"/>
        </w:rPr>
        <w:t>et al.</w:t>
      </w:r>
      <w:r w:rsidR="006A2506" w:rsidRPr="006A2506">
        <w:rPr>
          <w:noProof/>
          <w:lang w:val="en-GB"/>
        </w:rPr>
        <w:t>, 1993)</w:t>
      </w:r>
      <w:r w:rsidRPr="005341D9">
        <w:rPr>
          <w:lang w:val="en-GB"/>
        </w:rPr>
        <w:t xml:space="preserve">. As </w:t>
      </w:r>
      <w:r w:rsidRPr="005341D9">
        <w:rPr>
          <w:i/>
          <w:iCs/>
          <w:lang w:val="en-GB"/>
        </w:rPr>
        <w:t>R</w:t>
      </w:r>
      <w:r w:rsidRPr="005341D9">
        <w:rPr>
          <w:i/>
          <w:iCs/>
          <w:vertAlign w:val="subscript"/>
          <w:lang w:val="en-GB"/>
        </w:rPr>
        <w:t xml:space="preserve">i </w:t>
      </w:r>
      <w:r w:rsidRPr="005341D9">
        <w:rPr>
          <w:lang w:val="en-GB"/>
        </w:rPr>
        <w:t xml:space="preserve">was constant for all the mayonnaise samples, </w:t>
      </w:r>
      <w:r w:rsidRPr="005341D9">
        <w:rPr>
          <w:i/>
          <w:iCs/>
          <w:lang w:val="en-GB"/>
        </w:rPr>
        <w:t>A.E.</w:t>
      </w:r>
      <w:r w:rsidRPr="005341D9">
        <w:rPr>
          <w:lang w:val="en-GB"/>
        </w:rPr>
        <w:t xml:space="preserve"> can be simply expressed</w:t>
      </w:r>
      <w:r w:rsidR="00D950F3">
        <w:rPr>
          <w:lang w:val="en-GB"/>
        </w:rPr>
        <w:t xml:space="preserve"> </w:t>
      </w:r>
      <w:r w:rsidRPr="005341D9">
        <w:rPr>
          <w:lang w:val="en-GB"/>
        </w:rPr>
        <w:t xml:space="preserve">using the onset time (τ) and </w:t>
      </w:r>
      <w:proofErr w:type="spellStart"/>
      <w:r w:rsidRPr="005341D9">
        <w:rPr>
          <w:i/>
          <w:iCs/>
          <w:lang w:val="en-GB"/>
        </w:rPr>
        <w:t>R</w:t>
      </w:r>
      <w:r w:rsidRPr="005341D9">
        <w:rPr>
          <w:i/>
          <w:iCs/>
          <w:vertAlign w:val="subscript"/>
          <w:lang w:val="en-GB"/>
        </w:rPr>
        <w:t>inh</w:t>
      </w:r>
      <w:proofErr w:type="spellEnd"/>
      <w:r w:rsidRPr="005341D9">
        <w:rPr>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517"/>
        <w:gridCol w:w="2789"/>
      </w:tblGrid>
      <w:tr w:rsidR="005341D9" w:rsidRPr="005341D9" w14:paraId="1D9793B3" w14:textId="77777777" w:rsidTr="008F5888">
        <w:trPr>
          <w:jc w:val="center"/>
        </w:trPr>
        <w:tc>
          <w:tcPr>
            <w:tcW w:w="720" w:type="dxa"/>
            <w:shd w:val="clear" w:color="auto" w:fill="auto"/>
            <w:vAlign w:val="center"/>
          </w:tcPr>
          <w:p w14:paraId="21C0069E" w14:textId="77777777" w:rsidR="00806CD7" w:rsidRPr="005341D9" w:rsidRDefault="00806CD7" w:rsidP="00806CD7">
            <w:pPr>
              <w:pStyle w:val="Equation"/>
              <w:jc w:val="both"/>
              <w:rPr>
                <w:lang w:val="en-GB"/>
              </w:rPr>
            </w:pPr>
          </w:p>
        </w:tc>
        <w:tc>
          <w:tcPr>
            <w:tcW w:w="5517" w:type="dxa"/>
            <w:shd w:val="clear" w:color="auto" w:fill="auto"/>
            <w:vAlign w:val="center"/>
          </w:tcPr>
          <w:p w14:paraId="5ECAA427" w14:textId="77777777" w:rsidR="00806CD7" w:rsidRPr="001C48B3" w:rsidRDefault="00806CD7" w:rsidP="00806CD7">
            <w:pPr>
              <w:spacing w:before="120" w:after="120"/>
              <w:jc w:val="both"/>
              <w:rPr>
                <w:lang w:val="en-GB"/>
              </w:rPr>
            </w:pPr>
            <m:oMathPara>
              <m:oMath>
                <m:r>
                  <m:rPr>
                    <m:sty m:val="p"/>
                  </m:rPr>
                  <w:rPr>
                    <w:rFonts w:ascii="Cambria Math" w:eastAsiaTheme="minorEastAsia" w:hAnsi="Cambria Math"/>
                    <w:lang w:val="en-GB"/>
                  </w:rPr>
                  <m:t>A.E.=</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inh</m:t>
                        </m:r>
                      </m:sub>
                    </m:sSub>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p</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m:t>
                        </m:r>
                      </m:sub>
                    </m:sSub>
                  </m:num>
                  <m:den>
                    <m:r>
                      <w:rPr>
                        <w:rFonts w:ascii="Cambria Math" w:hAnsi="Cambria Math"/>
                        <w:lang w:val="en-GB"/>
                      </w:rPr>
                      <m:t>n∙</m:t>
                    </m:r>
                    <m:sSub>
                      <m:sSubPr>
                        <m:ctrlPr>
                          <w:rPr>
                            <w:rFonts w:ascii="Cambria Math" w:hAnsi="Cambria Math"/>
                            <w:i/>
                            <w:lang w:val="en-GB"/>
                          </w:rPr>
                        </m:ctrlPr>
                      </m:sSubPr>
                      <m:e>
                        <m:d>
                          <m:dPr>
                            <m:begChr m:val="["/>
                            <m:endChr m:val="]"/>
                            <m:ctrlPr>
                              <w:rPr>
                                <w:rFonts w:ascii="Cambria Math" w:hAnsi="Cambria Math"/>
                                <w:i/>
                                <w:lang w:val="en-GB"/>
                              </w:rPr>
                            </m:ctrlPr>
                          </m:dPr>
                          <m:e>
                            <m:r>
                              <m:rPr>
                                <m:sty m:val="p"/>
                              </m:rPr>
                              <w:rPr>
                                <w:rFonts w:ascii="Cambria Math" w:hAnsi="Cambria Math"/>
                                <w:lang w:val="en-GB"/>
                              </w:rPr>
                              <m:t>AH</m:t>
                            </m:r>
                          </m:e>
                        </m:d>
                      </m:e>
                      <m:sub>
                        <m:r>
                          <w:rPr>
                            <w:rFonts w:ascii="Cambria Math" w:hAnsi="Cambria Math"/>
                            <w:lang w:val="en-GB"/>
                          </w:rPr>
                          <m:t>0</m:t>
                        </m:r>
                      </m:sub>
                    </m:sSub>
                  </m:den>
                </m:f>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m:rPr>
                                <m:sty m:val="p"/>
                              </m:rPr>
                              <w:rPr>
                                <w:rFonts w:ascii="Cambria Math" w:hAnsi="Cambria Math"/>
                                <w:lang w:val="en-GB"/>
                              </w:rPr>
                              <m:t>RH</m:t>
                            </m:r>
                          </m:e>
                        </m:d>
                      </m:e>
                      <m:sub>
                        <m:r>
                          <w:rPr>
                            <w:rFonts w:ascii="Cambria Math" w:hAnsi="Cambria Math"/>
                            <w:lang w:val="en-GB"/>
                          </w:rPr>
                          <m:t>0</m:t>
                        </m:r>
                      </m:sub>
                    </m:sSub>
                  </m:num>
                  <m:den>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inh</m:t>
                        </m:r>
                      </m:sub>
                    </m:sSub>
                  </m:den>
                </m:f>
                <m:r>
                  <m:rPr>
                    <m:sty m:val="p"/>
                  </m:rPr>
                  <w:rPr>
                    <w:rFonts w:ascii="Cambria Math" w:eastAsiaTheme="minorEastAsia" w:hAnsi="Cambria Math"/>
                    <w:lang w:val="en-GB"/>
                  </w:rPr>
                  <m:t>=</m:t>
                </m:r>
                <m:f>
                  <m:fPr>
                    <m:ctrlPr>
                      <w:rPr>
                        <w:rFonts w:ascii="Cambria Math" w:hAnsi="Cambria Math"/>
                        <w:i/>
                        <w:lang w:val="en-GB"/>
                      </w:rPr>
                    </m:ctrlPr>
                  </m:fPr>
                  <m:num>
                    <m:sSub>
                      <m:sSubPr>
                        <m:ctrlPr>
                          <w:rPr>
                            <w:rFonts w:ascii="Cambria Math" w:hAnsi="Cambria Math"/>
                            <w:i/>
                            <w:lang w:val="en-GB"/>
                          </w:rPr>
                        </m:ctrlPr>
                      </m:sSubPr>
                      <m:e>
                        <m:d>
                          <m:dPr>
                            <m:begChr m:val="["/>
                            <m:endChr m:val="]"/>
                            <m:ctrlPr>
                              <w:rPr>
                                <w:rFonts w:ascii="Cambria Math" w:hAnsi="Cambria Math"/>
                                <w:i/>
                                <w:lang w:val="en-GB"/>
                              </w:rPr>
                            </m:ctrlPr>
                          </m:dPr>
                          <m:e>
                            <m:r>
                              <m:rPr>
                                <m:sty m:val="p"/>
                              </m:rPr>
                              <w:rPr>
                                <w:rFonts w:ascii="Cambria Math" w:hAnsi="Cambria Math"/>
                                <w:lang w:val="en-GB"/>
                              </w:rPr>
                              <m:t>RH</m:t>
                            </m:r>
                          </m:e>
                        </m:d>
                      </m:e>
                      <m:sub>
                        <m:r>
                          <w:rPr>
                            <w:rFonts w:ascii="Cambria Math" w:hAnsi="Cambria Math"/>
                            <w:lang w:val="en-GB"/>
                          </w:rPr>
                          <m:t>0</m:t>
                        </m:r>
                      </m:sub>
                    </m:sSub>
                  </m:num>
                  <m:den>
                    <m:r>
                      <w:rPr>
                        <w:rFonts w:ascii="Cambria Math" w:hAnsi="Cambria Math"/>
                        <w:lang w:val="en-GB"/>
                      </w:rPr>
                      <m:t>τ∙</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inh</m:t>
                        </m:r>
                      </m:sub>
                    </m:sSub>
                  </m:den>
                </m:f>
              </m:oMath>
            </m:oMathPara>
          </w:p>
        </w:tc>
        <w:tc>
          <w:tcPr>
            <w:tcW w:w="2789" w:type="dxa"/>
            <w:shd w:val="clear" w:color="auto" w:fill="auto"/>
            <w:vAlign w:val="center"/>
          </w:tcPr>
          <w:p w14:paraId="1F085452" w14:textId="2A49494C" w:rsidR="00806CD7" w:rsidRPr="000872FD" w:rsidRDefault="00806CD7" w:rsidP="002E4609">
            <w:pPr>
              <w:pStyle w:val="Equation"/>
              <w:rPr>
                <w:sz w:val="20"/>
                <w:szCs w:val="20"/>
                <w:lang w:val="en-GB"/>
              </w:rPr>
            </w:pPr>
            <w:bookmarkStart w:id="1" w:name="_Ref127118189"/>
            <w:r w:rsidRPr="000872FD">
              <w:rPr>
                <w:sz w:val="20"/>
                <w:szCs w:val="20"/>
                <w:lang w:val="en-GB"/>
              </w:rPr>
              <w:t>(</w:t>
            </w:r>
            <w:bookmarkEnd w:id="1"/>
            <w:r w:rsidR="00D950F3">
              <w:rPr>
                <w:sz w:val="20"/>
                <w:szCs w:val="20"/>
                <w:lang w:val="en-GB"/>
              </w:rPr>
              <w:t>2</w:t>
            </w:r>
            <w:r w:rsidRPr="000872FD">
              <w:rPr>
                <w:sz w:val="20"/>
                <w:szCs w:val="20"/>
                <w:lang w:val="en-GB"/>
              </w:rPr>
              <w:t>)</w:t>
            </w:r>
          </w:p>
        </w:tc>
      </w:tr>
    </w:tbl>
    <w:p w14:paraId="49A198C7" w14:textId="435EEEF9" w:rsidR="00A749F0" w:rsidRDefault="00806CD7" w:rsidP="00C97EE4">
      <w:pPr>
        <w:pStyle w:val="ListParagraph"/>
        <w:ind w:left="0"/>
        <w:jc w:val="both"/>
        <w:rPr>
          <w:lang w:val="en-GB"/>
        </w:rPr>
      </w:pPr>
      <w:r w:rsidRPr="005341D9">
        <w:rPr>
          <w:rFonts w:eastAsiaTheme="minorEastAsia"/>
          <w:lang w:val="en-GB"/>
        </w:rPr>
        <w:t xml:space="preserve">Based on the results </w:t>
      </w:r>
      <w:r w:rsidRPr="005341D9">
        <w:rPr>
          <w:lang w:val="en-GB"/>
        </w:rPr>
        <w:t xml:space="preserve">reported in </w:t>
      </w:r>
      <w:r w:rsidRPr="005341D9">
        <w:rPr>
          <w:rFonts w:eastAsiaTheme="minorEastAsia"/>
          <w:lang w:val="en-GB"/>
        </w:rPr>
        <w:t>Table 1</w:t>
      </w:r>
      <w:r w:rsidRPr="005341D9">
        <w:rPr>
          <w:lang w:val="en-GB"/>
        </w:rPr>
        <w:t xml:space="preserve">, mayonnaise prepared using sunflower oil showed the highest </w:t>
      </w:r>
      <w:r w:rsidRPr="005341D9">
        <w:rPr>
          <w:i/>
          <w:iCs/>
          <w:lang w:val="en-GB"/>
        </w:rPr>
        <w:t>A.E.</w:t>
      </w:r>
      <w:r w:rsidRPr="005341D9">
        <w:rPr>
          <w:lang w:val="en-GB"/>
        </w:rPr>
        <w:t xml:space="preserve"> value, followed by apple seed oil &gt; grapeseed oil &gt; extra </w:t>
      </w:r>
      <w:r w:rsidRPr="00B3439B">
        <w:rPr>
          <w:lang w:val="en-GB"/>
        </w:rPr>
        <w:t xml:space="preserve">virgin olive oil </w:t>
      </w:r>
      <w:r>
        <w:rPr>
          <w:lang w:val="en-GB"/>
        </w:rPr>
        <w:t xml:space="preserve">&gt; </w:t>
      </w:r>
      <w:r w:rsidRPr="00B3439B">
        <w:rPr>
          <w:lang w:val="en-GB"/>
        </w:rPr>
        <w:t xml:space="preserve">corn oil with no significant </w:t>
      </w:r>
      <w:r w:rsidRPr="00B936B2">
        <w:rPr>
          <w:lang w:val="en-GB"/>
        </w:rPr>
        <w:t>difference (</w:t>
      </w:r>
      <w:r w:rsidRPr="00B936B2">
        <w:rPr>
          <w:i/>
          <w:iCs/>
          <w:lang w:val="en-GB"/>
        </w:rPr>
        <w:t>p</w:t>
      </w:r>
      <w:r w:rsidRPr="00B936B2">
        <w:rPr>
          <w:lang w:val="en-GB"/>
        </w:rPr>
        <w:t xml:space="preserve"> &lt; 0.05) between</w:t>
      </w:r>
      <w:r w:rsidRPr="00B3439B">
        <w:rPr>
          <w:lang w:val="en-GB"/>
        </w:rPr>
        <w:t xml:space="preserve"> extra virgin olive oil and corn oil. The </w:t>
      </w:r>
      <w:r w:rsidRPr="00B3439B">
        <w:rPr>
          <w:i/>
          <w:iCs/>
          <w:lang w:val="en-GB"/>
        </w:rPr>
        <w:t>A.E</w:t>
      </w:r>
      <w:r w:rsidRPr="00B3439B">
        <w:rPr>
          <w:lang w:val="en-GB"/>
        </w:rPr>
        <w:t>. of sunflower oil antioxidants in mayonnaise was found to be approximately 2.5 times that of extra virgin olive oil and corn oil, and 1.8 and 1.5 times that of grapeseed and apple seed oils, respectively.</w:t>
      </w:r>
    </w:p>
    <w:p w14:paraId="48013E0F" w14:textId="05974635" w:rsidR="00806CD7" w:rsidRPr="00806CD7" w:rsidRDefault="00806CD7" w:rsidP="000D4B3A">
      <w:pPr>
        <w:spacing w:before="300" w:after="120"/>
        <w:jc w:val="both"/>
        <w:rPr>
          <w:b/>
          <w:bCs/>
          <w:i/>
          <w:iCs/>
          <w:sz w:val="18"/>
          <w:szCs w:val="18"/>
          <w:lang w:val="en-US"/>
        </w:rPr>
      </w:pPr>
      <w:r w:rsidRPr="00806CD7">
        <w:rPr>
          <w:b/>
          <w:bCs/>
          <w:i/>
          <w:iCs/>
          <w:sz w:val="18"/>
          <w:szCs w:val="18"/>
          <w:lang w:val="en-US"/>
        </w:rPr>
        <w:t>Table 1</w:t>
      </w:r>
      <w:r w:rsidR="00290224">
        <w:rPr>
          <w:b/>
          <w:bCs/>
          <w:i/>
          <w:iCs/>
          <w:sz w:val="18"/>
          <w:szCs w:val="18"/>
          <w:lang w:val="en-US"/>
        </w:rPr>
        <w:t xml:space="preserve"> </w:t>
      </w:r>
      <w:r w:rsidRPr="00806CD7">
        <w:rPr>
          <w:b/>
          <w:bCs/>
          <w:i/>
          <w:iCs/>
          <w:sz w:val="18"/>
          <w:szCs w:val="18"/>
          <w:lang w:val="en-US"/>
        </w:rPr>
        <w:t xml:space="preserve"> </w:t>
      </w:r>
      <w:r w:rsidRPr="00806CD7">
        <w:rPr>
          <w:i/>
          <w:iCs/>
          <w:sz w:val="18"/>
          <w:szCs w:val="18"/>
          <w:lang w:val="en-US"/>
        </w:rPr>
        <w:t>Kinetic parameters derived using the isothermal calorimetry trace of mayonnaise samples at 60°C.</w:t>
      </w:r>
    </w:p>
    <w:tbl>
      <w:tblPr>
        <w:tblStyle w:val="ListTable6Colorful"/>
        <w:tblW w:w="9125" w:type="dxa"/>
        <w:tblLook w:val="04A0" w:firstRow="1" w:lastRow="0" w:firstColumn="1" w:lastColumn="0" w:noHBand="0" w:noVBand="1"/>
      </w:tblPr>
      <w:tblGrid>
        <w:gridCol w:w="1294"/>
        <w:gridCol w:w="1157"/>
        <w:gridCol w:w="1283"/>
        <w:gridCol w:w="1756"/>
        <w:gridCol w:w="1260"/>
        <w:gridCol w:w="1080"/>
        <w:gridCol w:w="1295"/>
      </w:tblGrid>
      <w:tr w:rsidR="000872FD" w:rsidRPr="00D950F3" w14:paraId="5F3E534D" w14:textId="77777777" w:rsidTr="00D1305D">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294" w:type="dxa"/>
            <w:vMerge w:val="restart"/>
            <w:shd w:val="clear" w:color="auto" w:fill="auto"/>
            <w:vAlign w:val="center"/>
          </w:tcPr>
          <w:p w14:paraId="72B68F1A" w14:textId="77777777" w:rsidR="00806CD7" w:rsidRPr="00D950F3" w:rsidRDefault="00806CD7" w:rsidP="00D1305D">
            <w:pPr>
              <w:jc w:val="both"/>
              <w:rPr>
                <w:sz w:val="18"/>
                <w:szCs w:val="18"/>
              </w:rPr>
            </w:pPr>
            <w:r w:rsidRPr="00D950F3">
              <w:rPr>
                <w:sz w:val="18"/>
                <w:szCs w:val="18"/>
              </w:rPr>
              <w:t>Sample</w:t>
            </w:r>
          </w:p>
        </w:tc>
        <w:tc>
          <w:tcPr>
            <w:tcW w:w="1157" w:type="dxa"/>
            <w:shd w:val="clear" w:color="auto" w:fill="auto"/>
            <w:vAlign w:val="center"/>
          </w:tcPr>
          <w:p w14:paraId="609CC77D" w14:textId="77777777" w:rsidR="00806CD7" w:rsidRPr="00D950F3" w:rsidRDefault="00806CD7" w:rsidP="00D1305D">
            <w:pPr>
              <w:jc w:val="both"/>
              <w:cnfStyle w:val="100000000000" w:firstRow="1" w:lastRow="0" w:firstColumn="0" w:lastColumn="0" w:oddVBand="0" w:evenVBand="0" w:oddHBand="0" w:evenHBand="0" w:firstRowFirstColumn="0" w:firstRowLastColumn="0" w:lastRowFirstColumn="0" w:lastRowLastColumn="0"/>
              <w:rPr>
                <w:i/>
                <w:sz w:val="18"/>
                <w:szCs w:val="18"/>
              </w:rPr>
            </w:pPr>
            <w:proofErr w:type="spellStart"/>
            <w:r w:rsidRPr="00D950F3">
              <w:rPr>
                <w:i/>
                <w:iCs/>
                <w:sz w:val="18"/>
                <w:szCs w:val="18"/>
              </w:rPr>
              <w:t>R</w:t>
            </w:r>
            <w:r w:rsidRPr="00D950F3">
              <w:rPr>
                <w:i/>
                <w:iCs/>
                <w:sz w:val="18"/>
                <w:szCs w:val="18"/>
                <w:vertAlign w:val="subscript"/>
              </w:rPr>
              <w:t>inh</w:t>
            </w:r>
            <w:proofErr w:type="spellEnd"/>
          </w:p>
        </w:tc>
        <w:tc>
          <w:tcPr>
            <w:tcW w:w="1283" w:type="dxa"/>
            <w:shd w:val="clear" w:color="auto" w:fill="auto"/>
            <w:vAlign w:val="center"/>
          </w:tcPr>
          <w:p w14:paraId="799DE7BD" w14:textId="77777777" w:rsidR="00806CD7" w:rsidRPr="00D950F3" w:rsidRDefault="00806CD7" w:rsidP="00D1305D">
            <w:pPr>
              <w:jc w:val="both"/>
              <w:cnfStyle w:val="100000000000" w:firstRow="1" w:lastRow="0" w:firstColumn="0" w:lastColumn="0" w:oddVBand="0" w:evenVBand="0" w:oddHBand="0" w:evenHBand="0" w:firstRowFirstColumn="0" w:firstRowLastColumn="0" w:lastRowFirstColumn="0" w:lastRowLastColumn="0"/>
              <w:rPr>
                <w:b w:val="0"/>
                <w:bCs w:val="0"/>
                <w:i/>
                <w:iCs/>
                <w:sz w:val="18"/>
                <w:szCs w:val="18"/>
              </w:rPr>
            </w:pPr>
            <w:proofErr w:type="spellStart"/>
            <w:r w:rsidRPr="00D950F3">
              <w:rPr>
                <w:i/>
                <w:iCs/>
                <w:sz w:val="18"/>
                <w:szCs w:val="18"/>
              </w:rPr>
              <w:t>R</w:t>
            </w:r>
            <w:r w:rsidRPr="00D950F3">
              <w:rPr>
                <w:i/>
                <w:iCs/>
                <w:sz w:val="18"/>
                <w:szCs w:val="18"/>
                <w:vertAlign w:val="subscript"/>
              </w:rPr>
              <w:t>uni</w:t>
            </w:r>
            <w:proofErr w:type="spellEnd"/>
          </w:p>
        </w:tc>
        <w:tc>
          <w:tcPr>
            <w:tcW w:w="1756" w:type="dxa"/>
            <w:shd w:val="clear" w:color="auto" w:fill="auto"/>
            <w:vAlign w:val="center"/>
          </w:tcPr>
          <w:p w14:paraId="39D03BFD" w14:textId="77777777" w:rsidR="00806CD7" w:rsidRPr="00D950F3" w:rsidRDefault="00806CD7" w:rsidP="00D1305D">
            <w:pPr>
              <w:jc w:val="both"/>
              <w:cnfStyle w:val="100000000000" w:firstRow="1" w:lastRow="0" w:firstColumn="0" w:lastColumn="0" w:oddVBand="0" w:evenVBand="0" w:oddHBand="0" w:evenHBand="0" w:firstRowFirstColumn="0" w:firstRowLastColumn="0" w:lastRowFirstColumn="0" w:lastRowLastColumn="0"/>
              <w:rPr>
                <w:i/>
                <w:iCs/>
                <w:sz w:val="18"/>
                <w:szCs w:val="18"/>
              </w:rPr>
            </w:pPr>
            <w:r w:rsidRPr="00D950F3">
              <w:rPr>
                <w:i/>
                <w:iCs/>
                <w:sz w:val="18"/>
                <w:szCs w:val="18"/>
              </w:rPr>
              <w:t>O.I.</w:t>
            </w:r>
          </w:p>
        </w:tc>
        <w:tc>
          <w:tcPr>
            <w:tcW w:w="1260" w:type="dxa"/>
            <w:shd w:val="clear" w:color="auto" w:fill="auto"/>
            <w:vAlign w:val="center"/>
          </w:tcPr>
          <w:p w14:paraId="049A3C58" w14:textId="77777777" w:rsidR="00806CD7" w:rsidRPr="00D950F3" w:rsidRDefault="00806CD7" w:rsidP="00D1305D">
            <w:pPr>
              <w:jc w:val="both"/>
              <w:cnfStyle w:val="100000000000" w:firstRow="1" w:lastRow="0" w:firstColumn="0" w:lastColumn="0" w:oddVBand="0" w:evenVBand="0" w:oddHBand="0" w:evenHBand="0" w:firstRowFirstColumn="0" w:firstRowLastColumn="0" w:lastRowFirstColumn="0" w:lastRowLastColumn="0"/>
              <w:rPr>
                <w:i/>
                <w:iCs/>
                <w:sz w:val="18"/>
                <w:szCs w:val="18"/>
              </w:rPr>
            </w:pPr>
            <w:proofErr w:type="spellStart"/>
            <w:r w:rsidRPr="00D950F3">
              <w:rPr>
                <w:i/>
                <w:iCs/>
                <w:sz w:val="18"/>
                <w:szCs w:val="18"/>
              </w:rPr>
              <w:t>k</w:t>
            </w:r>
            <w:r w:rsidRPr="00D950F3">
              <w:rPr>
                <w:i/>
                <w:iCs/>
                <w:sz w:val="18"/>
                <w:szCs w:val="18"/>
                <w:vertAlign w:val="subscript"/>
              </w:rPr>
              <w:t>p</w:t>
            </w:r>
            <w:proofErr w:type="spellEnd"/>
          </w:p>
        </w:tc>
        <w:tc>
          <w:tcPr>
            <w:tcW w:w="1080" w:type="dxa"/>
            <w:shd w:val="clear" w:color="auto" w:fill="auto"/>
            <w:vAlign w:val="center"/>
          </w:tcPr>
          <w:p w14:paraId="2C09B0DF" w14:textId="77777777" w:rsidR="00806CD7" w:rsidRPr="00D950F3" w:rsidRDefault="00806CD7" w:rsidP="00D1305D">
            <w:pPr>
              <w:jc w:val="both"/>
              <w:cnfStyle w:val="100000000000" w:firstRow="1" w:lastRow="0" w:firstColumn="0" w:lastColumn="0" w:oddVBand="0" w:evenVBand="0" w:oddHBand="0" w:evenHBand="0" w:firstRowFirstColumn="0" w:firstRowLastColumn="0" w:lastRowFirstColumn="0" w:lastRowLastColumn="0"/>
              <w:rPr>
                <w:i/>
                <w:iCs/>
                <w:sz w:val="18"/>
                <w:szCs w:val="18"/>
              </w:rPr>
            </w:pPr>
            <w:r w:rsidRPr="00D950F3">
              <w:rPr>
                <w:i/>
                <w:iCs/>
                <w:sz w:val="18"/>
                <w:szCs w:val="18"/>
              </w:rPr>
              <w:t>τ</w:t>
            </w:r>
          </w:p>
        </w:tc>
        <w:tc>
          <w:tcPr>
            <w:tcW w:w="1295" w:type="dxa"/>
            <w:shd w:val="clear" w:color="auto" w:fill="auto"/>
            <w:vAlign w:val="center"/>
          </w:tcPr>
          <w:p w14:paraId="0AD317A2" w14:textId="77777777" w:rsidR="00806CD7" w:rsidRPr="00D950F3" w:rsidRDefault="00806CD7" w:rsidP="00D1305D">
            <w:pPr>
              <w:jc w:val="both"/>
              <w:cnfStyle w:val="100000000000" w:firstRow="1" w:lastRow="0" w:firstColumn="0" w:lastColumn="0" w:oddVBand="0" w:evenVBand="0" w:oddHBand="0" w:evenHBand="0" w:firstRowFirstColumn="0" w:firstRowLastColumn="0" w:lastRowFirstColumn="0" w:lastRowLastColumn="0"/>
              <w:rPr>
                <w:i/>
                <w:iCs/>
                <w:sz w:val="18"/>
                <w:szCs w:val="18"/>
              </w:rPr>
            </w:pPr>
            <w:r w:rsidRPr="00D950F3">
              <w:rPr>
                <w:i/>
                <w:iCs/>
                <w:sz w:val="18"/>
                <w:szCs w:val="18"/>
              </w:rPr>
              <w:t>A.E.</w:t>
            </w:r>
          </w:p>
        </w:tc>
      </w:tr>
      <w:tr w:rsidR="000872FD" w:rsidRPr="00D950F3" w14:paraId="2FB8016A" w14:textId="77777777" w:rsidTr="00D1305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294" w:type="dxa"/>
            <w:vMerge/>
            <w:shd w:val="clear" w:color="auto" w:fill="auto"/>
            <w:vAlign w:val="center"/>
          </w:tcPr>
          <w:p w14:paraId="750EACAD" w14:textId="77777777" w:rsidR="00806CD7" w:rsidRPr="00D950F3" w:rsidRDefault="00806CD7" w:rsidP="00D1305D">
            <w:pPr>
              <w:jc w:val="both"/>
              <w:rPr>
                <w:sz w:val="18"/>
                <w:szCs w:val="18"/>
              </w:rPr>
            </w:pPr>
          </w:p>
        </w:tc>
        <w:tc>
          <w:tcPr>
            <w:tcW w:w="1157" w:type="dxa"/>
            <w:tcBorders>
              <w:bottom w:val="single" w:sz="4" w:space="0" w:color="auto"/>
            </w:tcBorders>
            <w:shd w:val="clear" w:color="auto" w:fill="auto"/>
            <w:vAlign w:val="center"/>
          </w:tcPr>
          <w:p w14:paraId="4F0364C7"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b/>
                <w:bCs/>
                <w:sz w:val="18"/>
                <w:szCs w:val="18"/>
              </w:rPr>
              <w:t>10</w:t>
            </w:r>
            <w:r w:rsidRPr="00D950F3">
              <w:rPr>
                <w:b/>
                <w:bCs/>
                <w:sz w:val="18"/>
                <w:szCs w:val="18"/>
                <w:vertAlign w:val="superscript"/>
              </w:rPr>
              <w:t xml:space="preserve">-7 </w:t>
            </w:r>
            <w:r w:rsidRPr="00D950F3">
              <w:rPr>
                <w:b/>
                <w:bCs/>
                <w:sz w:val="18"/>
                <w:szCs w:val="18"/>
              </w:rPr>
              <w:t>mol/L.s</w:t>
            </w:r>
          </w:p>
        </w:tc>
        <w:tc>
          <w:tcPr>
            <w:tcW w:w="1283" w:type="dxa"/>
            <w:tcBorders>
              <w:bottom w:val="single" w:sz="4" w:space="0" w:color="auto"/>
            </w:tcBorders>
            <w:shd w:val="clear" w:color="auto" w:fill="auto"/>
            <w:vAlign w:val="center"/>
          </w:tcPr>
          <w:p w14:paraId="503E10EA"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b/>
                <w:bCs/>
                <w:sz w:val="18"/>
                <w:szCs w:val="18"/>
              </w:rPr>
              <w:t>10</w:t>
            </w:r>
            <w:r w:rsidRPr="00D950F3">
              <w:rPr>
                <w:b/>
                <w:bCs/>
                <w:sz w:val="18"/>
                <w:szCs w:val="18"/>
                <w:vertAlign w:val="superscript"/>
              </w:rPr>
              <w:t xml:space="preserve">- 7 </w:t>
            </w:r>
            <w:r w:rsidRPr="00D950F3">
              <w:rPr>
                <w:b/>
                <w:bCs/>
                <w:sz w:val="18"/>
                <w:szCs w:val="18"/>
              </w:rPr>
              <w:t>mol/L.s</w:t>
            </w:r>
          </w:p>
        </w:tc>
        <w:tc>
          <w:tcPr>
            <w:tcW w:w="1756" w:type="dxa"/>
            <w:tcBorders>
              <w:bottom w:val="single" w:sz="4" w:space="0" w:color="auto"/>
            </w:tcBorders>
            <w:shd w:val="clear" w:color="auto" w:fill="auto"/>
            <w:vAlign w:val="center"/>
          </w:tcPr>
          <w:p w14:paraId="781BCD0D"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D950F3">
              <w:rPr>
                <w:b/>
                <w:bCs/>
                <w:sz w:val="18"/>
                <w:szCs w:val="18"/>
              </w:rPr>
              <w:t>10</w:t>
            </w:r>
            <w:r w:rsidRPr="00D950F3">
              <w:rPr>
                <w:b/>
                <w:bCs/>
                <w:sz w:val="18"/>
                <w:szCs w:val="18"/>
                <w:vertAlign w:val="superscript"/>
              </w:rPr>
              <w:t xml:space="preserve">-3 </w:t>
            </w:r>
            <w:r w:rsidRPr="00D950F3">
              <w:rPr>
                <w:b/>
                <w:bCs/>
                <w:sz w:val="18"/>
                <w:szCs w:val="18"/>
              </w:rPr>
              <w:t>(mol/L)</w:t>
            </w:r>
            <w:r w:rsidRPr="00D950F3">
              <w:rPr>
                <w:b/>
                <w:bCs/>
                <w:sz w:val="18"/>
                <w:szCs w:val="18"/>
                <w:vertAlign w:val="superscript"/>
              </w:rPr>
              <w:t>-1/2</w:t>
            </w:r>
            <w:r w:rsidRPr="00D950F3">
              <w:rPr>
                <w:b/>
                <w:bCs/>
                <w:sz w:val="18"/>
                <w:szCs w:val="18"/>
              </w:rPr>
              <w:t>s</w:t>
            </w:r>
            <w:r w:rsidRPr="00D950F3">
              <w:rPr>
                <w:b/>
                <w:bCs/>
                <w:sz w:val="18"/>
                <w:szCs w:val="18"/>
                <w:vertAlign w:val="superscript"/>
              </w:rPr>
              <w:t>-1/2</w:t>
            </w:r>
          </w:p>
        </w:tc>
        <w:tc>
          <w:tcPr>
            <w:tcW w:w="1260" w:type="dxa"/>
            <w:tcBorders>
              <w:bottom w:val="single" w:sz="4" w:space="0" w:color="auto"/>
            </w:tcBorders>
            <w:shd w:val="clear" w:color="auto" w:fill="auto"/>
            <w:vAlign w:val="center"/>
          </w:tcPr>
          <w:p w14:paraId="5D966914"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D950F3">
              <w:rPr>
                <w:b/>
                <w:bCs/>
                <w:sz w:val="18"/>
                <w:szCs w:val="18"/>
              </w:rPr>
              <w:t>(mol/L)</w:t>
            </w:r>
            <w:r w:rsidRPr="00D950F3">
              <w:rPr>
                <w:b/>
                <w:bCs/>
                <w:sz w:val="18"/>
                <w:szCs w:val="18"/>
                <w:vertAlign w:val="superscript"/>
              </w:rPr>
              <w:t>-1</w:t>
            </w:r>
            <w:r w:rsidRPr="00D950F3">
              <w:rPr>
                <w:b/>
                <w:bCs/>
                <w:sz w:val="18"/>
                <w:szCs w:val="18"/>
              </w:rPr>
              <w:t xml:space="preserve"> s</w:t>
            </w:r>
            <w:r w:rsidRPr="00D950F3">
              <w:rPr>
                <w:b/>
                <w:bCs/>
                <w:sz w:val="18"/>
                <w:szCs w:val="18"/>
                <w:vertAlign w:val="superscript"/>
              </w:rPr>
              <w:t>-1</w:t>
            </w:r>
          </w:p>
        </w:tc>
        <w:tc>
          <w:tcPr>
            <w:tcW w:w="1080" w:type="dxa"/>
            <w:tcBorders>
              <w:bottom w:val="single" w:sz="4" w:space="0" w:color="auto"/>
            </w:tcBorders>
            <w:shd w:val="clear" w:color="auto" w:fill="auto"/>
            <w:vAlign w:val="center"/>
          </w:tcPr>
          <w:p w14:paraId="6E49F9C2"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D950F3">
              <w:rPr>
                <w:b/>
                <w:bCs/>
                <w:sz w:val="18"/>
                <w:szCs w:val="18"/>
              </w:rPr>
              <w:t>10</w:t>
            </w:r>
            <w:r w:rsidRPr="00D950F3">
              <w:rPr>
                <w:b/>
                <w:bCs/>
                <w:sz w:val="18"/>
                <w:szCs w:val="18"/>
                <w:vertAlign w:val="superscript"/>
              </w:rPr>
              <w:t>4</w:t>
            </w:r>
            <w:r w:rsidRPr="00D950F3">
              <w:rPr>
                <w:b/>
                <w:bCs/>
                <w:sz w:val="18"/>
                <w:szCs w:val="18"/>
              </w:rPr>
              <w:t xml:space="preserve"> s</w:t>
            </w:r>
          </w:p>
        </w:tc>
        <w:tc>
          <w:tcPr>
            <w:tcW w:w="1295" w:type="dxa"/>
            <w:tcBorders>
              <w:bottom w:val="single" w:sz="4" w:space="0" w:color="auto"/>
            </w:tcBorders>
            <w:shd w:val="clear" w:color="auto" w:fill="auto"/>
            <w:vAlign w:val="center"/>
          </w:tcPr>
          <w:p w14:paraId="26FF6AFC"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b/>
                <w:bCs/>
                <w:sz w:val="18"/>
                <w:szCs w:val="18"/>
              </w:rPr>
            </w:pPr>
            <w:r w:rsidRPr="00D950F3">
              <w:rPr>
                <w:b/>
                <w:bCs/>
                <w:sz w:val="18"/>
                <w:szCs w:val="18"/>
              </w:rPr>
              <w:t>-</w:t>
            </w:r>
          </w:p>
        </w:tc>
      </w:tr>
      <w:tr w:rsidR="000872FD" w:rsidRPr="00D950F3" w14:paraId="23E24AC2" w14:textId="77777777" w:rsidTr="00D1305D">
        <w:trPr>
          <w:trHeight w:val="23"/>
        </w:trPr>
        <w:tc>
          <w:tcPr>
            <w:cnfStyle w:val="001000000000" w:firstRow="0" w:lastRow="0" w:firstColumn="1" w:lastColumn="0" w:oddVBand="0" w:evenVBand="0" w:oddHBand="0" w:evenHBand="0" w:firstRowFirstColumn="0" w:firstRowLastColumn="0" w:lastRowFirstColumn="0" w:lastRowLastColumn="0"/>
            <w:tcW w:w="1294" w:type="dxa"/>
            <w:shd w:val="clear" w:color="auto" w:fill="auto"/>
            <w:vAlign w:val="center"/>
          </w:tcPr>
          <w:p w14:paraId="411B1E5E" w14:textId="77777777" w:rsidR="00806CD7" w:rsidRPr="00D950F3" w:rsidRDefault="00806CD7" w:rsidP="00D1305D">
            <w:pPr>
              <w:jc w:val="both"/>
              <w:rPr>
                <w:sz w:val="18"/>
                <w:szCs w:val="18"/>
              </w:rPr>
            </w:pPr>
            <w:r w:rsidRPr="00D950F3">
              <w:rPr>
                <w:sz w:val="18"/>
                <w:szCs w:val="18"/>
              </w:rPr>
              <w:t>MSO</w:t>
            </w:r>
          </w:p>
        </w:tc>
        <w:tc>
          <w:tcPr>
            <w:tcW w:w="1157" w:type="dxa"/>
            <w:tcBorders>
              <w:top w:val="single" w:sz="4" w:space="0" w:color="auto"/>
            </w:tcBorders>
            <w:shd w:val="clear" w:color="auto" w:fill="auto"/>
            <w:vAlign w:val="center"/>
          </w:tcPr>
          <w:p w14:paraId="4868D457"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2.3±0.1</w:t>
            </w:r>
            <w:r w:rsidRPr="00D950F3">
              <w:rPr>
                <w:sz w:val="18"/>
                <w:szCs w:val="18"/>
                <w:vertAlign w:val="superscript"/>
              </w:rPr>
              <w:t>c</w:t>
            </w:r>
          </w:p>
        </w:tc>
        <w:tc>
          <w:tcPr>
            <w:tcW w:w="1283" w:type="dxa"/>
            <w:tcBorders>
              <w:top w:val="single" w:sz="4" w:space="0" w:color="auto"/>
            </w:tcBorders>
            <w:shd w:val="clear" w:color="auto" w:fill="auto"/>
            <w:vAlign w:val="center"/>
          </w:tcPr>
          <w:p w14:paraId="78A6DF6D"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14.2±1.1</w:t>
            </w:r>
            <w:r w:rsidRPr="00D950F3">
              <w:rPr>
                <w:sz w:val="18"/>
                <w:szCs w:val="18"/>
                <w:vertAlign w:val="superscript"/>
              </w:rPr>
              <w:t>a</w:t>
            </w:r>
          </w:p>
        </w:tc>
        <w:tc>
          <w:tcPr>
            <w:tcW w:w="1756" w:type="dxa"/>
            <w:tcBorders>
              <w:top w:val="single" w:sz="4" w:space="0" w:color="auto"/>
            </w:tcBorders>
            <w:shd w:val="clear" w:color="auto" w:fill="auto"/>
            <w:vAlign w:val="center"/>
          </w:tcPr>
          <w:p w14:paraId="34D63FED"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8.7±0.6</w:t>
            </w:r>
            <w:r w:rsidRPr="00D950F3">
              <w:rPr>
                <w:sz w:val="18"/>
                <w:szCs w:val="18"/>
                <w:vertAlign w:val="superscript"/>
              </w:rPr>
              <w:t>a</w:t>
            </w:r>
          </w:p>
        </w:tc>
        <w:tc>
          <w:tcPr>
            <w:tcW w:w="1260" w:type="dxa"/>
            <w:tcBorders>
              <w:top w:val="single" w:sz="4" w:space="0" w:color="auto"/>
            </w:tcBorders>
            <w:shd w:val="clear" w:color="auto" w:fill="auto"/>
            <w:vAlign w:val="center"/>
          </w:tcPr>
          <w:p w14:paraId="1A5F2D29"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29</w:t>
            </w:r>
          </w:p>
        </w:tc>
        <w:tc>
          <w:tcPr>
            <w:tcW w:w="1080" w:type="dxa"/>
            <w:tcBorders>
              <w:top w:val="single" w:sz="4" w:space="0" w:color="auto"/>
            </w:tcBorders>
            <w:shd w:val="clear" w:color="auto" w:fill="auto"/>
            <w:vAlign w:val="center"/>
          </w:tcPr>
          <w:p w14:paraId="50542B00"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5.4±0.1</w:t>
            </w:r>
            <w:r w:rsidRPr="00D950F3">
              <w:rPr>
                <w:sz w:val="18"/>
                <w:szCs w:val="18"/>
                <w:vertAlign w:val="superscript"/>
              </w:rPr>
              <w:t>d</w:t>
            </w:r>
          </w:p>
        </w:tc>
        <w:tc>
          <w:tcPr>
            <w:tcW w:w="1295" w:type="dxa"/>
            <w:tcBorders>
              <w:top w:val="single" w:sz="4" w:space="0" w:color="auto"/>
            </w:tcBorders>
            <w:shd w:val="clear" w:color="auto" w:fill="auto"/>
            <w:vAlign w:val="center"/>
          </w:tcPr>
          <w:p w14:paraId="4802862D"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198.1±6.6</w:t>
            </w:r>
            <w:r w:rsidRPr="00D950F3">
              <w:rPr>
                <w:sz w:val="18"/>
                <w:szCs w:val="18"/>
                <w:vertAlign w:val="superscript"/>
              </w:rPr>
              <w:t>a</w:t>
            </w:r>
          </w:p>
        </w:tc>
      </w:tr>
      <w:tr w:rsidR="000872FD" w:rsidRPr="00D950F3" w14:paraId="6F642A47" w14:textId="77777777" w:rsidTr="00D1305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294" w:type="dxa"/>
            <w:shd w:val="clear" w:color="auto" w:fill="auto"/>
            <w:vAlign w:val="center"/>
          </w:tcPr>
          <w:p w14:paraId="3B5AC939" w14:textId="77777777" w:rsidR="00806CD7" w:rsidRPr="00D950F3" w:rsidRDefault="00806CD7" w:rsidP="00D1305D">
            <w:pPr>
              <w:jc w:val="both"/>
              <w:rPr>
                <w:sz w:val="18"/>
                <w:szCs w:val="18"/>
              </w:rPr>
            </w:pPr>
            <w:r w:rsidRPr="00D950F3">
              <w:rPr>
                <w:sz w:val="18"/>
                <w:szCs w:val="18"/>
              </w:rPr>
              <w:t>MCO</w:t>
            </w:r>
          </w:p>
        </w:tc>
        <w:tc>
          <w:tcPr>
            <w:tcW w:w="1157" w:type="dxa"/>
            <w:shd w:val="clear" w:color="auto" w:fill="auto"/>
            <w:vAlign w:val="center"/>
          </w:tcPr>
          <w:p w14:paraId="24E653E5"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2.8±0.1</w:t>
            </w:r>
            <w:r w:rsidRPr="00D950F3">
              <w:rPr>
                <w:sz w:val="18"/>
                <w:szCs w:val="18"/>
                <w:vertAlign w:val="superscript"/>
              </w:rPr>
              <w:t>b</w:t>
            </w:r>
          </w:p>
        </w:tc>
        <w:tc>
          <w:tcPr>
            <w:tcW w:w="1283" w:type="dxa"/>
            <w:shd w:val="clear" w:color="auto" w:fill="auto"/>
            <w:vAlign w:val="center"/>
          </w:tcPr>
          <w:p w14:paraId="332D36E8"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5.2±0.2</w:t>
            </w:r>
            <w:r w:rsidRPr="00D950F3">
              <w:rPr>
                <w:sz w:val="18"/>
                <w:szCs w:val="18"/>
                <w:vertAlign w:val="superscript"/>
              </w:rPr>
              <w:t>c</w:t>
            </w:r>
          </w:p>
        </w:tc>
        <w:tc>
          <w:tcPr>
            <w:tcW w:w="1756" w:type="dxa"/>
            <w:shd w:val="clear" w:color="auto" w:fill="auto"/>
            <w:vAlign w:val="center"/>
          </w:tcPr>
          <w:p w14:paraId="68A03D64"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3.2±0.1</w:t>
            </w:r>
            <w:r w:rsidRPr="00D950F3">
              <w:rPr>
                <w:sz w:val="18"/>
                <w:szCs w:val="18"/>
                <w:vertAlign w:val="superscript"/>
              </w:rPr>
              <w:t>c</w:t>
            </w:r>
          </w:p>
        </w:tc>
        <w:tc>
          <w:tcPr>
            <w:tcW w:w="1260" w:type="dxa"/>
            <w:shd w:val="clear" w:color="auto" w:fill="auto"/>
            <w:vAlign w:val="center"/>
          </w:tcPr>
          <w:p w14:paraId="666020BC"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11</w:t>
            </w:r>
          </w:p>
        </w:tc>
        <w:tc>
          <w:tcPr>
            <w:tcW w:w="1080" w:type="dxa"/>
            <w:shd w:val="clear" w:color="auto" w:fill="auto"/>
            <w:vAlign w:val="center"/>
          </w:tcPr>
          <w:p w14:paraId="10D4AC5C"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11.8±0.9</w:t>
            </w:r>
            <w:r w:rsidRPr="00D950F3">
              <w:rPr>
                <w:sz w:val="18"/>
                <w:szCs w:val="18"/>
                <w:vertAlign w:val="superscript"/>
              </w:rPr>
              <w:t>b</w:t>
            </w:r>
          </w:p>
        </w:tc>
        <w:tc>
          <w:tcPr>
            <w:tcW w:w="1295" w:type="dxa"/>
            <w:shd w:val="clear" w:color="auto" w:fill="auto"/>
            <w:vAlign w:val="center"/>
          </w:tcPr>
          <w:p w14:paraId="49E4F3A7"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74.8±4.4</w:t>
            </w:r>
            <w:r w:rsidRPr="00D950F3">
              <w:rPr>
                <w:sz w:val="18"/>
                <w:szCs w:val="18"/>
                <w:vertAlign w:val="superscript"/>
              </w:rPr>
              <w:t>d</w:t>
            </w:r>
          </w:p>
        </w:tc>
      </w:tr>
      <w:tr w:rsidR="000872FD" w:rsidRPr="00D950F3" w14:paraId="407786C3" w14:textId="77777777" w:rsidTr="00D1305D">
        <w:trPr>
          <w:trHeight w:val="23"/>
        </w:trPr>
        <w:tc>
          <w:tcPr>
            <w:cnfStyle w:val="001000000000" w:firstRow="0" w:lastRow="0" w:firstColumn="1" w:lastColumn="0" w:oddVBand="0" w:evenVBand="0" w:oddHBand="0" w:evenHBand="0" w:firstRowFirstColumn="0" w:firstRowLastColumn="0" w:lastRowFirstColumn="0" w:lastRowLastColumn="0"/>
            <w:tcW w:w="1294" w:type="dxa"/>
            <w:shd w:val="clear" w:color="auto" w:fill="auto"/>
            <w:vAlign w:val="center"/>
          </w:tcPr>
          <w:p w14:paraId="70B6D31C" w14:textId="77777777" w:rsidR="00806CD7" w:rsidRPr="00D950F3" w:rsidRDefault="00806CD7" w:rsidP="00D1305D">
            <w:pPr>
              <w:jc w:val="both"/>
              <w:rPr>
                <w:sz w:val="18"/>
                <w:szCs w:val="18"/>
              </w:rPr>
            </w:pPr>
            <w:r w:rsidRPr="00D950F3">
              <w:rPr>
                <w:sz w:val="18"/>
                <w:szCs w:val="18"/>
              </w:rPr>
              <w:t>MEVOO</w:t>
            </w:r>
          </w:p>
        </w:tc>
        <w:tc>
          <w:tcPr>
            <w:tcW w:w="1157" w:type="dxa"/>
            <w:shd w:val="clear" w:color="auto" w:fill="auto"/>
            <w:vAlign w:val="center"/>
          </w:tcPr>
          <w:p w14:paraId="30CDD9FA"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1.6±0.1</w:t>
            </w:r>
            <w:r w:rsidRPr="00D950F3">
              <w:rPr>
                <w:sz w:val="18"/>
                <w:szCs w:val="18"/>
                <w:vertAlign w:val="superscript"/>
              </w:rPr>
              <w:t>d</w:t>
            </w:r>
          </w:p>
        </w:tc>
        <w:tc>
          <w:tcPr>
            <w:tcW w:w="1283" w:type="dxa"/>
            <w:shd w:val="clear" w:color="auto" w:fill="auto"/>
            <w:vAlign w:val="center"/>
          </w:tcPr>
          <w:p w14:paraId="64300896"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2.5±0.1</w:t>
            </w:r>
            <w:r w:rsidRPr="00D950F3">
              <w:rPr>
                <w:sz w:val="18"/>
                <w:szCs w:val="18"/>
                <w:vertAlign w:val="superscript"/>
              </w:rPr>
              <w:t>d</w:t>
            </w:r>
          </w:p>
        </w:tc>
        <w:tc>
          <w:tcPr>
            <w:tcW w:w="1756" w:type="dxa"/>
            <w:shd w:val="clear" w:color="auto" w:fill="auto"/>
            <w:vAlign w:val="center"/>
          </w:tcPr>
          <w:p w14:paraId="21C6483F"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1.7±0.1</w:t>
            </w:r>
            <w:r w:rsidRPr="00D950F3">
              <w:rPr>
                <w:sz w:val="18"/>
                <w:szCs w:val="18"/>
                <w:vertAlign w:val="superscript"/>
              </w:rPr>
              <w:t>d</w:t>
            </w:r>
          </w:p>
        </w:tc>
        <w:tc>
          <w:tcPr>
            <w:tcW w:w="1260" w:type="dxa"/>
            <w:shd w:val="clear" w:color="auto" w:fill="auto"/>
            <w:vAlign w:val="center"/>
          </w:tcPr>
          <w:p w14:paraId="4ECE65FD"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5.7</w:t>
            </w:r>
          </w:p>
        </w:tc>
        <w:tc>
          <w:tcPr>
            <w:tcW w:w="1080" w:type="dxa"/>
            <w:shd w:val="clear" w:color="auto" w:fill="auto"/>
            <w:vAlign w:val="center"/>
          </w:tcPr>
          <w:p w14:paraId="5F2B713A"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18.8±0.4</w:t>
            </w:r>
            <w:r w:rsidRPr="00D950F3">
              <w:rPr>
                <w:sz w:val="18"/>
                <w:szCs w:val="18"/>
                <w:vertAlign w:val="superscript"/>
              </w:rPr>
              <w:t>a</w:t>
            </w:r>
          </w:p>
        </w:tc>
        <w:tc>
          <w:tcPr>
            <w:tcW w:w="1295" w:type="dxa"/>
            <w:shd w:val="clear" w:color="auto" w:fill="auto"/>
            <w:vAlign w:val="center"/>
          </w:tcPr>
          <w:p w14:paraId="20A3A181"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77.4±2.9</w:t>
            </w:r>
            <w:r w:rsidRPr="00D950F3">
              <w:rPr>
                <w:sz w:val="18"/>
                <w:szCs w:val="18"/>
                <w:vertAlign w:val="superscript"/>
              </w:rPr>
              <w:t>d</w:t>
            </w:r>
          </w:p>
        </w:tc>
      </w:tr>
      <w:tr w:rsidR="000872FD" w:rsidRPr="00D950F3" w14:paraId="04DB164D" w14:textId="77777777" w:rsidTr="00D1305D">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294" w:type="dxa"/>
            <w:shd w:val="clear" w:color="auto" w:fill="auto"/>
            <w:vAlign w:val="center"/>
          </w:tcPr>
          <w:p w14:paraId="4479C9D2" w14:textId="77777777" w:rsidR="00806CD7" w:rsidRPr="00D950F3" w:rsidRDefault="00806CD7" w:rsidP="00D1305D">
            <w:pPr>
              <w:jc w:val="both"/>
              <w:rPr>
                <w:sz w:val="18"/>
                <w:szCs w:val="18"/>
              </w:rPr>
            </w:pPr>
            <w:r w:rsidRPr="00D950F3">
              <w:rPr>
                <w:sz w:val="18"/>
                <w:szCs w:val="18"/>
              </w:rPr>
              <w:t>MGO</w:t>
            </w:r>
          </w:p>
        </w:tc>
        <w:tc>
          <w:tcPr>
            <w:tcW w:w="1157" w:type="dxa"/>
            <w:shd w:val="clear" w:color="auto" w:fill="auto"/>
            <w:vAlign w:val="center"/>
          </w:tcPr>
          <w:p w14:paraId="0F40551C"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2.9±0.1</w:t>
            </w:r>
            <w:r w:rsidRPr="00D950F3">
              <w:rPr>
                <w:sz w:val="18"/>
                <w:szCs w:val="18"/>
                <w:vertAlign w:val="superscript"/>
              </w:rPr>
              <w:t>b</w:t>
            </w:r>
          </w:p>
        </w:tc>
        <w:tc>
          <w:tcPr>
            <w:tcW w:w="1283" w:type="dxa"/>
            <w:shd w:val="clear" w:color="auto" w:fill="auto"/>
            <w:vAlign w:val="center"/>
          </w:tcPr>
          <w:p w14:paraId="320DC227"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8.8±1.5</w:t>
            </w:r>
            <w:r w:rsidRPr="00D950F3">
              <w:rPr>
                <w:sz w:val="18"/>
                <w:szCs w:val="18"/>
                <w:vertAlign w:val="superscript"/>
              </w:rPr>
              <w:t>b</w:t>
            </w:r>
          </w:p>
        </w:tc>
        <w:tc>
          <w:tcPr>
            <w:tcW w:w="1756" w:type="dxa"/>
            <w:shd w:val="clear" w:color="auto" w:fill="auto"/>
            <w:vAlign w:val="center"/>
          </w:tcPr>
          <w:p w14:paraId="54DE27BC"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5.4±0.9</w:t>
            </w:r>
            <w:r w:rsidRPr="00D950F3">
              <w:rPr>
                <w:sz w:val="18"/>
                <w:szCs w:val="18"/>
                <w:vertAlign w:val="superscript"/>
              </w:rPr>
              <w:t>b</w:t>
            </w:r>
          </w:p>
        </w:tc>
        <w:tc>
          <w:tcPr>
            <w:tcW w:w="1260" w:type="dxa"/>
            <w:shd w:val="clear" w:color="auto" w:fill="auto"/>
            <w:vAlign w:val="center"/>
          </w:tcPr>
          <w:p w14:paraId="69A741C5"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18.3</w:t>
            </w:r>
          </w:p>
        </w:tc>
        <w:tc>
          <w:tcPr>
            <w:tcW w:w="1080" w:type="dxa"/>
            <w:shd w:val="clear" w:color="auto" w:fill="auto"/>
            <w:vAlign w:val="center"/>
          </w:tcPr>
          <w:p w14:paraId="509300AD"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7.8</w:t>
            </w:r>
            <w:bookmarkStart w:id="2" w:name="_Hlk127269839"/>
            <w:r w:rsidRPr="00D950F3">
              <w:rPr>
                <w:sz w:val="18"/>
                <w:szCs w:val="18"/>
              </w:rPr>
              <w:t>±</w:t>
            </w:r>
            <w:bookmarkEnd w:id="2"/>
            <w:r w:rsidRPr="00D950F3">
              <w:rPr>
                <w:sz w:val="18"/>
                <w:szCs w:val="18"/>
              </w:rPr>
              <w:t>0.1</w:t>
            </w:r>
            <w:r w:rsidRPr="00D950F3">
              <w:rPr>
                <w:sz w:val="18"/>
                <w:szCs w:val="18"/>
                <w:vertAlign w:val="superscript"/>
              </w:rPr>
              <w:t>c</w:t>
            </w:r>
          </w:p>
        </w:tc>
        <w:tc>
          <w:tcPr>
            <w:tcW w:w="1295" w:type="dxa"/>
            <w:shd w:val="clear" w:color="auto" w:fill="auto"/>
            <w:vAlign w:val="center"/>
          </w:tcPr>
          <w:p w14:paraId="328DCC15" w14:textId="77777777" w:rsidR="00806CD7" w:rsidRPr="00D950F3" w:rsidRDefault="00806CD7" w:rsidP="00D1305D">
            <w:pPr>
              <w:jc w:val="both"/>
              <w:cnfStyle w:val="000000100000" w:firstRow="0" w:lastRow="0" w:firstColumn="0" w:lastColumn="0" w:oddVBand="0" w:evenVBand="0" w:oddHBand="1" w:evenHBand="0" w:firstRowFirstColumn="0" w:firstRowLastColumn="0" w:lastRowFirstColumn="0" w:lastRowLastColumn="0"/>
              <w:rPr>
                <w:sz w:val="18"/>
                <w:szCs w:val="18"/>
              </w:rPr>
            </w:pPr>
            <w:r w:rsidRPr="00D950F3">
              <w:rPr>
                <w:sz w:val="18"/>
                <w:szCs w:val="18"/>
              </w:rPr>
              <w:t>108±4.6</w:t>
            </w:r>
            <w:r w:rsidRPr="00D950F3">
              <w:rPr>
                <w:sz w:val="18"/>
                <w:szCs w:val="18"/>
                <w:vertAlign w:val="superscript"/>
              </w:rPr>
              <w:t>c</w:t>
            </w:r>
          </w:p>
        </w:tc>
      </w:tr>
      <w:tr w:rsidR="000872FD" w:rsidRPr="00D950F3" w14:paraId="654AFB3F" w14:textId="77777777" w:rsidTr="00D1305D">
        <w:trPr>
          <w:trHeight w:val="23"/>
        </w:trPr>
        <w:tc>
          <w:tcPr>
            <w:cnfStyle w:val="001000000000" w:firstRow="0" w:lastRow="0" w:firstColumn="1" w:lastColumn="0" w:oddVBand="0" w:evenVBand="0" w:oddHBand="0" w:evenHBand="0" w:firstRowFirstColumn="0" w:firstRowLastColumn="0" w:lastRowFirstColumn="0" w:lastRowLastColumn="0"/>
            <w:tcW w:w="1294" w:type="dxa"/>
            <w:shd w:val="clear" w:color="auto" w:fill="auto"/>
            <w:vAlign w:val="center"/>
          </w:tcPr>
          <w:p w14:paraId="63F34530" w14:textId="77777777" w:rsidR="00806CD7" w:rsidRPr="00D950F3" w:rsidRDefault="00806CD7" w:rsidP="00D1305D">
            <w:pPr>
              <w:jc w:val="both"/>
              <w:rPr>
                <w:sz w:val="18"/>
                <w:szCs w:val="18"/>
              </w:rPr>
            </w:pPr>
            <w:r w:rsidRPr="00D950F3">
              <w:rPr>
                <w:sz w:val="18"/>
                <w:szCs w:val="18"/>
              </w:rPr>
              <w:t>MAO</w:t>
            </w:r>
          </w:p>
        </w:tc>
        <w:tc>
          <w:tcPr>
            <w:tcW w:w="1157" w:type="dxa"/>
            <w:shd w:val="clear" w:color="auto" w:fill="auto"/>
            <w:vAlign w:val="center"/>
          </w:tcPr>
          <w:p w14:paraId="06B22BA4"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4.1±0.3</w:t>
            </w:r>
            <w:r w:rsidRPr="00D950F3">
              <w:rPr>
                <w:sz w:val="18"/>
                <w:szCs w:val="18"/>
                <w:vertAlign w:val="superscript"/>
              </w:rPr>
              <w:t>a</w:t>
            </w:r>
          </w:p>
        </w:tc>
        <w:tc>
          <w:tcPr>
            <w:tcW w:w="1283" w:type="dxa"/>
            <w:shd w:val="clear" w:color="auto" w:fill="auto"/>
            <w:vAlign w:val="center"/>
          </w:tcPr>
          <w:p w14:paraId="7C40E6F3"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14.8±0.2</w:t>
            </w:r>
            <w:r w:rsidRPr="00D950F3">
              <w:rPr>
                <w:sz w:val="18"/>
                <w:szCs w:val="18"/>
                <w:vertAlign w:val="superscript"/>
              </w:rPr>
              <w:t>a</w:t>
            </w:r>
          </w:p>
        </w:tc>
        <w:tc>
          <w:tcPr>
            <w:tcW w:w="1756" w:type="dxa"/>
            <w:shd w:val="clear" w:color="auto" w:fill="auto"/>
            <w:vAlign w:val="center"/>
          </w:tcPr>
          <w:p w14:paraId="60E8F734"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8.9±0.1</w:t>
            </w:r>
            <w:r w:rsidRPr="00D950F3">
              <w:rPr>
                <w:sz w:val="18"/>
                <w:szCs w:val="18"/>
                <w:vertAlign w:val="superscript"/>
              </w:rPr>
              <w:t>a</w:t>
            </w:r>
          </w:p>
        </w:tc>
        <w:tc>
          <w:tcPr>
            <w:tcW w:w="1260" w:type="dxa"/>
            <w:shd w:val="clear" w:color="auto" w:fill="auto"/>
            <w:vAlign w:val="center"/>
          </w:tcPr>
          <w:p w14:paraId="64607AB4"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30</w:t>
            </w:r>
          </w:p>
        </w:tc>
        <w:tc>
          <w:tcPr>
            <w:tcW w:w="1080" w:type="dxa"/>
            <w:shd w:val="clear" w:color="auto" w:fill="auto"/>
            <w:vAlign w:val="center"/>
          </w:tcPr>
          <w:p w14:paraId="64502C0C"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4.8±0.2</w:t>
            </w:r>
            <w:r w:rsidRPr="00D950F3">
              <w:rPr>
                <w:sz w:val="18"/>
                <w:szCs w:val="18"/>
                <w:vertAlign w:val="superscript"/>
              </w:rPr>
              <w:t>d</w:t>
            </w:r>
          </w:p>
        </w:tc>
        <w:tc>
          <w:tcPr>
            <w:tcW w:w="1295" w:type="dxa"/>
            <w:shd w:val="clear" w:color="auto" w:fill="auto"/>
            <w:vAlign w:val="center"/>
          </w:tcPr>
          <w:p w14:paraId="72B6AE56" w14:textId="77777777" w:rsidR="00806CD7" w:rsidRPr="00D950F3" w:rsidRDefault="00806CD7" w:rsidP="00D1305D">
            <w:pPr>
              <w:jc w:val="both"/>
              <w:cnfStyle w:val="000000000000" w:firstRow="0" w:lastRow="0" w:firstColumn="0" w:lastColumn="0" w:oddVBand="0" w:evenVBand="0" w:oddHBand="0" w:evenHBand="0" w:firstRowFirstColumn="0" w:firstRowLastColumn="0" w:lastRowFirstColumn="0" w:lastRowLastColumn="0"/>
              <w:rPr>
                <w:sz w:val="18"/>
                <w:szCs w:val="18"/>
              </w:rPr>
            </w:pPr>
            <w:r w:rsidRPr="00D950F3">
              <w:rPr>
                <w:sz w:val="18"/>
                <w:szCs w:val="18"/>
              </w:rPr>
              <w:t>128.6±10.5</w:t>
            </w:r>
            <w:r w:rsidRPr="00D950F3">
              <w:rPr>
                <w:sz w:val="18"/>
                <w:szCs w:val="18"/>
                <w:vertAlign w:val="superscript"/>
              </w:rPr>
              <w:t>b</w:t>
            </w:r>
          </w:p>
        </w:tc>
      </w:tr>
    </w:tbl>
    <w:p w14:paraId="1BBBA5E8" w14:textId="604F801C" w:rsidR="007F6D35" w:rsidRPr="005341D9" w:rsidRDefault="00806CD7" w:rsidP="005341D9">
      <w:pPr>
        <w:jc w:val="both"/>
        <w:rPr>
          <w:lang w:val="en-US"/>
        </w:rPr>
      </w:pPr>
      <w:r w:rsidRPr="00806CD7">
        <w:rPr>
          <w:rFonts w:eastAsiaTheme="minorEastAsia"/>
          <w:lang w:val="en-US"/>
        </w:rPr>
        <w:t xml:space="preserve">In a column </w:t>
      </w:r>
      <w:proofErr w:type="spellStart"/>
      <w:r w:rsidRPr="00806CD7">
        <w:rPr>
          <w:rFonts w:eastAsiaTheme="minorEastAsia"/>
          <w:lang w:val="en-US"/>
        </w:rPr>
        <w:t>means</w:t>
      </w:r>
      <w:r w:rsidRPr="00806CD7">
        <w:rPr>
          <w:lang w:val="en-US"/>
        </w:rPr>
        <w:t>±SD</w:t>
      </w:r>
      <w:proofErr w:type="spellEnd"/>
      <w:r w:rsidRPr="00806CD7">
        <w:rPr>
          <w:lang w:val="en-US"/>
        </w:rPr>
        <w:t xml:space="preserve"> that do not share a superscript letter are significantly different (</w:t>
      </w:r>
      <w:r w:rsidRPr="00806CD7">
        <w:rPr>
          <w:i/>
          <w:iCs/>
          <w:lang w:val="en-US"/>
        </w:rPr>
        <w:t>p</w:t>
      </w:r>
      <w:r w:rsidRPr="00806CD7">
        <w:rPr>
          <w:lang w:val="en-US"/>
        </w:rPr>
        <w:t xml:space="preserve"> &lt; 0.05).  </w:t>
      </w:r>
    </w:p>
    <w:p w14:paraId="4A28FD62" w14:textId="649225DE" w:rsidR="00512D9B" w:rsidRPr="00FD1E0D" w:rsidRDefault="00FD1E0D" w:rsidP="00FD1E0D">
      <w:pPr>
        <w:pStyle w:val="Heading1"/>
        <w:numPr>
          <w:ilvl w:val="0"/>
          <w:numId w:val="0"/>
        </w:numPr>
        <w:spacing w:before="240" w:after="120"/>
        <w:ind w:left="432" w:right="0" w:hanging="432"/>
        <w:jc w:val="both"/>
        <w:rPr>
          <w:b/>
          <w:bCs/>
          <w:color w:val="000000"/>
          <w:sz w:val="24"/>
          <w:lang w:val="en-GB"/>
        </w:rPr>
      </w:pPr>
      <w:r>
        <w:rPr>
          <w:b/>
          <w:bCs/>
          <w:color w:val="000000"/>
          <w:sz w:val="24"/>
          <w:lang w:val="en-GB"/>
        </w:rPr>
        <w:t>4. References</w:t>
      </w:r>
    </w:p>
    <w:p w14:paraId="0DA8A124" w14:textId="6B9BE874" w:rsidR="00512D9B" w:rsidRDefault="000872FD">
      <w:pPr>
        <w:ind w:left="425" w:hanging="425"/>
        <w:jc w:val="both"/>
        <w:rPr>
          <w:sz w:val="18"/>
          <w:szCs w:val="18"/>
          <w:lang w:val="en-GB"/>
        </w:rPr>
      </w:pPr>
      <w:proofErr w:type="spellStart"/>
      <w:r w:rsidRPr="00AC163E">
        <w:rPr>
          <w:sz w:val="18"/>
          <w:szCs w:val="18"/>
          <w:lang w:val="en-US"/>
        </w:rPr>
        <w:t>Baschieri</w:t>
      </w:r>
      <w:proofErr w:type="spellEnd"/>
      <w:r w:rsidRPr="00AC163E">
        <w:rPr>
          <w:sz w:val="18"/>
          <w:szCs w:val="18"/>
          <w:lang w:val="en-US"/>
        </w:rPr>
        <w:t xml:space="preserve">, A., </w:t>
      </w:r>
      <w:proofErr w:type="spellStart"/>
      <w:r w:rsidRPr="00AC163E">
        <w:rPr>
          <w:sz w:val="18"/>
          <w:szCs w:val="18"/>
          <w:lang w:val="en-US"/>
        </w:rPr>
        <w:t>Pizzol</w:t>
      </w:r>
      <w:proofErr w:type="spellEnd"/>
      <w:r w:rsidRPr="00AC163E">
        <w:rPr>
          <w:sz w:val="18"/>
          <w:szCs w:val="18"/>
          <w:lang w:val="en-US"/>
        </w:rPr>
        <w:t xml:space="preserve">, R., Guo, Y., Amorati, R., &amp; </w:t>
      </w:r>
      <w:proofErr w:type="spellStart"/>
      <w:r w:rsidRPr="00AC163E">
        <w:rPr>
          <w:sz w:val="18"/>
          <w:szCs w:val="18"/>
          <w:lang w:val="en-US"/>
        </w:rPr>
        <w:t>Valgimigli</w:t>
      </w:r>
      <w:proofErr w:type="spellEnd"/>
      <w:r w:rsidRPr="00AC163E">
        <w:rPr>
          <w:sz w:val="18"/>
          <w:szCs w:val="18"/>
          <w:lang w:val="en-US"/>
        </w:rPr>
        <w:t xml:space="preserve">, L. (2019) </w:t>
      </w:r>
      <w:r w:rsidRPr="000872FD">
        <w:rPr>
          <w:sz w:val="18"/>
          <w:szCs w:val="18"/>
          <w:lang w:val="en-GB"/>
        </w:rPr>
        <w:t xml:space="preserve">Calibration of Squalene, p -Cymene, and Sunflower Oil as Standard Oxidizable Substrates for Quantitative Antioxidant Testing. </w:t>
      </w:r>
      <w:r w:rsidRPr="005557E8">
        <w:rPr>
          <w:i/>
          <w:iCs/>
          <w:sz w:val="18"/>
          <w:szCs w:val="18"/>
          <w:lang w:val="en-GB"/>
        </w:rPr>
        <w:t>Journal of Agricultural and Food Chemistry</w:t>
      </w:r>
      <w:r w:rsidRPr="000872FD">
        <w:rPr>
          <w:sz w:val="18"/>
          <w:szCs w:val="18"/>
          <w:lang w:val="en-GB"/>
        </w:rPr>
        <w:t xml:space="preserve">, </w:t>
      </w:r>
      <w:r w:rsidRPr="0051016F">
        <w:rPr>
          <w:b/>
          <w:bCs/>
          <w:sz w:val="18"/>
          <w:szCs w:val="18"/>
          <w:lang w:val="en-GB"/>
        </w:rPr>
        <w:t>67</w:t>
      </w:r>
      <w:r w:rsidR="00053ED3">
        <w:rPr>
          <w:sz w:val="18"/>
          <w:szCs w:val="18"/>
          <w:lang w:val="en-GB"/>
        </w:rPr>
        <w:t>:</w:t>
      </w:r>
      <w:r w:rsidRPr="000872FD">
        <w:rPr>
          <w:sz w:val="18"/>
          <w:szCs w:val="18"/>
          <w:lang w:val="en-GB"/>
        </w:rPr>
        <w:t xml:space="preserve"> 6902–6910.</w:t>
      </w:r>
    </w:p>
    <w:p w14:paraId="05955109" w14:textId="403A76DE" w:rsidR="000872FD" w:rsidRDefault="000872FD">
      <w:pPr>
        <w:ind w:left="425" w:hanging="425"/>
        <w:jc w:val="both"/>
        <w:rPr>
          <w:sz w:val="18"/>
          <w:szCs w:val="18"/>
          <w:lang w:val="en-GB"/>
        </w:rPr>
      </w:pPr>
      <w:r w:rsidRPr="000872FD">
        <w:rPr>
          <w:sz w:val="18"/>
          <w:szCs w:val="18"/>
          <w:lang w:val="en-GB"/>
        </w:rPr>
        <w:t>Bravo-Díaz, C. (2022) Advances in the control of lipid peroxidation in oil-in-water emulsions: kinetic approaches</w:t>
      </w:r>
      <w:r w:rsidR="00C57DD0">
        <w:rPr>
          <w:sz w:val="18"/>
          <w:szCs w:val="18"/>
          <w:lang w:val="en-GB"/>
        </w:rPr>
        <w:t xml:space="preserve"> </w:t>
      </w:r>
      <w:r w:rsidRPr="00E606A3">
        <w:rPr>
          <w:i/>
          <w:iCs/>
          <w:sz w:val="18"/>
          <w:szCs w:val="18"/>
          <w:lang w:val="en-GB"/>
        </w:rPr>
        <w:t>†. Critical Reviews in Food Science and Nutrition</w:t>
      </w:r>
      <w:r w:rsidRPr="000872FD">
        <w:rPr>
          <w:sz w:val="18"/>
          <w:szCs w:val="18"/>
          <w:lang w:val="en-GB"/>
        </w:rPr>
        <w:t>, 1–33.</w:t>
      </w:r>
    </w:p>
    <w:p w14:paraId="5EAB1C62" w14:textId="3314CBEB" w:rsidR="000872FD" w:rsidRPr="000A2D65" w:rsidRDefault="000872FD">
      <w:pPr>
        <w:ind w:left="425" w:hanging="425"/>
        <w:jc w:val="both"/>
        <w:rPr>
          <w:sz w:val="18"/>
          <w:szCs w:val="18"/>
          <w:lang w:val="en-US"/>
        </w:rPr>
      </w:pPr>
      <w:r w:rsidRPr="000872FD">
        <w:rPr>
          <w:sz w:val="18"/>
          <w:szCs w:val="18"/>
          <w:lang w:val="en-GB"/>
        </w:rPr>
        <w:t xml:space="preserve">Pryor, W. A., </w:t>
      </w:r>
      <w:proofErr w:type="spellStart"/>
      <w:r w:rsidRPr="000872FD">
        <w:rPr>
          <w:sz w:val="18"/>
          <w:szCs w:val="18"/>
          <w:lang w:val="en-GB"/>
        </w:rPr>
        <w:t>Cornicelli</w:t>
      </w:r>
      <w:proofErr w:type="spellEnd"/>
      <w:r w:rsidRPr="000872FD">
        <w:rPr>
          <w:sz w:val="18"/>
          <w:szCs w:val="18"/>
          <w:lang w:val="en-GB"/>
        </w:rPr>
        <w:t xml:space="preserve">, J. A., Devall, L. J., Tait, B., Trivedi, B. K., </w:t>
      </w:r>
      <w:proofErr w:type="spellStart"/>
      <w:r w:rsidRPr="000872FD">
        <w:rPr>
          <w:sz w:val="18"/>
          <w:szCs w:val="18"/>
          <w:lang w:val="en-GB"/>
        </w:rPr>
        <w:t>Witiak</w:t>
      </w:r>
      <w:proofErr w:type="spellEnd"/>
      <w:r w:rsidRPr="000872FD">
        <w:rPr>
          <w:sz w:val="18"/>
          <w:szCs w:val="18"/>
          <w:lang w:val="en-GB"/>
        </w:rPr>
        <w:t>, D. T., &amp; Wu, M. (1993)</w:t>
      </w:r>
      <w:r w:rsidR="00C57DD0">
        <w:rPr>
          <w:sz w:val="18"/>
          <w:szCs w:val="18"/>
          <w:lang w:val="en-GB"/>
        </w:rPr>
        <w:t xml:space="preserve"> </w:t>
      </w:r>
      <w:r w:rsidRPr="000872FD">
        <w:rPr>
          <w:sz w:val="18"/>
          <w:szCs w:val="18"/>
          <w:lang w:val="en-GB"/>
        </w:rPr>
        <w:t xml:space="preserve">A rapid screening test to determine the antioxidant potencies of natural and synthetic antioxidants. </w:t>
      </w:r>
      <w:r w:rsidRPr="00E606A3">
        <w:rPr>
          <w:i/>
          <w:iCs/>
          <w:sz w:val="18"/>
          <w:szCs w:val="18"/>
          <w:lang w:val="en-GB"/>
        </w:rPr>
        <w:t>The Journal of Organic Chemistry</w:t>
      </w:r>
      <w:r w:rsidRPr="000872FD">
        <w:rPr>
          <w:sz w:val="18"/>
          <w:szCs w:val="18"/>
          <w:lang w:val="en-GB"/>
        </w:rPr>
        <w:t xml:space="preserve">, </w:t>
      </w:r>
      <w:r w:rsidRPr="0051016F">
        <w:rPr>
          <w:b/>
          <w:bCs/>
          <w:sz w:val="18"/>
          <w:szCs w:val="18"/>
          <w:lang w:val="en-GB"/>
        </w:rPr>
        <w:t>58</w:t>
      </w:r>
      <w:r w:rsidR="00053ED3">
        <w:rPr>
          <w:sz w:val="18"/>
          <w:szCs w:val="18"/>
          <w:lang w:val="en-GB"/>
        </w:rPr>
        <w:t>:</w:t>
      </w:r>
      <w:r w:rsidRPr="000872FD">
        <w:rPr>
          <w:sz w:val="18"/>
          <w:szCs w:val="18"/>
          <w:lang w:val="en-GB"/>
        </w:rPr>
        <w:t xml:space="preserve"> 3521–3532.</w:t>
      </w:r>
    </w:p>
    <w:p w14:paraId="1E571C23" w14:textId="3FDFCD37" w:rsidR="00512D9B" w:rsidRPr="00A749F0" w:rsidRDefault="000872FD" w:rsidP="00A749F0">
      <w:pPr>
        <w:ind w:left="425" w:hanging="425"/>
        <w:jc w:val="both"/>
        <w:rPr>
          <w:sz w:val="18"/>
          <w:szCs w:val="18"/>
          <w:lang w:val="en-GB"/>
        </w:rPr>
      </w:pPr>
      <w:r w:rsidRPr="0011039F">
        <w:rPr>
          <w:sz w:val="18"/>
          <w:szCs w:val="18"/>
          <w:lang w:val="en-US"/>
        </w:rPr>
        <w:t xml:space="preserve">Xu, L., Davis, T. A., &amp; Porter, N. A. (2009) </w:t>
      </w:r>
      <w:r w:rsidRPr="000872FD">
        <w:rPr>
          <w:sz w:val="18"/>
          <w:szCs w:val="18"/>
          <w:lang w:val="en-GB"/>
        </w:rPr>
        <w:t xml:space="preserve">Rate Constants for Peroxidation of Polyunsaturated Fatty Acids and Sterols in Solution and in Liposomes. </w:t>
      </w:r>
      <w:r w:rsidRPr="00813CE5">
        <w:rPr>
          <w:i/>
          <w:iCs/>
          <w:sz w:val="18"/>
          <w:szCs w:val="18"/>
          <w:lang w:val="en-GB"/>
        </w:rPr>
        <w:t>Journal of the American Chemical Society</w:t>
      </w:r>
      <w:r w:rsidRPr="000872FD">
        <w:rPr>
          <w:sz w:val="18"/>
          <w:szCs w:val="18"/>
          <w:lang w:val="en-GB"/>
        </w:rPr>
        <w:t xml:space="preserve">, </w:t>
      </w:r>
      <w:r w:rsidRPr="00053ED3">
        <w:rPr>
          <w:b/>
          <w:bCs/>
          <w:sz w:val="18"/>
          <w:szCs w:val="18"/>
          <w:lang w:val="en-GB"/>
        </w:rPr>
        <w:t>131</w:t>
      </w:r>
      <w:r w:rsidR="00053ED3">
        <w:rPr>
          <w:sz w:val="18"/>
          <w:szCs w:val="18"/>
          <w:lang w:val="en-GB"/>
        </w:rPr>
        <w:t>:</w:t>
      </w:r>
      <w:r w:rsidRPr="000872FD">
        <w:rPr>
          <w:sz w:val="18"/>
          <w:szCs w:val="18"/>
          <w:lang w:val="en-GB"/>
        </w:rPr>
        <w:t xml:space="preserve"> 13037–13044.</w:t>
      </w:r>
    </w:p>
    <w:sectPr w:rsidR="00512D9B" w:rsidRPr="00A749F0" w:rsidSect="0014588B">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8" w:right="1138" w:bottom="1138" w:left="1699"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0023" w14:textId="77777777" w:rsidR="005F6B0F" w:rsidRDefault="005F6B0F">
      <w:r>
        <w:separator/>
      </w:r>
    </w:p>
  </w:endnote>
  <w:endnote w:type="continuationSeparator" w:id="0">
    <w:p w14:paraId="0D755D29" w14:textId="77777777" w:rsidR="005F6B0F" w:rsidRDefault="005F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229B" w14:textId="77777777" w:rsidR="00411704" w:rsidRDefault="004117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7C713" w14:textId="77777777" w:rsidR="00411704" w:rsidRDefault="004117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3492" w14:textId="77777777" w:rsidR="00411704" w:rsidRDefault="00411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80AF" w14:textId="77777777" w:rsidR="005F6B0F" w:rsidRDefault="005F6B0F">
      <w:r>
        <w:separator/>
      </w:r>
    </w:p>
  </w:footnote>
  <w:footnote w:type="continuationSeparator" w:id="0">
    <w:p w14:paraId="69020EC3" w14:textId="77777777" w:rsidR="005F6B0F" w:rsidRDefault="005F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C719" w14:textId="77777777" w:rsidR="00411704" w:rsidRDefault="004117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42DD" w14:textId="77777777" w:rsidR="00411704" w:rsidRDefault="004117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90FB" w14:textId="77777777" w:rsidR="00411704" w:rsidRDefault="00411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6A4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A17757"/>
    <w:multiLevelType w:val="multilevel"/>
    <w:tmpl w:val="B9D23C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lvlText w:val="%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7.%8.%9"/>
      <w:lvlJc w:val="left"/>
      <w:pPr>
        <w:tabs>
          <w:tab w:val="num" w:pos="1584"/>
        </w:tabs>
        <w:ind w:left="1584" w:hanging="1584"/>
      </w:pPr>
    </w:lvl>
  </w:abstractNum>
  <w:abstractNum w:abstractNumId="3" w15:restartNumberingAfterBreak="0">
    <w:nsid w:val="78AB14AD"/>
    <w:multiLevelType w:val="multilevel"/>
    <w:tmpl w:val="C80A9F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66440471">
    <w:abstractNumId w:val="2"/>
  </w:num>
  <w:num w:numId="2" w16cid:durableId="179976880">
    <w:abstractNumId w:val="1"/>
  </w:num>
  <w:num w:numId="3" w16cid:durableId="674459547">
    <w:abstractNumId w:val="0"/>
  </w:num>
  <w:num w:numId="4" w16cid:durableId="2062248590">
    <w:abstractNumId w:val="3"/>
  </w:num>
  <w:num w:numId="5" w16cid:durableId="1026563147">
    <w:abstractNumId w:val="0"/>
  </w:num>
  <w:num w:numId="6" w16cid:durableId="110214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xMrWwtDQwMzcwNjFS0lEKTi0uzszPAykwqwUAoxFt1SwAAAA="/>
  </w:docVars>
  <w:rsids>
    <w:rsidRoot w:val="00512D9B"/>
    <w:rsid w:val="00014EF4"/>
    <w:rsid w:val="00053ED3"/>
    <w:rsid w:val="000872FD"/>
    <w:rsid w:val="00092278"/>
    <w:rsid w:val="000A2D65"/>
    <w:rsid w:val="000C3785"/>
    <w:rsid w:val="000D32A2"/>
    <w:rsid w:val="000D4B3A"/>
    <w:rsid w:val="0011039F"/>
    <w:rsid w:val="0014588B"/>
    <w:rsid w:val="00191FAF"/>
    <w:rsid w:val="001C48B3"/>
    <w:rsid w:val="0021382C"/>
    <w:rsid w:val="00252625"/>
    <w:rsid w:val="00290224"/>
    <w:rsid w:val="002B60D3"/>
    <w:rsid w:val="002E4609"/>
    <w:rsid w:val="00302818"/>
    <w:rsid w:val="00312D2B"/>
    <w:rsid w:val="00332292"/>
    <w:rsid w:val="00344390"/>
    <w:rsid w:val="003642F2"/>
    <w:rsid w:val="003A20D0"/>
    <w:rsid w:val="003F74C5"/>
    <w:rsid w:val="00405A55"/>
    <w:rsid w:val="00411704"/>
    <w:rsid w:val="00432AC7"/>
    <w:rsid w:val="004C01E9"/>
    <w:rsid w:val="004D5E21"/>
    <w:rsid w:val="00504AF8"/>
    <w:rsid w:val="0051016F"/>
    <w:rsid w:val="00512D9B"/>
    <w:rsid w:val="005341D9"/>
    <w:rsid w:val="005557E8"/>
    <w:rsid w:val="005F6B0F"/>
    <w:rsid w:val="00607661"/>
    <w:rsid w:val="006A2506"/>
    <w:rsid w:val="00712363"/>
    <w:rsid w:val="00746B7D"/>
    <w:rsid w:val="007709C8"/>
    <w:rsid w:val="007D05C6"/>
    <w:rsid w:val="007E1A6E"/>
    <w:rsid w:val="007F6D35"/>
    <w:rsid w:val="00806CD7"/>
    <w:rsid w:val="00813CE5"/>
    <w:rsid w:val="0082342E"/>
    <w:rsid w:val="008E57E9"/>
    <w:rsid w:val="008E6061"/>
    <w:rsid w:val="009378DB"/>
    <w:rsid w:val="0094112F"/>
    <w:rsid w:val="0095572E"/>
    <w:rsid w:val="009854CA"/>
    <w:rsid w:val="00986637"/>
    <w:rsid w:val="009B67D5"/>
    <w:rsid w:val="009C5E35"/>
    <w:rsid w:val="009F6482"/>
    <w:rsid w:val="00A0203F"/>
    <w:rsid w:val="00A16893"/>
    <w:rsid w:val="00A26EAE"/>
    <w:rsid w:val="00A749F0"/>
    <w:rsid w:val="00A90298"/>
    <w:rsid w:val="00AA6A98"/>
    <w:rsid w:val="00AC163E"/>
    <w:rsid w:val="00AE425C"/>
    <w:rsid w:val="00B02498"/>
    <w:rsid w:val="00B33456"/>
    <w:rsid w:val="00B554FA"/>
    <w:rsid w:val="00B57A40"/>
    <w:rsid w:val="00BA06D3"/>
    <w:rsid w:val="00BA6ADA"/>
    <w:rsid w:val="00BD33B4"/>
    <w:rsid w:val="00C57DD0"/>
    <w:rsid w:val="00C97EE4"/>
    <w:rsid w:val="00CB0519"/>
    <w:rsid w:val="00CB31BE"/>
    <w:rsid w:val="00CF2A7B"/>
    <w:rsid w:val="00CF6B02"/>
    <w:rsid w:val="00D1305D"/>
    <w:rsid w:val="00D23A20"/>
    <w:rsid w:val="00D76006"/>
    <w:rsid w:val="00D950F3"/>
    <w:rsid w:val="00DA12B0"/>
    <w:rsid w:val="00DB66C7"/>
    <w:rsid w:val="00E1225F"/>
    <w:rsid w:val="00E5340A"/>
    <w:rsid w:val="00E606A3"/>
    <w:rsid w:val="00E71BC6"/>
    <w:rsid w:val="00F01A21"/>
    <w:rsid w:val="00F0253D"/>
    <w:rsid w:val="00F05AD1"/>
    <w:rsid w:val="00FB589C"/>
    <w:rsid w:val="00FC4318"/>
    <w:rsid w:val="00FD1AF4"/>
    <w:rsid w:val="00FD1E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D12F75"/>
  <w14:defaultImageDpi w14:val="32767"/>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numPr>
        <w:numId w:val="3"/>
      </w:numPr>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numPr>
        <w:ilvl w:val="1"/>
        <w:numId w:val="3"/>
      </w:numPr>
      <w:outlineLvl w:val="1"/>
    </w:pPr>
    <w:rPr>
      <w:sz w:val="32"/>
    </w:rPr>
  </w:style>
  <w:style w:type="paragraph" w:styleId="Heading3">
    <w:name w:val="heading 3"/>
    <w:basedOn w:val="Normal"/>
    <w:next w:val="Normal"/>
    <w:uiPriority w:val="9"/>
    <w:unhideWhenUsed/>
    <w:qFormat/>
    <w:pPr>
      <w:keepNext/>
      <w:numPr>
        <w:ilvl w:val="2"/>
        <w:numId w:val="3"/>
      </w:numPr>
      <w:outlineLvl w:val="2"/>
    </w:pPr>
    <w:rPr>
      <w:sz w:val="28"/>
      <w:lang w:val="en-US"/>
    </w:rPr>
  </w:style>
  <w:style w:type="paragraph" w:styleId="Heading4">
    <w:name w:val="heading 4"/>
    <w:basedOn w:val="Normal"/>
    <w:next w:val="Normal"/>
    <w:uiPriority w:val="9"/>
    <w:semiHidden/>
    <w:unhideWhenUsed/>
    <w:qFormat/>
    <w:pPr>
      <w:keepNext/>
      <w:widowControl/>
      <w:numPr>
        <w:ilvl w:val="3"/>
        <w:numId w:val="3"/>
      </w:numPr>
      <w:outlineLvl w:val="3"/>
    </w:pPr>
    <w:rPr>
      <w:color w:val="000000"/>
      <w:sz w:val="24"/>
    </w:rPr>
  </w:style>
  <w:style w:type="paragraph" w:styleId="Heading5">
    <w:name w:val="heading 5"/>
    <w:basedOn w:val="Normal"/>
    <w:next w:val="Normal"/>
    <w:uiPriority w:val="9"/>
    <w:semiHidden/>
    <w:unhideWhenUsed/>
    <w:qFormat/>
    <w:pPr>
      <w:keepNext/>
      <w:numPr>
        <w:ilvl w:val="4"/>
        <w:numId w:val="3"/>
      </w:numPr>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numPr>
        <w:ilvl w:val="5"/>
        <w:numId w:val="3"/>
      </w:numPr>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3"/>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3"/>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3"/>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table" w:styleId="TableGrid">
    <w:name w:val="Table Grid"/>
    <w:basedOn w:val="TableNormal"/>
    <w:uiPriority w:val="39"/>
    <w:rsid w:val="00A26EAE"/>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Caption"/>
    <w:link w:val="EquationChar"/>
    <w:qFormat/>
    <w:rsid w:val="00A26EAE"/>
    <w:pPr>
      <w:widowControl/>
      <w:suppressLineNumbers w:val="0"/>
      <w:suppressAutoHyphens w:val="0"/>
      <w:jc w:val="center"/>
    </w:pPr>
    <w:rPr>
      <w:rFonts w:eastAsiaTheme="minorHAnsi" w:cs="Times New Roman"/>
      <w:i w:val="0"/>
      <w:iCs w:val="0"/>
      <w:lang w:val="en-US" w:eastAsia="en-US"/>
    </w:rPr>
  </w:style>
  <w:style w:type="character" w:customStyle="1" w:styleId="EquationChar">
    <w:name w:val="Equation Char"/>
    <w:basedOn w:val="DefaultParagraphFont"/>
    <w:link w:val="Equation"/>
    <w:rsid w:val="00A26EAE"/>
    <w:rPr>
      <w:rFonts w:ascii="Times New Roman" w:eastAsiaTheme="minorHAnsi" w:hAnsi="Times New Roman" w:cs="Times New Roman"/>
      <w:lang w:val="en-US" w:eastAsia="en-US" w:bidi="ar-SA"/>
    </w:rPr>
  </w:style>
  <w:style w:type="paragraph" w:styleId="ListParagraph">
    <w:name w:val="List Paragraph"/>
    <w:basedOn w:val="Normal"/>
    <w:uiPriority w:val="34"/>
    <w:qFormat/>
    <w:rsid w:val="00C97EE4"/>
    <w:pPr>
      <w:ind w:left="720"/>
      <w:contextualSpacing/>
    </w:pPr>
  </w:style>
  <w:style w:type="table" w:styleId="ListTable6Colorful">
    <w:name w:val="List Table 6 Colorful"/>
    <w:basedOn w:val="TableNormal"/>
    <w:uiPriority w:val="51"/>
    <w:rsid w:val="00806CD7"/>
    <w:rPr>
      <w:rFonts w:asciiTheme="minorHAnsi" w:eastAsiaTheme="minorHAnsi" w:hAnsiTheme="minorHAnsi" w:cstheme="minorBidi"/>
      <w:color w:val="000000" w:themeColor="text1"/>
      <w:sz w:val="22"/>
      <w:szCs w:val="22"/>
      <w:lang w:val="en-US" w:eastAsia="en-US" w:bidi="ar-S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872FD"/>
    <w:rPr>
      <w:color w:val="0563C1" w:themeColor="hyperlink"/>
      <w:u w:val="single"/>
    </w:rPr>
  </w:style>
  <w:style w:type="character" w:styleId="UnresolvedMention">
    <w:name w:val="Unresolved Mention"/>
    <w:basedOn w:val="DefaultParagraphFont"/>
    <w:uiPriority w:val="99"/>
    <w:semiHidden/>
    <w:unhideWhenUsed/>
    <w:rsid w:val="00087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f"/><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4186E9-CFCA-4335-A884-B689D85C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6887</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Suhag Rajat (Student AGR 21)</cp:lastModifiedBy>
  <cp:revision>76</cp:revision>
  <cp:lastPrinted>2023-02-24T09:51:00Z</cp:lastPrinted>
  <dcterms:created xsi:type="dcterms:W3CDTF">2023-02-24T10:00:00Z</dcterms:created>
  <dcterms:modified xsi:type="dcterms:W3CDTF">2023-06-23T13:45:00Z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http://www.zotero.org/styles/food-chemistry</vt:lpwstr>
  </property>
  <property fmtid="{D5CDD505-2E9C-101B-9397-08002B2CF9AE}" pid="6" name="Mendeley Recent Style Name 1_1">
    <vt:lpwstr>Food Chemistry</vt:lpwstr>
  </property>
  <property fmtid="{D5CDD505-2E9C-101B-9397-08002B2CF9AE}" pid="7" name="Mendeley Recent Style Id 2_1">
    <vt:lpwstr>http://www.zotero.org/styles/food-control</vt:lpwstr>
  </property>
  <property fmtid="{D5CDD505-2E9C-101B-9397-08002B2CF9AE}" pid="8" name="Mendeley Recent Style Name 2_1">
    <vt:lpwstr>Food Control</vt:lpwstr>
  </property>
  <property fmtid="{D5CDD505-2E9C-101B-9397-08002B2CF9AE}" pid="9" name="Mendeley Recent Style Id 3_1">
    <vt:lpwstr>http://www.zotero.org/styles/food-research-international</vt:lpwstr>
  </property>
  <property fmtid="{D5CDD505-2E9C-101B-9397-08002B2CF9AE}" pid="10" name="Mendeley Recent Style Name 3_1">
    <vt:lpwstr>Food Research International</vt:lpwstr>
  </property>
  <property fmtid="{D5CDD505-2E9C-101B-9397-08002B2CF9AE}" pid="11" name="Mendeley Recent Style Id 4_1">
    <vt:lpwstr>http://www.zotero.org/styles/food-and-bioprocess-technology</vt:lpwstr>
  </property>
  <property fmtid="{D5CDD505-2E9C-101B-9397-08002B2CF9AE}" pid="12" name="Mendeley Recent Style Name 4_1">
    <vt:lpwstr>Food and Bioprocess Technology</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http://www.zotero.org/styles/journal-of-food-science-and-technology</vt:lpwstr>
  </property>
  <property fmtid="{D5CDD505-2E9C-101B-9397-08002B2CF9AE}" pid="16" name="Mendeley Recent Style Name 6_1">
    <vt:lpwstr>Journal of Food Science and Technology</vt:lpwstr>
  </property>
  <property fmtid="{D5CDD505-2E9C-101B-9397-08002B2CF9AE}" pid="17" name="Mendeley Recent Style Id 7_1">
    <vt:lpwstr>http://www.zotero.org/styles/lwt</vt:lpwstr>
  </property>
  <property fmtid="{D5CDD505-2E9C-101B-9397-08002B2CF9AE}" pid="18" name="Mendeley Recent Style Name 7_1">
    <vt:lpwstr>LWT</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http://www.zotero.org/styles/rheologica-acta</vt:lpwstr>
  </property>
  <property fmtid="{D5CDD505-2E9C-101B-9397-08002B2CF9AE}" pid="22" name="Mendeley Recent Style Name 9_1">
    <vt:lpwstr>Rheologica Acta</vt:lpwstr>
  </property>
  <property fmtid="{D5CDD505-2E9C-101B-9397-08002B2CF9AE}" pid="23" name="Mendeley Document_1">
    <vt:lpwstr>True</vt:lpwstr>
  </property>
  <property fmtid="{D5CDD505-2E9C-101B-9397-08002B2CF9AE}" pid="24" name="Mendeley Citation Style_1">
    <vt:lpwstr>http://www.zotero.org/styles/harvard1</vt:lpwstr>
  </property>
  <property fmtid="{D5CDD505-2E9C-101B-9397-08002B2CF9AE}" pid="25" name="Mendeley Unique User Id_1">
    <vt:lpwstr>eb14df10-92f3-33a8-977e-a3ac1c81d026</vt:lpwstr>
  </property>
</Properties>
</file>