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29E0" w14:textId="65D234E7" w:rsidR="004C632C" w:rsidRPr="008B52AC" w:rsidRDefault="004C632C" w:rsidP="008B52AC">
      <w:pPr>
        <w:pStyle w:val="Titolo"/>
        <w:spacing w:before="600" w:line="240" w:lineRule="auto"/>
        <w:rPr>
          <w:lang w:val="en-GB"/>
        </w:rPr>
      </w:pPr>
      <w:r w:rsidRPr="009C5C7C">
        <w:rPr>
          <w:lang w:val="en-GB"/>
        </w:rPr>
        <w:t xml:space="preserve">Alternative </w:t>
      </w:r>
      <w:r w:rsidR="008C101D" w:rsidRPr="009C5C7C">
        <w:rPr>
          <w:lang w:val="en-GB"/>
        </w:rPr>
        <w:t xml:space="preserve">Strategies </w:t>
      </w:r>
      <w:r w:rsidR="008C101D">
        <w:rPr>
          <w:lang w:val="en-GB"/>
        </w:rPr>
        <w:t>f</w:t>
      </w:r>
      <w:r w:rsidR="008C101D" w:rsidRPr="009C5C7C">
        <w:rPr>
          <w:lang w:val="en-GB"/>
        </w:rPr>
        <w:t xml:space="preserve">or </w:t>
      </w:r>
      <w:r w:rsidR="008C101D">
        <w:rPr>
          <w:lang w:val="en-GB"/>
        </w:rPr>
        <w:t>t</w:t>
      </w:r>
      <w:r w:rsidR="008C101D" w:rsidRPr="009C5C7C">
        <w:rPr>
          <w:lang w:val="en-GB"/>
        </w:rPr>
        <w:t xml:space="preserve">he Development </w:t>
      </w:r>
      <w:r w:rsidR="008C101D">
        <w:rPr>
          <w:lang w:val="en-GB"/>
        </w:rPr>
        <w:t>o</w:t>
      </w:r>
      <w:r w:rsidR="008C101D" w:rsidRPr="009C5C7C">
        <w:rPr>
          <w:lang w:val="en-GB"/>
        </w:rPr>
        <w:t xml:space="preserve">f High-Nutritional-Value Products </w:t>
      </w:r>
      <w:r w:rsidR="008C101D">
        <w:rPr>
          <w:lang w:val="en-GB"/>
        </w:rPr>
        <w:t>f</w:t>
      </w:r>
      <w:r w:rsidR="008C101D" w:rsidRPr="009C5C7C">
        <w:rPr>
          <w:lang w:val="en-GB"/>
        </w:rPr>
        <w:t xml:space="preserve">rom Cereals </w:t>
      </w:r>
      <w:r w:rsidR="008C101D">
        <w:rPr>
          <w:lang w:val="en-GB"/>
        </w:rPr>
        <w:t>a</w:t>
      </w:r>
      <w:r w:rsidR="008C101D" w:rsidRPr="009C5C7C">
        <w:rPr>
          <w:lang w:val="en-GB"/>
        </w:rPr>
        <w:t>nd Pulses</w:t>
      </w:r>
    </w:p>
    <w:p w14:paraId="0D157545" w14:textId="77777777" w:rsidR="004C632C" w:rsidRPr="008B52AC" w:rsidRDefault="004C632C" w:rsidP="004C632C">
      <w:pPr>
        <w:jc w:val="center"/>
        <w:rPr>
          <w:lang w:val="de-DE"/>
        </w:rPr>
      </w:pPr>
      <w:r w:rsidRPr="008B52AC">
        <w:rPr>
          <w:lang w:val="de-DE"/>
        </w:rPr>
        <w:t>Lorenzo Estivi (lorenzo.estivi@unimi.it)</w:t>
      </w:r>
    </w:p>
    <w:p w14:paraId="0B408F84" w14:textId="64DA9BED" w:rsidR="004C632C" w:rsidRPr="008B52AC" w:rsidRDefault="004C632C" w:rsidP="004C632C">
      <w:pPr>
        <w:jc w:val="center"/>
        <w:rPr>
          <w:lang w:val="de-DE"/>
        </w:rPr>
      </w:pPr>
      <w:proofErr w:type="spellStart"/>
      <w:r w:rsidRPr="008B52AC">
        <w:rPr>
          <w:lang w:val="de-DE"/>
        </w:rPr>
        <w:t>Dep</w:t>
      </w:r>
      <w:r w:rsidR="009E63AB">
        <w:rPr>
          <w:lang w:val="de-DE"/>
        </w:rPr>
        <w:t>t</w:t>
      </w:r>
      <w:proofErr w:type="spellEnd"/>
      <w:r w:rsidR="009E63AB">
        <w:rPr>
          <w:lang w:val="de-DE"/>
        </w:rPr>
        <w:t xml:space="preserve">. </w:t>
      </w:r>
      <w:r w:rsidRPr="008B52AC">
        <w:rPr>
          <w:lang w:val="de-DE"/>
        </w:rPr>
        <w:t>Food, Environmental and Nutritional Sciences</w:t>
      </w:r>
      <w:r w:rsidR="009E63AB">
        <w:rPr>
          <w:lang w:val="de-DE"/>
        </w:rPr>
        <w:t xml:space="preserve">, </w:t>
      </w:r>
      <w:r w:rsidRPr="008B52AC">
        <w:rPr>
          <w:lang w:val="de-DE"/>
        </w:rPr>
        <w:t xml:space="preserve">University </w:t>
      </w:r>
      <w:proofErr w:type="spellStart"/>
      <w:r w:rsidRPr="008B52AC">
        <w:rPr>
          <w:lang w:val="de-DE"/>
        </w:rPr>
        <w:t>of</w:t>
      </w:r>
      <w:proofErr w:type="spellEnd"/>
      <w:r w:rsidRPr="008B52AC">
        <w:rPr>
          <w:lang w:val="de-DE"/>
        </w:rPr>
        <w:t xml:space="preserve"> Milan, </w:t>
      </w:r>
      <w:r w:rsidR="009E63AB">
        <w:rPr>
          <w:lang w:val="de-DE"/>
        </w:rPr>
        <w:t xml:space="preserve">Milan, </w:t>
      </w:r>
      <w:proofErr w:type="spellStart"/>
      <w:r w:rsidRPr="008B52AC">
        <w:rPr>
          <w:lang w:val="de-DE"/>
        </w:rPr>
        <w:t>Italy</w:t>
      </w:r>
      <w:proofErr w:type="spellEnd"/>
    </w:p>
    <w:p w14:paraId="46CE7E50" w14:textId="77777777" w:rsidR="004C632C" w:rsidRPr="008B52AC" w:rsidRDefault="004C632C" w:rsidP="004C632C">
      <w:pPr>
        <w:jc w:val="center"/>
        <w:rPr>
          <w:lang w:val="de-DE"/>
        </w:rPr>
      </w:pPr>
      <w:r w:rsidRPr="008B52AC">
        <w:rPr>
          <w:lang w:val="de-DE"/>
        </w:rPr>
        <w:t>Tutor: Prof. Alyssa Hidalgo</w:t>
      </w:r>
    </w:p>
    <w:p w14:paraId="470CB764" w14:textId="77777777" w:rsidR="007D40F9" w:rsidRPr="009C5C7C" w:rsidRDefault="007D40F9" w:rsidP="007D40F9">
      <w:pPr>
        <w:jc w:val="both"/>
        <w:rPr>
          <w:lang w:val="en-GB"/>
        </w:rPr>
      </w:pPr>
    </w:p>
    <w:p w14:paraId="4756A1EF" w14:textId="7814862A" w:rsidR="004C632C" w:rsidRPr="009C5C7C" w:rsidRDefault="004C632C" w:rsidP="00984646">
      <w:pPr>
        <w:jc w:val="both"/>
        <w:rPr>
          <w:lang w:val="en-GB"/>
        </w:rPr>
      </w:pPr>
      <w:r w:rsidRPr="009C5C7C">
        <w:rPr>
          <w:lang w:val="en-GB"/>
        </w:rPr>
        <w:t xml:space="preserve">This PhD </w:t>
      </w:r>
      <w:r w:rsidR="0002520D" w:rsidRPr="009C5C7C">
        <w:rPr>
          <w:lang w:val="en-GB"/>
        </w:rPr>
        <w:t xml:space="preserve">thesis </w:t>
      </w:r>
      <w:r w:rsidRPr="009C5C7C">
        <w:rPr>
          <w:lang w:val="en-GB"/>
        </w:rPr>
        <w:t>aimed at improving the nutritional value of cereals and pulses-based food</w:t>
      </w:r>
      <w:r w:rsidR="0002520D" w:rsidRPr="009C5C7C">
        <w:rPr>
          <w:lang w:val="en-GB"/>
        </w:rPr>
        <w:t xml:space="preserve"> through</w:t>
      </w:r>
      <w:r w:rsidRPr="009C5C7C">
        <w:rPr>
          <w:lang w:val="en-GB"/>
        </w:rPr>
        <w:t xml:space="preserve"> </w:t>
      </w:r>
      <w:r w:rsidR="0002520D" w:rsidRPr="009C5C7C">
        <w:rPr>
          <w:lang w:val="en-GB"/>
        </w:rPr>
        <w:t>d</w:t>
      </w:r>
      <w:r w:rsidRPr="009C5C7C">
        <w:rPr>
          <w:lang w:val="en-GB"/>
        </w:rPr>
        <w:t>ifferent strategies</w:t>
      </w:r>
      <w:r w:rsidR="0002520D" w:rsidRPr="009C5C7C">
        <w:rPr>
          <w:lang w:val="en-GB"/>
        </w:rPr>
        <w:t xml:space="preserve"> as:</w:t>
      </w:r>
      <w:r w:rsidRPr="009C5C7C">
        <w:rPr>
          <w:lang w:val="en-GB"/>
        </w:rPr>
        <w:t xml:space="preserve"> using the natural modifications occurring during germination; exploiting underutilized crops; recover and upcycling food industry by-products</w:t>
      </w:r>
      <w:r w:rsidR="0002520D" w:rsidRPr="009C5C7C">
        <w:rPr>
          <w:lang w:val="en-GB"/>
        </w:rPr>
        <w:t xml:space="preserve"> with the </w:t>
      </w:r>
      <w:r w:rsidR="00814E7E" w:rsidRPr="009C5C7C">
        <w:rPr>
          <w:lang w:val="en-GB"/>
        </w:rPr>
        <w:t xml:space="preserve">possible </w:t>
      </w:r>
      <w:r w:rsidR="0002520D" w:rsidRPr="009C5C7C">
        <w:rPr>
          <w:lang w:val="en-GB"/>
        </w:rPr>
        <w:t>implementation of high</w:t>
      </w:r>
      <w:r w:rsidRPr="009C5C7C">
        <w:rPr>
          <w:lang w:val="en-GB"/>
        </w:rPr>
        <w:t>-power low-frequency ultrasound</w:t>
      </w:r>
      <w:r w:rsidR="0002520D" w:rsidRPr="009C5C7C">
        <w:rPr>
          <w:lang w:val="en-GB"/>
        </w:rPr>
        <w:t xml:space="preserve"> technology</w:t>
      </w:r>
      <w:r w:rsidR="006B502C" w:rsidRPr="009C5C7C">
        <w:rPr>
          <w:lang w:val="en-GB"/>
        </w:rPr>
        <w:t xml:space="preserve"> (US)</w:t>
      </w:r>
      <w:r w:rsidR="0002520D" w:rsidRPr="009C5C7C">
        <w:rPr>
          <w:lang w:val="en-GB"/>
        </w:rPr>
        <w:t>.</w:t>
      </w:r>
    </w:p>
    <w:p w14:paraId="4B8C0A79" w14:textId="0D0364B0" w:rsidR="007D40F9" w:rsidRPr="00984646" w:rsidRDefault="0002520D" w:rsidP="008B52AC">
      <w:pPr>
        <w:pStyle w:val="Titolo"/>
        <w:spacing w:before="240" w:line="240" w:lineRule="auto"/>
        <w:rPr>
          <w:sz w:val="24"/>
          <w:lang w:val="it-IT"/>
        </w:rPr>
      </w:pPr>
      <w:r w:rsidRPr="00984646">
        <w:rPr>
          <w:sz w:val="24"/>
          <w:lang w:val="it-IT"/>
        </w:rPr>
        <w:t>Strategie alternative per lo sviluppo di prodotti alimentari ad alto valore nutrizionale da cereali e legumi</w:t>
      </w:r>
    </w:p>
    <w:p w14:paraId="567AA3B7" w14:textId="7A9DF19D" w:rsidR="007D40F9" w:rsidRPr="00984646" w:rsidRDefault="0002520D" w:rsidP="00C41672">
      <w:pPr>
        <w:jc w:val="both"/>
      </w:pPr>
      <w:r w:rsidRPr="00984646">
        <w:t xml:space="preserve">Questa tesi di dottorato ha riguardato il miglioramento del valore nutrizionale degli alimenti a base di cereali e legumi </w:t>
      </w:r>
      <w:r w:rsidR="00C41672" w:rsidRPr="00984646">
        <w:t>attraverso</w:t>
      </w:r>
      <w:r w:rsidRPr="00984646">
        <w:t xml:space="preserve"> strategie</w:t>
      </w:r>
      <w:r w:rsidR="0031664D" w:rsidRPr="0031664D">
        <w:t xml:space="preserve"> </w:t>
      </w:r>
      <w:r w:rsidR="0031664D" w:rsidRPr="00984646">
        <w:t>diverse</w:t>
      </w:r>
      <w:r w:rsidR="00C41672" w:rsidRPr="00984646">
        <w:t xml:space="preserve">, quali: </w:t>
      </w:r>
      <w:r w:rsidRPr="00984646">
        <w:t xml:space="preserve">le naturali </w:t>
      </w:r>
      <w:r w:rsidR="00C41672" w:rsidRPr="00984646">
        <w:t xml:space="preserve">modificazioni </w:t>
      </w:r>
      <w:r w:rsidRPr="00984646">
        <w:t xml:space="preserve">che si verificano durante la germinazione; </w:t>
      </w:r>
      <w:r w:rsidR="00C41672" w:rsidRPr="00984646">
        <w:t xml:space="preserve">lo </w:t>
      </w:r>
      <w:r w:rsidRPr="00984646">
        <w:t xml:space="preserve">sfruttamento delle colture sottoutilizzate; </w:t>
      </w:r>
      <w:r w:rsidR="00C41672" w:rsidRPr="00984646">
        <w:t xml:space="preserve">il </w:t>
      </w:r>
      <w:r w:rsidRPr="00984646">
        <w:t xml:space="preserve">recupero e </w:t>
      </w:r>
      <w:r w:rsidR="00C41672" w:rsidRPr="00984646">
        <w:t xml:space="preserve">il </w:t>
      </w:r>
      <w:r w:rsidRPr="00984646">
        <w:t>riciclo d</w:t>
      </w:r>
      <w:r w:rsidR="00C41672" w:rsidRPr="00984646">
        <w:t>e</w:t>
      </w:r>
      <w:r w:rsidRPr="00984646">
        <w:t>i sottoprodotti dell'industria alimentare</w:t>
      </w:r>
      <w:r w:rsidR="00814E7E" w:rsidRPr="00984646">
        <w:t xml:space="preserve"> con l’eventuale adozione degli ultrasuoni a bassa frequenza. </w:t>
      </w:r>
    </w:p>
    <w:p w14:paraId="39E78291" w14:textId="77777777" w:rsidR="007D40F9" w:rsidRPr="00984646" w:rsidRDefault="007D40F9" w:rsidP="007D40F9">
      <w:pPr>
        <w:pStyle w:val="Intestazione"/>
        <w:tabs>
          <w:tab w:val="clear" w:pos="4819"/>
          <w:tab w:val="clear" w:pos="9638"/>
        </w:tabs>
        <w:spacing w:line="240" w:lineRule="auto"/>
        <w:rPr>
          <w:lang w:val="it-IT"/>
        </w:rPr>
      </w:pPr>
    </w:p>
    <w:p w14:paraId="0188BB6A" w14:textId="325E189C" w:rsidR="007D40F9" w:rsidRPr="009C5C7C" w:rsidRDefault="007D40F9" w:rsidP="007D40F9">
      <w:pPr>
        <w:jc w:val="both"/>
        <w:rPr>
          <w:lang w:val="en-GB"/>
        </w:rPr>
      </w:pPr>
      <w:r w:rsidRPr="009C5C7C">
        <w:rPr>
          <w:b/>
          <w:bCs/>
          <w:lang w:val="en-GB"/>
        </w:rPr>
        <w:t>Key words</w:t>
      </w:r>
      <w:r w:rsidRPr="009C5C7C">
        <w:rPr>
          <w:lang w:val="en-GB"/>
        </w:rPr>
        <w:t xml:space="preserve">: </w:t>
      </w:r>
      <w:r w:rsidR="00814E7E" w:rsidRPr="009C5C7C">
        <w:rPr>
          <w:lang w:val="en-GB"/>
        </w:rPr>
        <w:t>pulses</w:t>
      </w:r>
      <w:r w:rsidRPr="009C5C7C">
        <w:rPr>
          <w:lang w:val="en-GB"/>
        </w:rPr>
        <w:t xml:space="preserve">; </w:t>
      </w:r>
      <w:r w:rsidR="00814E7E" w:rsidRPr="009C5C7C">
        <w:rPr>
          <w:lang w:val="en-GB"/>
        </w:rPr>
        <w:t>legumes; cereals</w:t>
      </w:r>
      <w:r w:rsidRPr="009C5C7C">
        <w:rPr>
          <w:lang w:val="en-GB"/>
        </w:rPr>
        <w:t>;</w:t>
      </w:r>
      <w:r w:rsidR="00814E7E" w:rsidRPr="009C5C7C">
        <w:rPr>
          <w:lang w:val="en-GB"/>
        </w:rPr>
        <w:t xml:space="preserve"> ultrasound</w:t>
      </w:r>
      <w:r w:rsidRPr="009C5C7C">
        <w:rPr>
          <w:lang w:val="en-GB"/>
        </w:rPr>
        <w:t xml:space="preserve">; </w:t>
      </w:r>
      <w:r w:rsidR="00814E7E" w:rsidRPr="009C5C7C">
        <w:rPr>
          <w:lang w:val="en-GB"/>
        </w:rPr>
        <w:t xml:space="preserve">germination; sprouting; by-product; </w:t>
      </w:r>
      <w:proofErr w:type="spellStart"/>
      <w:r w:rsidR="00814E7E" w:rsidRPr="009C5C7C">
        <w:rPr>
          <w:lang w:val="en-GB"/>
        </w:rPr>
        <w:t>sidestream</w:t>
      </w:r>
      <w:proofErr w:type="spellEnd"/>
      <w:r w:rsidR="00DE691C">
        <w:rPr>
          <w:lang w:val="en-GB"/>
        </w:rPr>
        <w:t>.</w:t>
      </w:r>
    </w:p>
    <w:p w14:paraId="758A709A" w14:textId="40E70CD2" w:rsidR="007D40F9" w:rsidRPr="009C5C7C" w:rsidRDefault="007D40F9" w:rsidP="007D40F9">
      <w:pPr>
        <w:pStyle w:val="Titolo1"/>
        <w:spacing w:before="240" w:after="120"/>
        <w:ind w:right="0"/>
        <w:jc w:val="both"/>
        <w:rPr>
          <w:b/>
          <w:bCs/>
          <w:color w:val="000000"/>
          <w:sz w:val="24"/>
          <w:lang w:val="en-GB"/>
        </w:rPr>
      </w:pPr>
      <w:r w:rsidRPr="009C5C7C">
        <w:rPr>
          <w:b/>
          <w:bCs/>
          <w:color w:val="000000"/>
          <w:sz w:val="24"/>
          <w:lang w:val="en-GB"/>
        </w:rPr>
        <w:t xml:space="preserve">1. </w:t>
      </w:r>
      <w:r w:rsidR="00690FAD" w:rsidRPr="009C5C7C">
        <w:rPr>
          <w:b/>
          <w:bCs/>
          <w:color w:val="000000"/>
          <w:sz w:val="24"/>
          <w:lang w:val="en-GB"/>
        </w:rPr>
        <w:t>Introduction</w:t>
      </w:r>
    </w:p>
    <w:p w14:paraId="11F0344C" w14:textId="5FA06B11" w:rsidR="00013D7E" w:rsidRPr="009C5C7C" w:rsidRDefault="00013D7E" w:rsidP="00F70B24">
      <w:pPr>
        <w:jc w:val="both"/>
        <w:rPr>
          <w:lang w:val="en-GB"/>
        </w:rPr>
      </w:pPr>
      <w:r w:rsidRPr="009C5C7C">
        <w:rPr>
          <w:lang w:val="en-GB"/>
        </w:rPr>
        <w:t xml:space="preserve">Consumers interest towards alternative products with high nutritional value is pushing the food industry to fulfil this demand by identifying and introducing new food resources. </w:t>
      </w:r>
      <w:r w:rsidRPr="00917A96">
        <w:rPr>
          <w:lang w:val="en-GB"/>
        </w:rPr>
        <w:t xml:space="preserve">Lupin, a pulse </w:t>
      </w:r>
      <w:r w:rsidR="00A0549B" w:rsidRPr="00917A96">
        <w:rPr>
          <w:lang w:val="en-GB"/>
        </w:rPr>
        <w:t>crop with</w:t>
      </w:r>
      <w:r w:rsidR="00A0549B">
        <w:rPr>
          <w:lang w:val="en-GB"/>
        </w:rPr>
        <w:t xml:space="preserve"> thrifty agronomic requirements</w:t>
      </w:r>
      <w:r w:rsidRPr="009C5C7C">
        <w:rPr>
          <w:lang w:val="en-GB"/>
        </w:rPr>
        <w:t>, represents an excellent source for human nutrition being rich in proteins, lipids (mainly unsaturated fatty acids) and antioxidant compounds (</w:t>
      </w:r>
      <w:proofErr w:type="spellStart"/>
      <w:r w:rsidRPr="009C5C7C">
        <w:rPr>
          <w:lang w:val="en-GB"/>
        </w:rPr>
        <w:t>Briceño</w:t>
      </w:r>
      <w:proofErr w:type="spellEnd"/>
      <w:r w:rsidRPr="009C5C7C">
        <w:rPr>
          <w:lang w:val="en-GB"/>
        </w:rPr>
        <w:t xml:space="preserve"> </w:t>
      </w:r>
      <w:proofErr w:type="spellStart"/>
      <w:r w:rsidRPr="009C5C7C">
        <w:rPr>
          <w:lang w:val="en-GB"/>
        </w:rPr>
        <w:t>Berru</w:t>
      </w:r>
      <w:proofErr w:type="spellEnd"/>
      <w:r w:rsidRPr="009C5C7C">
        <w:rPr>
          <w:lang w:val="en-GB"/>
        </w:rPr>
        <w:t xml:space="preserve"> </w:t>
      </w:r>
      <w:r w:rsidRPr="009C5C7C">
        <w:rPr>
          <w:i/>
          <w:iCs/>
          <w:lang w:val="en-GB"/>
        </w:rPr>
        <w:t>et al</w:t>
      </w:r>
      <w:r w:rsidRPr="009C5C7C">
        <w:rPr>
          <w:lang w:val="en-GB"/>
        </w:rPr>
        <w:t>., 2021</w:t>
      </w:r>
      <w:r w:rsidR="00A0549B">
        <w:rPr>
          <w:lang w:val="en-GB"/>
        </w:rPr>
        <w:t xml:space="preserve">; Estivi </w:t>
      </w:r>
      <w:r w:rsidR="00A0549B" w:rsidRPr="00A0549B">
        <w:rPr>
          <w:i/>
          <w:iCs/>
          <w:lang w:val="en-GB"/>
        </w:rPr>
        <w:t>et al</w:t>
      </w:r>
      <w:r w:rsidR="00A0549B">
        <w:rPr>
          <w:lang w:val="en-GB"/>
        </w:rPr>
        <w:t xml:space="preserve">., </w:t>
      </w:r>
      <w:r w:rsidR="00A0549B" w:rsidRPr="009C00B9">
        <w:rPr>
          <w:lang w:val="en-GB"/>
        </w:rPr>
        <w:t>2022a</w:t>
      </w:r>
      <w:r w:rsidRPr="009C5C7C">
        <w:rPr>
          <w:lang w:val="en-GB"/>
        </w:rPr>
        <w:t xml:space="preserve">). </w:t>
      </w:r>
      <w:r w:rsidR="002556B4">
        <w:rPr>
          <w:lang w:val="en-GB"/>
        </w:rPr>
        <w:t>Lupin</w:t>
      </w:r>
      <w:r w:rsidRPr="009C5C7C">
        <w:rPr>
          <w:lang w:val="en-GB"/>
        </w:rPr>
        <w:t xml:space="preserve"> </w:t>
      </w:r>
      <w:r w:rsidR="0031664D">
        <w:rPr>
          <w:lang w:val="en-GB"/>
        </w:rPr>
        <w:t xml:space="preserve">utilisation </w:t>
      </w:r>
      <w:r w:rsidRPr="009C5C7C">
        <w:rPr>
          <w:lang w:val="en-GB"/>
        </w:rPr>
        <w:t xml:space="preserve">is hampered by the limited number of studies on its composition and technological characteristics, as well as the lack of improved varieties suitable for cultivation in the main lupin cropping areas. </w:t>
      </w:r>
      <w:r w:rsidR="0031664D">
        <w:rPr>
          <w:lang w:val="en-GB"/>
        </w:rPr>
        <w:t>Furthermore, d</w:t>
      </w:r>
      <w:r w:rsidRPr="009C5C7C">
        <w:rPr>
          <w:lang w:val="en-GB"/>
        </w:rPr>
        <w:t>espite their excellent nutritional composition, lupin seeds must be debittered before consumption to remove toxic alkaloids</w:t>
      </w:r>
      <w:r w:rsidR="0031664D">
        <w:rPr>
          <w:lang w:val="en-GB"/>
        </w:rPr>
        <w:t>,</w:t>
      </w:r>
      <w:r w:rsidRPr="009C5C7C">
        <w:rPr>
          <w:lang w:val="en-GB"/>
        </w:rPr>
        <w:t xml:space="preserve"> a further limitation to </w:t>
      </w:r>
      <w:r w:rsidR="0031664D">
        <w:rPr>
          <w:lang w:val="en-GB"/>
        </w:rPr>
        <w:t>their</w:t>
      </w:r>
      <w:r w:rsidRPr="009C5C7C">
        <w:rPr>
          <w:lang w:val="en-GB"/>
        </w:rPr>
        <w:t xml:space="preserve"> diffusion because debittering is a water-intensive and protracted process</w:t>
      </w:r>
      <w:r w:rsidR="0031664D">
        <w:rPr>
          <w:lang w:val="en-GB"/>
        </w:rPr>
        <w:t xml:space="preserve">, which </w:t>
      </w:r>
      <w:r w:rsidRPr="009C5C7C">
        <w:rPr>
          <w:lang w:val="en-GB"/>
        </w:rPr>
        <w:t>last</w:t>
      </w:r>
      <w:r w:rsidR="0031664D">
        <w:rPr>
          <w:lang w:val="en-GB"/>
        </w:rPr>
        <w:t>s</w:t>
      </w:r>
      <w:r w:rsidRPr="009C5C7C">
        <w:rPr>
          <w:lang w:val="en-GB"/>
        </w:rPr>
        <w:t xml:space="preserve"> up to six days (Estivi </w:t>
      </w:r>
      <w:r w:rsidRPr="009C5C7C">
        <w:rPr>
          <w:i/>
          <w:iCs/>
          <w:lang w:val="en-GB"/>
        </w:rPr>
        <w:t>et al</w:t>
      </w:r>
      <w:r w:rsidRPr="009C5C7C">
        <w:rPr>
          <w:lang w:val="en-GB"/>
        </w:rPr>
        <w:t>., 2022</w:t>
      </w:r>
      <w:r w:rsidR="009C00B9">
        <w:rPr>
          <w:lang w:val="en-GB"/>
        </w:rPr>
        <w:t>b</w:t>
      </w:r>
      <w:r w:rsidRPr="009C5C7C">
        <w:rPr>
          <w:lang w:val="en-GB"/>
        </w:rPr>
        <w:t>).</w:t>
      </w:r>
    </w:p>
    <w:p w14:paraId="43E92553" w14:textId="28386277" w:rsidR="000274DA" w:rsidRPr="009C5C7C" w:rsidRDefault="000274DA" w:rsidP="00F70B24">
      <w:pPr>
        <w:jc w:val="both"/>
        <w:rPr>
          <w:lang w:val="en-GB"/>
        </w:rPr>
      </w:pPr>
      <w:r w:rsidRPr="009C5C7C">
        <w:rPr>
          <w:lang w:val="en-GB"/>
        </w:rPr>
        <w:t xml:space="preserve">Peas occupy a prominent place among vegetables due to their high content in protein (23–25%), digestible starch (50%), soluble sugars (5%), fibre, vitamins A and C, </w:t>
      </w:r>
      <w:proofErr w:type="gramStart"/>
      <w:r w:rsidRPr="009C5C7C">
        <w:rPr>
          <w:lang w:val="en-GB"/>
        </w:rPr>
        <w:t>calcium</w:t>
      </w:r>
      <w:proofErr w:type="gramEnd"/>
      <w:r w:rsidRPr="009C5C7C">
        <w:rPr>
          <w:lang w:val="en-GB"/>
        </w:rPr>
        <w:t xml:space="preserve"> and phosphorus </w:t>
      </w:r>
      <w:r w:rsidR="008D7422">
        <w:rPr>
          <w:lang w:val="en-GB"/>
        </w:rPr>
        <w:t>(</w:t>
      </w:r>
      <w:r w:rsidRPr="009C5C7C">
        <w:rPr>
          <w:lang w:val="en-GB"/>
        </w:rPr>
        <w:t xml:space="preserve">Sharma </w:t>
      </w:r>
      <w:r w:rsidRPr="009C5C7C">
        <w:rPr>
          <w:i/>
          <w:iCs/>
          <w:lang w:val="en-GB"/>
        </w:rPr>
        <w:t>et al</w:t>
      </w:r>
      <w:r w:rsidRPr="009C5C7C">
        <w:rPr>
          <w:lang w:val="en-GB"/>
        </w:rPr>
        <w:t xml:space="preserve">., 2013). However, industrial processing discards from 5 to 25% of the harvest as by-product (i.e., pods, husks and broken, dark or stained seeds; Conserve Italia </w:t>
      </w:r>
      <w:proofErr w:type="spellStart"/>
      <w:r w:rsidRPr="009C5C7C">
        <w:rPr>
          <w:lang w:val="en-GB"/>
        </w:rPr>
        <w:t>Scarl</w:t>
      </w:r>
      <w:proofErr w:type="spellEnd"/>
      <w:r w:rsidRPr="009C5C7C">
        <w:rPr>
          <w:lang w:val="en-GB"/>
        </w:rPr>
        <w:t>., Italy)</w:t>
      </w:r>
      <w:r w:rsidR="0031664D">
        <w:rPr>
          <w:lang w:val="en-GB"/>
        </w:rPr>
        <w:t>,</w:t>
      </w:r>
      <w:r w:rsidRPr="009C5C7C">
        <w:rPr>
          <w:lang w:val="en-GB"/>
        </w:rPr>
        <w:t xml:space="preserve"> still rich in protein, dietary fibre, </w:t>
      </w:r>
      <w:proofErr w:type="gramStart"/>
      <w:r w:rsidRPr="009C5C7C">
        <w:rPr>
          <w:lang w:val="en-GB"/>
        </w:rPr>
        <w:t>polyphenols</w:t>
      </w:r>
      <w:proofErr w:type="gramEnd"/>
      <w:r w:rsidRPr="009C5C7C">
        <w:rPr>
          <w:lang w:val="en-GB"/>
        </w:rPr>
        <w:t xml:space="preserve"> and other molecules (e.g., peptides and lectins) with antioxidant or antimicrobial activities (</w:t>
      </w:r>
      <w:proofErr w:type="spellStart"/>
      <w:r w:rsidRPr="009C5C7C">
        <w:rPr>
          <w:lang w:val="en-GB"/>
        </w:rPr>
        <w:t>Mateos-Aparacio</w:t>
      </w:r>
      <w:proofErr w:type="spellEnd"/>
      <w:r w:rsidRPr="009C5C7C">
        <w:rPr>
          <w:lang w:val="en-GB"/>
        </w:rPr>
        <w:t xml:space="preserve"> </w:t>
      </w:r>
      <w:r w:rsidRPr="009C5C7C">
        <w:rPr>
          <w:i/>
          <w:iCs/>
          <w:lang w:val="en-GB"/>
        </w:rPr>
        <w:t>et al</w:t>
      </w:r>
      <w:r w:rsidRPr="009C5C7C">
        <w:rPr>
          <w:lang w:val="en-GB"/>
        </w:rPr>
        <w:t xml:space="preserve">., 2010). </w:t>
      </w:r>
      <w:r w:rsidR="0031664D">
        <w:rPr>
          <w:lang w:val="en-GB"/>
        </w:rPr>
        <w:t>The</w:t>
      </w:r>
      <w:r w:rsidRPr="009C5C7C">
        <w:rPr>
          <w:lang w:val="en-GB"/>
        </w:rPr>
        <w:t xml:space="preserve"> high amount of protein</w:t>
      </w:r>
      <w:r w:rsidR="0031664D">
        <w:rPr>
          <w:lang w:val="en-GB"/>
        </w:rPr>
        <w:t xml:space="preserve"> has pushed the</w:t>
      </w:r>
      <w:r w:rsidRPr="009C5C7C">
        <w:rPr>
          <w:lang w:val="en-GB"/>
        </w:rPr>
        <w:t xml:space="preserve"> food industry to </w:t>
      </w:r>
      <w:r w:rsidR="0031664D">
        <w:rPr>
          <w:lang w:val="en-GB"/>
        </w:rPr>
        <w:t xml:space="preserve">try to </w:t>
      </w:r>
      <w:r w:rsidRPr="009C5C7C">
        <w:rPr>
          <w:lang w:val="en-GB"/>
        </w:rPr>
        <w:t xml:space="preserve">upcycle legume </w:t>
      </w:r>
      <w:r w:rsidR="0031664D">
        <w:rPr>
          <w:lang w:val="en-GB"/>
        </w:rPr>
        <w:t>by-products</w:t>
      </w:r>
      <w:r w:rsidRPr="009C5C7C">
        <w:rPr>
          <w:lang w:val="en-GB"/>
        </w:rPr>
        <w:t xml:space="preserve"> </w:t>
      </w:r>
      <w:r w:rsidR="0031664D">
        <w:rPr>
          <w:lang w:val="en-GB"/>
        </w:rPr>
        <w:t xml:space="preserve">by </w:t>
      </w:r>
      <w:r w:rsidRPr="009C5C7C">
        <w:rPr>
          <w:lang w:val="en-GB"/>
        </w:rPr>
        <w:t xml:space="preserve">incorporating them into various kinds of food (e.g., high protein pasta, chips, hamburger patties, nuggets, beverages, baby food, imitation cheese, whipped toppings, soy milk and baked goods; </w:t>
      </w:r>
      <w:proofErr w:type="spellStart"/>
      <w:r w:rsidRPr="009C5C7C">
        <w:rPr>
          <w:lang w:val="en-GB"/>
        </w:rPr>
        <w:t>Boye</w:t>
      </w:r>
      <w:proofErr w:type="spellEnd"/>
      <w:r w:rsidRPr="009C5C7C">
        <w:rPr>
          <w:lang w:val="en-GB"/>
        </w:rPr>
        <w:t xml:space="preserve"> </w:t>
      </w:r>
      <w:r w:rsidRPr="009C5C7C">
        <w:rPr>
          <w:i/>
          <w:iCs/>
          <w:lang w:val="en-GB"/>
        </w:rPr>
        <w:t>et al.</w:t>
      </w:r>
      <w:r w:rsidRPr="009C5C7C">
        <w:rPr>
          <w:lang w:val="en-GB"/>
        </w:rPr>
        <w:t xml:space="preserve">, 2010). A popular way to exploit </w:t>
      </w:r>
      <w:r w:rsidR="0031664D">
        <w:rPr>
          <w:lang w:val="en-GB"/>
        </w:rPr>
        <w:t>them</w:t>
      </w:r>
      <w:r w:rsidRPr="009C5C7C">
        <w:rPr>
          <w:lang w:val="en-GB"/>
        </w:rPr>
        <w:t xml:space="preserve"> </w:t>
      </w:r>
      <w:r w:rsidRPr="00334665">
        <w:rPr>
          <w:lang w:val="en-GB"/>
        </w:rPr>
        <w:t xml:space="preserve">is </w:t>
      </w:r>
      <w:r w:rsidR="00334665" w:rsidRPr="00334665">
        <w:rPr>
          <w:lang w:val="en-GB"/>
        </w:rPr>
        <w:t xml:space="preserve">also </w:t>
      </w:r>
      <w:r w:rsidRPr="00334665">
        <w:rPr>
          <w:lang w:val="en-GB"/>
        </w:rPr>
        <w:t>the</w:t>
      </w:r>
      <w:r w:rsidRPr="009C5C7C">
        <w:rPr>
          <w:lang w:val="en-GB"/>
        </w:rPr>
        <w:t xml:space="preserve"> extraction of valuable fractions. Several techniques are employed to obtain protein concentrates and isolates from pea </w:t>
      </w:r>
      <w:r w:rsidR="00334665">
        <w:rPr>
          <w:lang w:val="en-GB"/>
        </w:rPr>
        <w:t>flour</w:t>
      </w:r>
      <w:r w:rsidRPr="009C5C7C">
        <w:rPr>
          <w:lang w:val="en-GB"/>
        </w:rPr>
        <w:t>, including alkaline wet extraction/isoelectric precipitation (IEP) without or with ultrafiltration (</w:t>
      </w:r>
      <w:proofErr w:type="spellStart"/>
      <w:r w:rsidRPr="009C5C7C">
        <w:rPr>
          <w:lang w:val="en-GB"/>
        </w:rPr>
        <w:t>Qiaoyun</w:t>
      </w:r>
      <w:proofErr w:type="spellEnd"/>
      <w:r w:rsidRPr="009C5C7C">
        <w:rPr>
          <w:lang w:val="en-GB"/>
        </w:rPr>
        <w:t xml:space="preserve"> </w:t>
      </w:r>
      <w:r w:rsidRPr="009C5C7C">
        <w:rPr>
          <w:i/>
          <w:iCs/>
          <w:lang w:val="en-GB"/>
        </w:rPr>
        <w:t>et al</w:t>
      </w:r>
      <w:r w:rsidRPr="009C5C7C">
        <w:rPr>
          <w:lang w:val="en-GB"/>
        </w:rPr>
        <w:t>., 2017; Vogelsang-</w:t>
      </w:r>
      <w:proofErr w:type="spellStart"/>
      <w:r w:rsidRPr="009C5C7C">
        <w:rPr>
          <w:lang w:val="en-GB"/>
        </w:rPr>
        <w:t>O'Dwyer</w:t>
      </w:r>
      <w:proofErr w:type="spellEnd"/>
      <w:r w:rsidRPr="009C5C7C">
        <w:rPr>
          <w:lang w:val="en-GB"/>
        </w:rPr>
        <w:t xml:space="preserve"> </w:t>
      </w:r>
      <w:r w:rsidRPr="009C5C7C">
        <w:rPr>
          <w:i/>
          <w:iCs/>
          <w:lang w:val="en-GB"/>
        </w:rPr>
        <w:t>et al</w:t>
      </w:r>
      <w:r w:rsidRPr="009C5C7C">
        <w:rPr>
          <w:lang w:val="en-GB"/>
        </w:rPr>
        <w:t xml:space="preserve">., 2021), dry fractionation with possible tribo-electric separation (Wang </w:t>
      </w:r>
      <w:r w:rsidRPr="009C5C7C">
        <w:rPr>
          <w:i/>
          <w:iCs/>
          <w:lang w:val="en-GB"/>
        </w:rPr>
        <w:t>et al.</w:t>
      </w:r>
      <w:r w:rsidRPr="009C5C7C">
        <w:rPr>
          <w:lang w:val="en-GB"/>
        </w:rPr>
        <w:t>, 2015), salt extraction, micellization and gentle fractionation, or hybrid wet/dry approaches (</w:t>
      </w:r>
      <w:proofErr w:type="spellStart"/>
      <w:r w:rsidRPr="009C5C7C">
        <w:rPr>
          <w:lang w:val="en-GB"/>
        </w:rPr>
        <w:t>Geerts</w:t>
      </w:r>
      <w:proofErr w:type="spellEnd"/>
      <w:r w:rsidRPr="009C5C7C">
        <w:rPr>
          <w:lang w:val="en-GB"/>
        </w:rPr>
        <w:t xml:space="preserve"> </w:t>
      </w:r>
      <w:r w:rsidRPr="009C5C7C">
        <w:rPr>
          <w:i/>
          <w:iCs/>
          <w:lang w:val="en-GB"/>
        </w:rPr>
        <w:t>et al.</w:t>
      </w:r>
      <w:r w:rsidRPr="009C5C7C">
        <w:rPr>
          <w:lang w:val="en-GB"/>
        </w:rPr>
        <w:t xml:space="preserve">, 2017). The wet techniques can be coupled with high-power low-frequency ultrasound technology, whose capability to improve extraction yield and duration is well-documented (Estivi </w:t>
      </w:r>
      <w:r w:rsidRPr="009C5C7C">
        <w:rPr>
          <w:i/>
          <w:iCs/>
          <w:lang w:val="en-GB"/>
        </w:rPr>
        <w:t>et al.</w:t>
      </w:r>
      <w:r w:rsidRPr="009C5C7C">
        <w:rPr>
          <w:lang w:val="en-GB"/>
        </w:rPr>
        <w:t>, 2022</w:t>
      </w:r>
      <w:r w:rsidR="009C00B9">
        <w:rPr>
          <w:lang w:val="en-GB"/>
        </w:rPr>
        <w:t>c</w:t>
      </w:r>
      <w:r w:rsidRPr="009C5C7C">
        <w:rPr>
          <w:lang w:val="en-GB"/>
        </w:rPr>
        <w:t>).</w:t>
      </w:r>
    </w:p>
    <w:p w14:paraId="1E97AF7A" w14:textId="0D4A2370" w:rsidR="00B62870" w:rsidRPr="009C5C7C" w:rsidRDefault="00B62870" w:rsidP="00F70B24">
      <w:pPr>
        <w:jc w:val="both"/>
        <w:rPr>
          <w:lang w:val="en-GB"/>
        </w:rPr>
      </w:pPr>
      <w:r w:rsidRPr="009C5C7C">
        <w:rPr>
          <w:lang w:val="en-GB"/>
        </w:rPr>
        <w:t>In recent years, alongside vegan and vegetarian products (Kumar</w:t>
      </w:r>
      <w:r w:rsidR="00FD09C6" w:rsidRPr="009C5C7C">
        <w:rPr>
          <w:lang w:val="en-GB"/>
        </w:rPr>
        <w:t xml:space="preserve"> </w:t>
      </w:r>
      <w:r w:rsidR="00FD09C6" w:rsidRPr="009C5C7C">
        <w:rPr>
          <w:i/>
          <w:iCs/>
          <w:lang w:val="en-GB"/>
        </w:rPr>
        <w:t>et al</w:t>
      </w:r>
      <w:r w:rsidR="00FD09C6" w:rsidRPr="009C5C7C">
        <w:rPr>
          <w:lang w:val="en-GB"/>
        </w:rPr>
        <w:t>.</w:t>
      </w:r>
      <w:r w:rsidRPr="009C5C7C">
        <w:rPr>
          <w:lang w:val="en-GB"/>
        </w:rPr>
        <w:t xml:space="preserve">, 2017), the demand for functional foods enriched with bioactive compounds of plant origin </w:t>
      </w:r>
      <w:r w:rsidR="00D955DA" w:rsidRPr="009C5C7C">
        <w:rPr>
          <w:lang w:val="en-GB"/>
        </w:rPr>
        <w:t>has</w:t>
      </w:r>
      <w:r w:rsidRPr="009C5C7C">
        <w:rPr>
          <w:lang w:val="en-GB"/>
        </w:rPr>
        <w:t xml:space="preserve"> gradually increa</w:t>
      </w:r>
      <w:r w:rsidR="00D955DA" w:rsidRPr="009C5C7C">
        <w:rPr>
          <w:lang w:val="en-GB"/>
        </w:rPr>
        <w:t>sed</w:t>
      </w:r>
      <w:r w:rsidRPr="009C5C7C">
        <w:rPr>
          <w:lang w:val="en-GB"/>
        </w:rPr>
        <w:t xml:space="preserve">, driven by consumers awareness of the close relationship between nutrition and health. However, the deficiency of vitamin </w:t>
      </w:r>
      <w:r w:rsidRPr="001C5968">
        <w:rPr>
          <w:lang w:val="en-GB"/>
        </w:rPr>
        <w:t>B12</w:t>
      </w:r>
      <w:r w:rsidRPr="009C5C7C">
        <w:rPr>
          <w:lang w:val="en-GB"/>
        </w:rPr>
        <w:t xml:space="preserve"> intake emerged as a major risk in strictly vegetable-based diets, naturally devoid of it (Chamlagain </w:t>
      </w:r>
      <w:r w:rsidRPr="009C5C7C">
        <w:rPr>
          <w:i/>
          <w:iCs/>
          <w:lang w:val="en-GB"/>
        </w:rPr>
        <w:t>et al</w:t>
      </w:r>
      <w:r w:rsidRPr="009C5C7C">
        <w:rPr>
          <w:lang w:val="en-GB"/>
        </w:rPr>
        <w:t xml:space="preserve">., 2015). Moreover, the vast variety of commercial </w:t>
      </w:r>
      <w:r w:rsidRPr="001C5968">
        <w:rPr>
          <w:lang w:val="en-GB"/>
        </w:rPr>
        <w:t>B12</w:t>
      </w:r>
      <w:r w:rsidRPr="009C5C7C">
        <w:rPr>
          <w:lang w:val="en-GB"/>
        </w:rPr>
        <w:t xml:space="preserve"> supplements from algae, often containing the</w:t>
      </w:r>
      <w:r w:rsidR="00D80A49" w:rsidRPr="009C5C7C">
        <w:rPr>
          <w:lang w:val="en-GB"/>
        </w:rPr>
        <w:t xml:space="preserve"> inactive </w:t>
      </w:r>
      <w:proofErr w:type="spellStart"/>
      <w:r w:rsidR="00D80A49" w:rsidRPr="009C5C7C">
        <w:rPr>
          <w:lang w:val="en-GB"/>
        </w:rPr>
        <w:t>pseudovitamin</w:t>
      </w:r>
      <w:proofErr w:type="spellEnd"/>
      <w:r w:rsidRPr="009C5C7C">
        <w:rPr>
          <w:lang w:val="en-GB"/>
        </w:rPr>
        <w:t xml:space="preserve">, contributes to mislead the consumers (van den </w:t>
      </w:r>
      <w:proofErr w:type="spellStart"/>
      <w:r w:rsidRPr="009C5C7C">
        <w:rPr>
          <w:lang w:val="en-GB"/>
        </w:rPr>
        <w:t>Oever</w:t>
      </w:r>
      <w:proofErr w:type="spellEnd"/>
      <w:r w:rsidRPr="009C5C7C">
        <w:rPr>
          <w:lang w:val="en-GB"/>
        </w:rPr>
        <w:t xml:space="preserve"> and Mayer, 2022). </w:t>
      </w:r>
      <w:r w:rsidR="005F6C47" w:rsidRPr="009C5C7C">
        <w:rPr>
          <w:lang w:val="en-GB"/>
        </w:rPr>
        <w:t xml:space="preserve">Fermentation with </w:t>
      </w:r>
      <w:r w:rsidR="005F6C47" w:rsidRPr="001C5968">
        <w:rPr>
          <w:lang w:val="en-GB"/>
        </w:rPr>
        <w:t>B12</w:t>
      </w:r>
      <w:r w:rsidR="009E131E" w:rsidRPr="009C5C7C">
        <w:rPr>
          <w:lang w:val="en-GB"/>
        </w:rPr>
        <w:t>-</w:t>
      </w:r>
      <w:r w:rsidR="005F6C47" w:rsidRPr="009C5C7C">
        <w:rPr>
          <w:lang w:val="en-GB"/>
        </w:rPr>
        <w:t xml:space="preserve">producing </w:t>
      </w:r>
      <w:r w:rsidR="005F6C47" w:rsidRPr="009C5C7C">
        <w:rPr>
          <w:i/>
          <w:iCs/>
          <w:lang w:val="en-GB"/>
        </w:rPr>
        <w:t xml:space="preserve">Propionibacterium </w:t>
      </w:r>
      <w:proofErr w:type="spellStart"/>
      <w:r w:rsidR="005F6C47" w:rsidRPr="009C5C7C">
        <w:rPr>
          <w:i/>
          <w:iCs/>
          <w:lang w:val="en-GB"/>
        </w:rPr>
        <w:t>freudenreichii</w:t>
      </w:r>
      <w:proofErr w:type="spellEnd"/>
      <w:r w:rsidR="005F6C47" w:rsidRPr="009C5C7C">
        <w:rPr>
          <w:lang w:val="en-GB"/>
        </w:rPr>
        <w:t xml:space="preserve"> </w:t>
      </w:r>
      <w:r w:rsidR="0031664D" w:rsidRPr="009C5C7C">
        <w:rPr>
          <w:lang w:val="en-GB"/>
        </w:rPr>
        <w:t xml:space="preserve">strains </w:t>
      </w:r>
      <w:r w:rsidR="0031664D">
        <w:rPr>
          <w:lang w:val="en-GB"/>
        </w:rPr>
        <w:t>has</w:t>
      </w:r>
      <w:r w:rsidR="005F6C47" w:rsidRPr="009C5C7C">
        <w:rPr>
          <w:lang w:val="en-GB"/>
        </w:rPr>
        <w:t xml:space="preserve"> proved to be a feasible strategy for </w:t>
      </w:r>
      <w:r w:rsidR="005F6C47" w:rsidRPr="009C5C7C">
        <w:rPr>
          <w:i/>
          <w:iCs/>
          <w:lang w:val="en-GB"/>
        </w:rPr>
        <w:t>in-situ</w:t>
      </w:r>
      <w:r w:rsidR="005F6C47" w:rsidRPr="009C5C7C">
        <w:rPr>
          <w:lang w:val="en-GB"/>
        </w:rPr>
        <w:t xml:space="preserve"> enrichment of cereal and legume ingredients (Xie </w:t>
      </w:r>
      <w:r w:rsidR="005F6C47" w:rsidRPr="009C5C7C">
        <w:rPr>
          <w:i/>
          <w:iCs/>
          <w:lang w:val="en-GB"/>
        </w:rPr>
        <w:t>et al</w:t>
      </w:r>
      <w:r w:rsidR="005F6C47" w:rsidRPr="009C5C7C">
        <w:rPr>
          <w:lang w:val="en-GB"/>
        </w:rPr>
        <w:t>., 2021).</w:t>
      </w:r>
    </w:p>
    <w:p w14:paraId="5B0EAC65" w14:textId="3B24F967" w:rsidR="007D40F9" w:rsidRPr="009C5C7C" w:rsidRDefault="007D40F9" w:rsidP="007D40F9">
      <w:pPr>
        <w:jc w:val="both"/>
        <w:rPr>
          <w:lang w:val="en-GB"/>
        </w:rPr>
      </w:pPr>
      <w:r w:rsidRPr="009C5C7C">
        <w:rPr>
          <w:lang w:val="en-GB"/>
        </w:rPr>
        <w:t>In accordance with the PhD thesis project previously de</w:t>
      </w:r>
      <w:r w:rsidR="000F7C96" w:rsidRPr="009C5C7C">
        <w:rPr>
          <w:lang w:val="en-GB"/>
        </w:rPr>
        <w:t>s</w:t>
      </w:r>
      <w:r w:rsidRPr="009C5C7C">
        <w:rPr>
          <w:lang w:val="en-GB"/>
        </w:rPr>
        <w:t>cribed (</w:t>
      </w:r>
      <w:r w:rsidR="000F7C96" w:rsidRPr="009C5C7C">
        <w:rPr>
          <w:lang w:val="en-GB"/>
        </w:rPr>
        <w:t>Estivi</w:t>
      </w:r>
      <w:r w:rsidRPr="009C5C7C">
        <w:rPr>
          <w:lang w:val="en-GB"/>
        </w:rPr>
        <w:t>, 20</w:t>
      </w:r>
      <w:r w:rsidR="000F7C96" w:rsidRPr="009C5C7C">
        <w:rPr>
          <w:lang w:val="en-GB"/>
        </w:rPr>
        <w:t>21</w:t>
      </w:r>
      <w:r w:rsidRPr="009C5C7C">
        <w:rPr>
          <w:lang w:val="en-GB"/>
        </w:rPr>
        <w:t xml:space="preserve">), this oral communication reports the main results of the following activities directed to: </w:t>
      </w:r>
    </w:p>
    <w:p w14:paraId="5CF88C03" w14:textId="60F87DCC" w:rsidR="007D40F9" w:rsidRPr="009C5C7C" w:rsidRDefault="00DE691C" w:rsidP="007C7FF7">
      <w:pPr>
        <w:tabs>
          <w:tab w:val="left" w:pos="567"/>
        </w:tabs>
        <w:ind w:left="567" w:hanging="567"/>
        <w:jc w:val="both"/>
        <w:rPr>
          <w:lang w:val="en-GB"/>
        </w:rPr>
      </w:pPr>
      <w:r>
        <w:rPr>
          <w:lang w:val="en-GB"/>
        </w:rPr>
        <w:t>A</w:t>
      </w:r>
      <w:r w:rsidR="007D40F9" w:rsidRPr="00334665">
        <w:rPr>
          <w:lang w:val="en-GB"/>
        </w:rPr>
        <w:t>1)</w:t>
      </w:r>
      <w:r w:rsidR="007D40F9" w:rsidRPr="00334665">
        <w:rPr>
          <w:lang w:val="en-GB"/>
        </w:rPr>
        <w:tab/>
      </w:r>
      <w:bookmarkStart w:id="0" w:name="_Hlk136846765"/>
      <w:r w:rsidR="00013D7E" w:rsidRPr="00334665">
        <w:rPr>
          <w:bCs/>
          <w:lang w:val="en-GB"/>
        </w:rPr>
        <w:t xml:space="preserve">study the effect of controlled germination on lipophilic antioxidants (i.e., </w:t>
      </w:r>
      <w:proofErr w:type="spellStart"/>
      <w:r w:rsidR="00013D7E" w:rsidRPr="00334665">
        <w:rPr>
          <w:bCs/>
          <w:lang w:val="en-GB"/>
        </w:rPr>
        <w:t>tocols</w:t>
      </w:r>
      <w:proofErr w:type="spellEnd"/>
      <w:r w:rsidR="00013D7E" w:rsidRPr="00334665">
        <w:rPr>
          <w:bCs/>
          <w:lang w:val="en-GB"/>
        </w:rPr>
        <w:t xml:space="preserve"> and carotenoids) </w:t>
      </w:r>
      <w:r w:rsidR="00334665" w:rsidRPr="00334665">
        <w:rPr>
          <w:bCs/>
          <w:lang w:val="en-GB"/>
        </w:rPr>
        <w:t xml:space="preserve">and colour </w:t>
      </w:r>
      <w:r w:rsidR="00013D7E" w:rsidRPr="00334665">
        <w:rPr>
          <w:bCs/>
          <w:lang w:val="en-GB"/>
        </w:rPr>
        <w:t>in</w:t>
      </w:r>
      <w:r w:rsidR="00013D7E" w:rsidRPr="009C5C7C">
        <w:rPr>
          <w:bCs/>
          <w:lang w:val="en-GB"/>
        </w:rPr>
        <w:t xml:space="preserve"> Andean lupin </w:t>
      </w:r>
      <w:proofErr w:type="gramStart"/>
      <w:r w:rsidR="00013D7E" w:rsidRPr="009C5C7C">
        <w:rPr>
          <w:bCs/>
          <w:lang w:val="en-GB"/>
        </w:rPr>
        <w:t>seeds</w:t>
      </w:r>
      <w:r w:rsidR="009967E0" w:rsidRPr="009C5C7C">
        <w:rPr>
          <w:lang w:val="en-GB"/>
        </w:rPr>
        <w:t>;</w:t>
      </w:r>
      <w:proofErr w:type="gramEnd"/>
    </w:p>
    <w:p w14:paraId="70F091BF" w14:textId="46A3BB4B" w:rsidR="00E67B6A" w:rsidRPr="009C5C7C" w:rsidRDefault="00DE691C" w:rsidP="007C7FF7">
      <w:pPr>
        <w:tabs>
          <w:tab w:val="left" w:pos="567"/>
        </w:tabs>
        <w:ind w:left="567" w:hanging="567"/>
        <w:jc w:val="both"/>
        <w:rPr>
          <w:lang w:val="en-GB"/>
        </w:rPr>
      </w:pPr>
      <w:r>
        <w:rPr>
          <w:lang w:val="en-GB"/>
        </w:rPr>
        <w:t>A</w:t>
      </w:r>
      <w:r w:rsidR="007D40F9" w:rsidRPr="009C5C7C">
        <w:rPr>
          <w:lang w:val="en-GB"/>
        </w:rPr>
        <w:t>2)</w:t>
      </w:r>
      <w:r w:rsidR="007D40F9" w:rsidRPr="009C5C7C">
        <w:rPr>
          <w:lang w:val="en-GB"/>
        </w:rPr>
        <w:tab/>
      </w:r>
      <w:r w:rsidR="00E67B6A" w:rsidRPr="009C5C7C">
        <w:rPr>
          <w:bCs/>
          <w:lang w:val="en-GB"/>
        </w:rPr>
        <w:t xml:space="preserve">characterize the water-debittered seeds of 33 Andean ecotypes of </w:t>
      </w:r>
      <w:r w:rsidR="00E67B6A" w:rsidRPr="009C5C7C">
        <w:rPr>
          <w:bCs/>
          <w:i/>
          <w:lang w:val="en-GB"/>
        </w:rPr>
        <w:t xml:space="preserve">Lupinus </w:t>
      </w:r>
      <w:proofErr w:type="spellStart"/>
      <w:r w:rsidR="00E67B6A" w:rsidRPr="009C5C7C">
        <w:rPr>
          <w:bCs/>
          <w:i/>
          <w:lang w:val="en-GB"/>
        </w:rPr>
        <w:t>mutabilis</w:t>
      </w:r>
      <w:proofErr w:type="spellEnd"/>
      <w:r w:rsidR="00E67B6A" w:rsidRPr="009C5C7C">
        <w:rPr>
          <w:bCs/>
          <w:lang w:val="en-GB"/>
        </w:rPr>
        <w:t xml:space="preserve">, originating from </w:t>
      </w:r>
      <w:r w:rsidR="00E67B6A" w:rsidRPr="009C5C7C">
        <w:rPr>
          <w:bCs/>
          <w:lang w:val="en-GB"/>
        </w:rPr>
        <w:lastRenderedPageBreak/>
        <w:t>different regions of Peru, for free phenolic compounds and perform a preliminary investigation of FT-NIR suitability as a fast, reliable and non-destructive approach to assess the</w:t>
      </w:r>
      <w:r w:rsidR="00E00899">
        <w:rPr>
          <w:bCs/>
          <w:lang w:val="en-GB"/>
        </w:rPr>
        <w:t>ir</w:t>
      </w:r>
      <w:r w:rsidR="00E67B6A" w:rsidRPr="009C5C7C">
        <w:rPr>
          <w:bCs/>
          <w:lang w:val="en-GB"/>
        </w:rPr>
        <w:t xml:space="preserve"> antioxidant </w:t>
      </w:r>
      <w:proofErr w:type="gramStart"/>
      <w:r w:rsidR="00E67B6A" w:rsidRPr="009C5C7C">
        <w:rPr>
          <w:bCs/>
          <w:lang w:val="en-GB"/>
        </w:rPr>
        <w:t>properties</w:t>
      </w:r>
      <w:r w:rsidR="00E67B6A" w:rsidRPr="009C5C7C">
        <w:rPr>
          <w:lang w:val="en-GB"/>
        </w:rPr>
        <w:t>;</w:t>
      </w:r>
      <w:proofErr w:type="gramEnd"/>
    </w:p>
    <w:bookmarkEnd w:id="0"/>
    <w:p w14:paraId="222F3704" w14:textId="638983A5" w:rsidR="00013D7E" w:rsidRPr="009C5C7C" w:rsidRDefault="00DE691C" w:rsidP="007C7FF7">
      <w:pPr>
        <w:tabs>
          <w:tab w:val="left" w:pos="567"/>
        </w:tabs>
        <w:ind w:left="567" w:hanging="567"/>
        <w:jc w:val="both"/>
        <w:rPr>
          <w:lang w:val="en-GB"/>
        </w:rPr>
      </w:pPr>
      <w:r>
        <w:rPr>
          <w:lang w:val="en-GB"/>
        </w:rPr>
        <w:t>A</w:t>
      </w:r>
      <w:r w:rsidR="007D40F9" w:rsidRPr="009C5C7C">
        <w:rPr>
          <w:lang w:val="en-GB"/>
        </w:rPr>
        <w:t>3)</w:t>
      </w:r>
      <w:r w:rsidR="007D40F9" w:rsidRPr="009C5C7C">
        <w:rPr>
          <w:lang w:val="en-GB"/>
        </w:rPr>
        <w:tab/>
      </w:r>
      <w:r w:rsidR="00E67B6A" w:rsidRPr="009C5C7C">
        <w:rPr>
          <w:lang w:val="en-GB"/>
        </w:rPr>
        <w:t>develop and fine</w:t>
      </w:r>
      <w:r w:rsidR="00E00899">
        <w:rPr>
          <w:lang w:val="en-GB"/>
        </w:rPr>
        <w:t>-</w:t>
      </w:r>
      <w:r w:rsidR="00E67B6A" w:rsidRPr="009C5C7C">
        <w:rPr>
          <w:lang w:val="en-GB"/>
        </w:rPr>
        <w:t xml:space="preserve">tune a method for fast and water-efficient debittering of white lupin </w:t>
      </w:r>
      <w:proofErr w:type="gramStart"/>
      <w:r w:rsidR="00E67B6A" w:rsidRPr="009C5C7C">
        <w:rPr>
          <w:lang w:val="en-GB"/>
        </w:rPr>
        <w:t>seeds;</w:t>
      </w:r>
      <w:proofErr w:type="gramEnd"/>
    </w:p>
    <w:p w14:paraId="56CB4AF9" w14:textId="7734F699" w:rsidR="007D40F9" w:rsidRPr="009C5C7C" w:rsidRDefault="00DE691C" w:rsidP="007C7FF7">
      <w:pPr>
        <w:tabs>
          <w:tab w:val="left" w:pos="567"/>
        </w:tabs>
        <w:ind w:left="567" w:hanging="567"/>
        <w:jc w:val="both"/>
        <w:rPr>
          <w:lang w:val="en-GB"/>
        </w:rPr>
      </w:pPr>
      <w:r>
        <w:rPr>
          <w:lang w:val="en-GB"/>
        </w:rPr>
        <w:t>A</w:t>
      </w:r>
      <w:r w:rsidR="007D40F9" w:rsidRPr="009C5C7C">
        <w:rPr>
          <w:lang w:val="en-GB"/>
        </w:rPr>
        <w:t>4)</w:t>
      </w:r>
      <w:r w:rsidR="007D40F9" w:rsidRPr="009C5C7C">
        <w:rPr>
          <w:lang w:val="en-GB"/>
        </w:rPr>
        <w:tab/>
      </w:r>
      <w:r w:rsidR="009967E0" w:rsidRPr="009C5C7C">
        <w:rPr>
          <w:lang w:val="en-GB"/>
        </w:rPr>
        <w:t xml:space="preserve">evaluate the impact of </w:t>
      </w:r>
      <w:r w:rsidR="00E00899">
        <w:rPr>
          <w:lang w:val="en-GB"/>
        </w:rPr>
        <w:t xml:space="preserve">the </w:t>
      </w:r>
      <w:r w:rsidR="009967E0" w:rsidRPr="009C5C7C">
        <w:rPr>
          <w:lang w:val="en-GB"/>
        </w:rPr>
        <w:t xml:space="preserve">debittering method on </w:t>
      </w:r>
      <w:r w:rsidR="00E00899">
        <w:rPr>
          <w:lang w:val="en-GB"/>
        </w:rPr>
        <w:t xml:space="preserve">the </w:t>
      </w:r>
      <w:r w:rsidR="009967E0" w:rsidRPr="009C5C7C">
        <w:rPr>
          <w:lang w:val="en-GB"/>
        </w:rPr>
        <w:t xml:space="preserve">antioxidants of white lupin </w:t>
      </w:r>
      <w:proofErr w:type="gramStart"/>
      <w:r w:rsidR="009967E0" w:rsidRPr="009C5C7C">
        <w:rPr>
          <w:lang w:val="en-GB"/>
        </w:rPr>
        <w:t>seeds;</w:t>
      </w:r>
      <w:proofErr w:type="gramEnd"/>
    </w:p>
    <w:p w14:paraId="71D5F886" w14:textId="5EC635C0" w:rsidR="009967E0" w:rsidRPr="009C5C7C" w:rsidRDefault="00DE691C" w:rsidP="007C7FF7">
      <w:pPr>
        <w:tabs>
          <w:tab w:val="left" w:pos="567"/>
          <w:tab w:val="left" w:pos="1276"/>
        </w:tabs>
        <w:ind w:left="567" w:hanging="567"/>
        <w:jc w:val="both"/>
        <w:rPr>
          <w:lang w:val="en-GB"/>
        </w:rPr>
      </w:pPr>
      <w:r>
        <w:rPr>
          <w:lang w:val="en-GB"/>
        </w:rPr>
        <w:t>B</w:t>
      </w:r>
      <w:r w:rsidR="009967E0" w:rsidRPr="009C5C7C">
        <w:rPr>
          <w:lang w:val="en-GB"/>
        </w:rPr>
        <w:t>1)</w:t>
      </w:r>
      <w:r w:rsidR="009967E0" w:rsidRPr="009C5C7C">
        <w:rPr>
          <w:lang w:val="en-GB"/>
        </w:rPr>
        <w:tab/>
        <w:t xml:space="preserve">develop and optimise an ultrasound-assisted alkaline extraction of protein to upcycle the by-product </w:t>
      </w:r>
      <w:r w:rsidR="00881D71" w:rsidRPr="009C5C7C">
        <w:rPr>
          <w:lang w:val="en-GB"/>
        </w:rPr>
        <w:t>from</w:t>
      </w:r>
      <w:r w:rsidR="009967E0" w:rsidRPr="009C5C7C">
        <w:rPr>
          <w:lang w:val="en-GB"/>
        </w:rPr>
        <w:t xml:space="preserve"> canned green peas production (pea waste</w:t>
      </w:r>
      <w:r w:rsidR="00B328FB" w:rsidRPr="009C5C7C">
        <w:rPr>
          <w:lang w:val="en-GB"/>
        </w:rPr>
        <w:t>,</w:t>
      </w:r>
      <w:r w:rsidR="009967E0" w:rsidRPr="009C5C7C">
        <w:rPr>
          <w:lang w:val="en-GB"/>
        </w:rPr>
        <w:t xml:space="preserve"> hereafter</w:t>
      </w:r>
      <w:proofErr w:type="gramStart"/>
      <w:r w:rsidR="009967E0" w:rsidRPr="009C5C7C">
        <w:rPr>
          <w:lang w:val="en-GB"/>
        </w:rPr>
        <w:t>);</w:t>
      </w:r>
      <w:proofErr w:type="gramEnd"/>
    </w:p>
    <w:p w14:paraId="18E80CE9" w14:textId="72184174" w:rsidR="009967E0" w:rsidRPr="009C5C7C" w:rsidRDefault="00DE691C" w:rsidP="007C7FF7">
      <w:pPr>
        <w:tabs>
          <w:tab w:val="left" w:pos="567"/>
        </w:tabs>
        <w:ind w:left="567" w:hanging="567"/>
        <w:jc w:val="both"/>
        <w:rPr>
          <w:lang w:val="en-GB"/>
        </w:rPr>
      </w:pPr>
      <w:r>
        <w:rPr>
          <w:lang w:val="en-GB"/>
        </w:rPr>
        <w:t>B</w:t>
      </w:r>
      <w:r w:rsidR="009967E0" w:rsidRPr="009C5C7C">
        <w:rPr>
          <w:lang w:val="en-GB"/>
        </w:rPr>
        <w:t>2)</w:t>
      </w:r>
      <w:r w:rsidR="009967E0" w:rsidRPr="009C5C7C">
        <w:rPr>
          <w:lang w:val="en-GB"/>
        </w:rPr>
        <w:tab/>
      </w:r>
      <w:r w:rsidR="00013D7E" w:rsidRPr="009C5C7C">
        <w:rPr>
          <w:lang w:val="en-GB"/>
        </w:rPr>
        <w:t>evaluate</w:t>
      </w:r>
      <w:r w:rsidR="009967E0" w:rsidRPr="009C5C7C">
        <w:rPr>
          <w:lang w:val="en-GB"/>
        </w:rPr>
        <w:t xml:space="preserve"> the pea waste as a </w:t>
      </w:r>
      <w:r w:rsidR="00B5470B" w:rsidRPr="009C5C7C">
        <w:rPr>
          <w:lang w:val="en-GB"/>
        </w:rPr>
        <w:t xml:space="preserve">culture </w:t>
      </w:r>
      <w:r w:rsidR="009967E0" w:rsidRPr="009C5C7C">
        <w:rPr>
          <w:lang w:val="en-GB"/>
        </w:rPr>
        <w:t xml:space="preserve">medium </w:t>
      </w:r>
      <w:r w:rsidR="00B5470B" w:rsidRPr="009C5C7C">
        <w:rPr>
          <w:lang w:val="en-GB"/>
        </w:rPr>
        <w:t>for</w:t>
      </w:r>
      <w:r w:rsidR="009967E0" w:rsidRPr="009C5C7C">
        <w:rPr>
          <w:lang w:val="en-GB"/>
        </w:rPr>
        <w:t xml:space="preserve"> synthesi</w:t>
      </w:r>
      <w:r w:rsidR="00B5470B" w:rsidRPr="009C5C7C">
        <w:rPr>
          <w:lang w:val="en-GB"/>
        </w:rPr>
        <w:t xml:space="preserve">zing vitamin </w:t>
      </w:r>
      <w:r w:rsidR="009967E0" w:rsidRPr="001C5968">
        <w:rPr>
          <w:lang w:val="en-GB"/>
        </w:rPr>
        <w:t>B12</w:t>
      </w:r>
      <w:r w:rsidR="009967E0" w:rsidRPr="009C5C7C">
        <w:rPr>
          <w:lang w:val="en-GB"/>
        </w:rPr>
        <w:t xml:space="preserve"> </w:t>
      </w:r>
      <w:r w:rsidR="00B5470B" w:rsidRPr="009C5C7C">
        <w:rPr>
          <w:lang w:val="en-GB"/>
        </w:rPr>
        <w:t>b</w:t>
      </w:r>
      <w:r w:rsidR="006E663F" w:rsidRPr="009C5C7C">
        <w:rPr>
          <w:lang w:val="en-GB"/>
        </w:rPr>
        <w:t xml:space="preserve">y </w:t>
      </w:r>
      <w:r w:rsidR="006E663F" w:rsidRPr="009C5C7C">
        <w:rPr>
          <w:i/>
          <w:iCs/>
          <w:lang w:val="en-GB"/>
        </w:rPr>
        <w:t xml:space="preserve">P. </w:t>
      </w:r>
      <w:proofErr w:type="spellStart"/>
      <w:r w:rsidR="006E663F" w:rsidRPr="009C5C7C">
        <w:rPr>
          <w:i/>
          <w:iCs/>
          <w:lang w:val="en-GB"/>
        </w:rPr>
        <w:t>freudenreichii</w:t>
      </w:r>
      <w:proofErr w:type="spellEnd"/>
      <w:r w:rsidR="006E663F" w:rsidRPr="009C5C7C">
        <w:rPr>
          <w:i/>
          <w:iCs/>
          <w:lang w:val="en-GB"/>
        </w:rPr>
        <w:t xml:space="preserve"> </w:t>
      </w:r>
      <w:r w:rsidR="006E663F" w:rsidRPr="009C5C7C">
        <w:rPr>
          <w:lang w:val="en-GB"/>
        </w:rPr>
        <w:t>fermentation</w:t>
      </w:r>
      <w:r w:rsidR="00B5470B" w:rsidRPr="009C5C7C">
        <w:rPr>
          <w:lang w:val="en-GB"/>
        </w:rPr>
        <w:t xml:space="preserve"> and </w:t>
      </w:r>
      <w:r w:rsidR="00F845BB" w:rsidRPr="009C5C7C">
        <w:rPr>
          <w:lang w:val="en-GB"/>
        </w:rPr>
        <w:t>prepare</w:t>
      </w:r>
      <w:r w:rsidR="00B5470B" w:rsidRPr="009C5C7C">
        <w:rPr>
          <w:lang w:val="en-GB"/>
        </w:rPr>
        <w:t xml:space="preserve"> a </w:t>
      </w:r>
      <w:r w:rsidR="00B5470B" w:rsidRPr="001C5968">
        <w:rPr>
          <w:lang w:val="en-GB"/>
        </w:rPr>
        <w:t>B12</w:t>
      </w:r>
      <w:r w:rsidR="00B5470B" w:rsidRPr="009C5C7C">
        <w:rPr>
          <w:lang w:val="en-GB"/>
        </w:rPr>
        <w:t>-rich bread with fermented material</w:t>
      </w:r>
      <w:r w:rsidR="00F845BB" w:rsidRPr="009C5C7C">
        <w:rPr>
          <w:lang w:val="en-GB"/>
        </w:rPr>
        <w:t>.</w:t>
      </w:r>
    </w:p>
    <w:p w14:paraId="7B1DF5C4" w14:textId="0765FC7F" w:rsidR="007D40F9" w:rsidRPr="009C5C7C" w:rsidRDefault="005B4F27" w:rsidP="007D40F9">
      <w:pPr>
        <w:pStyle w:val="Titolo1"/>
        <w:tabs>
          <w:tab w:val="left" w:pos="567"/>
        </w:tabs>
        <w:spacing w:before="240" w:after="120"/>
        <w:ind w:right="0"/>
        <w:jc w:val="both"/>
        <w:rPr>
          <w:b/>
          <w:bCs/>
          <w:color w:val="000000"/>
          <w:sz w:val="24"/>
          <w:lang w:val="en-GB"/>
        </w:rPr>
      </w:pPr>
      <w:r w:rsidRPr="009C5C7C">
        <w:rPr>
          <w:b/>
          <w:bCs/>
          <w:color w:val="000000"/>
          <w:sz w:val="24"/>
          <w:lang w:val="en-GB"/>
        </w:rPr>
        <w:t>2</w:t>
      </w:r>
      <w:r w:rsidR="007D40F9" w:rsidRPr="009C5C7C">
        <w:rPr>
          <w:b/>
          <w:bCs/>
          <w:color w:val="000000"/>
          <w:sz w:val="24"/>
          <w:lang w:val="en-GB"/>
        </w:rPr>
        <w:t>. Materials and Methods</w:t>
      </w:r>
    </w:p>
    <w:p w14:paraId="787BF64E" w14:textId="0842F3A6" w:rsidR="00690FAD" w:rsidRPr="009C5C7C" w:rsidRDefault="00DE691C" w:rsidP="007C7FF7">
      <w:pPr>
        <w:tabs>
          <w:tab w:val="left" w:pos="567"/>
        </w:tabs>
        <w:ind w:left="567" w:hanging="567"/>
        <w:jc w:val="both"/>
        <w:rPr>
          <w:lang w:val="en-GB"/>
        </w:rPr>
      </w:pPr>
      <w:r>
        <w:rPr>
          <w:bCs/>
          <w:lang w:val="en-GB"/>
        </w:rPr>
        <w:t>A</w:t>
      </w:r>
      <w:r w:rsidR="00881D71" w:rsidRPr="009C5C7C">
        <w:rPr>
          <w:bCs/>
          <w:lang w:val="en-GB"/>
        </w:rPr>
        <w:t>1)</w:t>
      </w:r>
      <w:r w:rsidR="0032327D" w:rsidRPr="009C5C7C">
        <w:rPr>
          <w:bCs/>
          <w:lang w:val="en-GB"/>
        </w:rPr>
        <w:tab/>
      </w:r>
      <w:r w:rsidR="00690FAD" w:rsidRPr="009C5C7C">
        <w:rPr>
          <w:lang w:val="en-GB"/>
        </w:rPr>
        <w:t>Two Andean lupin cultivars (</w:t>
      </w:r>
      <w:r w:rsidR="00690FAD" w:rsidRPr="009C5C7C">
        <w:rPr>
          <w:i/>
          <w:iCs/>
          <w:lang w:val="en-GB"/>
        </w:rPr>
        <w:t xml:space="preserve">Lupinus </w:t>
      </w:r>
      <w:proofErr w:type="spellStart"/>
      <w:r w:rsidR="00690FAD" w:rsidRPr="009C5C7C">
        <w:rPr>
          <w:i/>
          <w:iCs/>
          <w:lang w:val="en-GB"/>
        </w:rPr>
        <w:t>mutabilis</w:t>
      </w:r>
      <w:proofErr w:type="spellEnd"/>
      <w:r w:rsidR="00690FAD" w:rsidRPr="009C5C7C">
        <w:rPr>
          <w:i/>
          <w:iCs/>
          <w:lang w:val="en-GB"/>
        </w:rPr>
        <w:t xml:space="preserve"> </w:t>
      </w:r>
      <w:r w:rsidR="00690FAD" w:rsidRPr="009C5C7C">
        <w:rPr>
          <w:lang w:val="en-GB"/>
        </w:rPr>
        <w:t xml:space="preserve">Sweet) were analysed </w:t>
      </w:r>
      <w:r w:rsidR="00E04E31">
        <w:rPr>
          <w:lang w:val="en-GB"/>
        </w:rPr>
        <w:t xml:space="preserve">before and </w:t>
      </w:r>
      <w:r w:rsidR="00690FAD" w:rsidRPr="009C5C7C">
        <w:rPr>
          <w:lang w:val="en-GB"/>
        </w:rPr>
        <w:t>after germination in the dark for two, four and six days. Colo</w:t>
      </w:r>
      <w:r w:rsidR="005F2ECD" w:rsidRPr="009C5C7C">
        <w:rPr>
          <w:lang w:val="en-GB"/>
        </w:rPr>
        <w:t>u</w:t>
      </w:r>
      <w:r w:rsidR="00690FAD" w:rsidRPr="009C5C7C">
        <w:rPr>
          <w:lang w:val="en-GB"/>
        </w:rPr>
        <w:t>r coordinates (</w:t>
      </w:r>
      <w:r w:rsidR="00690FAD" w:rsidRPr="009C5C7C">
        <w:rPr>
          <w:i/>
          <w:iCs/>
          <w:lang w:val="en-GB"/>
        </w:rPr>
        <w:t>L</w:t>
      </w:r>
      <w:r w:rsidR="00690FAD" w:rsidRPr="009C5C7C">
        <w:rPr>
          <w:lang w:val="en-GB"/>
        </w:rPr>
        <w:t xml:space="preserve">*, </w:t>
      </w:r>
      <w:r w:rsidR="00690FAD" w:rsidRPr="009C5C7C">
        <w:rPr>
          <w:i/>
          <w:iCs/>
          <w:lang w:val="en-GB"/>
        </w:rPr>
        <w:t>a</w:t>
      </w:r>
      <w:r w:rsidR="00690FAD" w:rsidRPr="009C5C7C">
        <w:rPr>
          <w:lang w:val="en-GB"/>
        </w:rPr>
        <w:t xml:space="preserve">*, </w:t>
      </w:r>
      <w:r w:rsidR="00690FAD" w:rsidRPr="009C5C7C">
        <w:rPr>
          <w:i/>
          <w:iCs/>
          <w:lang w:val="en-GB"/>
        </w:rPr>
        <w:t>b</w:t>
      </w:r>
      <w:r w:rsidR="00690FAD" w:rsidRPr="009C5C7C">
        <w:rPr>
          <w:lang w:val="en-GB"/>
        </w:rPr>
        <w:t xml:space="preserve">*) were evaluated by a tristimulus colorimeter, while </w:t>
      </w:r>
      <w:proofErr w:type="spellStart"/>
      <w:r w:rsidR="00690FAD" w:rsidRPr="009C5C7C">
        <w:rPr>
          <w:lang w:val="en-GB"/>
        </w:rPr>
        <w:t>tocols</w:t>
      </w:r>
      <w:proofErr w:type="spellEnd"/>
      <w:r w:rsidR="00690FAD" w:rsidRPr="009C5C7C">
        <w:rPr>
          <w:lang w:val="en-GB"/>
        </w:rPr>
        <w:t xml:space="preserve"> and carotenoids were</w:t>
      </w:r>
      <w:r w:rsidR="00E04E31">
        <w:rPr>
          <w:lang w:val="en-GB"/>
        </w:rPr>
        <w:t xml:space="preserve"> </w:t>
      </w:r>
      <w:r w:rsidR="00E04E31" w:rsidRPr="003E6927">
        <w:rPr>
          <w:lang w:val="en-GB"/>
        </w:rPr>
        <w:t>extracted by saponification (</w:t>
      </w:r>
      <w:proofErr w:type="spellStart"/>
      <w:r w:rsidR="00E31FAF" w:rsidRPr="003E6927">
        <w:rPr>
          <w:lang w:val="en-GB"/>
        </w:rPr>
        <w:t>Panfili</w:t>
      </w:r>
      <w:proofErr w:type="spellEnd"/>
      <w:r w:rsidR="00E31FAF" w:rsidRPr="003E6927">
        <w:rPr>
          <w:lang w:val="en-GB"/>
        </w:rPr>
        <w:t xml:space="preserve"> </w:t>
      </w:r>
      <w:r w:rsidR="00E31FAF" w:rsidRPr="003E6927">
        <w:rPr>
          <w:i/>
          <w:iCs/>
          <w:lang w:val="en-GB"/>
        </w:rPr>
        <w:t>et al</w:t>
      </w:r>
      <w:r w:rsidR="00E31FAF" w:rsidRPr="003E6927">
        <w:rPr>
          <w:lang w:val="en-GB"/>
        </w:rPr>
        <w:t xml:space="preserve">., </w:t>
      </w:r>
      <w:r w:rsidR="003E6927" w:rsidRPr="003E6927">
        <w:rPr>
          <w:lang w:val="en-GB"/>
        </w:rPr>
        <w:t>2003</w:t>
      </w:r>
      <w:r w:rsidR="00E04E31" w:rsidRPr="003E6927">
        <w:rPr>
          <w:lang w:val="en-GB"/>
        </w:rPr>
        <w:t>) and</w:t>
      </w:r>
      <w:r w:rsidR="00690FAD" w:rsidRPr="003E6927">
        <w:rPr>
          <w:lang w:val="en-GB"/>
        </w:rPr>
        <w:t xml:space="preserve"> quantified by HPLC </w:t>
      </w:r>
      <w:r w:rsidR="00E04E31" w:rsidRPr="003E6927">
        <w:rPr>
          <w:lang w:val="en-GB"/>
        </w:rPr>
        <w:t>(</w:t>
      </w:r>
      <w:proofErr w:type="spellStart"/>
      <w:r w:rsidR="00690FAD" w:rsidRPr="003E6927">
        <w:rPr>
          <w:lang w:val="en-GB"/>
        </w:rPr>
        <w:t>Brandolini</w:t>
      </w:r>
      <w:proofErr w:type="spellEnd"/>
      <w:r w:rsidR="00690FAD" w:rsidRPr="003E6927">
        <w:rPr>
          <w:lang w:val="en-GB"/>
        </w:rPr>
        <w:t xml:space="preserve"> </w:t>
      </w:r>
      <w:r w:rsidR="00690FAD" w:rsidRPr="003E6927">
        <w:rPr>
          <w:i/>
          <w:iCs/>
          <w:lang w:val="en-GB"/>
        </w:rPr>
        <w:t>et al</w:t>
      </w:r>
      <w:r w:rsidR="00690FAD" w:rsidRPr="003E6927">
        <w:rPr>
          <w:lang w:val="en-GB"/>
        </w:rPr>
        <w:t>.</w:t>
      </w:r>
      <w:r w:rsidR="00E04E31" w:rsidRPr="003E6927">
        <w:rPr>
          <w:lang w:val="en-GB"/>
        </w:rPr>
        <w:t xml:space="preserve">, </w:t>
      </w:r>
      <w:r w:rsidR="00690FAD" w:rsidRPr="003E6927">
        <w:rPr>
          <w:lang w:val="en-GB"/>
        </w:rPr>
        <w:t>2022).</w:t>
      </w:r>
    </w:p>
    <w:p w14:paraId="0836633B" w14:textId="44DCC255" w:rsidR="0032327D" w:rsidRPr="009C5C7C" w:rsidRDefault="00DE691C" w:rsidP="007C7FF7">
      <w:pPr>
        <w:tabs>
          <w:tab w:val="left" w:pos="567"/>
        </w:tabs>
        <w:ind w:left="567" w:hanging="567"/>
        <w:jc w:val="both"/>
        <w:rPr>
          <w:bCs/>
          <w:lang w:val="en-GB"/>
        </w:rPr>
      </w:pPr>
      <w:r>
        <w:rPr>
          <w:bCs/>
          <w:lang w:val="en-GB"/>
        </w:rPr>
        <w:t>A</w:t>
      </w:r>
      <w:r w:rsidR="00690FAD" w:rsidRPr="009C5C7C">
        <w:rPr>
          <w:bCs/>
          <w:lang w:val="en-GB"/>
        </w:rPr>
        <w:t>2)</w:t>
      </w:r>
      <w:r w:rsidR="0032327D" w:rsidRPr="009C5C7C">
        <w:rPr>
          <w:bCs/>
          <w:lang w:val="en-GB"/>
        </w:rPr>
        <w:tab/>
        <w:t xml:space="preserve">33 Andean ecotypes of </w:t>
      </w:r>
      <w:r w:rsidR="0032327D" w:rsidRPr="009C5C7C">
        <w:rPr>
          <w:bCs/>
          <w:i/>
          <w:iCs/>
          <w:lang w:val="en-GB"/>
        </w:rPr>
        <w:t xml:space="preserve">L. </w:t>
      </w:r>
      <w:proofErr w:type="spellStart"/>
      <w:r w:rsidR="0032327D" w:rsidRPr="009C5C7C">
        <w:rPr>
          <w:bCs/>
          <w:i/>
          <w:iCs/>
          <w:lang w:val="en-GB"/>
        </w:rPr>
        <w:t>mutabilis</w:t>
      </w:r>
      <w:proofErr w:type="spellEnd"/>
      <w:r w:rsidR="0032327D" w:rsidRPr="009C5C7C">
        <w:rPr>
          <w:bCs/>
          <w:lang w:val="en-GB"/>
        </w:rPr>
        <w:t xml:space="preserve"> and five varieties belonging to </w:t>
      </w:r>
      <w:r w:rsidR="0032327D" w:rsidRPr="009C5C7C">
        <w:rPr>
          <w:bCs/>
          <w:i/>
          <w:iCs/>
          <w:lang w:val="en-GB"/>
        </w:rPr>
        <w:t>L. luteus</w:t>
      </w:r>
      <w:r w:rsidR="0032327D" w:rsidRPr="009C5C7C">
        <w:rPr>
          <w:bCs/>
          <w:lang w:val="en-GB"/>
        </w:rPr>
        <w:t xml:space="preserve">, </w:t>
      </w:r>
      <w:r w:rsidR="0032327D" w:rsidRPr="009C5C7C">
        <w:rPr>
          <w:bCs/>
          <w:i/>
          <w:iCs/>
          <w:lang w:val="en-GB"/>
        </w:rPr>
        <w:t xml:space="preserve">L. </w:t>
      </w:r>
      <w:proofErr w:type="spellStart"/>
      <w:r w:rsidR="0032327D" w:rsidRPr="009C5C7C">
        <w:rPr>
          <w:bCs/>
          <w:i/>
          <w:iCs/>
          <w:lang w:val="en-GB"/>
        </w:rPr>
        <w:t>angustifolius</w:t>
      </w:r>
      <w:proofErr w:type="spellEnd"/>
      <w:r w:rsidR="0032327D" w:rsidRPr="009C5C7C">
        <w:rPr>
          <w:bCs/>
          <w:i/>
          <w:iCs/>
          <w:lang w:val="en-GB"/>
        </w:rPr>
        <w:t xml:space="preserve"> </w:t>
      </w:r>
      <w:r w:rsidR="0032327D" w:rsidRPr="009C5C7C">
        <w:rPr>
          <w:bCs/>
          <w:lang w:val="en-GB"/>
        </w:rPr>
        <w:t xml:space="preserve">and </w:t>
      </w:r>
      <w:r w:rsidR="0032327D" w:rsidRPr="009C5C7C">
        <w:rPr>
          <w:bCs/>
          <w:i/>
          <w:iCs/>
          <w:lang w:val="en-GB"/>
        </w:rPr>
        <w:t>L. albus</w:t>
      </w:r>
      <w:r w:rsidR="0032327D" w:rsidRPr="009C5C7C">
        <w:rPr>
          <w:bCs/>
          <w:lang w:val="en-GB"/>
        </w:rPr>
        <w:t>, as controls, were analyse</w:t>
      </w:r>
      <w:r w:rsidR="005F2ECD" w:rsidRPr="009C5C7C">
        <w:rPr>
          <w:bCs/>
          <w:lang w:val="en-GB"/>
        </w:rPr>
        <w:t>d</w:t>
      </w:r>
      <w:r w:rsidR="0032327D" w:rsidRPr="009C5C7C">
        <w:rPr>
          <w:bCs/>
          <w:lang w:val="en-GB"/>
        </w:rPr>
        <w:t xml:space="preserve"> to assess their free phenolic compounds content by RP-HPLC (</w:t>
      </w:r>
      <w:proofErr w:type="spellStart"/>
      <w:r w:rsidR="0032327D" w:rsidRPr="009C5C7C">
        <w:rPr>
          <w:bCs/>
          <w:lang w:val="en-GB"/>
        </w:rPr>
        <w:t>Brandolini</w:t>
      </w:r>
      <w:proofErr w:type="spellEnd"/>
      <w:r w:rsidR="0032327D" w:rsidRPr="009C5C7C">
        <w:rPr>
          <w:bCs/>
          <w:lang w:val="en-GB"/>
        </w:rPr>
        <w:t xml:space="preserve"> </w:t>
      </w:r>
      <w:r w:rsidR="0032327D" w:rsidRPr="009C5C7C">
        <w:rPr>
          <w:bCs/>
          <w:i/>
          <w:iCs/>
          <w:lang w:val="en-GB"/>
        </w:rPr>
        <w:t>et al</w:t>
      </w:r>
      <w:r w:rsidR="0032327D" w:rsidRPr="009C5C7C">
        <w:rPr>
          <w:bCs/>
          <w:lang w:val="en-GB"/>
        </w:rPr>
        <w:t xml:space="preserve">., 2022). </w:t>
      </w:r>
      <w:r w:rsidR="00E00899">
        <w:rPr>
          <w:bCs/>
          <w:lang w:val="en-GB"/>
        </w:rPr>
        <w:t>The a</w:t>
      </w:r>
      <w:r w:rsidR="0032327D" w:rsidRPr="009C5C7C">
        <w:rPr>
          <w:bCs/>
          <w:lang w:val="en-GB"/>
        </w:rPr>
        <w:t xml:space="preserve">cquisition of FT-NIR spectra was performed as well. </w:t>
      </w:r>
    </w:p>
    <w:p w14:paraId="44D839B4" w14:textId="0C8DBA44" w:rsidR="00690FAD" w:rsidRPr="009C5C7C" w:rsidRDefault="00DE691C" w:rsidP="007C7FF7">
      <w:pPr>
        <w:tabs>
          <w:tab w:val="left" w:pos="567"/>
        </w:tabs>
        <w:ind w:left="567" w:hanging="567"/>
        <w:jc w:val="both"/>
        <w:rPr>
          <w:bCs/>
          <w:lang w:val="en-GB"/>
        </w:rPr>
      </w:pPr>
      <w:r>
        <w:rPr>
          <w:bCs/>
          <w:lang w:val="en-GB"/>
        </w:rPr>
        <w:t>A</w:t>
      </w:r>
      <w:r w:rsidR="00690FAD" w:rsidRPr="009C5C7C">
        <w:rPr>
          <w:bCs/>
          <w:lang w:val="en-GB"/>
        </w:rPr>
        <w:t>3)</w:t>
      </w:r>
      <w:r w:rsidR="0032327D" w:rsidRPr="009C5C7C">
        <w:rPr>
          <w:bCs/>
          <w:lang w:val="en-GB"/>
        </w:rPr>
        <w:tab/>
        <w:t>Two lots of white lupin (</w:t>
      </w:r>
      <w:r w:rsidR="0032327D" w:rsidRPr="009C5C7C">
        <w:rPr>
          <w:bCs/>
          <w:i/>
          <w:iCs/>
          <w:lang w:val="en-GB"/>
        </w:rPr>
        <w:t>Lupinus albus</w:t>
      </w:r>
      <w:r w:rsidR="0032327D" w:rsidRPr="009C5C7C">
        <w:rPr>
          <w:bCs/>
          <w:lang w:val="en-GB"/>
        </w:rPr>
        <w:t xml:space="preserve">) seeds were used in different trials to optimize the experimental debittering method and to assess the influence of sonication (with and without the employment of US), solvent (water, solutions of salt or citric acid) and treatment time. The effectiveness of debittering was evaluated by extraction and titration of </w:t>
      </w:r>
      <w:r w:rsidR="00E00899">
        <w:rPr>
          <w:bCs/>
          <w:lang w:val="en-GB"/>
        </w:rPr>
        <w:t xml:space="preserve">the </w:t>
      </w:r>
      <w:r w:rsidR="0032327D" w:rsidRPr="009C5C7C">
        <w:rPr>
          <w:bCs/>
          <w:lang w:val="en-GB"/>
        </w:rPr>
        <w:t>residu</w:t>
      </w:r>
      <w:r w:rsidR="00D77EE8" w:rsidRPr="009C5C7C">
        <w:rPr>
          <w:bCs/>
          <w:lang w:val="en-GB"/>
        </w:rPr>
        <w:t>al</w:t>
      </w:r>
      <w:r w:rsidR="0032327D" w:rsidRPr="009C5C7C">
        <w:rPr>
          <w:bCs/>
          <w:lang w:val="en-GB"/>
        </w:rPr>
        <w:t xml:space="preserve"> alkaloids (von Baer </w:t>
      </w:r>
      <w:r w:rsidR="0032327D" w:rsidRPr="009C5C7C">
        <w:rPr>
          <w:bCs/>
          <w:i/>
          <w:iCs/>
          <w:lang w:val="en-GB"/>
        </w:rPr>
        <w:t>et al</w:t>
      </w:r>
      <w:r w:rsidR="0032327D" w:rsidRPr="009C5C7C">
        <w:rPr>
          <w:bCs/>
          <w:lang w:val="en-GB"/>
        </w:rPr>
        <w:t xml:space="preserve">., 1979) and evaluation of </w:t>
      </w:r>
      <w:r w:rsidR="00E00899">
        <w:rPr>
          <w:bCs/>
          <w:lang w:val="en-GB"/>
        </w:rPr>
        <w:t xml:space="preserve">the </w:t>
      </w:r>
      <w:r w:rsidR="0032327D" w:rsidRPr="009C5C7C">
        <w:rPr>
          <w:bCs/>
          <w:lang w:val="en-GB"/>
        </w:rPr>
        <w:t xml:space="preserve">bitterness by e-tongue (Marengo </w:t>
      </w:r>
      <w:r w:rsidR="0032327D" w:rsidRPr="009C5C7C">
        <w:rPr>
          <w:bCs/>
          <w:i/>
          <w:iCs/>
          <w:lang w:val="en-GB"/>
        </w:rPr>
        <w:t>et al</w:t>
      </w:r>
      <w:r w:rsidR="0032327D" w:rsidRPr="009C5C7C">
        <w:rPr>
          <w:bCs/>
          <w:lang w:val="en-GB"/>
        </w:rPr>
        <w:t xml:space="preserve">., 2016). Two debittering </w:t>
      </w:r>
      <w:r w:rsidR="00E00899" w:rsidRPr="009C5C7C">
        <w:rPr>
          <w:bCs/>
          <w:lang w:val="en-GB"/>
        </w:rPr>
        <w:t xml:space="preserve">reference methods </w:t>
      </w:r>
      <w:r w:rsidR="0032327D" w:rsidRPr="009C5C7C">
        <w:rPr>
          <w:bCs/>
          <w:lang w:val="en-GB"/>
        </w:rPr>
        <w:t>(</w:t>
      </w:r>
      <w:proofErr w:type="spellStart"/>
      <w:r w:rsidR="0032327D" w:rsidRPr="009C5C7C">
        <w:rPr>
          <w:bCs/>
          <w:lang w:val="en-GB"/>
        </w:rPr>
        <w:t>Córdova</w:t>
      </w:r>
      <w:proofErr w:type="spellEnd"/>
      <w:r w:rsidR="0032327D" w:rsidRPr="009C5C7C">
        <w:rPr>
          <w:bCs/>
          <w:lang w:val="en-GB"/>
        </w:rPr>
        <w:t xml:space="preserve"> Ramos </w:t>
      </w:r>
      <w:r w:rsidR="0032327D" w:rsidRPr="009C5C7C">
        <w:rPr>
          <w:bCs/>
          <w:i/>
          <w:iCs/>
          <w:lang w:val="en-GB"/>
        </w:rPr>
        <w:t>et al</w:t>
      </w:r>
      <w:r w:rsidR="0032327D" w:rsidRPr="009C5C7C">
        <w:rPr>
          <w:bCs/>
          <w:lang w:val="en-GB"/>
        </w:rPr>
        <w:t xml:space="preserve">., 2020; </w:t>
      </w:r>
      <w:proofErr w:type="spellStart"/>
      <w:r w:rsidR="0032327D" w:rsidRPr="009C5C7C">
        <w:rPr>
          <w:bCs/>
          <w:lang w:val="en-GB"/>
        </w:rPr>
        <w:t>Villacrés</w:t>
      </w:r>
      <w:proofErr w:type="spellEnd"/>
      <w:r w:rsidR="0032327D" w:rsidRPr="009C5C7C">
        <w:rPr>
          <w:bCs/>
          <w:lang w:val="en-GB"/>
        </w:rPr>
        <w:t xml:space="preserve"> </w:t>
      </w:r>
      <w:r w:rsidR="0032327D" w:rsidRPr="009C5C7C">
        <w:rPr>
          <w:bCs/>
          <w:i/>
          <w:iCs/>
          <w:lang w:val="en-GB"/>
        </w:rPr>
        <w:t>et al</w:t>
      </w:r>
      <w:r w:rsidR="0032327D" w:rsidRPr="009C5C7C">
        <w:rPr>
          <w:bCs/>
          <w:lang w:val="en-GB"/>
        </w:rPr>
        <w:t>., 2020) and four commercial lupin snacks were used as controls.</w:t>
      </w:r>
      <w:r w:rsidR="00690FAD" w:rsidRPr="009C5C7C">
        <w:rPr>
          <w:bCs/>
          <w:lang w:val="en-GB"/>
        </w:rPr>
        <w:t xml:space="preserve"> </w:t>
      </w:r>
    </w:p>
    <w:p w14:paraId="4589FEF3" w14:textId="32119D5B" w:rsidR="00881D71" w:rsidRPr="009C5C7C" w:rsidRDefault="00DE691C" w:rsidP="007C7FF7">
      <w:pPr>
        <w:tabs>
          <w:tab w:val="left" w:pos="567"/>
        </w:tabs>
        <w:spacing w:after="240"/>
        <w:ind w:left="567" w:hanging="567"/>
        <w:contextualSpacing/>
        <w:jc w:val="both"/>
        <w:rPr>
          <w:bCs/>
          <w:lang w:val="en-GB"/>
        </w:rPr>
      </w:pPr>
      <w:r>
        <w:rPr>
          <w:bCs/>
          <w:lang w:val="en-GB"/>
        </w:rPr>
        <w:t>A</w:t>
      </w:r>
      <w:r w:rsidR="00690FAD" w:rsidRPr="009C5C7C">
        <w:rPr>
          <w:bCs/>
          <w:lang w:val="en-GB"/>
        </w:rPr>
        <w:t>4</w:t>
      </w:r>
      <w:r w:rsidR="00881D71" w:rsidRPr="009C5C7C">
        <w:rPr>
          <w:bCs/>
          <w:lang w:val="en-GB"/>
        </w:rPr>
        <w:t>)</w:t>
      </w:r>
      <w:r w:rsidR="00751E52" w:rsidRPr="009C5C7C">
        <w:rPr>
          <w:bCs/>
          <w:lang w:val="en-GB"/>
        </w:rPr>
        <w:tab/>
      </w:r>
      <w:r w:rsidR="0032327D" w:rsidRPr="009C5C7C">
        <w:rPr>
          <w:bCs/>
          <w:lang w:val="en-GB"/>
        </w:rPr>
        <w:t xml:space="preserve">The very same materials </w:t>
      </w:r>
      <w:r w:rsidR="00987A3C" w:rsidRPr="009C5C7C">
        <w:rPr>
          <w:bCs/>
          <w:lang w:val="en-GB"/>
        </w:rPr>
        <w:t xml:space="preserve">produced and analysed </w:t>
      </w:r>
      <w:r w:rsidR="0032327D" w:rsidRPr="009C5C7C">
        <w:rPr>
          <w:bCs/>
          <w:lang w:val="en-GB"/>
        </w:rPr>
        <w:t xml:space="preserve">in the </w:t>
      </w:r>
      <w:r>
        <w:rPr>
          <w:bCs/>
          <w:lang w:val="en-GB"/>
        </w:rPr>
        <w:t>A</w:t>
      </w:r>
      <w:r w:rsidR="0032327D" w:rsidRPr="009C5C7C">
        <w:rPr>
          <w:bCs/>
          <w:lang w:val="en-GB"/>
        </w:rPr>
        <w:t xml:space="preserve">3 activity </w:t>
      </w:r>
      <w:r w:rsidR="00987A3C" w:rsidRPr="009C5C7C">
        <w:rPr>
          <w:bCs/>
          <w:lang w:val="en-GB"/>
        </w:rPr>
        <w:t>were</w:t>
      </w:r>
      <w:r w:rsidR="00D74C1D" w:rsidRPr="009C5C7C">
        <w:rPr>
          <w:bCs/>
          <w:lang w:val="en-GB"/>
        </w:rPr>
        <w:t xml:space="preserve"> </w:t>
      </w:r>
      <w:r w:rsidR="0032327D" w:rsidRPr="009C5C7C">
        <w:rPr>
          <w:bCs/>
          <w:lang w:val="en-GB"/>
        </w:rPr>
        <w:t xml:space="preserve">characterized for their content in tocopherols, </w:t>
      </w:r>
      <w:proofErr w:type="gramStart"/>
      <w:r w:rsidR="0032327D" w:rsidRPr="009C5C7C">
        <w:rPr>
          <w:bCs/>
          <w:lang w:val="en-GB"/>
        </w:rPr>
        <w:t>carotenoids</w:t>
      </w:r>
      <w:proofErr w:type="gramEnd"/>
      <w:r w:rsidR="0032327D" w:rsidRPr="009C5C7C">
        <w:rPr>
          <w:bCs/>
          <w:lang w:val="en-GB"/>
        </w:rPr>
        <w:t xml:space="preserve"> and phenolic compounds (soluble free, soluble conjugated and bound fractions) by HPLC as previously detailed.</w:t>
      </w:r>
    </w:p>
    <w:p w14:paraId="6A8B5B54" w14:textId="72A3B121" w:rsidR="000B7645" w:rsidRPr="009C5C7C" w:rsidRDefault="00DE691C" w:rsidP="007C7FF7">
      <w:pPr>
        <w:tabs>
          <w:tab w:val="left" w:pos="567"/>
        </w:tabs>
        <w:ind w:left="567" w:hanging="567"/>
        <w:jc w:val="both"/>
        <w:rPr>
          <w:bCs/>
          <w:lang w:val="en-GB"/>
        </w:rPr>
      </w:pPr>
      <w:r>
        <w:rPr>
          <w:bCs/>
          <w:lang w:val="en-GB"/>
        </w:rPr>
        <w:t>B</w:t>
      </w:r>
      <w:r w:rsidR="00B5470B" w:rsidRPr="009C5C7C">
        <w:rPr>
          <w:bCs/>
          <w:lang w:val="en-GB"/>
        </w:rPr>
        <w:t>1)</w:t>
      </w:r>
      <w:r w:rsidR="00751E52" w:rsidRPr="009C5C7C">
        <w:rPr>
          <w:bCs/>
          <w:lang w:val="en-GB"/>
        </w:rPr>
        <w:tab/>
      </w:r>
      <w:r w:rsidR="005F2ECD" w:rsidRPr="009C5C7C">
        <w:rPr>
          <w:bCs/>
          <w:lang w:val="en-GB"/>
        </w:rPr>
        <w:t>The by-products of the canned peas production line were sampled on three different days</w:t>
      </w:r>
      <w:r w:rsidR="00E00899">
        <w:rPr>
          <w:bCs/>
          <w:lang w:val="en-GB"/>
        </w:rPr>
        <w:t xml:space="preserve"> and</w:t>
      </w:r>
      <w:r w:rsidR="005F2ECD" w:rsidRPr="009C5C7C">
        <w:rPr>
          <w:bCs/>
          <w:lang w:val="en-GB"/>
        </w:rPr>
        <w:t xml:space="preserve"> stored at -20 °C. According to the Design of Experiment (DoE) technique, trials were carried out to fine tune ultrasound-assisted alkaline extraction of protein followed by isoelectric precipitation from thawed by-product. </w:t>
      </w:r>
      <w:r w:rsidR="00130732">
        <w:rPr>
          <w:bCs/>
          <w:lang w:val="en-GB"/>
        </w:rPr>
        <w:t>P</w:t>
      </w:r>
      <w:r w:rsidR="005F2ECD" w:rsidRPr="009C5C7C">
        <w:rPr>
          <w:bCs/>
          <w:lang w:val="en-GB"/>
        </w:rPr>
        <w:t>rotein concentrate, dried by-product and a commercial pea flour were characterized for protein content</w:t>
      </w:r>
      <w:r w:rsidR="006564A6" w:rsidRPr="009C5C7C">
        <w:rPr>
          <w:bCs/>
          <w:lang w:val="en-GB"/>
        </w:rPr>
        <w:t xml:space="preserve"> (</w:t>
      </w:r>
      <w:proofErr w:type="spellStart"/>
      <w:r w:rsidR="006564A6" w:rsidRPr="009C5C7C">
        <w:rPr>
          <w:bCs/>
          <w:lang w:val="en-GB"/>
        </w:rPr>
        <w:t>Kjeldahl</w:t>
      </w:r>
      <w:proofErr w:type="spellEnd"/>
      <w:r w:rsidR="006564A6" w:rsidRPr="009C5C7C">
        <w:rPr>
          <w:bCs/>
          <w:lang w:val="en-GB"/>
        </w:rPr>
        <w:t>)</w:t>
      </w:r>
      <w:r w:rsidR="005F2ECD" w:rsidRPr="009C5C7C">
        <w:rPr>
          <w:bCs/>
          <w:lang w:val="en-GB"/>
        </w:rPr>
        <w:t xml:space="preserve">, water activity, colour, water and oil retention capacity, gelling capacity, foaming capacity and stability, emulsifying activity, </w:t>
      </w:r>
      <w:r w:rsidR="00E00899">
        <w:rPr>
          <w:bCs/>
          <w:lang w:val="en-GB"/>
        </w:rPr>
        <w:t xml:space="preserve">protein </w:t>
      </w:r>
      <w:r w:rsidR="005F2ECD" w:rsidRPr="009C5C7C">
        <w:rPr>
          <w:bCs/>
          <w:lang w:val="en-GB"/>
        </w:rPr>
        <w:t xml:space="preserve">pattern by SDS-PAGE, total bacterial count, total lactic acid bacteria, </w:t>
      </w:r>
      <w:r w:rsidR="005F2ECD" w:rsidRPr="00E00899">
        <w:rPr>
          <w:bCs/>
          <w:i/>
          <w:iCs/>
          <w:lang w:val="en-GB"/>
        </w:rPr>
        <w:t>Enterobacteriaceae</w:t>
      </w:r>
      <w:r w:rsidR="005F2ECD" w:rsidRPr="009C5C7C">
        <w:rPr>
          <w:bCs/>
          <w:lang w:val="en-GB"/>
        </w:rPr>
        <w:t xml:space="preserve">, moulds and yeasts. </w:t>
      </w:r>
    </w:p>
    <w:p w14:paraId="3DCE3592" w14:textId="53888D9B" w:rsidR="00B5470B" w:rsidRPr="009C5C7C" w:rsidRDefault="00DE691C" w:rsidP="007C7FF7">
      <w:pPr>
        <w:tabs>
          <w:tab w:val="left" w:pos="567"/>
        </w:tabs>
        <w:ind w:left="567" w:hanging="567"/>
        <w:jc w:val="both"/>
        <w:rPr>
          <w:bCs/>
          <w:lang w:val="en-GB"/>
        </w:rPr>
      </w:pPr>
      <w:r>
        <w:rPr>
          <w:bCs/>
          <w:lang w:val="en-GB"/>
        </w:rPr>
        <w:t>B</w:t>
      </w:r>
      <w:r w:rsidR="00B5470B" w:rsidRPr="009C5C7C">
        <w:rPr>
          <w:bCs/>
          <w:lang w:val="en-GB"/>
        </w:rPr>
        <w:t>2)</w:t>
      </w:r>
      <w:r w:rsidR="00751E52" w:rsidRPr="009C5C7C">
        <w:rPr>
          <w:bCs/>
          <w:lang w:val="en-GB"/>
        </w:rPr>
        <w:tab/>
      </w:r>
      <w:r w:rsidR="00DA1D73">
        <w:rPr>
          <w:bCs/>
          <w:lang w:val="en-GB"/>
        </w:rPr>
        <w:t xml:space="preserve">The dried pea waste described in the </w:t>
      </w:r>
      <w:r>
        <w:rPr>
          <w:bCs/>
          <w:lang w:val="en-GB"/>
        </w:rPr>
        <w:t>B</w:t>
      </w:r>
      <w:r w:rsidR="00DA1D73">
        <w:rPr>
          <w:bCs/>
          <w:lang w:val="en-GB"/>
        </w:rPr>
        <w:t>1 activity was fermented with the following procedure</w:t>
      </w:r>
      <w:r w:rsidR="00770294">
        <w:rPr>
          <w:bCs/>
          <w:lang w:val="en-GB"/>
        </w:rPr>
        <w:t>,</w:t>
      </w:r>
      <w:r w:rsidR="00DA1D73">
        <w:rPr>
          <w:bCs/>
          <w:lang w:val="en-GB"/>
        </w:rPr>
        <w:t xml:space="preserve"> established during several preliminary trials: </w:t>
      </w:r>
      <w:r w:rsidR="00BA4872" w:rsidRPr="009C5C7C">
        <w:rPr>
          <w:bCs/>
          <w:lang w:val="en-GB"/>
        </w:rPr>
        <w:t>500 g of a</w:t>
      </w:r>
      <w:r w:rsidR="00B5470B" w:rsidRPr="009C5C7C">
        <w:rPr>
          <w:bCs/>
          <w:lang w:val="en-GB"/>
        </w:rPr>
        <w:t xml:space="preserve"> 15% batter w</w:t>
      </w:r>
      <w:r w:rsidR="00BA4872" w:rsidRPr="009C5C7C">
        <w:rPr>
          <w:bCs/>
          <w:lang w:val="en-GB"/>
        </w:rPr>
        <w:t>ere</w:t>
      </w:r>
      <w:r w:rsidR="00B5470B" w:rsidRPr="009C5C7C">
        <w:rPr>
          <w:bCs/>
          <w:lang w:val="en-GB"/>
        </w:rPr>
        <w:t xml:space="preserve"> prepared mixing dried pea waste with </w:t>
      </w:r>
      <w:proofErr w:type="spellStart"/>
      <w:r w:rsidR="00B5470B" w:rsidRPr="009C5C7C">
        <w:rPr>
          <w:bCs/>
          <w:lang w:val="en-GB"/>
        </w:rPr>
        <w:t>MilliQ</w:t>
      </w:r>
      <w:proofErr w:type="spellEnd"/>
      <w:r w:rsidR="00B5470B" w:rsidRPr="009C5C7C">
        <w:rPr>
          <w:bCs/>
          <w:lang w:val="en-GB"/>
        </w:rPr>
        <w:t xml:space="preserve"> water; </w:t>
      </w:r>
      <w:r w:rsidR="00770294">
        <w:rPr>
          <w:bCs/>
          <w:lang w:val="en-GB"/>
        </w:rPr>
        <w:t xml:space="preserve">the </w:t>
      </w:r>
      <w:r w:rsidR="00B5470B" w:rsidRPr="009C5C7C">
        <w:rPr>
          <w:bCs/>
          <w:lang w:val="en-GB"/>
        </w:rPr>
        <w:t xml:space="preserve">pH was adjusted to 6 with 10 M NaOH and the batter was pasteurized at 70 °C for 20 min and then aseptically inoculated with </w:t>
      </w:r>
      <w:r w:rsidR="00B5470B" w:rsidRPr="009C5C7C">
        <w:rPr>
          <w:bCs/>
          <w:i/>
          <w:iCs/>
          <w:lang w:val="en-GB"/>
        </w:rPr>
        <w:t xml:space="preserve">P. </w:t>
      </w:r>
      <w:proofErr w:type="spellStart"/>
      <w:r w:rsidR="00B5470B" w:rsidRPr="009C5C7C">
        <w:rPr>
          <w:bCs/>
          <w:i/>
          <w:iCs/>
          <w:lang w:val="en-GB"/>
        </w:rPr>
        <w:t>freudenreichii</w:t>
      </w:r>
      <w:proofErr w:type="spellEnd"/>
      <w:r w:rsidR="00B5470B" w:rsidRPr="009C5C7C">
        <w:rPr>
          <w:bCs/>
          <w:i/>
          <w:iCs/>
          <w:lang w:val="en-GB"/>
        </w:rPr>
        <w:t xml:space="preserve"> subsp. </w:t>
      </w:r>
      <w:proofErr w:type="spellStart"/>
      <w:r w:rsidR="00B5470B" w:rsidRPr="009C5C7C">
        <w:rPr>
          <w:bCs/>
          <w:i/>
          <w:iCs/>
          <w:lang w:val="en-GB"/>
        </w:rPr>
        <w:t>freudenreichii</w:t>
      </w:r>
      <w:proofErr w:type="spellEnd"/>
      <w:r w:rsidR="00B5470B" w:rsidRPr="009C5C7C">
        <w:rPr>
          <w:bCs/>
          <w:i/>
          <w:iCs/>
          <w:lang w:val="en-GB"/>
        </w:rPr>
        <w:t xml:space="preserve"> </w:t>
      </w:r>
      <w:r w:rsidR="00B5470B" w:rsidRPr="009C5C7C">
        <w:rPr>
          <w:bCs/>
          <w:lang w:val="en-GB"/>
        </w:rPr>
        <w:t xml:space="preserve">282 </w:t>
      </w:r>
      <w:r w:rsidR="005332EE" w:rsidRPr="009C5C7C">
        <w:rPr>
          <w:bCs/>
          <w:lang w:val="en-GB"/>
        </w:rPr>
        <w:t>culture to reach a cells concentration of approximately 9 log</w:t>
      </w:r>
      <w:r w:rsidR="00BA4872" w:rsidRPr="009C5C7C">
        <w:rPr>
          <w:bCs/>
          <w:lang w:val="en-GB"/>
        </w:rPr>
        <w:t xml:space="preserve"> CFU</w:t>
      </w:r>
      <w:r w:rsidR="005332EE" w:rsidRPr="009C5C7C">
        <w:rPr>
          <w:bCs/>
          <w:lang w:val="en-GB"/>
        </w:rPr>
        <w:t xml:space="preserve">/g. The material was incubated at 30 °C for 72 h with constant shaking. </w:t>
      </w:r>
      <w:r w:rsidR="00BA4872" w:rsidRPr="009C5C7C">
        <w:rPr>
          <w:bCs/>
          <w:lang w:val="en-GB"/>
        </w:rPr>
        <w:t>Fermentation was performed in two independent repetition</w:t>
      </w:r>
      <w:r w:rsidR="006452AF" w:rsidRPr="009C5C7C">
        <w:rPr>
          <w:bCs/>
          <w:lang w:val="en-GB"/>
        </w:rPr>
        <w:t>s</w:t>
      </w:r>
      <w:r w:rsidR="00BA4872" w:rsidRPr="009C5C7C">
        <w:rPr>
          <w:bCs/>
          <w:lang w:val="en-GB"/>
        </w:rPr>
        <w:t xml:space="preserve">. Six lots of bread were baked </w:t>
      </w:r>
      <w:r w:rsidR="006452AF" w:rsidRPr="009C5C7C">
        <w:rPr>
          <w:bCs/>
          <w:lang w:val="en-GB"/>
        </w:rPr>
        <w:t>according to</w:t>
      </w:r>
      <w:r w:rsidR="00BA4872" w:rsidRPr="009C5C7C">
        <w:rPr>
          <w:bCs/>
          <w:lang w:val="en-GB"/>
        </w:rPr>
        <w:t xml:space="preserve"> </w:t>
      </w:r>
      <w:proofErr w:type="spellStart"/>
      <w:r w:rsidR="00BA4872" w:rsidRPr="009C5C7C">
        <w:rPr>
          <w:bCs/>
          <w:lang w:val="en-GB"/>
        </w:rPr>
        <w:t>Edelmann</w:t>
      </w:r>
      <w:proofErr w:type="spellEnd"/>
      <w:r w:rsidR="00BA4872" w:rsidRPr="009C5C7C">
        <w:rPr>
          <w:bCs/>
          <w:lang w:val="en-GB"/>
        </w:rPr>
        <w:t xml:space="preserve"> </w:t>
      </w:r>
      <w:r w:rsidR="00BA4872" w:rsidRPr="009C5C7C">
        <w:rPr>
          <w:bCs/>
          <w:i/>
          <w:iCs/>
          <w:lang w:val="en-GB"/>
        </w:rPr>
        <w:t>et al</w:t>
      </w:r>
      <w:r w:rsidR="00BA4872" w:rsidRPr="009C5C7C">
        <w:rPr>
          <w:bCs/>
          <w:lang w:val="en-GB"/>
        </w:rPr>
        <w:t xml:space="preserve">. (2016), including two controls (with and without addition of non-fermented pea waste batter) and four enriched lots (with 15 and 20% for each of two </w:t>
      </w:r>
      <w:r w:rsidR="006452AF" w:rsidRPr="009C5C7C">
        <w:rPr>
          <w:bCs/>
          <w:lang w:val="en-GB"/>
        </w:rPr>
        <w:t xml:space="preserve">batches of fermented </w:t>
      </w:r>
      <w:r w:rsidR="00BA4872" w:rsidRPr="009C5C7C">
        <w:rPr>
          <w:bCs/>
          <w:lang w:val="en-GB"/>
        </w:rPr>
        <w:t>batter)</w:t>
      </w:r>
      <w:r w:rsidR="006452AF" w:rsidRPr="009C5C7C">
        <w:rPr>
          <w:bCs/>
          <w:lang w:val="en-GB"/>
        </w:rPr>
        <w:t xml:space="preserve">. </w:t>
      </w:r>
      <w:r w:rsidR="005332EE" w:rsidRPr="009C5C7C">
        <w:rPr>
          <w:bCs/>
          <w:lang w:val="en-GB"/>
        </w:rPr>
        <w:t xml:space="preserve">Vitamin </w:t>
      </w:r>
      <w:r w:rsidR="005332EE" w:rsidRPr="001C5968">
        <w:rPr>
          <w:bCs/>
          <w:lang w:val="en-GB"/>
        </w:rPr>
        <w:t>B12</w:t>
      </w:r>
      <w:r w:rsidR="005332EE" w:rsidRPr="009C5C7C">
        <w:rPr>
          <w:bCs/>
          <w:lang w:val="en-GB"/>
        </w:rPr>
        <w:t xml:space="preserve"> </w:t>
      </w:r>
      <w:r w:rsidR="006452AF" w:rsidRPr="009C5C7C">
        <w:rPr>
          <w:bCs/>
          <w:lang w:val="en-GB"/>
        </w:rPr>
        <w:t xml:space="preserve">and organic acids were </w:t>
      </w:r>
      <w:r w:rsidR="005332EE" w:rsidRPr="009C5C7C">
        <w:rPr>
          <w:bCs/>
          <w:lang w:val="en-GB"/>
        </w:rPr>
        <w:t xml:space="preserve">quantified </w:t>
      </w:r>
      <w:r w:rsidR="006100E7" w:rsidRPr="009C5C7C">
        <w:rPr>
          <w:bCs/>
          <w:lang w:val="en-GB"/>
        </w:rPr>
        <w:t xml:space="preserve">as outlined by Chamlagain </w:t>
      </w:r>
      <w:r w:rsidR="006100E7" w:rsidRPr="009C5C7C">
        <w:rPr>
          <w:bCs/>
          <w:i/>
          <w:iCs/>
          <w:lang w:val="en-GB"/>
        </w:rPr>
        <w:t>et al</w:t>
      </w:r>
      <w:r w:rsidR="006100E7" w:rsidRPr="009C5C7C">
        <w:rPr>
          <w:bCs/>
          <w:lang w:val="en-GB"/>
        </w:rPr>
        <w:t>. (2015)</w:t>
      </w:r>
      <w:r w:rsidR="006452AF" w:rsidRPr="009C5C7C">
        <w:rPr>
          <w:bCs/>
          <w:lang w:val="en-GB"/>
        </w:rPr>
        <w:t xml:space="preserve"> and Xie </w:t>
      </w:r>
      <w:r w:rsidR="006452AF" w:rsidRPr="009C5C7C">
        <w:rPr>
          <w:bCs/>
          <w:i/>
          <w:iCs/>
          <w:lang w:val="en-GB"/>
        </w:rPr>
        <w:t>et al</w:t>
      </w:r>
      <w:r w:rsidR="006452AF" w:rsidRPr="009C5C7C">
        <w:rPr>
          <w:bCs/>
          <w:lang w:val="en-GB"/>
        </w:rPr>
        <w:t>. (2018), respectively</w:t>
      </w:r>
      <w:r w:rsidR="006100E7" w:rsidRPr="009C5C7C">
        <w:rPr>
          <w:bCs/>
          <w:lang w:val="en-GB"/>
        </w:rPr>
        <w:t xml:space="preserve">. </w:t>
      </w:r>
      <w:proofErr w:type="spellStart"/>
      <w:r w:rsidR="00882F33" w:rsidRPr="00FA1F99">
        <w:rPr>
          <w:bCs/>
          <w:lang w:val="en-GB"/>
        </w:rPr>
        <w:t>Propionibacteria</w:t>
      </w:r>
      <w:proofErr w:type="spellEnd"/>
      <w:r w:rsidR="00882F33" w:rsidRPr="009C5C7C">
        <w:rPr>
          <w:bCs/>
          <w:lang w:val="en-GB"/>
        </w:rPr>
        <w:t xml:space="preserve">, lactic acid bacteria and </w:t>
      </w:r>
      <w:r w:rsidR="00882F33" w:rsidRPr="00FA1F99">
        <w:rPr>
          <w:bCs/>
          <w:i/>
          <w:iCs/>
          <w:lang w:val="en-GB"/>
        </w:rPr>
        <w:t>Enterobacteriaceae</w:t>
      </w:r>
      <w:r w:rsidR="00882F33" w:rsidRPr="009C5C7C">
        <w:rPr>
          <w:bCs/>
          <w:lang w:val="en-GB"/>
        </w:rPr>
        <w:t xml:space="preserve"> </w:t>
      </w:r>
      <w:r w:rsidR="00B818FD" w:rsidRPr="009C5C7C">
        <w:rPr>
          <w:bCs/>
          <w:lang w:val="en-GB"/>
        </w:rPr>
        <w:t xml:space="preserve">were enumerated by plate count in </w:t>
      </w:r>
      <w:proofErr w:type="spellStart"/>
      <w:r w:rsidR="00B818FD" w:rsidRPr="009C5C7C">
        <w:rPr>
          <w:bCs/>
          <w:lang w:val="en-GB"/>
        </w:rPr>
        <w:t>agarised</w:t>
      </w:r>
      <w:proofErr w:type="spellEnd"/>
      <w:r w:rsidR="00B818FD" w:rsidRPr="009C5C7C">
        <w:rPr>
          <w:bCs/>
          <w:lang w:val="en-GB"/>
        </w:rPr>
        <w:t xml:space="preserve"> YE</w:t>
      </w:r>
      <w:r w:rsidR="00882F33" w:rsidRPr="009C5C7C">
        <w:rPr>
          <w:bCs/>
          <w:lang w:val="en-GB"/>
        </w:rPr>
        <w:t>L</w:t>
      </w:r>
      <w:r w:rsidR="00B818FD" w:rsidRPr="009C5C7C">
        <w:rPr>
          <w:bCs/>
          <w:lang w:val="en-GB"/>
        </w:rPr>
        <w:t>, MRS and VRBG</w:t>
      </w:r>
      <w:r w:rsidR="00882F33" w:rsidRPr="009C5C7C">
        <w:rPr>
          <w:bCs/>
          <w:lang w:val="en-GB"/>
        </w:rPr>
        <w:t>, respectively.</w:t>
      </w:r>
      <w:r w:rsidR="00E1466A" w:rsidRPr="009C5C7C">
        <w:rPr>
          <w:bCs/>
          <w:lang w:val="en-GB"/>
        </w:rPr>
        <w:t xml:space="preserve"> The baking loss was determined gravimetrically; bread volume and crumb texture were determined by </w:t>
      </w:r>
      <w:proofErr w:type="spellStart"/>
      <w:r w:rsidR="00E1466A" w:rsidRPr="009C5C7C">
        <w:rPr>
          <w:bCs/>
          <w:lang w:val="en-GB"/>
        </w:rPr>
        <w:t>Volscan</w:t>
      </w:r>
      <w:proofErr w:type="spellEnd"/>
      <w:r w:rsidR="00E1466A" w:rsidRPr="009C5C7C">
        <w:rPr>
          <w:bCs/>
          <w:lang w:val="en-GB"/>
        </w:rPr>
        <w:t xml:space="preserve"> and texture analy</w:t>
      </w:r>
      <w:r w:rsidR="00D74C1D" w:rsidRPr="009C5C7C">
        <w:rPr>
          <w:bCs/>
          <w:lang w:val="en-GB"/>
        </w:rPr>
        <w:t>s</w:t>
      </w:r>
      <w:r w:rsidR="00E1466A" w:rsidRPr="009C5C7C">
        <w:rPr>
          <w:bCs/>
          <w:lang w:val="en-GB"/>
        </w:rPr>
        <w:t>er (Stable Microsystems), respectively.</w:t>
      </w:r>
    </w:p>
    <w:p w14:paraId="5837B98F" w14:textId="4B18D1DC" w:rsidR="007D40F9" w:rsidRPr="009C5C7C" w:rsidRDefault="005B4F27" w:rsidP="007D40F9">
      <w:pPr>
        <w:pStyle w:val="Titolo1"/>
        <w:tabs>
          <w:tab w:val="left" w:pos="567"/>
        </w:tabs>
        <w:spacing w:before="240" w:after="120"/>
        <w:ind w:right="0"/>
        <w:jc w:val="both"/>
        <w:rPr>
          <w:b/>
          <w:bCs/>
          <w:color w:val="000000"/>
          <w:sz w:val="24"/>
          <w:lang w:val="en-GB"/>
        </w:rPr>
      </w:pPr>
      <w:r w:rsidRPr="009C5C7C">
        <w:rPr>
          <w:b/>
          <w:bCs/>
          <w:color w:val="000000"/>
          <w:sz w:val="24"/>
          <w:lang w:val="en-GB"/>
        </w:rPr>
        <w:t>3</w:t>
      </w:r>
      <w:r w:rsidR="007D40F9" w:rsidRPr="009C5C7C">
        <w:rPr>
          <w:b/>
          <w:bCs/>
          <w:color w:val="000000"/>
          <w:sz w:val="24"/>
          <w:lang w:val="en-GB"/>
        </w:rPr>
        <w:t>. Results and Discussion</w:t>
      </w:r>
    </w:p>
    <w:p w14:paraId="08E41C00" w14:textId="7E7D19AC" w:rsidR="00023285" w:rsidRDefault="00DE691C" w:rsidP="007C7FF7">
      <w:pPr>
        <w:tabs>
          <w:tab w:val="left" w:pos="567"/>
        </w:tabs>
        <w:ind w:left="567" w:hanging="567"/>
        <w:jc w:val="both"/>
        <w:rPr>
          <w:bCs/>
          <w:lang w:val="en-GB"/>
        </w:rPr>
      </w:pPr>
      <w:r>
        <w:rPr>
          <w:bCs/>
          <w:lang w:val="en-GB"/>
        </w:rPr>
        <w:t>A</w:t>
      </w:r>
      <w:r w:rsidR="00023285" w:rsidRPr="009C5C7C">
        <w:rPr>
          <w:bCs/>
          <w:lang w:val="en-GB"/>
        </w:rPr>
        <w:t>1)</w:t>
      </w:r>
      <w:r w:rsidR="00751E52" w:rsidRPr="009C5C7C">
        <w:rPr>
          <w:bCs/>
          <w:lang w:val="en-GB"/>
        </w:rPr>
        <w:tab/>
      </w:r>
      <w:bookmarkStart w:id="1" w:name="_Hlk136971933"/>
      <w:r w:rsidR="00023285" w:rsidRPr="009C5C7C">
        <w:rPr>
          <w:bCs/>
          <w:lang w:val="en-GB"/>
        </w:rPr>
        <w:t>Germination significantly affected all the examined characteristics</w:t>
      </w:r>
      <w:r w:rsidR="00477783">
        <w:rPr>
          <w:bCs/>
          <w:lang w:val="en-GB"/>
        </w:rPr>
        <w:t xml:space="preserve"> (</w:t>
      </w:r>
      <w:r w:rsidR="00595A88">
        <w:rPr>
          <w:bCs/>
          <w:lang w:val="en-GB"/>
        </w:rPr>
        <w:t xml:space="preserve">Estivi </w:t>
      </w:r>
      <w:r w:rsidR="00595A88" w:rsidRPr="00595A88">
        <w:rPr>
          <w:bCs/>
          <w:i/>
          <w:iCs/>
          <w:lang w:val="en-GB"/>
        </w:rPr>
        <w:t>et al</w:t>
      </w:r>
      <w:r w:rsidR="00595A88">
        <w:rPr>
          <w:bCs/>
          <w:lang w:val="en-GB"/>
        </w:rPr>
        <w:t>., 2022</w:t>
      </w:r>
      <w:r w:rsidR="009C00B9">
        <w:rPr>
          <w:bCs/>
          <w:lang w:val="en-GB"/>
        </w:rPr>
        <w:t>d</w:t>
      </w:r>
      <w:r w:rsidR="00477783">
        <w:rPr>
          <w:bCs/>
          <w:lang w:val="en-GB"/>
        </w:rPr>
        <w:t>)</w:t>
      </w:r>
      <w:r w:rsidR="00023285" w:rsidRPr="009C5C7C">
        <w:rPr>
          <w:bCs/>
          <w:lang w:val="en-GB"/>
        </w:rPr>
        <w:t xml:space="preserve">. </w:t>
      </w:r>
      <w:r w:rsidR="00E24D98">
        <w:rPr>
          <w:bCs/>
          <w:lang w:val="en-GB"/>
        </w:rPr>
        <w:t>L</w:t>
      </w:r>
      <w:r w:rsidR="00023285" w:rsidRPr="009C5C7C">
        <w:rPr>
          <w:bCs/>
          <w:lang w:val="en-GB"/>
        </w:rPr>
        <w:t>uminosity (</w:t>
      </w:r>
      <w:r w:rsidR="00023285" w:rsidRPr="009C5C7C">
        <w:rPr>
          <w:bCs/>
          <w:i/>
          <w:iCs/>
          <w:lang w:val="en-GB"/>
        </w:rPr>
        <w:t>L</w:t>
      </w:r>
      <w:r w:rsidR="00023285" w:rsidRPr="009C5C7C">
        <w:rPr>
          <w:bCs/>
          <w:lang w:val="en-GB"/>
        </w:rPr>
        <w:t xml:space="preserve">*) showed an uncertain pattern as the germination time increased, </w:t>
      </w:r>
      <w:r w:rsidR="00E24D98">
        <w:rPr>
          <w:bCs/>
          <w:lang w:val="en-GB"/>
        </w:rPr>
        <w:t xml:space="preserve">but </w:t>
      </w:r>
      <w:r w:rsidR="00023285" w:rsidRPr="009C5C7C">
        <w:rPr>
          <w:bCs/>
          <w:lang w:val="en-GB"/>
        </w:rPr>
        <w:t xml:space="preserve">minor reduction in </w:t>
      </w:r>
      <w:r w:rsidR="00023285" w:rsidRPr="009C5C7C">
        <w:rPr>
          <w:bCs/>
          <w:i/>
          <w:iCs/>
          <w:lang w:val="en-GB"/>
        </w:rPr>
        <w:t>a</w:t>
      </w:r>
      <w:r w:rsidR="00023285" w:rsidRPr="009C5C7C">
        <w:rPr>
          <w:bCs/>
          <w:lang w:val="en-GB"/>
        </w:rPr>
        <w:t xml:space="preserve">* and relevant growth in </w:t>
      </w:r>
      <w:r w:rsidR="00023285" w:rsidRPr="009C5C7C">
        <w:rPr>
          <w:bCs/>
          <w:i/>
          <w:iCs/>
          <w:lang w:val="en-GB"/>
        </w:rPr>
        <w:t>b</w:t>
      </w:r>
      <w:r w:rsidR="00023285" w:rsidRPr="009C5C7C">
        <w:rPr>
          <w:bCs/>
          <w:lang w:val="en-GB"/>
        </w:rPr>
        <w:t xml:space="preserve">* indicated yellow-greenish compounds formation. No tocotrienols were found and the most abundant </w:t>
      </w:r>
      <w:proofErr w:type="spellStart"/>
      <w:r w:rsidR="00023285" w:rsidRPr="009C5C7C">
        <w:rPr>
          <w:bCs/>
          <w:lang w:val="en-GB"/>
        </w:rPr>
        <w:t>tocol</w:t>
      </w:r>
      <w:proofErr w:type="spellEnd"/>
      <w:r w:rsidR="00023285" w:rsidRPr="009C5C7C">
        <w:rPr>
          <w:bCs/>
          <w:lang w:val="en-GB"/>
        </w:rPr>
        <w:t xml:space="preserve"> was γ-tocopherol. Although total </w:t>
      </w:r>
      <w:proofErr w:type="spellStart"/>
      <w:r w:rsidR="00023285" w:rsidRPr="009C5C7C">
        <w:rPr>
          <w:bCs/>
          <w:lang w:val="en-GB"/>
        </w:rPr>
        <w:t>tocols</w:t>
      </w:r>
      <w:proofErr w:type="spellEnd"/>
      <w:r w:rsidR="00023285" w:rsidRPr="009C5C7C">
        <w:rPr>
          <w:bCs/>
          <w:lang w:val="en-GB"/>
        </w:rPr>
        <w:t xml:space="preserve"> were almost unchanged during germination, α-tocopherol increased from 0.7 to 74.8 mg/kg </w:t>
      </w:r>
      <w:r w:rsidR="00595A88">
        <w:rPr>
          <w:bCs/>
          <w:lang w:val="en-GB"/>
        </w:rPr>
        <w:t>dry matter (DM)</w:t>
      </w:r>
      <w:r w:rsidR="00023285" w:rsidRPr="009C5C7C">
        <w:rPr>
          <w:bCs/>
          <w:lang w:val="en-GB"/>
        </w:rPr>
        <w:t xml:space="preserve"> after six days, while γ-tocopherol (Fig. 1)</w:t>
      </w:r>
      <w:r w:rsidR="00E24D98">
        <w:rPr>
          <w:bCs/>
          <w:lang w:val="en-GB"/>
        </w:rPr>
        <w:t xml:space="preserve"> decreased</w:t>
      </w:r>
      <w:r w:rsidR="00023285" w:rsidRPr="009C5C7C">
        <w:rPr>
          <w:bCs/>
          <w:lang w:val="en-GB"/>
        </w:rPr>
        <w:t>. The γ homologue is the precursor of α-tocopherol, hence we suggest</w:t>
      </w:r>
      <w:r w:rsidR="002251AD" w:rsidRPr="009C5C7C">
        <w:rPr>
          <w:bCs/>
          <w:lang w:val="en-GB"/>
        </w:rPr>
        <w:t>ed</w:t>
      </w:r>
      <w:r w:rsidR="00023285" w:rsidRPr="009C5C7C">
        <w:rPr>
          <w:bCs/>
          <w:lang w:val="en-GB"/>
        </w:rPr>
        <w:t xml:space="preserve"> that germination triggered their conversion, improving </w:t>
      </w:r>
      <w:r w:rsidR="00E24D98" w:rsidRPr="009C5C7C">
        <w:rPr>
          <w:bCs/>
          <w:lang w:val="en-GB"/>
        </w:rPr>
        <w:t xml:space="preserve">4.3-fold </w:t>
      </w:r>
      <w:r w:rsidR="00023285" w:rsidRPr="009C5C7C">
        <w:rPr>
          <w:bCs/>
          <w:lang w:val="en-GB"/>
        </w:rPr>
        <w:t>lupin flour biological activity. The most abundant carotenoid was lutein, but (α+β)-carotene, β-cryptoxanthin and zeaxanthin were identified as well. Total carotenoids increased 12-fold with germination time</w:t>
      </w:r>
      <w:r w:rsidR="00E24D98">
        <w:rPr>
          <w:bCs/>
          <w:lang w:val="en-GB"/>
        </w:rPr>
        <w:t>,</w:t>
      </w:r>
      <w:r w:rsidR="00023285" w:rsidRPr="009C5C7C">
        <w:rPr>
          <w:bCs/>
          <w:lang w:val="en-GB"/>
        </w:rPr>
        <w:t xml:space="preserve"> from 1.8 to 22.3 mg/kg DM (Fig. 1).The (α+β)-carotene, precursor of vitamin A, showed the greatest growth rate; β-cryptoxanthin and zeaxanthin, originally below or close to the detection limit, exhibited detectable amounts after six days (1 and 1.5 mg/kg DM, respectively); lutein continued to prevail, with a final amount of 13.6 mg/kg DM. Germinating seeds in the dark proved to be a viable and effective technique to significantly improve the nutritional properties of Andean lupin</w:t>
      </w:r>
      <w:r w:rsidR="00777352" w:rsidRPr="009C5C7C">
        <w:rPr>
          <w:bCs/>
          <w:lang w:val="en-GB"/>
        </w:rPr>
        <w:t>.</w:t>
      </w:r>
    </w:p>
    <w:p w14:paraId="7A310C58" w14:textId="77777777" w:rsidR="00CE1D5F" w:rsidRPr="009C5C7C" w:rsidRDefault="00CE1D5F" w:rsidP="00CE1D5F">
      <w:pPr>
        <w:tabs>
          <w:tab w:val="left" w:pos="284"/>
        </w:tabs>
        <w:spacing w:after="120"/>
        <w:ind w:left="425" w:hanging="425"/>
        <w:jc w:val="center"/>
        <w:rPr>
          <w:bCs/>
          <w:lang w:val="en-GB"/>
        </w:rPr>
      </w:pPr>
      <w:r w:rsidRPr="009C5C7C">
        <w:rPr>
          <w:noProof/>
          <w:lang w:val="en-GB"/>
        </w:rPr>
        <w:lastRenderedPageBreak/>
        <w:drawing>
          <wp:inline distT="0" distB="0" distL="0" distR="0" wp14:anchorId="6F0FDD02" wp14:editId="270A1D5C">
            <wp:extent cx="4784400" cy="2174400"/>
            <wp:effectExtent l="0" t="0" r="0" b="0"/>
            <wp:docPr id="142917419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4400" cy="2174400"/>
                    </a:xfrm>
                    <a:prstGeom prst="rect">
                      <a:avLst/>
                    </a:prstGeom>
                    <a:noFill/>
                    <a:ln>
                      <a:noFill/>
                    </a:ln>
                  </pic:spPr>
                </pic:pic>
              </a:graphicData>
            </a:graphic>
          </wp:inline>
        </w:drawing>
      </w:r>
    </w:p>
    <w:p w14:paraId="46B37EAF" w14:textId="77777777" w:rsidR="00CE1D5F" w:rsidRPr="00BB576A" w:rsidRDefault="00CE1D5F" w:rsidP="00CE1D5F">
      <w:pPr>
        <w:tabs>
          <w:tab w:val="left" w:pos="851"/>
        </w:tabs>
        <w:spacing w:before="300" w:after="120"/>
        <w:ind w:left="851" w:hanging="851"/>
        <w:rPr>
          <w:i/>
          <w:iCs/>
          <w:sz w:val="18"/>
          <w:lang w:val="en-GB"/>
        </w:rPr>
      </w:pPr>
      <w:r w:rsidRPr="00BB576A">
        <w:rPr>
          <w:b/>
          <w:iCs/>
          <w:sz w:val="18"/>
          <w:lang w:val="en-GB"/>
        </w:rPr>
        <w:t xml:space="preserve">Figure </w:t>
      </w:r>
      <w:r w:rsidRPr="00BB576A">
        <w:rPr>
          <w:b/>
          <w:iCs/>
          <w:sz w:val="18"/>
          <w:lang w:val="en-GB"/>
        </w:rPr>
        <w:fldChar w:fldCharType="begin"/>
      </w:r>
      <w:r w:rsidRPr="00BB576A">
        <w:rPr>
          <w:b/>
          <w:iCs/>
          <w:sz w:val="18"/>
          <w:lang w:val="en-GB"/>
        </w:rPr>
        <w:instrText xml:space="preserve"> SEQ Figure \* ARABIC </w:instrText>
      </w:r>
      <w:r w:rsidRPr="00BB576A">
        <w:rPr>
          <w:b/>
          <w:iCs/>
          <w:sz w:val="18"/>
          <w:lang w:val="en-GB"/>
        </w:rPr>
        <w:fldChar w:fldCharType="separate"/>
      </w:r>
      <w:r w:rsidRPr="00BB576A">
        <w:rPr>
          <w:b/>
          <w:iCs/>
          <w:sz w:val="18"/>
          <w:lang w:val="en-GB"/>
        </w:rPr>
        <w:t>1</w:t>
      </w:r>
      <w:r w:rsidRPr="00BB576A">
        <w:rPr>
          <w:b/>
          <w:iCs/>
          <w:sz w:val="18"/>
          <w:lang w:val="en-GB"/>
        </w:rPr>
        <w:fldChar w:fldCharType="end"/>
      </w:r>
      <w:r w:rsidRPr="00BB576A">
        <w:rPr>
          <w:b/>
          <w:iCs/>
          <w:sz w:val="18"/>
          <w:lang w:val="en-GB"/>
        </w:rPr>
        <w:tab/>
      </w:r>
      <w:r w:rsidRPr="00BB576A">
        <w:rPr>
          <w:i/>
          <w:iCs/>
          <w:sz w:val="18"/>
          <w:lang w:val="en-GB"/>
        </w:rPr>
        <w:t xml:space="preserve">Changes in tocopherols and carotenoids content in two Andean lupin accession, Altagracia (circles) and Cholo </w:t>
      </w:r>
      <w:proofErr w:type="spellStart"/>
      <w:r w:rsidRPr="00BB576A">
        <w:rPr>
          <w:i/>
          <w:iCs/>
          <w:sz w:val="18"/>
          <w:lang w:val="en-GB"/>
        </w:rPr>
        <w:t>fuerte</w:t>
      </w:r>
      <w:proofErr w:type="spellEnd"/>
      <w:r w:rsidRPr="00BB576A">
        <w:rPr>
          <w:i/>
          <w:iCs/>
          <w:sz w:val="18"/>
          <w:lang w:val="en-GB"/>
        </w:rPr>
        <w:t xml:space="preserve"> (triangles), during controlled germination up to 6th day. Error bars indicate the standard deviations.</w:t>
      </w:r>
    </w:p>
    <w:p w14:paraId="16DEBE23" w14:textId="77777777" w:rsidR="00CE1D5F" w:rsidRPr="009C5C7C" w:rsidRDefault="00CE1D5F" w:rsidP="00F70B24">
      <w:pPr>
        <w:tabs>
          <w:tab w:val="left" w:pos="284"/>
        </w:tabs>
        <w:ind w:left="425" w:hanging="425"/>
        <w:jc w:val="both"/>
        <w:rPr>
          <w:bCs/>
          <w:lang w:val="en-GB"/>
        </w:rPr>
      </w:pPr>
    </w:p>
    <w:p w14:paraId="32C52535" w14:textId="33A220E9" w:rsidR="00F45B4D" w:rsidRPr="009C5C7C" w:rsidRDefault="00DE691C" w:rsidP="007C7FF7">
      <w:pPr>
        <w:tabs>
          <w:tab w:val="left" w:pos="567"/>
        </w:tabs>
        <w:ind w:left="567" w:hanging="567"/>
        <w:jc w:val="both"/>
        <w:rPr>
          <w:bCs/>
          <w:lang w:val="en-GB"/>
        </w:rPr>
      </w:pPr>
      <w:r>
        <w:rPr>
          <w:bCs/>
          <w:lang w:val="en-GB"/>
        </w:rPr>
        <w:t>A</w:t>
      </w:r>
      <w:r w:rsidR="00F45B4D" w:rsidRPr="009C5C7C">
        <w:rPr>
          <w:bCs/>
          <w:lang w:val="en-GB"/>
        </w:rPr>
        <w:t>2)</w:t>
      </w:r>
      <w:r w:rsidR="00F45B4D" w:rsidRPr="009C5C7C">
        <w:rPr>
          <w:bCs/>
          <w:lang w:val="en-GB"/>
        </w:rPr>
        <w:tab/>
        <w:t xml:space="preserve">The total free phenolics of </w:t>
      </w:r>
      <w:r w:rsidR="00F45B4D" w:rsidRPr="009C5C7C">
        <w:rPr>
          <w:bCs/>
          <w:i/>
          <w:lang w:val="en-GB"/>
        </w:rPr>
        <w:t xml:space="preserve">L. </w:t>
      </w:r>
      <w:proofErr w:type="spellStart"/>
      <w:r w:rsidR="00F45B4D" w:rsidRPr="009C5C7C">
        <w:rPr>
          <w:bCs/>
          <w:i/>
          <w:lang w:val="en-GB"/>
        </w:rPr>
        <w:t>mutabilis</w:t>
      </w:r>
      <w:proofErr w:type="spellEnd"/>
      <w:r w:rsidR="00F45B4D" w:rsidRPr="009C5C7C">
        <w:rPr>
          <w:bCs/>
          <w:lang w:val="en-GB"/>
        </w:rPr>
        <w:t xml:space="preserve"> were mostly (85.5–99.6%) flavonoids (genistein and genistein derivatives, apigenin, catechin and naringenin). Other compounds, detected in low quantities, were phenylethanoids (</w:t>
      </w:r>
      <w:proofErr w:type="spellStart"/>
      <w:r w:rsidR="00F45B4D" w:rsidRPr="009C5C7C">
        <w:rPr>
          <w:bCs/>
          <w:lang w:val="en-GB"/>
        </w:rPr>
        <w:t>tyrosol</w:t>
      </w:r>
      <w:proofErr w:type="spellEnd"/>
      <w:r w:rsidR="00F45B4D" w:rsidRPr="009C5C7C">
        <w:rPr>
          <w:bCs/>
          <w:lang w:val="en-GB"/>
        </w:rPr>
        <w:t xml:space="preserve"> and </w:t>
      </w:r>
      <w:proofErr w:type="spellStart"/>
      <w:r w:rsidR="00F45B4D" w:rsidRPr="009C5C7C">
        <w:rPr>
          <w:bCs/>
          <w:lang w:val="en-GB"/>
        </w:rPr>
        <w:t>tyrosol</w:t>
      </w:r>
      <w:proofErr w:type="spellEnd"/>
      <w:r w:rsidR="00F45B4D" w:rsidRPr="009C5C7C">
        <w:rPr>
          <w:bCs/>
          <w:lang w:val="en-GB"/>
        </w:rPr>
        <w:t xml:space="preserve"> derivative) and phenolic acids (cinnamic acid derivatives). The total free phenolic concentration </w:t>
      </w:r>
      <w:r w:rsidR="0082447D">
        <w:rPr>
          <w:bCs/>
          <w:lang w:val="en-GB"/>
        </w:rPr>
        <w:t xml:space="preserve">ranged from </w:t>
      </w:r>
      <w:r w:rsidR="00DA1D73">
        <w:rPr>
          <w:bCs/>
          <w:lang w:val="en-GB"/>
        </w:rPr>
        <w:t>340.8</w:t>
      </w:r>
      <w:r w:rsidR="0082447D">
        <w:rPr>
          <w:bCs/>
          <w:lang w:val="en-GB"/>
        </w:rPr>
        <w:t xml:space="preserve"> </w:t>
      </w:r>
      <w:r w:rsidR="00DA1D73">
        <w:rPr>
          <w:bCs/>
          <w:lang w:val="en-GB"/>
        </w:rPr>
        <w:t xml:space="preserve">(cv. </w:t>
      </w:r>
      <w:proofErr w:type="spellStart"/>
      <w:r w:rsidR="00DA1D73">
        <w:rPr>
          <w:bCs/>
          <w:lang w:val="en-GB"/>
        </w:rPr>
        <w:t>Churibamba</w:t>
      </w:r>
      <w:proofErr w:type="spellEnd"/>
      <w:r w:rsidR="00DA1D73" w:rsidRPr="009C5C7C">
        <w:rPr>
          <w:bCs/>
          <w:lang w:val="en-GB"/>
        </w:rPr>
        <w:t>)</w:t>
      </w:r>
      <w:r w:rsidR="00DA1D73">
        <w:rPr>
          <w:bCs/>
          <w:lang w:val="en-GB"/>
        </w:rPr>
        <w:t xml:space="preserve"> </w:t>
      </w:r>
      <w:r w:rsidR="0082447D">
        <w:rPr>
          <w:bCs/>
          <w:lang w:val="en-GB"/>
        </w:rPr>
        <w:t>to</w:t>
      </w:r>
      <w:r w:rsidR="00F45B4D" w:rsidRPr="009C5C7C">
        <w:rPr>
          <w:bCs/>
          <w:lang w:val="en-GB"/>
        </w:rPr>
        <w:t xml:space="preserve"> </w:t>
      </w:r>
      <w:r w:rsidR="0082447D" w:rsidRPr="009C5C7C">
        <w:rPr>
          <w:bCs/>
          <w:lang w:val="en-GB"/>
        </w:rPr>
        <w:t>1393</w:t>
      </w:r>
      <w:r w:rsidR="00DA1D73">
        <w:rPr>
          <w:bCs/>
          <w:lang w:val="en-GB"/>
        </w:rPr>
        <w:t>.3</w:t>
      </w:r>
      <w:r w:rsidR="0082447D" w:rsidRPr="009C5C7C">
        <w:rPr>
          <w:bCs/>
          <w:lang w:val="en-GB"/>
        </w:rPr>
        <w:t xml:space="preserve"> mg/kg DM </w:t>
      </w:r>
      <w:r w:rsidR="0082447D">
        <w:rPr>
          <w:bCs/>
          <w:lang w:val="en-GB"/>
        </w:rPr>
        <w:t xml:space="preserve">(cv. </w:t>
      </w:r>
      <w:r w:rsidR="00F45B4D" w:rsidRPr="009C5C7C">
        <w:rPr>
          <w:bCs/>
          <w:lang w:val="en-GB"/>
        </w:rPr>
        <w:t>H6 INIA BP</w:t>
      </w:r>
      <w:r w:rsidR="00F45B4D" w:rsidRPr="00DA1D73">
        <w:rPr>
          <w:bCs/>
          <w:lang w:val="en-GB"/>
        </w:rPr>
        <w:t>)</w:t>
      </w:r>
      <w:r w:rsidR="0082447D" w:rsidRPr="00DA1D73">
        <w:rPr>
          <w:bCs/>
          <w:lang w:val="en-GB"/>
        </w:rPr>
        <w:t xml:space="preserve"> </w:t>
      </w:r>
      <w:r w:rsidR="00F45B4D" w:rsidRPr="00DA1D73">
        <w:rPr>
          <w:bCs/>
          <w:lang w:val="en-GB"/>
        </w:rPr>
        <w:t>exceed</w:t>
      </w:r>
      <w:r w:rsidR="00DA1D73" w:rsidRPr="00DA1D73">
        <w:rPr>
          <w:bCs/>
          <w:lang w:val="en-GB"/>
        </w:rPr>
        <w:t xml:space="preserve">ing </w:t>
      </w:r>
      <w:r w:rsidR="00F45B4D" w:rsidRPr="00DA1D73">
        <w:rPr>
          <w:bCs/>
          <w:lang w:val="en-GB"/>
        </w:rPr>
        <w:t xml:space="preserve">that of controls </w:t>
      </w:r>
      <w:r w:rsidR="0082447D" w:rsidRPr="00DA1D73">
        <w:rPr>
          <w:bCs/>
          <w:lang w:val="en-GB"/>
        </w:rPr>
        <w:t>(</w:t>
      </w:r>
      <w:r w:rsidR="00DA1D73" w:rsidRPr="00B0027C">
        <w:rPr>
          <w:bCs/>
          <w:lang w:val="en-GB"/>
        </w:rPr>
        <w:t>6.8–31.3 mg/kg DM)</w:t>
      </w:r>
      <w:r w:rsidR="00F45B4D" w:rsidRPr="009C5C7C">
        <w:rPr>
          <w:bCs/>
          <w:lang w:val="en-GB"/>
        </w:rPr>
        <w:t xml:space="preserve">. </w:t>
      </w:r>
      <w:r w:rsidR="007071E4">
        <w:rPr>
          <w:bCs/>
          <w:lang w:val="en-GB"/>
        </w:rPr>
        <w:t>A</w:t>
      </w:r>
      <w:r w:rsidR="00F45B4D" w:rsidRPr="009C5C7C">
        <w:rPr>
          <w:bCs/>
          <w:lang w:val="en-GB"/>
        </w:rPr>
        <w:t xml:space="preserve"> relationship between free phenolic compounds and spectral bands was established by FT-NIR, paving the way for a fast, </w:t>
      </w:r>
      <w:proofErr w:type="gramStart"/>
      <w:r w:rsidR="00F45B4D" w:rsidRPr="009C5C7C">
        <w:rPr>
          <w:bCs/>
          <w:lang w:val="en-GB"/>
        </w:rPr>
        <w:t>reliable</w:t>
      </w:r>
      <w:proofErr w:type="gramEnd"/>
      <w:r w:rsidR="00F45B4D" w:rsidRPr="009C5C7C">
        <w:rPr>
          <w:bCs/>
          <w:lang w:val="en-GB"/>
        </w:rPr>
        <w:t xml:space="preserve"> and non-destructive approach to lupin seeds characterization. Even after debittering, lupin flours maintained high free phenolic concentrations and antioxidant capacity.</w:t>
      </w:r>
    </w:p>
    <w:p w14:paraId="06A998A5" w14:textId="1B2FE442" w:rsidR="00F45B4D" w:rsidRPr="009C5C7C" w:rsidRDefault="00DE691C" w:rsidP="007C7FF7">
      <w:pPr>
        <w:tabs>
          <w:tab w:val="left" w:pos="567"/>
        </w:tabs>
        <w:ind w:left="567" w:hanging="567"/>
        <w:jc w:val="both"/>
        <w:rPr>
          <w:bCs/>
          <w:lang w:val="en-GB"/>
        </w:rPr>
      </w:pPr>
      <w:r>
        <w:rPr>
          <w:bCs/>
          <w:lang w:val="en-GB"/>
        </w:rPr>
        <w:t>A</w:t>
      </w:r>
      <w:r w:rsidR="00F45B4D" w:rsidRPr="009C5C7C">
        <w:rPr>
          <w:bCs/>
          <w:lang w:val="en-GB"/>
        </w:rPr>
        <w:t>3)</w:t>
      </w:r>
      <w:r w:rsidR="00987A3C" w:rsidRPr="009C5C7C">
        <w:rPr>
          <w:bCs/>
          <w:lang w:val="en-GB"/>
        </w:rPr>
        <w:tab/>
      </w:r>
      <w:r w:rsidR="00F45B4D" w:rsidRPr="009C5C7C">
        <w:rPr>
          <w:bCs/>
          <w:lang w:val="en-GB"/>
        </w:rPr>
        <w:t>The sonication did not accelerate debittering, while the sodium chloride and citric acid solutions significantly shortened debittering time, reduced water consumption and decreased alkaloid content to commercial values (0.31–1.03 g/kg DM). Debittering with a 1% citric acid solution saved 88 h and 65 L water/kg dry lupin compared to the water control method, and 13 h and 31 L water/kg dry lupin compared to the salt solution control method. The electronic tongue grouped the experimental and commercial samples in well-defined clusters; bitter and umami tastes were the main factors, well correlated with alkaloid content. The proposed procedure, either with citric acid or sodium chloride, could be easily adopted by the industry to reduce time and costs of lupin debittering.</w:t>
      </w:r>
    </w:p>
    <w:p w14:paraId="669366BF" w14:textId="62A37EB8" w:rsidR="00005CD0" w:rsidRPr="009C5C7C" w:rsidRDefault="00DE691C" w:rsidP="007C7FF7">
      <w:pPr>
        <w:tabs>
          <w:tab w:val="left" w:pos="567"/>
        </w:tabs>
        <w:ind w:left="567" w:hanging="567"/>
        <w:jc w:val="both"/>
        <w:rPr>
          <w:bCs/>
          <w:lang w:val="en-GB"/>
        </w:rPr>
      </w:pPr>
      <w:r>
        <w:rPr>
          <w:bCs/>
          <w:lang w:val="en-GB"/>
        </w:rPr>
        <w:t>A</w:t>
      </w:r>
      <w:r w:rsidR="00987A3C" w:rsidRPr="009C5C7C">
        <w:rPr>
          <w:bCs/>
          <w:lang w:val="en-GB"/>
        </w:rPr>
        <w:t>4)</w:t>
      </w:r>
      <w:r w:rsidR="00987A3C" w:rsidRPr="009C5C7C">
        <w:rPr>
          <w:bCs/>
          <w:lang w:val="en-GB"/>
        </w:rPr>
        <w:tab/>
      </w:r>
      <w:r w:rsidR="00987A3C" w:rsidRPr="00987A3C">
        <w:rPr>
          <w:bCs/>
          <w:lang w:val="en-GB"/>
        </w:rPr>
        <w:t>The sonication decreased the content of carotenoids and soluble-free phenolics but</w:t>
      </w:r>
      <w:r w:rsidR="00987A3C" w:rsidRPr="009C5C7C">
        <w:rPr>
          <w:bCs/>
          <w:lang w:val="en-GB"/>
        </w:rPr>
        <w:t xml:space="preserve"> </w:t>
      </w:r>
      <w:r w:rsidR="00987A3C" w:rsidRPr="00987A3C">
        <w:rPr>
          <w:bCs/>
          <w:lang w:val="en-GB"/>
        </w:rPr>
        <w:t>did not influence tocopherols or soluble-conjugated and insoluble-bound phenolic</w:t>
      </w:r>
      <w:r w:rsidR="00987A3C" w:rsidRPr="009C5C7C">
        <w:rPr>
          <w:bCs/>
          <w:lang w:val="en-GB"/>
        </w:rPr>
        <w:t xml:space="preserve"> </w:t>
      </w:r>
      <w:r w:rsidR="00987A3C" w:rsidRPr="00987A3C">
        <w:rPr>
          <w:bCs/>
          <w:lang w:val="en-GB"/>
        </w:rPr>
        <w:t>compounds. Nevertheless, the debittered lupins showed interesting quantities of tocopherols</w:t>
      </w:r>
      <w:r w:rsidR="00987A3C" w:rsidRPr="009C5C7C">
        <w:rPr>
          <w:bCs/>
          <w:lang w:val="en-GB"/>
        </w:rPr>
        <w:t xml:space="preserve"> </w:t>
      </w:r>
      <w:r w:rsidR="00987A3C" w:rsidRPr="00987A3C">
        <w:rPr>
          <w:bCs/>
          <w:lang w:val="en-GB"/>
        </w:rPr>
        <w:t>(172.8–241.3</w:t>
      </w:r>
      <w:r w:rsidR="00595A88">
        <w:rPr>
          <w:bCs/>
          <w:lang w:val="en-GB"/>
        </w:rPr>
        <w:t xml:space="preserve"> </w:t>
      </w:r>
      <w:r w:rsidR="00987A3C" w:rsidRPr="00987A3C">
        <w:rPr>
          <w:bCs/>
          <w:lang w:val="en-GB"/>
        </w:rPr>
        <w:t>mg/kg</w:t>
      </w:r>
      <w:r w:rsidR="005638DD" w:rsidRPr="009C5C7C">
        <w:rPr>
          <w:bCs/>
          <w:lang w:val="en-GB"/>
        </w:rPr>
        <w:t xml:space="preserve"> </w:t>
      </w:r>
      <w:r w:rsidR="00987A3C" w:rsidRPr="00987A3C">
        <w:rPr>
          <w:bCs/>
          <w:lang w:val="en-GB"/>
        </w:rPr>
        <w:t>DM), carotenoids (10.9–25.1</w:t>
      </w:r>
      <w:r w:rsidR="00595A88">
        <w:rPr>
          <w:bCs/>
          <w:lang w:val="en-GB"/>
        </w:rPr>
        <w:t xml:space="preserve"> </w:t>
      </w:r>
      <w:r w:rsidR="00987A3C" w:rsidRPr="00987A3C">
        <w:rPr>
          <w:bCs/>
          <w:lang w:val="en-GB"/>
        </w:rPr>
        <w:t>mg/kg</w:t>
      </w:r>
      <w:r w:rsidR="005638DD" w:rsidRPr="009C5C7C">
        <w:rPr>
          <w:bCs/>
          <w:lang w:val="en-GB"/>
        </w:rPr>
        <w:t xml:space="preserve"> </w:t>
      </w:r>
      <w:r w:rsidR="00987A3C" w:rsidRPr="00987A3C">
        <w:rPr>
          <w:bCs/>
          <w:lang w:val="en-GB"/>
        </w:rPr>
        <w:t>DM), and</w:t>
      </w:r>
      <w:r w:rsidR="005638DD" w:rsidRPr="009C5C7C">
        <w:rPr>
          <w:bCs/>
          <w:lang w:val="en-GB"/>
        </w:rPr>
        <w:t xml:space="preserve"> </w:t>
      </w:r>
      <w:r w:rsidR="00987A3C" w:rsidRPr="00987A3C">
        <w:rPr>
          <w:bCs/>
          <w:lang w:val="en-GB"/>
        </w:rPr>
        <w:t>soluble-free (106.9–361.1</w:t>
      </w:r>
      <w:r w:rsidR="00595A88">
        <w:rPr>
          <w:bCs/>
          <w:lang w:val="en-GB"/>
        </w:rPr>
        <w:t xml:space="preserve"> </w:t>
      </w:r>
      <w:r w:rsidR="00987A3C" w:rsidRPr="00987A3C">
        <w:rPr>
          <w:bCs/>
          <w:lang w:val="en-GB"/>
        </w:rPr>
        <w:t>mg/kg</w:t>
      </w:r>
      <w:r w:rsidR="00987A3C" w:rsidRPr="009C5C7C">
        <w:rPr>
          <w:bCs/>
          <w:lang w:val="en-GB"/>
        </w:rPr>
        <w:t xml:space="preserve"> </w:t>
      </w:r>
      <w:r w:rsidR="00987A3C" w:rsidRPr="00987A3C">
        <w:rPr>
          <w:bCs/>
          <w:lang w:val="en-GB"/>
        </w:rPr>
        <w:t>DM), soluble-conjugated (93.9–118.9</w:t>
      </w:r>
      <w:r w:rsidR="005638DD" w:rsidRPr="009C5C7C">
        <w:rPr>
          <w:bCs/>
          <w:lang w:val="en-GB"/>
        </w:rPr>
        <w:t xml:space="preserve"> </w:t>
      </w:r>
      <w:r w:rsidR="00987A3C" w:rsidRPr="00987A3C">
        <w:rPr>
          <w:bCs/>
          <w:lang w:val="en-GB"/>
        </w:rPr>
        <w:t>mg/kg DM), and insoluble-bound (59.2–156.7</w:t>
      </w:r>
      <w:r w:rsidR="005638DD" w:rsidRPr="009C5C7C">
        <w:rPr>
          <w:bCs/>
          <w:lang w:val="en-GB"/>
        </w:rPr>
        <w:t xml:space="preserve"> </w:t>
      </w:r>
      <w:r w:rsidR="00987A3C" w:rsidRPr="00987A3C">
        <w:rPr>
          <w:bCs/>
          <w:lang w:val="en-GB"/>
        </w:rPr>
        <w:t>mg/kg DM)</w:t>
      </w:r>
      <w:r w:rsidR="00987A3C" w:rsidRPr="009C5C7C">
        <w:rPr>
          <w:bCs/>
          <w:lang w:val="en-GB"/>
        </w:rPr>
        <w:t xml:space="preserve"> </w:t>
      </w:r>
      <w:r w:rsidR="00987A3C" w:rsidRPr="00987A3C">
        <w:rPr>
          <w:bCs/>
          <w:lang w:val="en-GB"/>
        </w:rPr>
        <w:t>phenolic compounds.</w:t>
      </w:r>
      <w:r w:rsidR="00005CD0" w:rsidRPr="009C5C7C">
        <w:rPr>
          <w:bCs/>
          <w:lang w:val="en-GB"/>
        </w:rPr>
        <w:t xml:space="preserve"> Using </w:t>
      </w:r>
      <w:r w:rsidR="00987A3C" w:rsidRPr="00987A3C">
        <w:rPr>
          <w:bCs/>
          <w:lang w:val="en-GB"/>
        </w:rPr>
        <w:t xml:space="preserve">citric acid or sodium chloride </w:t>
      </w:r>
      <w:r w:rsidR="00005CD0" w:rsidRPr="009C5C7C">
        <w:rPr>
          <w:bCs/>
          <w:lang w:val="en-GB"/>
        </w:rPr>
        <w:t xml:space="preserve">solution </w:t>
      </w:r>
      <w:r w:rsidR="00005CD0" w:rsidRPr="00987A3C">
        <w:rPr>
          <w:bCs/>
          <w:lang w:val="en-GB"/>
        </w:rPr>
        <w:t xml:space="preserve">preserved </w:t>
      </w:r>
      <w:r w:rsidR="00005CD0" w:rsidRPr="009C5C7C">
        <w:rPr>
          <w:bCs/>
          <w:lang w:val="en-GB"/>
        </w:rPr>
        <w:t xml:space="preserve">in a better way </w:t>
      </w:r>
      <w:r w:rsidR="00005CD0" w:rsidRPr="00987A3C">
        <w:rPr>
          <w:bCs/>
          <w:lang w:val="en-GB"/>
        </w:rPr>
        <w:t xml:space="preserve">the </w:t>
      </w:r>
      <w:r w:rsidR="00005CD0" w:rsidRPr="009C5C7C">
        <w:rPr>
          <w:bCs/>
          <w:lang w:val="en-GB"/>
        </w:rPr>
        <w:t xml:space="preserve">soluble-free phenolics likely due to the reduction in </w:t>
      </w:r>
      <w:r w:rsidR="00005CD0" w:rsidRPr="00987A3C">
        <w:rPr>
          <w:bCs/>
          <w:lang w:val="en-GB"/>
        </w:rPr>
        <w:t>treatment</w:t>
      </w:r>
      <w:r w:rsidR="00005CD0" w:rsidRPr="009C5C7C">
        <w:rPr>
          <w:bCs/>
          <w:lang w:val="en-GB"/>
        </w:rPr>
        <w:t xml:space="preserve"> times</w:t>
      </w:r>
      <w:r w:rsidR="005705C9" w:rsidRPr="009C5C7C">
        <w:rPr>
          <w:bCs/>
          <w:lang w:val="en-GB"/>
        </w:rPr>
        <w:t xml:space="preserve"> (Estivi </w:t>
      </w:r>
      <w:r w:rsidR="005705C9" w:rsidRPr="009C5C7C">
        <w:rPr>
          <w:bCs/>
          <w:i/>
          <w:iCs/>
          <w:lang w:val="en-GB"/>
        </w:rPr>
        <w:t>et al</w:t>
      </w:r>
      <w:r w:rsidR="005705C9" w:rsidRPr="009C5C7C">
        <w:rPr>
          <w:bCs/>
          <w:lang w:val="en-GB"/>
        </w:rPr>
        <w:t>., 2022</w:t>
      </w:r>
      <w:r w:rsidR="009C00B9">
        <w:rPr>
          <w:bCs/>
          <w:lang w:val="en-GB"/>
        </w:rPr>
        <w:t>e</w:t>
      </w:r>
      <w:r w:rsidR="005705C9" w:rsidRPr="009C5C7C">
        <w:rPr>
          <w:bCs/>
          <w:lang w:val="en-GB"/>
        </w:rPr>
        <w:t>)</w:t>
      </w:r>
      <w:r w:rsidR="002C1590">
        <w:rPr>
          <w:bCs/>
          <w:lang w:val="en-GB"/>
        </w:rPr>
        <w:t>.</w:t>
      </w:r>
    </w:p>
    <w:bookmarkEnd w:id="1"/>
    <w:p w14:paraId="79B1404D" w14:textId="18873DC9" w:rsidR="006564A6" w:rsidRDefault="00DE691C" w:rsidP="007C7FF7">
      <w:pPr>
        <w:tabs>
          <w:tab w:val="left" w:pos="567"/>
        </w:tabs>
        <w:ind w:left="567" w:hanging="567"/>
        <w:jc w:val="both"/>
        <w:rPr>
          <w:bCs/>
          <w:lang w:val="en-GB"/>
        </w:rPr>
      </w:pPr>
      <w:r>
        <w:rPr>
          <w:bCs/>
          <w:lang w:val="en-GB"/>
        </w:rPr>
        <w:t>B</w:t>
      </w:r>
      <w:r w:rsidR="002251AD" w:rsidRPr="009C5C7C">
        <w:rPr>
          <w:bCs/>
          <w:lang w:val="en-GB"/>
        </w:rPr>
        <w:t>1)</w:t>
      </w:r>
      <w:r w:rsidR="002251AD" w:rsidRPr="009C5C7C">
        <w:rPr>
          <w:bCs/>
          <w:lang w:val="en-GB"/>
        </w:rPr>
        <w:tab/>
      </w:r>
      <w:bookmarkStart w:id="2" w:name="_Hlk136971941"/>
      <w:r w:rsidR="00782477" w:rsidRPr="009C5C7C">
        <w:rPr>
          <w:bCs/>
          <w:lang w:val="en-GB"/>
        </w:rPr>
        <w:t xml:space="preserve">The optimised extraction conditions </w:t>
      </w:r>
      <w:proofErr w:type="gramStart"/>
      <w:r w:rsidR="00782477" w:rsidRPr="009C5C7C">
        <w:rPr>
          <w:bCs/>
          <w:lang w:val="en-GB"/>
        </w:rPr>
        <w:t>were:</w:t>
      </w:r>
      <w:proofErr w:type="gramEnd"/>
      <w:r w:rsidR="00782477" w:rsidRPr="009C5C7C">
        <w:rPr>
          <w:bCs/>
          <w:lang w:val="en-GB"/>
        </w:rPr>
        <w:t xml:space="preserve"> ratio water/by-product, 20 m</w:t>
      </w:r>
      <w:r w:rsidR="00477783">
        <w:rPr>
          <w:bCs/>
          <w:lang w:val="en-GB"/>
        </w:rPr>
        <w:t>L</w:t>
      </w:r>
      <w:r w:rsidR="00782477" w:rsidRPr="009C5C7C">
        <w:rPr>
          <w:bCs/>
          <w:lang w:val="en-GB"/>
        </w:rPr>
        <w:t xml:space="preserve">/g; pH, 11; amplitude, 80 </w:t>
      </w:r>
      <w:proofErr w:type="spellStart"/>
      <w:r w:rsidR="00782477" w:rsidRPr="009C5C7C">
        <w:rPr>
          <w:bCs/>
          <w:lang w:val="en-GB"/>
        </w:rPr>
        <w:t>μm</w:t>
      </w:r>
      <w:proofErr w:type="spellEnd"/>
      <w:r w:rsidR="00782477" w:rsidRPr="009C5C7C">
        <w:rPr>
          <w:bCs/>
          <w:lang w:val="en-GB"/>
        </w:rPr>
        <w:t xml:space="preserve">; time, 2 x 30 min; on/off cycle, 5/5 s; temperature, 25 °C. Table 1 </w:t>
      </w:r>
      <w:r w:rsidR="004F1F7A" w:rsidRPr="009C5C7C">
        <w:rPr>
          <w:bCs/>
          <w:lang w:val="en-GB"/>
        </w:rPr>
        <w:t xml:space="preserve">compares the efficiency of ultrasound-assisted extraction </w:t>
      </w:r>
      <w:r w:rsidR="00CB6E2A" w:rsidRPr="00CB6E2A">
        <w:rPr>
          <w:bCs/>
          <w:i/>
          <w:iCs/>
          <w:lang w:val="en-GB"/>
        </w:rPr>
        <w:t>vs.</w:t>
      </w:r>
      <w:r w:rsidR="004F1F7A" w:rsidRPr="009C5C7C">
        <w:rPr>
          <w:bCs/>
          <w:lang w:val="en-GB"/>
        </w:rPr>
        <w:t xml:space="preserve"> magnetic </w:t>
      </w:r>
      <w:r w:rsidR="00885E3A" w:rsidRPr="009C5C7C">
        <w:rPr>
          <w:bCs/>
          <w:lang w:val="en-GB"/>
        </w:rPr>
        <w:t xml:space="preserve">stirring and reports the characterisation of commercial pea flour, dried pea waste and protein concentrate. </w:t>
      </w:r>
      <w:r w:rsidR="006564A6" w:rsidRPr="009C5C7C">
        <w:rPr>
          <w:bCs/>
          <w:lang w:val="en-GB"/>
        </w:rPr>
        <w:t>The extraction yield of the optimized process</w:t>
      </w:r>
      <w:r w:rsidR="00CB6E2A">
        <w:rPr>
          <w:bCs/>
          <w:lang w:val="en-GB"/>
        </w:rPr>
        <w:t xml:space="preserve"> (</w:t>
      </w:r>
      <w:r w:rsidR="006564A6" w:rsidRPr="009C5C7C">
        <w:rPr>
          <w:bCs/>
          <w:lang w:val="en-GB"/>
        </w:rPr>
        <w:t>66.6%</w:t>
      </w:r>
      <w:r w:rsidR="00CB6E2A">
        <w:rPr>
          <w:bCs/>
          <w:lang w:val="en-GB"/>
        </w:rPr>
        <w:t>)</w:t>
      </w:r>
      <w:r w:rsidR="006564A6" w:rsidRPr="009C5C7C">
        <w:rPr>
          <w:bCs/>
          <w:lang w:val="en-GB"/>
        </w:rPr>
        <w:t xml:space="preserve"> </w:t>
      </w:r>
      <w:r w:rsidR="00D856DD" w:rsidRPr="009C5C7C">
        <w:rPr>
          <w:bCs/>
          <w:lang w:val="en-GB"/>
        </w:rPr>
        <w:t>was</w:t>
      </w:r>
      <w:r w:rsidR="006564A6" w:rsidRPr="009C5C7C">
        <w:rPr>
          <w:bCs/>
          <w:lang w:val="en-GB"/>
        </w:rPr>
        <w:t xml:space="preserve"> comparable with that (62.6-76.7%) reported by Stone </w:t>
      </w:r>
      <w:r w:rsidR="006564A6" w:rsidRPr="009C5C7C">
        <w:rPr>
          <w:bCs/>
          <w:i/>
          <w:iCs/>
          <w:lang w:val="en-GB"/>
        </w:rPr>
        <w:t>et al</w:t>
      </w:r>
      <w:r w:rsidR="006564A6" w:rsidRPr="009C5C7C">
        <w:rPr>
          <w:bCs/>
          <w:lang w:val="en-GB"/>
        </w:rPr>
        <w:t>. (2015)</w:t>
      </w:r>
      <w:r w:rsidR="00CB6E2A">
        <w:rPr>
          <w:bCs/>
          <w:lang w:val="en-GB"/>
        </w:rPr>
        <w:t xml:space="preserve"> from </w:t>
      </w:r>
      <w:r w:rsidR="006564A6" w:rsidRPr="009C5C7C">
        <w:rPr>
          <w:bCs/>
          <w:lang w:val="en-GB"/>
        </w:rPr>
        <w:t xml:space="preserve">defatted pea flour with magnetic stirring only but </w:t>
      </w:r>
      <w:r w:rsidR="00CA1189">
        <w:rPr>
          <w:bCs/>
          <w:lang w:val="en-GB"/>
        </w:rPr>
        <w:t>wa</w:t>
      </w:r>
      <w:r w:rsidR="006564A6" w:rsidRPr="009C5C7C">
        <w:rPr>
          <w:bCs/>
          <w:lang w:val="en-GB"/>
        </w:rPr>
        <w:t xml:space="preserve">s inferior to those (82.6% with ultrasonication and 60% with magnetic stirring) of Wang </w:t>
      </w:r>
      <w:r w:rsidR="006564A6" w:rsidRPr="009C5C7C">
        <w:rPr>
          <w:bCs/>
          <w:i/>
          <w:iCs/>
          <w:lang w:val="en-GB"/>
        </w:rPr>
        <w:t>et al</w:t>
      </w:r>
      <w:r w:rsidR="006564A6" w:rsidRPr="009C5C7C">
        <w:rPr>
          <w:bCs/>
          <w:lang w:val="en-GB"/>
        </w:rPr>
        <w:t>. (2020), possibly</w:t>
      </w:r>
      <w:r w:rsidR="00D856DD" w:rsidRPr="009C5C7C">
        <w:rPr>
          <w:bCs/>
          <w:lang w:val="en-GB"/>
        </w:rPr>
        <w:t xml:space="preserve"> due to leaching of low molecular weight peptides formed during pre-sampling fermentation. </w:t>
      </w:r>
      <w:r w:rsidR="00682F81" w:rsidRPr="009C5C7C">
        <w:rPr>
          <w:bCs/>
          <w:lang w:val="en-GB"/>
        </w:rPr>
        <w:t xml:space="preserve">This was </w:t>
      </w:r>
      <w:r w:rsidR="00682F81" w:rsidRPr="00310E60">
        <w:rPr>
          <w:bCs/>
          <w:lang w:val="en-GB"/>
        </w:rPr>
        <w:t>confirmed by</w:t>
      </w:r>
      <w:r w:rsidR="00CA1189" w:rsidRPr="00310E60">
        <w:rPr>
          <w:bCs/>
          <w:lang w:val="en-GB"/>
        </w:rPr>
        <w:t xml:space="preserve"> </w:t>
      </w:r>
      <w:r w:rsidR="00310E60" w:rsidRPr="00310E60">
        <w:rPr>
          <w:bCs/>
          <w:lang w:val="en-GB"/>
        </w:rPr>
        <w:t xml:space="preserve">total </w:t>
      </w:r>
      <w:r w:rsidR="00CA1189" w:rsidRPr="00310E60">
        <w:rPr>
          <w:bCs/>
          <w:lang w:val="en-GB"/>
        </w:rPr>
        <w:t xml:space="preserve">microbial count </w:t>
      </w:r>
      <w:r w:rsidR="00310E60" w:rsidRPr="00310E60">
        <w:rPr>
          <w:bCs/>
          <w:lang w:val="en-GB"/>
        </w:rPr>
        <w:t xml:space="preserve">(7.32 log CFU/g) </w:t>
      </w:r>
      <w:r w:rsidR="00CA1189" w:rsidRPr="00310E60">
        <w:rPr>
          <w:bCs/>
          <w:lang w:val="en-GB"/>
        </w:rPr>
        <w:t>and</w:t>
      </w:r>
      <w:r w:rsidR="00682F81" w:rsidRPr="00310E60">
        <w:rPr>
          <w:bCs/>
          <w:lang w:val="en-GB"/>
        </w:rPr>
        <w:t xml:space="preserve"> presence</w:t>
      </w:r>
      <w:r w:rsidR="00682F81" w:rsidRPr="009C5C7C">
        <w:rPr>
          <w:bCs/>
          <w:lang w:val="en-GB"/>
        </w:rPr>
        <w:t xml:space="preserve"> of smeared bands </w:t>
      </w:r>
      <w:r w:rsidR="00FA1F99">
        <w:rPr>
          <w:bCs/>
          <w:lang w:val="en-GB"/>
        </w:rPr>
        <w:t>in the</w:t>
      </w:r>
      <w:r w:rsidR="00310E60">
        <w:rPr>
          <w:bCs/>
          <w:lang w:val="en-GB"/>
        </w:rPr>
        <w:t xml:space="preserve"> </w:t>
      </w:r>
      <w:r w:rsidR="00682F81" w:rsidRPr="009C5C7C">
        <w:rPr>
          <w:bCs/>
          <w:lang w:val="en-GB"/>
        </w:rPr>
        <w:t xml:space="preserve">SDS-PAGE. </w:t>
      </w:r>
      <w:r w:rsidR="00D856DD" w:rsidRPr="009C5C7C">
        <w:rPr>
          <w:bCs/>
          <w:lang w:val="en-GB"/>
        </w:rPr>
        <w:t xml:space="preserve">Overall, the ultrasonication increased 3-fold the protein recovery yield, reducing </w:t>
      </w:r>
      <w:r w:rsidR="00CB6E2A">
        <w:rPr>
          <w:bCs/>
          <w:lang w:val="en-GB"/>
        </w:rPr>
        <w:t>to 1/4</w:t>
      </w:r>
      <w:r w:rsidR="00D856DD" w:rsidRPr="009C5C7C">
        <w:rPr>
          <w:bCs/>
          <w:lang w:val="en-GB"/>
        </w:rPr>
        <w:t xml:space="preserve"> the extraction time, at the cost of a lower purity of the concentrate. </w:t>
      </w:r>
      <w:proofErr w:type="spellStart"/>
      <w:r w:rsidR="006564A6" w:rsidRPr="009C5C7C">
        <w:rPr>
          <w:bCs/>
          <w:lang w:val="en-GB"/>
        </w:rPr>
        <w:t>Prestes</w:t>
      </w:r>
      <w:proofErr w:type="spellEnd"/>
      <w:r w:rsidR="006564A6" w:rsidRPr="009C5C7C">
        <w:rPr>
          <w:bCs/>
          <w:lang w:val="en-GB"/>
        </w:rPr>
        <w:t xml:space="preserve"> </w:t>
      </w:r>
      <w:proofErr w:type="spellStart"/>
      <w:r w:rsidR="006564A6" w:rsidRPr="009C5C7C">
        <w:rPr>
          <w:bCs/>
          <w:lang w:val="en-GB"/>
        </w:rPr>
        <w:t>Fallavena</w:t>
      </w:r>
      <w:proofErr w:type="spellEnd"/>
      <w:r w:rsidR="006564A6" w:rsidRPr="009C5C7C">
        <w:rPr>
          <w:bCs/>
          <w:lang w:val="en-GB"/>
        </w:rPr>
        <w:t xml:space="preserve"> </w:t>
      </w:r>
      <w:r w:rsidR="006564A6" w:rsidRPr="009C5C7C">
        <w:rPr>
          <w:bCs/>
          <w:i/>
          <w:iCs/>
          <w:lang w:val="en-GB"/>
        </w:rPr>
        <w:t>et al</w:t>
      </w:r>
      <w:r w:rsidR="006564A6" w:rsidRPr="009C5C7C">
        <w:rPr>
          <w:bCs/>
          <w:lang w:val="en-GB"/>
        </w:rPr>
        <w:t xml:space="preserve">. (2022) and </w:t>
      </w:r>
      <w:proofErr w:type="spellStart"/>
      <w:r w:rsidR="006564A6" w:rsidRPr="009C5C7C">
        <w:rPr>
          <w:bCs/>
          <w:lang w:val="en-GB"/>
        </w:rPr>
        <w:t>Thirunavookarasu</w:t>
      </w:r>
      <w:proofErr w:type="spellEnd"/>
      <w:r w:rsidR="006564A6" w:rsidRPr="009C5C7C">
        <w:rPr>
          <w:bCs/>
          <w:lang w:val="en-GB"/>
        </w:rPr>
        <w:t xml:space="preserve"> </w:t>
      </w:r>
      <w:r w:rsidR="006564A6" w:rsidRPr="009C5C7C">
        <w:rPr>
          <w:bCs/>
          <w:i/>
          <w:iCs/>
          <w:lang w:val="en-GB"/>
        </w:rPr>
        <w:t>et al</w:t>
      </w:r>
      <w:r w:rsidR="006564A6" w:rsidRPr="009C5C7C">
        <w:rPr>
          <w:bCs/>
          <w:lang w:val="en-GB"/>
        </w:rPr>
        <w:t xml:space="preserve">. (2022) collected numerous evidence related to protein glycation mediated by high-power ultrasound and to the formation of complexes between protein (sonication-denatured) and simple sugars, </w:t>
      </w:r>
      <w:proofErr w:type="gramStart"/>
      <w:r w:rsidR="006564A6" w:rsidRPr="009C5C7C">
        <w:rPr>
          <w:bCs/>
          <w:lang w:val="en-GB"/>
        </w:rPr>
        <w:t>oligosaccharides</w:t>
      </w:r>
      <w:proofErr w:type="gramEnd"/>
      <w:r w:rsidR="006564A6" w:rsidRPr="009C5C7C">
        <w:rPr>
          <w:bCs/>
          <w:lang w:val="en-GB"/>
        </w:rPr>
        <w:t xml:space="preserve"> or polysaccharides, including </w:t>
      </w:r>
      <w:proofErr w:type="spellStart"/>
      <w:r w:rsidR="006564A6" w:rsidRPr="009C5C7C">
        <w:rPr>
          <w:bCs/>
          <w:lang w:val="en-GB"/>
        </w:rPr>
        <w:t>pectins</w:t>
      </w:r>
      <w:proofErr w:type="spellEnd"/>
      <w:r w:rsidR="006564A6" w:rsidRPr="009C5C7C">
        <w:rPr>
          <w:bCs/>
          <w:lang w:val="en-GB"/>
        </w:rPr>
        <w:t xml:space="preserve">. </w:t>
      </w:r>
      <w:r w:rsidR="00B44111" w:rsidRPr="009C5C7C">
        <w:rPr>
          <w:bCs/>
          <w:lang w:val="en-GB"/>
        </w:rPr>
        <w:t>T</w:t>
      </w:r>
      <w:r w:rsidR="006564A6" w:rsidRPr="009C5C7C">
        <w:rPr>
          <w:bCs/>
          <w:lang w:val="en-GB"/>
        </w:rPr>
        <w:t>hus</w:t>
      </w:r>
      <w:r w:rsidR="00987A3C" w:rsidRPr="009C5C7C">
        <w:rPr>
          <w:bCs/>
          <w:lang w:val="en-GB"/>
        </w:rPr>
        <w:t>,</w:t>
      </w:r>
      <w:r w:rsidR="006564A6" w:rsidRPr="009C5C7C">
        <w:rPr>
          <w:bCs/>
          <w:lang w:val="en-GB"/>
        </w:rPr>
        <w:t xml:space="preserve"> it can be hypothesized that the polysaccharides from the abundant soluble fibre of the pods formed soluble </w:t>
      </w:r>
      <w:r w:rsidR="006564A6" w:rsidRPr="00055CB3">
        <w:rPr>
          <w:bCs/>
          <w:lang w:val="en-GB"/>
        </w:rPr>
        <w:t xml:space="preserve">adducts </w:t>
      </w:r>
      <w:r w:rsidR="006564A6" w:rsidRPr="009C5C7C">
        <w:rPr>
          <w:bCs/>
          <w:lang w:val="en-GB"/>
        </w:rPr>
        <w:t>with protein, reducing the purity of the concentrate.</w:t>
      </w:r>
    </w:p>
    <w:p w14:paraId="5DCADB7F" w14:textId="77777777" w:rsidR="004E18A1" w:rsidRPr="009C5C7C" w:rsidRDefault="004E18A1" w:rsidP="007C7FF7">
      <w:pPr>
        <w:tabs>
          <w:tab w:val="left" w:pos="567"/>
        </w:tabs>
        <w:ind w:left="567" w:hanging="567"/>
        <w:jc w:val="both"/>
        <w:rPr>
          <w:lang w:val="en-GB"/>
        </w:rPr>
      </w:pPr>
      <w:r>
        <w:rPr>
          <w:bCs/>
          <w:lang w:val="en-GB"/>
        </w:rPr>
        <w:t>B</w:t>
      </w:r>
      <w:r w:rsidRPr="009C5C7C">
        <w:rPr>
          <w:bCs/>
          <w:lang w:val="en-GB"/>
        </w:rPr>
        <w:t>2)</w:t>
      </w:r>
      <w:r w:rsidRPr="009C5C7C">
        <w:rPr>
          <w:bCs/>
          <w:lang w:val="en-GB"/>
        </w:rPr>
        <w:tab/>
      </w:r>
      <w:bookmarkStart w:id="3" w:name="_Hlk136971947"/>
      <w:r>
        <w:rPr>
          <w:bCs/>
          <w:lang w:val="en-GB"/>
        </w:rPr>
        <w:t>T</w:t>
      </w:r>
      <w:r w:rsidRPr="009C5C7C">
        <w:rPr>
          <w:bCs/>
          <w:lang w:val="en-GB"/>
        </w:rPr>
        <w:t xml:space="preserve">o allow the growth of </w:t>
      </w:r>
      <w:r w:rsidRPr="009C5C7C">
        <w:rPr>
          <w:bCs/>
          <w:i/>
          <w:iCs/>
          <w:lang w:val="en-GB"/>
        </w:rPr>
        <w:t>Propionibacterium</w:t>
      </w:r>
      <w:r>
        <w:rPr>
          <w:bCs/>
          <w:i/>
          <w:iCs/>
          <w:lang w:val="en-GB"/>
        </w:rPr>
        <w:t>,</w:t>
      </w:r>
      <w:r w:rsidRPr="009C5C7C">
        <w:rPr>
          <w:bCs/>
          <w:lang w:val="en-GB"/>
        </w:rPr>
        <w:t xml:space="preserve"> pea waste </w:t>
      </w:r>
      <w:r>
        <w:rPr>
          <w:bCs/>
          <w:lang w:val="en-GB"/>
        </w:rPr>
        <w:t xml:space="preserve">was pasteurized to reduce </w:t>
      </w:r>
      <w:r w:rsidRPr="009C5C7C">
        <w:rPr>
          <w:bCs/>
          <w:lang w:val="en-GB"/>
        </w:rPr>
        <w:t>lactic acid bacteria and enterobacteria competition</w:t>
      </w:r>
      <w:r>
        <w:rPr>
          <w:bCs/>
          <w:lang w:val="en-GB"/>
        </w:rPr>
        <w:t>, and</w:t>
      </w:r>
      <w:r w:rsidRPr="009C5C7C">
        <w:rPr>
          <w:bCs/>
          <w:lang w:val="en-GB"/>
        </w:rPr>
        <w:t xml:space="preserve"> </w:t>
      </w:r>
      <w:r>
        <w:rPr>
          <w:bCs/>
          <w:lang w:val="en-GB"/>
        </w:rPr>
        <w:t>the</w:t>
      </w:r>
      <w:r w:rsidRPr="009C5C7C">
        <w:rPr>
          <w:bCs/>
          <w:lang w:val="en-GB"/>
        </w:rPr>
        <w:t xml:space="preserve"> excess of lactic acid </w:t>
      </w:r>
      <w:r>
        <w:rPr>
          <w:bCs/>
          <w:lang w:val="en-GB"/>
        </w:rPr>
        <w:t>was</w:t>
      </w:r>
      <w:r w:rsidRPr="009C5C7C">
        <w:rPr>
          <w:bCs/>
          <w:lang w:val="en-GB"/>
        </w:rPr>
        <w:t xml:space="preserve"> neutralized. In preliminary trials was observed that </w:t>
      </w:r>
      <w:r>
        <w:rPr>
          <w:bCs/>
          <w:lang w:val="en-GB"/>
        </w:rPr>
        <w:t>in</w:t>
      </w:r>
      <w:r w:rsidRPr="009C5C7C">
        <w:rPr>
          <w:bCs/>
          <w:lang w:val="en-GB"/>
        </w:rPr>
        <w:t>sufficient batter shaking led to accumulation of 40-42% vitamin as pseudo-</w:t>
      </w:r>
      <w:r w:rsidRPr="001C5968">
        <w:rPr>
          <w:bCs/>
          <w:lang w:val="en-GB"/>
        </w:rPr>
        <w:t>B12</w:t>
      </w:r>
      <w:r w:rsidRPr="009C5C7C">
        <w:rPr>
          <w:bCs/>
          <w:lang w:val="en-GB"/>
        </w:rPr>
        <w:t xml:space="preserve">; in fact, oxygen availability is crucial in the synthesis of 5,6-dimethylbenzimidazole, the lower ligand distinguishing the active form of </w:t>
      </w:r>
      <w:r w:rsidRPr="001C5968">
        <w:rPr>
          <w:bCs/>
          <w:lang w:val="en-GB"/>
        </w:rPr>
        <w:t>B12</w:t>
      </w:r>
      <w:r w:rsidRPr="009C5C7C">
        <w:rPr>
          <w:bCs/>
          <w:lang w:val="en-GB"/>
        </w:rPr>
        <w:t xml:space="preserve"> (Chamlagain </w:t>
      </w:r>
      <w:r w:rsidRPr="009C5C7C">
        <w:rPr>
          <w:bCs/>
          <w:i/>
          <w:iCs/>
          <w:lang w:val="en-GB"/>
        </w:rPr>
        <w:t>et al</w:t>
      </w:r>
      <w:r w:rsidRPr="009C5C7C">
        <w:rPr>
          <w:bCs/>
          <w:lang w:val="en-GB"/>
        </w:rPr>
        <w:t xml:space="preserve">., 2018). In Table 2 the main results are summarized. The fermented batters reached an average </w:t>
      </w:r>
      <w:r w:rsidRPr="001C5968">
        <w:rPr>
          <w:bCs/>
          <w:lang w:val="en-GB"/>
        </w:rPr>
        <w:t>B12</w:t>
      </w:r>
      <w:r>
        <w:rPr>
          <w:bCs/>
          <w:lang w:val="en-GB"/>
        </w:rPr>
        <w:t xml:space="preserve"> </w:t>
      </w:r>
      <w:r w:rsidRPr="009C5C7C">
        <w:rPr>
          <w:bCs/>
          <w:lang w:val="en-GB"/>
        </w:rPr>
        <w:t xml:space="preserve">amount of 208.9 ng/g </w:t>
      </w:r>
      <w:r>
        <w:rPr>
          <w:bCs/>
          <w:lang w:val="en-GB"/>
        </w:rPr>
        <w:t>fresh weight (FW)</w:t>
      </w:r>
      <w:r w:rsidRPr="009C5C7C">
        <w:rPr>
          <w:bCs/>
          <w:lang w:val="en-GB"/>
        </w:rPr>
        <w:t xml:space="preserve"> approximately equivalent to 1390 </w:t>
      </w:r>
      <w:r w:rsidRPr="009C5C7C">
        <w:rPr>
          <w:bCs/>
          <w:lang w:val="en-GB"/>
        </w:rPr>
        <w:lastRenderedPageBreak/>
        <w:t>ng/g DM, a</w:t>
      </w:r>
      <w:r w:rsidRPr="009C5C7C">
        <w:rPr>
          <w:lang w:val="en-GB"/>
        </w:rPr>
        <w:t xml:space="preserve"> high value compar</w:t>
      </w:r>
      <w:r>
        <w:rPr>
          <w:lang w:val="en-GB"/>
        </w:rPr>
        <w:t>ed</w:t>
      </w:r>
      <w:r w:rsidRPr="009C5C7C">
        <w:rPr>
          <w:lang w:val="en-GB"/>
        </w:rPr>
        <w:t xml:space="preserve"> </w:t>
      </w:r>
      <w:r>
        <w:rPr>
          <w:lang w:val="en-GB"/>
        </w:rPr>
        <w:t>to</w:t>
      </w:r>
      <w:r w:rsidRPr="009C5C7C">
        <w:rPr>
          <w:lang w:val="en-GB"/>
        </w:rPr>
        <w:t xml:space="preserve"> the results reported by Xie </w:t>
      </w:r>
      <w:r w:rsidRPr="009C5C7C">
        <w:rPr>
          <w:i/>
          <w:iCs/>
          <w:lang w:val="en-GB"/>
        </w:rPr>
        <w:t>et al</w:t>
      </w:r>
      <w:r w:rsidRPr="009C5C7C">
        <w:rPr>
          <w:lang w:val="en-GB"/>
        </w:rPr>
        <w:t xml:space="preserve">. (2021) for eleven fermented batters from cereals and legume flours: 51–742 (mean 301) ng/g DM. Such a high </w:t>
      </w:r>
      <w:r w:rsidRPr="001C5968">
        <w:rPr>
          <w:lang w:val="en-GB"/>
        </w:rPr>
        <w:t>B12</w:t>
      </w:r>
      <w:r>
        <w:rPr>
          <w:lang w:val="en-GB"/>
        </w:rPr>
        <w:t xml:space="preserve"> </w:t>
      </w:r>
      <w:r w:rsidRPr="009C5C7C">
        <w:rPr>
          <w:lang w:val="en-GB"/>
        </w:rPr>
        <w:t xml:space="preserve">content </w:t>
      </w:r>
      <w:r>
        <w:rPr>
          <w:lang w:val="en-GB"/>
        </w:rPr>
        <w:t>made it possible</w:t>
      </w:r>
      <w:r w:rsidRPr="009C5C7C">
        <w:rPr>
          <w:lang w:val="en-GB"/>
        </w:rPr>
        <w:t xml:space="preserve"> to reach the </w:t>
      </w:r>
      <w:r>
        <w:rPr>
          <w:lang w:val="en-GB"/>
        </w:rPr>
        <w:t>remark</w:t>
      </w:r>
      <w:r w:rsidRPr="009C5C7C">
        <w:rPr>
          <w:lang w:val="en-GB"/>
        </w:rPr>
        <w:t>able average amount</w:t>
      </w:r>
      <w:r>
        <w:rPr>
          <w:lang w:val="en-GB"/>
        </w:rPr>
        <w:t>s</w:t>
      </w:r>
      <w:r w:rsidRPr="009C5C7C">
        <w:rPr>
          <w:lang w:val="en-GB"/>
        </w:rPr>
        <w:t xml:space="preserve"> of 35.8 and 51.7 ng/g FW in 15 and 20%-enriched breads. Given a recommend daily intake equal to 2–2.4 </w:t>
      </w:r>
      <w:proofErr w:type="spellStart"/>
      <w:r w:rsidRPr="009C5C7C">
        <w:rPr>
          <w:lang w:val="en-GB"/>
        </w:rPr>
        <w:t>μg</w:t>
      </w:r>
      <w:proofErr w:type="spellEnd"/>
      <w:r w:rsidRPr="009C5C7C">
        <w:rPr>
          <w:lang w:val="en-GB"/>
        </w:rPr>
        <w:t xml:space="preserve"> </w:t>
      </w:r>
      <w:r w:rsidRPr="009C5C7C">
        <w:rPr>
          <w:bCs/>
          <w:lang w:val="en-GB"/>
        </w:rPr>
        <w:t xml:space="preserve">(Chamlagain </w:t>
      </w:r>
      <w:r w:rsidRPr="009C5C7C">
        <w:rPr>
          <w:bCs/>
          <w:i/>
          <w:iCs/>
          <w:lang w:val="en-GB"/>
        </w:rPr>
        <w:t>et al</w:t>
      </w:r>
      <w:r w:rsidRPr="009C5C7C">
        <w:rPr>
          <w:bCs/>
          <w:lang w:val="en-GB"/>
        </w:rPr>
        <w:t>., 2018)</w:t>
      </w:r>
      <w:r>
        <w:rPr>
          <w:bCs/>
          <w:lang w:val="en-GB"/>
        </w:rPr>
        <w:t>,</w:t>
      </w:r>
      <w:r w:rsidRPr="009C5C7C">
        <w:rPr>
          <w:bCs/>
          <w:lang w:val="en-GB"/>
        </w:rPr>
        <w:t xml:space="preserve"> </w:t>
      </w:r>
      <w:r w:rsidRPr="009C5C7C">
        <w:rPr>
          <w:lang w:val="en-GB"/>
        </w:rPr>
        <w:t>about 40 to 70 g/d enriched bread would provide enough vitamin. Enriching the dough caused moderate loss in bread volume and increase in crumb hardness but did not affect the overall quality in a substantial way.</w:t>
      </w:r>
    </w:p>
    <w:p w14:paraId="26DB7EBE" w14:textId="4664E3F6" w:rsidR="00F45B4D" w:rsidRPr="00BB576A" w:rsidRDefault="00EA13E6" w:rsidP="00BB576A">
      <w:pPr>
        <w:tabs>
          <w:tab w:val="left" w:pos="851"/>
        </w:tabs>
        <w:spacing w:before="300" w:after="120"/>
        <w:ind w:left="851" w:hanging="851"/>
        <w:rPr>
          <w:b/>
          <w:iCs/>
          <w:sz w:val="18"/>
          <w:lang w:val="en-GB"/>
        </w:rPr>
      </w:pPr>
      <w:bookmarkStart w:id="4" w:name="_Hlk136962341"/>
      <w:bookmarkEnd w:id="2"/>
      <w:bookmarkEnd w:id="3"/>
      <w:r w:rsidRPr="00BB576A">
        <w:rPr>
          <w:b/>
          <w:iCs/>
          <w:sz w:val="18"/>
          <w:lang w:val="en-GB"/>
        </w:rPr>
        <w:t xml:space="preserve">Table </w:t>
      </w:r>
      <w:r w:rsidRPr="00BB576A">
        <w:rPr>
          <w:b/>
          <w:iCs/>
          <w:sz w:val="18"/>
          <w:lang w:val="en-GB"/>
        </w:rPr>
        <w:fldChar w:fldCharType="begin"/>
      </w:r>
      <w:r w:rsidRPr="00BB576A">
        <w:rPr>
          <w:b/>
          <w:iCs/>
          <w:sz w:val="18"/>
          <w:lang w:val="en-GB"/>
        </w:rPr>
        <w:instrText xml:space="preserve"> SEQ Table \* ARABIC </w:instrText>
      </w:r>
      <w:r w:rsidRPr="00BB576A">
        <w:rPr>
          <w:b/>
          <w:iCs/>
          <w:sz w:val="18"/>
          <w:lang w:val="en-GB"/>
        </w:rPr>
        <w:fldChar w:fldCharType="separate"/>
      </w:r>
      <w:r w:rsidRPr="00BB576A">
        <w:rPr>
          <w:b/>
          <w:iCs/>
          <w:sz w:val="18"/>
          <w:lang w:val="en-GB"/>
        </w:rPr>
        <w:t>1</w:t>
      </w:r>
      <w:r w:rsidRPr="00BB576A">
        <w:rPr>
          <w:b/>
          <w:iCs/>
          <w:sz w:val="18"/>
          <w:lang w:val="en-GB"/>
        </w:rPr>
        <w:fldChar w:fldCharType="end"/>
      </w:r>
      <w:r w:rsidR="00DD65B5" w:rsidRPr="00BB576A">
        <w:rPr>
          <w:b/>
          <w:iCs/>
          <w:sz w:val="18"/>
          <w:lang w:val="en-GB"/>
        </w:rPr>
        <w:tab/>
      </w:r>
      <w:r w:rsidR="00F45B4D" w:rsidRPr="00BB576A">
        <w:rPr>
          <w:i/>
          <w:iCs/>
          <w:sz w:val="18"/>
          <w:lang w:val="en-GB"/>
        </w:rPr>
        <w:t xml:space="preserve">Comparison of ultrasound-assisted extraction </w:t>
      </w:r>
      <w:r w:rsidR="00CB6E2A" w:rsidRPr="00BB576A">
        <w:rPr>
          <w:i/>
          <w:iCs/>
          <w:sz w:val="18"/>
          <w:lang w:val="en-GB"/>
        </w:rPr>
        <w:t>vs.</w:t>
      </w:r>
      <w:r w:rsidR="00F45B4D" w:rsidRPr="00BB576A">
        <w:rPr>
          <w:i/>
          <w:iCs/>
          <w:sz w:val="18"/>
          <w:lang w:val="en-GB"/>
        </w:rPr>
        <w:t xml:space="preserve"> magnetic stirring and characterisation of commercial pea flour, dried pea waste and protein concentrate.</w:t>
      </w:r>
    </w:p>
    <w:tbl>
      <w:tblPr>
        <w:tblW w:w="0" w:type="auto"/>
        <w:jc w:val="center"/>
        <w:tblCellMar>
          <w:left w:w="70" w:type="dxa"/>
          <w:right w:w="70" w:type="dxa"/>
        </w:tblCellMar>
        <w:tblLook w:val="04A0" w:firstRow="1" w:lastRow="0" w:firstColumn="1" w:lastColumn="0" w:noHBand="0" w:noVBand="1"/>
      </w:tblPr>
      <w:tblGrid>
        <w:gridCol w:w="2720"/>
        <w:gridCol w:w="1485"/>
        <w:gridCol w:w="1485"/>
        <w:gridCol w:w="1655"/>
      </w:tblGrid>
      <w:tr w:rsidR="00885E3A" w:rsidRPr="009C5C7C" w14:paraId="4B2B3FEA" w14:textId="77777777" w:rsidTr="00CE1605">
        <w:trPr>
          <w:jc w:val="center"/>
        </w:trPr>
        <w:tc>
          <w:tcPr>
            <w:tcW w:w="0" w:type="auto"/>
            <w:tcBorders>
              <w:top w:val="single" w:sz="4" w:space="0" w:color="auto"/>
              <w:left w:val="nil"/>
              <w:bottom w:val="single" w:sz="4" w:space="0" w:color="auto"/>
              <w:right w:val="nil"/>
            </w:tcBorders>
            <w:shd w:val="clear" w:color="auto" w:fill="auto"/>
            <w:noWrap/>
            <w:vAlign w:val="center"/>
            <w:hideMark/>
          </w:tcPr>
          <w:p w14:paraId="278EE910" w14:textId="77777777" w:rsidR="00885E3A" w:rsidRPr="009C5C7C" w:rsidRDefault="00885E3A" w:rsidP="00CE1605">
            <w:pPr>
              <w:contextualSpacing/>
              <w:jc w:val="both"/>
              <w:rPr>
                <w:b/>
                <w:bCs/>
                <w:color w:val="000000"/>
                <w:sz w:val="18"/>
                <w:szCs w:val="18"/>
                <w:lang w:val="en-GB"/>
              </w:rPr>
            </w:pPr>
          </w:p>
        </w:tc>
        <w:tc>
          <w:tcPr>
            <w:tcW w:w="0" w:type="auto"/>
            <w:tcBorders>
              <w:top w:val="single" w:sz="4" w:space="0" w:color="auto"/>
              <w:left w:val="nil"/>
              <w:bottom w:val="single" w:sz="4" w:space="0" w:color="auto"/>
              <w:right w:val="nil"/>
            </w:tcBorders>
          </w:tcPr>
          <w:p w14:paraId="308FE09B" w14:textId="77777777" w:rsidR="00885E3A" w:rsidRPr="009C5C7C" w:rsidRDefault="00885E3A" w:rsidP="00EA13E6">
            <w:pPr>
              <w:contextualSpacing/>
              <w:jc w:val="right"/>
              <w:rPr>
                <w:b/>
                <w:bCs/>
                <w:color w:val="000000"/>
                <w:sz w:val="18"/>
                <w:szCs w:val="18"/>
                <w:lang w:val="en-GB"/>
              </w:rPr>
            </w:pPr>
            <w:r w:rsidRPr="009C5C7C">
              <w:rPr>
                <w:b/>
                <w:bCs/>
                <w:color w:val="000000"/>
                <w:sz w:val="18"/>
                <w:szCs w:val="18"/>
                <w:lang w:val="en-GB"/>
              </w:rPr>
              <w:t>Magnetic stirring</w:t>
            </w:r>
          </w:p>
        </w:tc>
        <w:tc>
          <w:tcPr>
            <w:tcW w:w="0" w:type="auto"/>
            <w:tcBorders>
              <w:top w:val="single" w:sz="4" w:space="0" w:color="auto"/>
              <w:left w:val="nil"/>
              <w:bottom w:val="single" w:sz="4" w:space="0" w:color="auto"/>
              <w:right w:val="nil"/>
            </w:tcBorders>
            <w:shd w:val="clear" w:color="auto" w:fill="auto"/>
            <w:noWrap/>
          </w:tcPr>
          <w:p w14:paraId="1AA87353" w14:textId="77777777" w:rsidR="00885E3A" w:rsidRPr="009C5C7C" w:rsidRDefault="00885E3A" w:rsidP="00EA13E6">
            <w:pPr>
              <w:contextualSpacing/>
              <w:jc w:val="right"/>
              <w:rPr>
                <w:b/>
                <w:bCs/>
                <w:color w:val="000000"/>
                <w:sz w:val="18"/>
                <w:szCs w:val="18"/>
                <w:lang w:val="en-GB"/>
              </w:rPr>
            </w:pPr>
            <w:r w:rsidRPr="009C5C7C">
              <w:rPr>
                <w:b/>
                <w:bCs/>
                <w:color w:val="000000"/>
                <w:sz w:val="18"/>
                <w:szCs w:val="18"/>
                <w:lang w:val="en-GB"/>
              </w:rPr>
              <w:t>Ultrasonication</w:t>
            </w:r>
          </w:p>
        </w:tc>
        <w:tc>
          <w:tcPr>
            <w:tcW w:w="0" w:type="auto"/>
            <w:tcBorders>
              <w:top w:val="single" w:sz="4" w:space="0" w:color="auto"/>
              <w:left w:val="nil"/>
              <w:bottom w:val="single" w:sz="4" w:space="0" w:color="auto"/>
              <w:right w:val="nil"/>
            </w:tcBorders>
            <w:shd w:val="clear" w:color="auto" w:fill="auto"/>
            <w:noWrap/>
            <w:vAlign w:val="center"/>
          </w:tcPr>
          <w:p w14:paraId="4B5D08E6" w14:textId="77777777" w:rsidR="00885E3A" w:rsidRPr="009C5C7C" w:rsidRDefault="00885E3A" w:rsidP="00EA13E6">
            <w:pPr>
              <w:contextualSpacing/>
              <w:jc w:val="right"/>
              <w:rPr>
                <w:color w:val="000000"/>
                <w:sz w:val="18"/>
                <w:szCs w:val="18"/>
                <w:lang w:val="en-GB"/>
              </w:rPr>
            </w:pPr>
          </w:p>
        </w:tc>
      </w:tr>
      <w:tr w:rsidR="00885E3A" w:rsidRPr="009C5C7C" w14:paraId="74ED005E" w14:textId="77777777" w:rsidTr="00CE1605">
        <w:trPr>
          <w:jc w:val="center"/>
        </w:trPr>
        <w:tc>
          <w:tcPr>
            <w:tcW w:w="0" w:type="auto"/>
            <w:tcBorders>
              <w:top w:val="single" w:sz="4" w:space="0" w:color="auto"/>
              <w:left w:val="nil"/>
              <w:right w:val="nil"/>
            </w:tcBorders>
            <w:shd w:val="clear" w:color="auto" w:fill="auto"/>
            <w:noWrap/>
          </w:tcPr>
          <w:p w14:paraId="553FBE1C" w14:textId="77777777" w:rsidR="00885E3A" w:rsidRPr="009C5C7C" w:rsidRDefault="00885E3A" w:rsidP="00CE1605">
            <w:pPr>
              <w:contextualSpacing/>
              <w:jc w:val="both"/>
              <w:rPr>
                <w:b/>
                <w:bCs/>
                <w:color w:val="000000"/>
                <w:sz w:val="18"/>
                <w:szCs w:val="18"/>
                <w:lang w:val="en-GB"/>
              </w:rPr>
            </w:pPr>
            <w:r w:rsidRPr="009C5C7C">
              <w:rPr>
                <w:b/>
                <w:bCs/>
                <w:color w:val="000000"/>
                <w:sz w:val="18"/>
                <w:szCs w:val="18"/>
                <w:lang w:val="en-GB"/>
              </w:rPr>
              <w:t>Time</w:t>
            </w:r>
          </w:p>
        </w:tc>
        <w:tc>
          <w:tcPr>
            <w:tcW w:w="0" w:type="auto"/>
            <w:tcBorders>
              <w:top w:val="single" w:sz="4" w:space="0" w:color="auto"/>
              <w:left w:val="nil"/>
              <w:right w:val="nil"/>
            </w:tcBorders>
          </w:tcPr>
          <w:p w14:paraId="096D2AAA" w14:textId="77777777" w:rsidR="00885E3A" w:rsidRPr="009C5C7C" w:rsidRDefault="00885E3A" w:rsidP="00EA13E6">
            <w:pPr>
              <w:contextualSpacing/>
              <w:jc w:val="right"/>
              <w:rPr>
                <w:color w:val="000000"/>
                <w:sz w:val="18"/>
                <w:szCs w:val="18"/>
                <w:lang w:val="en-GB"/>
              </w:rPr>
            </w:pPr>
            <w:r w:rsidRPr="009C5C7C">
              <w:rPr>
                <w:color w:val="000000"/>
                <w:sz w:val="18"/>
                <w:szCs w:val="18"/>
                <w:lang w:val="en-GB"/>
              </w:rPr>
              <w:t>2 x 2 h</w:t>
            </w:r>
          </w:p>
        </w:tc>
        <w:tc>
          <w:tcPr>
            <w:tcW w:w="0" w:type="auto"/>
            <w:tcBorders>
              <w:top w:val="single" w:sz="4" w:space="0" w:color="auto"/>
              <w:left w:val="nil"/>
              <w:right w:val="nil"/>
            </w:tcBorders>
            <w:shd w:val="clear" w:color="auto" w:fill="auto"/>
            <w:noWrap/>
          </w:tcPr>
          <w:p w14:paraId="3C0A8437" w14:textId="77777777" w:rsidR="00885E3A" w:rsidRPr="009C5C7C" w:rsidRDefault="00885E3A" w:rsidP="00EA13E6">
            <w:pPr>
              <w:contextualSpacing/>
              <w:jc w:val="right"/>
              <w:rPr>
                <w:color w:val="000000"/>
                <w:sz w:val="18"/>
                <w:szCs w:val="18"/>
                <w:lang w:val="en-GB"/>
              </w:rPr>
            </w:pPr>
            <w:r w:rsidRPr="009C5C7C">
              <w:rPr>
                <w:color w:val="000000"/>
                <w:sz w:val="18"/>
                <w:szCs w:val="18"/>
                <w:lang w:val="en-GB"/>
              </w:rPr>
              <w:t>2 x 30 min</w:t>
            </w:r>
          </w:p>
        </w:tc>
        <w:tc>
          <w:tcPr>
            <w:tcW w:w="0" w:type="auto"/>
            <w:tcBorders>
              <w:top w:val="single" w:sz="4" w:space="0" w:color="auto"/>
              <w:left w:val="nil"/>
              <w:right w:val="nil"/>
            </w:tcBorders>
            <w:shd w:val="clear" w:color="auto" w:fill="auto"/>
            <w:noWrap/>
            <w:vAlign w:val="center"/>
          </w:tcPr>
          <w:p w14:paraId="7A7EFE41" w14:textId="77777777" w:rsidR="00885E3A" w:rsidRPr="009C5C7C" w:rsidRDefault="00885E3A" w:rsidP="00EA13E6">
            <w:pPr>
              <w:contextualSpacing/>
              <w:jc w:val="right"/>
              <w:rPr>
                <w:color w:val="000000"/>
                <w:sz w:val="18"/>
                <w:szCs w:val="18"/>
                <w:lang w:val="en-GB"/>
              </w:rPr>
            </w:pPr>
          </w:p>
        </w:tc>
      </w:tr>
      <w:tr w:rsidR="00885E3A" w:rsidRPr="009C5C7C" w14:paraId="5C311B5E" w14:textId="77777777" w:rsidTr="00CE1605">
        <w:trPr>
          <w:jc w:val="center"/>
        </w:trPr>
        <w:tc>
          <w:tcPr>
            <w:tcW w:w="0" w:type="auto"/>
            <w:tcBorders>
              <w:left w:val="nil"/>
              <w:right w:val="nil"/>
            </w:tcBorders>
            <w:shd w:val="clear" w:color="auto" w:fill="auto"/>
            <w:noWrap/>
          </w:tcPr>
          <w:p w14:paraId="4334009F" w14:textId="77777777" w:rsidR="00885E3A" w:rsidRPr="009C5C7C" w:rsidRDefault="00885E3A" w:rsidP="00CE1605">
            <w:pPr>
              <w:contextualSpacing/>
              <w:jc w:val="both"/>
              <w:rPr>
                <w:b/>
                <w:bCs/>
                <w:color w:val="000000"/>
                <w:sz w:val="18"/>
                <w:szCs w:val="18"/>
                <w:lang w:val="en-GB"/>
              </w:rPr>
            </w:pPr>
            <w:r w:rsidRPr="009C5C7C">
              <w:rPr>
                <w:b/>
                <w:bCs/>
                <w:color w:val="000000"/>
                <w:sz w:val="18"/>
                <w:szCs w:val="18"/>
                <w:lang w:val="en-GB"/>
              </w:rPr>
              <w:t>Yield (%)</w:t>
            </w:r>
          </w:p>
        </w:tc>
        <w:tc>
          <w:tcPr>
            <w:tcW w:w="0" w:type="auto"/>
            <w:tcBorders>
              <w:left w:val="nil"/>
              <w:right w:val="nil"/>
            </w:tcBorders>
          </w:tcPr>
          <w:p w14:paraId="3D08B1F2" w14:textId="77777777" w:rsidR="00885E3A" w:rsidRPr="009C5C7C" w:rsidRDefault="00885E3A" w:rsidP="00EA13E6">
            <w:pPr>
              <w:contextualSpacing/>
              <w:jc w:val="right"/>
              <w:rPr>
                <w:color w:val="000000"/>
                <w:sz w:val="18"/>
                <w:szCs w:val="18"/>
                <w:lang w:val="en-GB"/>
              </w:rPr>
            </w:pPr>
            <w:r w:rsidRPr="009C5C7C">
              <w:rPr>
                <w:color w:val="000000"/>
                <w:sz w:val="18"/>
                <w:szCs w:val="18"/>
                <w:lang w:val="en-GB"/>
              </w:rPr>
              <w:t>21.5±0.9</w:t>
            </w:r>
          </w:p>
        </w:tc>
        <w:tc>
          <w:tcPr>
            <w:tcW w:w="0" w:type="auto"/>
            <w:tcBorders>
              <w:left w:val="nil"/>
              <w:right w:val="nil"/>
            </w:tcBorders>
            <w:shd w:val="clear" w:color="auto" w:fill="auto"/>
            <w:noWrap/>
          </w:tcPr>
          <w:p w14:paraId="119F771F" w14:textId="77777777" w:rsidR="00885E3A" w:rsidRPr="009C5C7C" w:rsidRDefault="00885E3A" w:rsidP="00EA13E6">
            <w:pPr>
              <w:contextualSpacing/>
              <w:jc w:val="right"/>
              <w:rPr>
                <w:color w:val="000000"/>
                <w:sz w:val="18"/>
                <w:szCs w:val="18"/>
                <w:lang w:val="en-GB"/>
              </w:rPr>
            </w:pPr>
            <w:r w:rsidRPr="009C5C7C">
              <w:rPr>
                <w:color w:val="000000"/>
                <w:sz w:val="18"/>
                <w:szCs w:val="18"/>
                <w:lang w:val="en-GB"/>
              </w:rPr>
              <w:t>66.6±1.6</w:t>
            </w:r>
          </w:p>
        </w:tc>
        <w:tc>
          <w:tcPr>
            <w:tcW w:w="0" w:type="auto"/>
            <w:tcBorders>
              <w:left w:val="nil"/>
              <w:right w:val="nil"/>
            </w:tcBorders>
            <w:shd w:val="clear" w:color="auto" w:fill="auto"/>
            <w:noWrap/>
            <w:vAlign w:val="center"/>
          </w:tcPr>
          <w:p w14:paraId="2DA98A73" w14:textId="77777777" w:rsidR="00885E3A" w:rsidRPr="009C5C7C" w:rsidRDefault="00885E3A" w:rsidP="00EA13E6">
            <w:pPr>
              <w:contextualSpacing/>
              <w:jc w:val="right"/>
              <w:rPr>
                <w:color w:val="000000"/>
                <w:sz w:val="18"/>
                <w:szCs w:val="18"/>
                <w:lang w:val="en-GB"/>
              </w:rPr>
            </w:pPr>
          </w:p>
        </w:tc>
      </w:tr>
      <w:tr w:rsidR="00885E3A" w:rsidRPr="009C5C7C" w14:paraId="288FF2B4" w14:textId="77777777" w:rsidTr="00CE1605">
        <w:trPr>
          <w:jc w:val="center"/>
        </w:trPr>
        <w:tc>
          <w:tcPr>
            <w:tcW w:w="0" w:type="auto"/>
            <w:tcBorders>
              <w:left w:val="nil"/>
              <w:bottom w:val="single" w:sz="4" w:space="0" w:color="auto"/>
              <w:right w:val="nil"/>
            </w:tcBorders>
            <w:shd w:val="clear" w:color="auto" w:fill="auto"/>
            <w:noWrap/>
          </w:tcPr>
          <w:p w14:paraId="62F3CAD3" w14:textId="77777777" w:rsidR="00885E3A" w:rsidRPr="009C5C7C" w:rsidRDefault="00885E3A" w:rsidP="00CE1605">
            <w:pPr>
              <w:contextualSpacing/>
              <w:jc w:val="both"/>
              <w:rPr>
                <w:b/>
                <w:bCs/>
                <w:color w:val="000000"/>
                <w:sz w:val="18"/>
                <w:szCs w:val="18"/>
                <w:lang w:val="en-GB"/>
              </w:rPr>
            </w:pPr>
            <w:r w:rsidRPr="009C5C7C">
              <w:rPr>
                <w:b/>
                <w:bCs/>
                <w:color w:val="000000"/>
                <w:sz w:val="18"/>
                <w:szCs w:val="18"/>
                <w:lang w:val="en-GB"/>
              </w:rPr>
              <w:t>Protein (g/100 g)</w:t>
            </w:r>
          </w:p>
        </w:tc>
        <w:tc>
          <w:tcPr>
            <w:tcW w:w="0" w:type="auto"/>
            <w:tcBorders>
              <w:left w:val="nil"/>
              <w:bottom w:val="single" w:sz="4" w:space="0" w:color="auto"/>
              <w:right w:val="nil"/>
            </w:tcBorders>
          </w:tcPr>
          <w:p w14:paraId="3DB8ED26" w14:textId="77777777" w:rsidR="00885E3A" w:rsidRPr="009C5C7C" w:rsidRDefault="00885E3A" w:rsidP="00EA13E6">
            <w:pPr>
              <w:contextualSpacing/>
              <w:jc w:val="right"/>
              <w:rPr>
                <w:color w:val="000000"/>
                <w:sz w:val="18"/>
                <w:szCs w:val="18"/>
                <w:lang w:val="en-GB"/>
              </w:rPr>
            </w:pPr>
            <w:r w:rsidRPr="009C5C7C">
              <w:rPr>
                <w:color w:val="000000"/>
                <w:sz w:val="18"/>
                <w:szCs w:val="18"/>
                <w:lang w:val="en-GB"/>
              </w:rPr>
              <w:t>86.4±0.3</w:t>
            </w:r>
          </w:p>
        </w:tc>
        <w:tc>
          <w:tcPr>
            <w:tcW w:w="0" w:type="auto"/>
            <w:tcBorders>
              <w:left w:val="nil"/>
              <w:bottom w:val="single" w:sz="4" w:space="0" w:color="auto"/>
              <w:right w:val="nil"/>
            </w:tcBorders>
            <w:shd w:val="clear" w:color="auto" w:fill="auto"/>
            <w:noWrap/>
          </w:tcPr>
          <w:p w14:paraId="7A6EA53D" w14:textId="77777777" w:rsidR="00885E3A" w:rsidRPr="009C5C7C" w:rsidRDefault="00885E3A" w:rsidP="00EA13E6">
            <w:pPr>
              <w:contextualSpacing/>
              <w:jc w:val="right"/>
              <w:rPr>
                <w:color w:val="000000"/>
                <w:sz w:val="18"/>
                <w:szCs w:val="18"/>
                <w:lang w:val="en-GB"/>
              </w:rPr>
            </w:pPr>
            <w:r w:rsidRPr="009C5C7C">
              <w:rPr>
                <w:color w:val="000000"/>
                <w:sz w:val="18"/>
                <w:szCs w:val="18"/>
                <w:lang w:val="en-GB"/>
              </w:rPr>
              <w:t>68.4±0.2</w:t>
            </w:r>
          </w:p>
        </w:tc>
        <w:tc>
          <w:tcPr>
            <w:tcW w:w="0" w:type="auto"/>
            <w:tcBorders>
              <w:left w:val="nil"/>
              <w:bottom w:val="single" w:sz="4" w:space="0" w:color="auto"/>
              <w:right w:val="nil"/>
            </w:tcBorders>
            <w:shd w:val="clear" w:color="auto" w:fill="auto"/>
            <w:noWrap/>
            <w:vAlign w:val="center"/>
          </w:tcPr>
          <w:p w14:paraId="01C61E95" w14:textId="77777777" w:rsidR="00885E3A" w:rsidRPr="009C5C7C" w:rsidRDefault="00885E3A" w:rsidP="00EA13E6">
            <w:pPr>
              <w:contextualSpacing/>
              <w:jc w:val="right"/>
              <w:rPr>
                <w:color w:val="000000"/>
                <w:sz w:val="18"/>
                <w:szCs w:val="18"/>
                <w:lang w:val="en-GB"/>
              </w:rPr>
            </w:pPr>
          </w:p>
        </w:tc>
      </w:tr>
      <w:tr w:rsidR="00885E3A" w:rsidRPr="009C5C7C" w14:paraId="2720B564" w14:textId="77777777" w:rsidTr="00CE1605">
        <w:trPr>
          <w:jc w:val="center"/>
        </w:trPr>
        <w:tc>
          <w:tcPr>
            <w:tcW w:w="0" w:type="auto"/>
            <w:tcBorders>
              <w:top w:val="single" w:sz="4" w:space="0" w:color="auto"/>
              <w:left w:val="nil"/>
              <w:bottom w:val="single" w:sz="4" w:space="0" w:color="auto"/>
              <w:right w:val="nil"/>
            </w:tcBorders>
            <w:shd w:val="clear" w:color="auto" w:fill="auto"/>
            <w:noWrap/>
            <w:vAlign w:val="center"/>
          </w:tcPr>
          <w:p w14:paraId="355E9C31" w14:textId="77777777" w:rsidR="00885E3A" w:rsidRPr="009C5C7C" w:rsidRDefault="00885E3A" w:rsidP="00CE1605">
            <w:pPr>
              <w:contextualSpacing/>
              <w:jc w:val="both"/>
              <w:rPr>
                <w:b/>
                <w:bCs/>
                <w:color w:val="000000"/>
                <w:sz w:val="18"/>
                <w:szCs w:val="18"/>
                <w:lang w:val="en-GB"/>
              </w:rPr>
            </w:pPr>
          </w:p>
        </w:tc>
        <w:tc>
          <w:tcPr>
            <w:tcW w:w="0" w:type="auto"/>
            <w:tcBorders>
              <w:top w:val="single" w:sz="4" w:space="0" w:color="auto"/>
              <w:left w:val="nil"/>
              <w:bottom w:val="single" w:sz="4" w:space="0" w:color="auto"/>
              <w:right w:val="nil"/>
            </w:tcBorders>
            <w:vAlign w:val="center"/>
          </w:tcPr>
          <w:p w14:paraId="099AC225" w14:textId="77777777" w:rsidR="00885E3A" w:rsidRPr="009C5C7C" w:rsidRDefault="00885E3A" w:rsidP="00EA13E6">
            <w:pPr>
              <w:contextualSpacing/>
              <w:jc w:val="right"/>
              <w:rPr>
                <w:b/>
                <w:bCs/>
                <w:color w:val="000000"/>
                <w:sz w:val="18"/>
                <w:szCs w:val="18"/>
                <w:lang w:val="en-GB"/>
              </w:rPr>
            </w:pPr>
            <w:r w:rsidRPr="009C5C7C">
              <w:rPr>
                <w:b/>
                <w:bCs/>
                <w:sz w:val="18"/>
                <w:szCs w:val="18"/>
                <w:lang w:val="en-GB"/>
              </w:rPr>
              <w:t>Pea flour</w:t>
            </w:r>
          </w:p>
        </w:tc>
        <w:tc>
          <w:tcPr>
            <w:tcW w:w="0" w:type="auto"/>
            <w:tcBorders>
              <w:top w:val="single" w:sz="4" w:space="0" w:color="auto"/>
              <w:left w:val="nil"/>
              <w:bottom w:val="single" w:sz="4" w:space="0" w:color="auto"/>
              <w:right w:val="nil"/>
            </w:tcBorders>
            <w:shd w:val="clear" w:color="auto" w:fill="auto"/>
            <w:noWrap/>
            <w:vAlign w:val="center"/>
          </w:tcPr>
          <w:p w14:paraId="1116BDB7" w14:textId="77777777" w:rsidR="00885E3A" w:rsidRPr="009C5C7C" w:rsidRDefault="00885E3A" w:rsidP="00EA13E6">
            <w:pPr>
              <w:contextualSpacing/>
              <w:jc w:val="right"/>
              <w:rPr>
                <w:b/>
                <w:bCs/>
                <w:color w:val="000000"/>
                <w:sz w:val="18"/>
                <w:szCs w:val="18"/>
                <w:lang w:val="en-GB"/>
              </w:rPr>
            </w:pPr>
            <w:r w:rsidRPr="009C5C7C">
              <w:rPr>
                <w:b/>
                <w:bCs/>
                <w:sz w:val="18"/>
                <w:szCs w:val="18"/>
                <w:lang w:val="en-GB"/>
              </w:rPr>
              <w:t>Dried by-product</w:t>
            </w:r>
          </w:p>
        </w:tc>
        <w:tc>
          <w:tcPr>
            <w:tcW w:w="0" w:type="auto"/>
            <w:tcBorders>
              <w:top w:val="single" w:sz="4" w:space="0" w:color="auto"/>
              <w:left w:val="nil"/>
              <w:bottom w:val="single" w:sz="4" w:space="0" w:color="auto"/>
              <w:right w:val="nil"/>
            </w:tcBorders>
            <w:shd w:val="clear" w:color="auto" w:fill="auto"/>
            <w:noWrap/>
            <w:vAlign w:val="center"/>
          </w:tcPr>
          <w:p w14:paraId="3078D8C4" w14:textId="77777777" w:rsidR="00885E3A" w:rsidRPr="009C5C7C" w:rsidRDefault="00885E3A" w:rsidP="00EA13E6">
            <w:pPr>
              <w:contextualSpacing/>
              <w:jc w:val="right"/>
              <w:rPr>
                <w:b/>
                <w:bCs/>
                <w:color w:val="000000"/>
                <w:sz w:val="18"/>
                <w:szCs w:val="18"/>
                <w:lang w:val="en-GB"/>
              </w:rPr>
            </w:pPr>
            <w:r w:rsidRPr="009C5C7C">
              <w:rPr>
                <w:b/>
                <w:bCs/>
                <w:sz w:val="18"/>
                <w:szCs w:val="18"/>
                <w:lang w:val="en-GB"/>
              </w:rPr>
              <w:t>Protein concentrate</w:t>
            </w:r>
          </w:p>
        </w:tc>
      </w:tr>
      <w:tr w:rsidR="00885E3A" w:rsidRPr="009C5C7C" w14:paraId="204ED881" w14:textId="77777777" w:rsidTr="00CE1605">
        <w:trPr>
          <w:jc w:val="center"/>
        </w:trPr>
        <w:tc>
          <w:tcPr>
            <w:tcW w:w="0" w:type="auto"/>
            <w:tcBorders>
              <w:top w:val="nil"/>
              <w:left w:val="nil"/>
              <w:bottom w:val="nil"/>
              <w:right w:val="nil"/>
            </w:tcBorders>
            <w:shd w:val="clear" w:color="auto" w:fill="auto"/>
            <w:noWrap/>
            <w:vAlign w:val="center"/>
          </w:tcPr>
          <w:p w14:paraId="2CDB7D2B" w14:textId="77777777" w:rsidR="00885E3A" w:rsidRPr="009C5C7C" w:rsidRDefault="00885E3A" w:rsidP="00CE1605">
            <w:pPr>
              <w:contextualSpacing/>
              <w:jc w:val="both"/>
              <w:rPr>
                <w:b/>
                <w:bCs/>
                <w:color w:val="000000"/>
                <w:sz w:val="18"/>
                <w:szCs w:val="18"/>
                <w:lang w:val="en-GB"/>
              </w:rPr>
            </w:pPr>
            <w:r w:rsidRPr="009C5C7C">
              <w:rPr>
                <w:b/>
                <w:bCs/>
                <w:color w:val="000000" w:themeColor="text1"/>
                <w:sz w:val="18"/>
                <w:szCs w:val="18"/>
                <w:lang w:val="en-GB"/>
              </w:rPr>
              <w:t>Protein (g/100 g DM)</w:t>
            </w:r>
          </w:p>
        </w:tc>
        <w:tc>
          <w:tcPr>
            <w:tcW w:w="0" w:type="auto"/>
            <w:tcBorders>
              <w:top w:val="nil"/>
              <w:left w:val="nil"/>
              <w:bottom w:val="nil"/>
              <w:right w:val="nil"/>
            </w:tcBorders>
            <w:vAlign w:val="center"/>
          </w:tcPr>
          <w:p w14:paraId="7B5DAB2A" w14:textId="77777777" w:rsidR="00885E3A" w:rsidRPr="009C5C7C" w:rsidRDefault="00885E3A" w:rsidP="00EA13E6">
            <w:pPr>
              <w:contextualSpacing/>
              <w:jc w:val="right"/>
              <w:rPr>
                <w:color w:val="000000"/>
                <w:sz w:val="18"/>
                <w:szCs w:val="18"/>
                <w:lang w:val="en-GB"/>
              </w:rPr>
            </w:pPr>
            <w:r w:rsidRPr="009C5C7C">
              <w:rPr>
                <w:color w:val="000000" w:themeColor="text1"/>
                <w:sz w:val="18"/>
                <w:szCs w:val="18"/>
                <w:lang w:val="en-GB"/>
              </w:rPr>
              <w:t>25.09</w:t>
            </w:r>
            <w:r w:rsidRPr="009C5C7C">
              <w:rPr>
                <w:color w:val="000000" w:themeColor="text1"/>
                <w:sz w:val="18"/>
                <w:szCs w:val="18"/>
                <w:vertAlign w:val="superscript"/>
                <w:lang w:val="en-GB"/>
              </w:rPr>
              <w:t>b</w:t>
            </w:r>
            <w:r w:rsidRPr="009C5C7C">
              <w:rPr>
                <w:color w:val="000000" w:themeColor="text1"/>
                <w:sz w:val="18"/>
                <w:szCs w:val="18"/>
                <w:lang w:val="en-GB"/>
              </w:rPr>
              <w:t xml:space="preserve"> ± 0.08</w:t>
            </w:r>
          </w:p>
        </w:tc>
        <w:tc>
          <w:tcPr>
            <w:tcW w:w="0" w:type="auto"/>
            <w:tcBorders>
              <w:top w:val="nil"/>
              <w:left w:val="nil"/>
              <w:bottom w:val="nil"/>
              <w:right w:val="nil"/>
            </w:tcBorders>
            <w:shd w:val="clear" w:color="auto" w:fill="auto"/>
            <w:noWrap/>
            <w:vAlign w:val="center"/>
          </w:tcPr>
          <w:p w14:paraId="537C7493" w14:textId="77777777" w:rsidR="00885E3A" w:rsidRPr="009C5C7C" w:rsidRDefault="00885E3A" w:rsidP="00EA13E6">
            <w:pPr>
              <w:contextualSpacing/>
              <w:jc w:val="right"/>
              <w:rPr>
                <w:color w:val="000000"/>
                <w:sz w:val="18"/>
                <w:szCs w:val="18"/>
                <w:lang w:val="en-GB"/>
              </w:rPr>
            </w:pPr>
            <w:r w:rsidRPr="009C5C7C">
              <w:rPr>
                <w:color w:val="000000" w:themeColor="text1"/>
                <w:sz w:val="18"/>
                <w:szCs w:val="18"/>
                <w:lang w:val="en-GB"/>
              </w:rPr>
              <w:t>24.71</w:t>
            </w:r>
            <w:r w:rsidRPr="009C5C7C">
              <w:rPr>
                <w:color w:val="000000" w:themeColor="text1"/>
                <w:sz w:val="18"/>
                <w:szCs w:val="18"/>
                <w:vertAlign w:val="superscript"/>
                <w:lang w:val="en-GB"/>
              </w:rPr>
              <w:t>b</w:t>
            </w:r>
            <w:r w:rsidRPr="009C5C7C">
              <w:rPr>
                <w:color w:val="000000" w:themeColor="text1"/>
                <w:sz w:val="18"/>
                <w:szCs w:val="18"/>
                <w:lang w:val="en-GB"/>
              </w:rPr>
              <w:t xml:space="preserve"> ± 0.71</w:t>
            </w:r>
          </w:p>
        </w:tc>
        <w:tc>
          <w:tcPr>
            <w:tcW w:w="0" w:type="auto"/>
            <w:tcBorders>
              <w:top w:val="nil"/>
              <w:left w:val="nil"/>
              <w:bottom w:val="nil"/>
              <w:right w:val="nil"/>
            </w:tcBorders>
            <w:shd w:val="clear" w:color="auto" w:fill="auto"/>
            <w:noWrap/>
            <w:vAlign w:val="center"/>
          </w:tcPr>
          <w:p w14:paraId="6891113A" w14:textId="77777777" w:rsidR="00885E3A" w:rsidRPr="009C5C7C" w:rsidRDefault="00885E3A" w:rsidP="00EA13E6">
            <w:pPr>
              <w:contextualSpacing/>
              <w:jc w:val="right"/>
              <w:rPr>
                <w:color w:val="000000"/>
                <w:sz w:val="18"/>
                <w:szCs w:val="18"/>
                <w:lang w:val="en-GB"/>
              </w:rPr>
            </w:pPr>
            <w:r w:rsidRPr="009C5C7C">
              <w:rPr>
                <w:color w:val="000000" w:themeColor="text1"/>
                <w:sz w:val="18"/>
                <w:szCs w:val="18"/>
                <w:lang w:val="en-GB"/>
              </w:rPr>
              <w:t>74.86</w:t>
            </w:r>
            <w:r w:rsidRPr="009C5C7C">
              <w:rPr>
                <w:color w:val="000000" w:themeColor="text1"/>
                <w:sz w:val="18"/>
                <w:szCs w:val="18"/>
                <w:vertAlign w:val="superscript"/>
                <w:lang w:val="en-GB"/>
              </w:rPr>
              <w:t>a</w:t>
            </w:r>
            <w:r w:rsidRPr="009C5C7C">
              <w:rPr>
                <w:color w:val="000000" w:themeColor="text1"/>
                <w:sz w:val="18"/>
                <w:szCs w:val="18"/>
                <w:lang w:val="en-GB"/>
              </w:rPr>
              <w:t xml:space="preserve"> ± 0.32</w:t>
            </w:r>
          </w:p>
        </w:tc>
      </w:tr>
      <w:tr w:rsidR="00885E3A" w:rsidRPr="009C5C7C" w14:paraId="446FE3E2" w14:textId="77777777" w:rsidTr="00CE1605">
        <w:trPr>
          <w:jc w:val="center"/>
        </w:trPr>
        <w:tc>
          <w:tcPr>
            <w:tcW w:w="0" w:type="auto"/>
            <w:tcBorders>
              <w:top w:val="nil"/>
              <w:left w:val="nil"/>
              <w:bottom w:val="nil"/>
              <w:right w:val="nil"/>
            </w:tcBorders>
            <w:shd w:val="clear" w:color="auto" w:fill="auto"/>
            <w:noWrap/>
            <w:vAlign w:val="center"/>
          </w:tcPr>
          <w:p w14:paraId="0BD49F10" w14:textId="77777777" w:rsidR="00885E3A" w:rsidRPr="009C5C7C" w:rsidRDefault="00885E3A" w:rsidP="00CE1605">
            <w:pPr>
              <w:contextualSpacing/>
              <w:jc w:val="both"/>
              <w:rPr>
                <w:b/>
                <w:bCs/>
                <w:sz w:val="18"/>
                <w:szCs w:val="18"/>
                <w:lang w:val="en-GB"/>
              </w:rPr>
            </w:pPr>
            <w:r w:rsidRPr="009C5C7C">
              <w:rPr>
                <w:b/>
                <w:bCs/>
                <w:color w:val="000000"/>
                <w:sz w:val="18"/>
                <w:szCs w:val="18"/>
                <w:lang w:val="en-GB"/>
              </w:rPr>
              <w:t>a</w:t>
            </w:r>
            <w:r w:rsidRPr="009C5C7C">
              <w:rPr>
                <w:b/>
                <w:bCs/>
                <w:color w:val="000000"/>
                <w:sz w:val="18"/>
                <w:szCs w:val="18"/>
                <w:vertAlign w:val="subscript"/>
                <w:lang w:val="en-GB"/>
              </w:rPr>
              <w:t>w</w:t>
            </w:r>
          </w:p>
        </w:tc>
        <w:tc>
          <w:tcPr>
            <w:tcW w:w="0" w:type="auto"/>
            <w:tcBorders>
              <w:top w:val="nil"/>
              <w:left w:val="nil"/>
              <w:bottom w:val="nil"/>
              <w:right w:val="nil"/>
            </w:tcBorders>
            <w:vAlign w:val="center"/>
          </w:tcPr>
          <w:p w14:paraId="76E6E640" w14:textId="053C5683" w:rsidR="00885E3A" w:rsidRPr="009C5C7C" w:rsidRDefault="00885E3A" w:rsidP="00EA13E6">
            <w:pPr>
              <w:contextualSpacing/>
              <w:jc w:val="right"/>
              <w:rPr>
                <w:sz w:val="18"/>
                <w:szCs w:val="18"/>
                <w:lang w:val="en-GB"/>
              </w:rPr>
            </w:pPr>
            <w:r w:rsidRPr="009C5C7C">
              <w:rPr>
                <w:color w:val="000000" w:themeColor="text1"/>
                <w:sz w:val="18"/>
                <w:szCs w:val="18"/>
                <w:lang w:val="en-GB"/>
              </w:rPr>
              <w:t>0.53</w:t>
            </w:r>
            <w:r w:rsidR="005F782E" w:rsidRPr="009C5C7C">
              <w:rPr>
                <w:color w:val="000000" w:themeColor="text1"/>
                <w:sz w:val="18"/>
                <w:szCs w:val="18"/>
                <w:lang w:val="en-GB"/>
              </w:rPr>
              <w:t>0</w:t>
            </w:r>
            <w:r w:rsidRPr="009C5C7C">
              <w:rPr>
                <w:color w:val="000000" w:themeColor="text1"/>
                <w:sz w:val="18"/>
                <w:szCs w:val="18"/>
                <w:lang w:val="en-GB"/>
              </w:rPr>
              <w:t>ᵃ ± 0.004</w:t>
            </w:r>
          </w:p>
        </w:tc>
        <w:tc>
          <w:tcPr>
            <w:tcW w:w="0" w:type="auto"/>
            <w:tcBorders>
              <w:top w:val="nil"/>
              <w:left w:val="nil"/>
              <w:bottom w:val="nil"/>
              <w:right w:val="nil"/>
            </w:tcBorders>
            <w:shd w:val="clear" w:color="auto" w:fill="auto"/>
            <w:noWrap/>
            <w:vAlign w:val="center"/>
          </w:tcPr>
          <w:p w14:paraId="131C235B" w14:textId="76CF86C6" w:rsidR="00885E3A" w:rsidRPr="009C5C7C" w:rsidRDefault="00885E3A" w:rsidP="00EA13E6">
            <w:pPr>
              <w:contextualSpacing/>
              <w:jc w:val="right"/>
              <w:rPr>
                <w:sz w:val="18"/>
                <w:szCs w:val="18"/>
                <w:lang w:val="en-GB"/>
              </w:rPr>
            </w:pPr>
            <w:r w:rsidRPr="009C5C7C">
              <w:rPr>
                <w:sz w:val="18"/>
                <w:szCs w:val="18"/>
                <w:lang w:val="en-GB"/>
              </w:rPr>
              <w:t>0.32</w:t>
            </w:r>
            <w:r w:rsidR="005F782E" w:rsidRPr="009C5C7C">
              <w:rPr>
                <w:sz w:val="18"/>
                <w:szCs w:val="18"/>
                <w:lang w:val="en-GB"/>
              </w:rPr>
              <w:t>0</w:t>
            </w:r>
            <w:r w:rsidRPr="009C5C7C">
              <w:rPr>
                <w:sz w:val="18"/>
                <w:szCs w:val="18"/>
                <w:lang w:val="en-GB"/>
              </w:rPr>
              <w:t>ᶜ ± 0.002</w:t>
            </w:r>
          </w:p>
        </w:tc>
        <w:tc>
          <w:tcPr>
            <w:tcW w:w="0" w:type="auto"/>
            <w:tcBorders>
              <w:top w:val="nil"/>
              <w:left w:val="nil"/>
              <w:bottom w:val="nil"/>
              <w:right w:val="nil"/>
            </w:tcBorders>
            <w:shd w:val="clear" w:color="auto" w:fill="auto"/>
            <w:noWrap/>
            <w:vAlign w:val="center"/>
          </w:tcPr>
          <w:p w14:paraId="39852882" w14:textId="12725A0F" w:rsidR="00885E3A" w:rsidRPr="009C5C7C" w:rsidRDefault="00885E3A" w:rsidP="00EA13E6">
            <w:pPr>
              <w:contextualSpacing/>
              <w:jc w:val="right"/>
              <w:rPr>
                <w:sz w:val="18"/>
                <w:szCs w:val="18"/>
                <w:lang w:val="en-GB"/>
              </w:rPr>
            </w:pPr>
            <w:r w:rsidRPr="009C5C7C">
              <w:rPr>
                <w:sz w:val="18"/>
                <w:szCs w:val="18"/>
                <w:lang w:val="en-GB"/>
              </w:rPr>
              <w:t>0.51</w:t>
            </w:r>
            <w:r w:rsidR="005F782E" w:rsidRPr="009C5C7C">
              <w:rPr>
                <w:sz w:val="18"/>
                <w:szCs w:val="18"/>
                <w:lang w:val="en-GB"/>
              </w:rPr>
              <w:t>0</w:t>
            </w:r>
            <w:r w:rsidRPr="009C5C7C">
              <w:rPr>
                <w:sz w:val="18"/>
                <w:szCs w:val="18"/>
                <w:lang w:val="en-GB"/>
              </w:rPr>
              <w:t>ᵇ ± 0.002</w:t>
            </w:r>
          </w:p>
        </w:tc>
      </w:tr>
      <w:tr w:rsidR="00885E3A" w:rsidRPr="009C5C7C" w14:paraId="2E2BE23B" w14:textId="77777777" w:rsidTr="00CE1605">
        <w:trPr>
          <w:jc w:val="center"/>
        </w:trPr>
        <w:tc>
          <w:tcPr>
            <w:tcW w:w="0" w:type="auto"/>
            <w:tcBorders>
              <w:top w:val="nil"/>
              <w:left w:val="nil"/>
              <w:bottom w:val="nil"/>
              <w:right w:val="nil"/>
            </w:tcBorders>
            <w:shd w:val="clear" w:color="auto" w:fill="auto"/>
            <w:noWrap/>
            <w:vAlign w:val="center"/>
          </w:tcPr>
          <w:p w14:paraId="13863B15" w14:textId="77777777" w:rsidR="00885E3A" w:rsidRPr="009C5C7C" w:rsidRDefault="00885E3A" w:rsidP="00CE1605">
            <w:pPr>
              <w:contextualSpacing/>
              <w:jc w:val="both"/>
              <w:rPr>
                <w:b/>
                <w:bCs/>
                <w:color w:val="000000" w:themeColor="text1"/>
                <w:sz w:val="18"/>
                <w:szCs w:val="18"/>
                <w:lang w:val="en-GB"/>
              </w:rPr>
            </w:pPr>
            <w:r w:rsidRPr="009C5C7C">
              <w:rPr>
                <w:b/>
                <w:bCs/>
                <w:color w:val="000000"/>
                <w:sz w:val="18"/>
                <w:szCs w:val="18"/>
                <w:lang w:val="en-GB"/>
              </w:rPr>
              <w:t>Colour coordinates</w:t>
            </w:r>
          </w:p>
        </w:tc>
        <w:tc>
          <w:tcPr>
            <w:tcW w:w="0" w:type="auto"/>
            <w:tcBorders>
              <w:top w:val="nil"/>
              <w:left w:val="nil"/>
              <w:bottom w:val="nil"/>
              <w:right w:val="nil"/>
            </w:tcBorders>
            <w:vAlign w:val="center"/>
          </w:tcPr>
          <w:p w14:paraId="1F955046" w14:textId="77777777" w:rsidR="00885E3A" w:rsidRPr="009C5C7C" w:rsidRDefault="00885E3A" w:rsidP="00EA13E6">
            <w:pPr>
              <w:contextualSpacing/>
              <w:jc w:val="right"/>
              <w:rPr>
                <w:color w:val="000000" w:themeColor="text1"/>
                <w:sz w:val="18"/>
                <w:szCs w:val="18"/>
                <w:lang w:val="en-GB"/>
              </w:rPr>
            </w:pPr>
          </w:p>
        </w:tc>
        <w:tc>
          <w:tcPr>
            <w:tcW w:w="0" w:type="auto"/>
            <w:tcBorders>
              <w:top w:val="nil"/>
              <w:left w:val="nil"/>
              <w:bottom w:val="nil"/>
              <w:right w:val="nil"/>
            </w:tcBorders>
            <w:shd w:val="clear" w:color="auto" w:fill="auto"/>
            <w:noWrap/>
            <w:vAlign w:val="center"/>
          </w:tcPr>
          <w:p w14:paraId="3E355762" w14:textId="77777777" w:rsidR="00885E3A" w:rsidRPr="009C5C7C" w:rsidRDefault="00885E3A" w:rsidP="00EA13E6">
            <w:pPr>
              <w:contextualSpacing/>
              <w:jc w:val="right"/>
              <w:rPr>
                <w:color w:val="000000" w:themeColor="text1"/>
                <w:sz w:val="18"/>
                <w:szCs w:val="18"/>
                <w:lang w:val="en-GB"/>
              </w:rPr>
            </w:pPr>
          </w:p>
        </w:tc>
        <w:tc>
          <w:tcPr>
            <w:tcW w:w="0" w:type="auto"/>
            <w:tcBorders>
              <w:top w:val="nil"/>
              <w:left w:val="nil"/>
              <w:bottom w:val="nil"/>
              <w:right w:val="nil"/>
            </w:tcBorders>
            <w:shd w:val="clear" w:color="auto" w:fill="auto"/>
            <w:noWrap/>
            <w:vAlign w:val="center"/>
          </w:tcPr>
          <w:p w14:paraId="1F662F28" w14:textId="77777777" w:rsidR="00885E3A" w:rsidRPr="009C5C7C" w:rsidRDefault="00885E3A" w:rsidP="00EA13E6">
            <w:pPr>
              <w:contextualSpacing/>
              <w:jc w:val="right"/>
              <w:rPr>
                <w:color w:val="000000" w:themeColor="text1"/>
                <w:sz w:val="18"/>
                <w:szCs w:val="18"/>
                <w:lang w:val="en-GB"/>
              </w:rPr>
            </w:pPr>
          </w:p>
        </w:tc>
      </w:tr>
      <w:tr w:rsidR="00885E3A" w:rsidRPr="009C5C7C" w14:paraId="75BA7D2E" w14:textId="77777777" w:rsidTr="00CE1605">
        <w:trPr>
          <w:jc w:val="center"/>
        </w:trPr>
        <w:tc>
          <w:tcPr>
            <w:tcW w:w="0" w:type="auto"/>
            <w:tcBorders>
              <w:top w:val="nil"/>
              <w:left w:val="nil"/>
              <w:bottom w:val="nil"/>
              <w:right w:val="nil"/>
            </w:tcBorders>
            <w:shd w:val="clear" w:color="auto" w:fill="auto"/>
            <w:noWrap/>
            <w:vAlign w:val="center"/>
            <w:hideMark/>
          </w:tcPr>
          <w:p w14:paraId="6492BCF6" w14:textId="77777777" w:rsidR="00885E3A" w:rsidRPr="009C5C7C" w:rsidRDefault="00885E3A" w:rsidP="00CE1605">
            <w:pPr>
              <w:contextualSpacing/>
              <w:jc w:val="both"/>
              <w:rPr>
                <w:b/>
                <w:bCs/>
                <w:color w:val="000000"/>
                <w:sz w:val="18"/>
                <w:szCs w:val="18"/>
                <w:lang w:val="en-GB"/>
              </w:rPr>
            </w:pPr>
            <w:r w:rsidRPr="009C5C7C">
              <w:rPr>
                <w:b/>
                <w:bCs/>
                <w:i/>
                <w:color w:val="000000"/>
                <w:sz w:val="18"/>
                <w:szCs w:val="18"/>
                <w:lang w:val="en-GB"/>
              </w:rPr>
              <w:t xml:space="preserve">     L</w:t>
            </w:r>
            <w:r w:rsidRPr="009C5C7C">
              <w:rPr>
                <w:b/>
                <w:bCs/>
                <w:color w:val="000000"/>
                <w:sz w:val="18"/>
                <w:szCs w:val="18"/>
                <w:lang w:val="en-GB"/>
              </w:rPr>
              <w:t>*</w:t>
            </w:r>
          </w:p>
        </w:tc>
        <w:tc>
          <w:tcPr>
            <w:tcW w:w="0" w:type="auto"/>
            <w:tcBorders>
              <w:top w:val="nil"/>
              <w:left w:val="nil"/>
              <w:bottom w:val="nil"/>
              <w:right w:val="nil"/>
            </w:tcBorders>
            <w:vAlign w:val="center"/>
          </w:tcPr>
          <w:p w14:paraId="6C6806CD" w14:textId="77777777" w:rsidR="00885E3A" w:rsidRPr="009C5C7C" w:rsidRDefault="00885E3A" w:rsidP="00EA13E6">
            <w:pPr>
              <w:contextualSpacing/>
              <w:jc w:val="right"/>
              <w:rPr>
                <w:color w:val="000000" w:themeColor="text1"/>
                <w:sz w:val="18"/>
                <w:szCs w:val="18"/>
                <w:lang w:val="en-GB"/>
              </w:rPr>
            </w:pPr>
            <w:r w:rsidRPr="009C5C7C">
              <w:rPr>
                <w:color w:val="000000" w:themeColor="text1"/>
                <w:sz w:val="18"/>
                <w:szCs w:val="18"/>
                <w:lang w:val="en-GB"/>
              </w:rPr>
              <w:t>86.50ᵃ ± 0.30</w:t>
            </w:r>
          </w:p>
        </w:tc>
        <w:tc>
          <w:tcPr>
            <w:tcW w:w="0" w:type="auto"/>
            <w:tcBorders>
              <w:top w:val="nil"/>
              <w:left w:val="nil"/>
              <w:bottom w:val="nil"/>
              <w:right w:val="nil"/>
            </w:tcBorders>
            <w:shd w:val="clear" w:color="auto" w:fill="auto"/>
            <w:noWrap/>
            <w:vAlign w:val="center"/>
          </w:tcPr>
          <w:p w14:paraId="6DD9D3B7" w14:textId="77777777" w:rsidR="00885E3A" w:rsidRPr="009C5C7C" w:rsidRDefault="00885E3A" w:rsidP="00EA13E6">
            <w:pPr>
              <w:contextualSpacing/>
              <w:jc w:val="right"/>
              <w:rPr>
                <w:color w:val="000000"/>
                <w:sz w:val="18"/>
                <w:szCs w:val="18"/>
                <w:lang w:val="en-GB"/>
              </w:rPr>
            </w:pPr>
            <w:r w:rsidRPr="009C5C7C">
              <w:rPr>
                <w:sz w:val="18"/>
                <w:szCs w:val="18"/>
                <w:lang w:val="en-GB"/>
              </w:rPr>
              <w:t>54.47ᵇ ± 0.83</w:t>
            </w:r>
          </w:p>
        </w:tc>
        <w:tc>
          <w:tcPr>
            <w:tcW w:w="0" w:type="auto"/>
            <w:tcBorders>
              <w:top w:val="nil"/>
              <w:left w:val="nil"/>
              <w:bottom w:val="nil"/>
              <w:right w:val="nil"/>
            </w:tcBorders>
            <w:shd w:val="clear" w:color="auto" w:fill="auto"/>
            <w:noWrap/>
            <w:vAlign w:val="center"/>
          </w:tcPr>
          <w:p w14:paraId="589C0D63" w14:textId="77777777" w:rsidR="00885E3A" w:rsidRPr="009C5C7C" w:rsidRDefault="00885E3A" w:rsidP="00EA13E6">
            <w:pPr>
              <w:contextualSpacing/>
              <w:jc w:val="right"/>
              <w:rPr>
                <w:color w:val="000000"/>
                <w:sz w:val="18"/>
                <w:szCs w:val="18"/>
                <w:lang w:val="en-GB"/>
              </w:rPr>
            </w:pPr>
            <w:r w:rsidRPr="009C5C7C">
              <w:rPr>
                <w:sz w:val="18"/>
                <w:szCs w:val="18"/>
                <w:lang w:val="en-GB"/>
              </w:rPr>
              <w:t>40.43ᶜ ± 0.35</w:t>
            </w:r>
          </w:p>
        </w:tc>
      </w:tr>
      <w:tr w:rsidR="00885E3A" w:rsidRPr="009C5C7C" w14:paraId="3D29FAAC" w14:textId="77777777" w:rsidTr="00CE1605">
        <w:trPr>
          <w:jc w:val="center"/>
        </w:trPr>
        <w:tc>
          <w:tcPr>
            <w:tcW w:w="0" w:type="auto"/>
            <w:tcBorders>
              <w:top w:val="nil"/>
              <w:left w:val="nil"/>
              <w:right w:val="nil"/>
            </w:tcBorders>
            <w:shd w:val="clear" w:color="auto" w:fill="auto"/>
            <w:noWrap/>
            <w:vAlign w:val="center"/>
          </w:tcPr>
          <w:p w14:paraId="0E615556" w14:textId="77777777" w:rsidR="00885E3A" w:rsidRPr="009C5C7C" w:rsidRDefault="00885E3A" w:rsidP="00CE1605">
            <w:pPr>
              <w:contextualSpacing/>
              <w:jc w:val="both"/>
              <w:rPr>
                <w:b/>
                <w:bCs/>
                <w:color w:val="000000"/>
                <w:sz w:val="18"/>
                <w:szCs w:val="18"/>
                <w:lang w:val="en-GB"/>
              </w:rPr>
            </w:pPr>
            <w:r w:rsidRPr="009C5C7C">
              <w:rPr>
                <w:b/>
                <w:bCs/>
                <w:i/>
                <w:color w:val="000000"/>
                <w:sz w:val="18"/>
                <w:szCs w:val="18"/>
                <w:lang w:val="en-GB"/>
              </w:rPr>
              <w:t xml:space="preserve">     a</w:t>
            </w:r>
            <w:r w:rsidRPr="009C5C7C">
              <w:rPr>
                <w:b/>
                <w:bCs/>
                <w:color w:val="000000"/>
                <w:sz w:val="18"/>
                <w:szCs w:val="18"/>
                <w:lang w:val="en-GB"/>
              </w:rPr>
              <w:t>*</w:t>
            </w:r>
          </w:p>
        </w:tc>
        <w:tc>
          <w:tcPr>
            <w:tcW w:w="0" w:type="auto"/>
            <w:tcBorders>
              <w:top w:val="nil"/>
              <w:left w:val="nil"/>
              <w:right w:val="nil"/>
            </w:tcBorders>
            <w:vAlign w:val="center"/>
          </w:tcPr>
          <w:p w14:paraId="47136F07" w14:textId="77777777" w:rsidR="00885E3A" w:rsidRPr="009C5C7C" w:rsidRDefault="00885E3A" w:rsidP="00EA13E6">
            <w:pPr>
              <w:contextualSpacing/>
              <w:jc w:val="right"/>
              <w:rPr>
                <w:color w:val="000000" w:themeColor="text1"/>
                <w:sz w:val="18"/>
                <w:szCs w:val="18"/>
                <w:lang w:val="en-GB"/>
              </w:rPr>
            </w:pPr>
            <w:r w:rsidRPr="009C5C7C">
              <w:rPr>
                <w:color w:val="000000" w:themeColor="text1"/>
                <w:sz w:val="18"/>
                <w:szCs w:val="18"/>
                <w:lang w:val="en-GB"/>
              </w:rPr>
              <w:t>-9.63ᵇ ± 0.21</w:t>
            </w:r>
          </w:p>
        </w:tc>
        <w:tc>
          <w:tcPr>
            <w:tcW w:w="0" w:type="auto"/>
            <w:tcBorders>
              <w:top w:val="nil"/>
              <w:left w:val="nil"/>
              <w:right w:val="nil"/>
            </w:tcBorders>
            <w:shd w:val="clear" w:color="auto" w:fill="auto"/>
            <w:noWrap/>
            <w:vAlign w:val="center"/>
          </w:tcPr>
          <w:p w14:paraId="4F972E84" w14:textId="77777777" w:rsidR="00885E3A" w:rsidRPr="009C5C7C" w:rsidRDefault="00885E3A" w:rsidP="00EA13E6">
            <w:pPr>
              <w:contextualSpacing/>
              <w:jc w:val="right"/>
              <w:rPr>
                <w:sz w:val="18"/>
                <w:szCs w:val="18"/>
                <w:lang w:val="en-GB"/>
              </w:rPr>
            </w:pPr>
            <w:r w:rsidRPr="009C5C7C">
              <w:rPr>
                <w:sz w:val="18"/>
                <w:szCs w:val="18"/>
                <w:lang w:val="en-GB"/>
              </w:rPr>
              <w:t>-4.10ᵃ ± 0.46</w:t>
            </w:r>
          </w:p>
        </w:tc>
        <w:tc>
          <w:tcPr>
            <w:tcW w:w="0" w:type="auto"/>
            <w:tcBorders>
              <w:top w:val="nil"/>
              <w:left w:val="nil"/>
              <w:right w:val="nil"/>
            </w:tcBorders>
            <w:shd w:val="clear" w:color="auto" w:fill="auto"/>
            <w:noWrap/>
            <w:vAlign w:val="center"/>
          </w:tcPr>
          <w:p w14:paraId="75E06906" w14:textId="77777777" w:rsidR="00885E3A" w:rsidRPr="009C5C7C" w:rsidRDefault="00885E3A" w:rsidP="00EA13E6">
            <w:pPr>
              <w:contextualSpacing/>
              <w:jc w:val="right"/>
              <w:rPr>
                <w:sz w:val="18"/>
                <w:szCs w:val="18"/>
                <w:lang w:val="en-GB"/>
              </w:rPr>
            </w:pPr>
            <w:r w:rsidRPr="009C5C7C">
              <w:rPr>
                <w:sz w:val="18"/>
                <w:szCs w:val="18"/>
                <w:lang w:val="en-GB"/>
              </w:rPr>
              <w:t>-3.50ᵃ ± 0.30</w:t>
            </w:r>
          </w:p>
        </w:tc>
      </w:tr>
      <w:tr w:rsidR="00885E3A" w:rsidRPr="009C5C7C" w14:paraId="6B2C2E98" w14:textId="77777777" w:rsidTr="00CE1605">
        <w:trPr>
          <w:jc w:val="center"/>
        </w:trPr>
        <w:tc>
          <w:tcPr>
            <w:tcW w:w="0" w:type="auto"/>
            <w:tcBorders>
              <w:top w:val="nil"/>
              <w:left w:val="nil"/>
              <w:right w:val="nil"/>
            </w:tcBorders>
            <w:shd w:val="clear" w:color="auto" w:fill="auto"/>
            <w:noWrap/>
            <w:vAlign w:val="center"/>
            <w:hideMark/>
          </w:tcPr>
          <w:p w14:paraId="0E827D1E" w14:textId="77777777" w:rsidR="00885E3A" w:rsidRPr="009C5C7C" w:rsidRDefault="00885E3A" w:rsidP="00CE1605">
            <w:pPr>
              <w:contextualSpacing/>
              <w:jc w:val="both"/>
              <w:rPr>
                <w:b/>
                <w:bCs/>
                <w:color w:val="000000"/>
                <w:sz w:val="18"/>
                <w:szCs w:val="18"/>
                <w:lang w:val="en-GB"/>
              </w:rPr>
            </w:pPr>
            <w:r w:rsidRPr="009C5C7C">
              <w:rPr>
                <w:b/>
                <w:bCs/>
                <w:i/>
                <w:color w:val="000000"/>
                <w:sz w:val="18"/>
                <w:szCs w:val="18"/>
                <w:lang w:val="en-GB"/>
              </w:rPr>
              <w:t xml:space="preserve">     b</w:t>
            </w:r>
            <w:r w:rsidRPr="009C5C7C">
              <w:rPr>
                <w:b/>
                <w:bCs/>
                <w:color w:val="000000"/>
                <w:sz w:val="18"/>
                <w:szCs w:val="18"/>
                <w:lang w:val="en-GB"/>
              </w:rPr>
              <w:t>*</w:t>
            </w:r>
          </w:p>
        </w:tc>
        <w:tc>
          <w:tcPr>
            <w:tcW w:w="0" w:type="auto"/>
            <w:tcBorders>
              <w:top w:val="nil"/>
              <w:left w:val="nil"/>
              <w:right w:val="nil"/>
            </w:tcBorders>
            <w:vAlign w:val="center"/>
          </w:tcPr>
          <w:p w14:paraId="3F069934" w14:textId="77777777" w:rsidR="00885E3A" w:rsidRPr="009C5C7C" w:rsidRDefault="00885E3A" w:rsidP="00EA13E6">
            <w:pPr>
              <w:contextualSpacing/>
              <w:jc w:val="right"/>
              <w:rPr>
                <w:color w:val="000000" w:themeColor="text1"/>
                <w:sz w:val="18"/>
                <w:szCs w:val="18"/>
                <w:lang w:val="en-GB"/>
              </w:rPr>
            </w:pPr>
            <w:r w:rsidRPr="009C5C7C">
              <w:rPr>
                <w:color w:val="000000" w:themeColor="text1"/>
                <w:sz w:val="18"/>
                <w:szCs w:val="18"/>
                <w:lang w:val="en-GB"/>
              </w:rPr>
              <w:t>16.90ᵇ ± 0.35</w:t>
            </w:r>
          </w:p>
        </w:tc>
        <w:tc>
          <w:tcPr>
            <w:tcW w:w="0" w:type="auto"/>
            <w:tcBorders>
              <w:top w:val="nil"/>
              <w:left w:val="nil"/>
              <w:right w:val="nil"/>
            </w:tcBorders>
            <w:shd w:val="clear" w:color="auto" w:fill="auto"/>
            <w:noWrap/>
            <w:vAlign w:val="center"/>
          </w:tcPr>
          <w:p w14:paraId="7B30274B" w14:textId="77777777" w:rsidR="00885E3A" w:rsidRPr="009C5C7C" w:rsidRDefault="00885E3A" w:rsidP="00EA13E6">
            <w:pPr>
              <w:contextualSpacing/>
              <w:jc w:val="right"/>
              <w:rPr>
                <w:color w:val="000000"/>
                <w:sz w:val="18"/>
                <w:szCs w:val="18"/>
                <w:lang w:val="en-GB"/>
              </w:rPr>
            </w:pPr>
            <w:r w:rsidRPr="009C5C7C">
              <w:rPr>
                <w:sz w:val="18"/>
                <w:szCs w:val="18"/>
                <w:lang w:val="en-GB"/>
              </w:rPr>
              <w:t>19.17ᵃ ± 0.50</w:t>
            </w:r>
          </w:p>
        </w:tc>
        <w:tc>
          <w:tcPr>
            <w:tcW w:w="0" w:type="auto"/>
            <w:tcBorders>
              <w:top w:val="nil"/>
              <w:left w:val="nil"/>
              <w:right w:val="nil"/>
            </w:tcBorders>
            <w:shd w:val="clear" w:color="auto" w:fill="auto"/>
            <w:noWrap/>
            <w:vAlign w:val="center"/>
          </w:tcPr>
          <w:p w14:paraId="01606C6C" w14:textId="77777777" w:rsidR="00885E3A" w:rsidRPr="009C5C7C" w:rsidRDefault="00885E3A" w:rsidP="00EA13E6">
            <w:pPr>
              <w:contextualSpacing/>
              <w:jc w:val="right"/>
              <w:rPr>
                <w:color w:val="000000"/>
                <w:sz w:val="18"/>
                <w:szCs w:val="18"/>
                <w:lang w:val="en-GB"/>
              </w:rPr>
            </w:pPr>
            <w:r w:rsidRPr="009C5C7C">
              <w:rPr>
                <w:sz w:val="18"/>
                <w:szCs w:val="18"/>
                <w:lang w:val="en-GB"/>
              </w:rPr>
              <w:t>15.43ᶜ ± 0.55</w:t>
            </w:r>
          </w:p>
        </w:tc>
      </w:tr>
      <w:tr w:rsidR="00FB0B80" w:rsidRPr="009C5C7C" w14:paraId="020DB2F8" w14:textId="77777777" w:rsidTr="00CE1605">
        <w:trPr>
          <w:jc w:val="center"/>
        </w:trPr>
        <w:tc>
          <w:tcPr>
            <w:tcW w:w="0" w:type="auto"/>
            <w:tcBorders>
              <w:left w:val="nil"/>
              <w:bottom w:val="nil"/>
              <w:right w:val="nil"/>
            </w:tcBorders>
            <w:shd w:val="clear" w:color="auto" w:fill="auto"/>
            <w:noWrap/>
            <w:vAlign w:val="center"/>
            <w:hideMark/>
          </w:tcPr>
          <w:p w14:paraId="19046260" w14:textId="77777777" w:rsidR="00885E3A" w:rsidRPr="009C5C7C" w:rsidRDefault="00885E3A" w:rsidP="00CE1605">
            <w:pPr>
              <w:contextualSpacing/>
              <w:jc w:val="both"/>
              <w:rPr>
                <w:b/>
                <w:bCs/>
                <w:color w:val="000000"/>
                <w:sz w:val="18"/>
                <w:szCs w:val="18"/>
                <w:lang w:val="en-GB"/>
              </w:rPr>
            </w:pPr>
            <w:r w:rsidRPr="009C5C7C">
              <w:rPr>
                <w:b/>
                <w:bCs/>
                <w:sz w:val="18"/>
                <w:szCs w:val="18"/>
                <w:lang w:val="en-GB"/>
              </w:rPr>
              <w:t xml:space="preserve">Water holding capacity </w:t>
            </w:r>
            <w:r w:rsidRPr="009C5C7C">
              <w:rPr>
                <w:b/>
                <w:bCs/>
                <w:color w:val="000000"/>
                <w:sz w:val="18"/>
                <w:szCs w:val="18"/>
                <w:lang w:val="en-GB"/>
              </w:rPr>
              <w:t>(g H</w:t>
            </w:r>
            <w:r w:rsidRPr="009C5C7C">
              <w:rPr>
                <w:b/>
                <w:bCs/>
                <w:color w:val="000000"/>
                <w:sz w:val="18"/>
                <w:szCs w:val="18"/>
                <w:vertAlign w:val="subscript"/>
                <w:lang w:val="en-GB"/>
              </w:rPr>
              <w:t>2</w:t>
            </w:r>
            <w:r w:rsidRPr="009C5C7C">
              <w:rPr>
                <w:b/>
                <w:bCs/>
                <w:color w:val="000000"/>
                <w:sz w:val="18"/>
                <w:szCs w:val="18"/>
                <w:lang w:val="en-GB"/>
              </w:rPr>
              <w:t>O/g)</w:t>
            </w:r>
          </w:p>
        </w:tc>
        <w:tc>
          <w:tcPr>
            <w:tcW w:w="0" w:type="auto"/>
            <w:tcBorders>
              <w:left w:val="nil"/>
              <w:bottom w:val="nil"/>
              <w:right w:val="nil"/>
            </w:tcBorders>
            <w:vAlign w:val="center"/>
          </w:tcPr>
          <w:p w14:paraId="583EC421" w14:textId="77777777" w:rsidR="00885E3A" w:rsidRPr="009C5C7C" w:rsidRDefault="00885E3A" w:rsidP="00EA13E6">
            <w:pPr>
              <w:contextualSpacing/>
              <w:jc w:val="right"/>
              <w:rPr>
                <w:color w:val="000000" w:themeColor="text1"/>
                <w:sz w:val="18"/>
                <w:szCs w:val="18"/>
                <w:lang w:val="en-GB"/>
              </w:rPr>
            </w:pPr>
            <w:r w:rsidRPr="009C5C7C">
              <w:rPr>
                <w:color w:val="000000" w:themeColor="text1"/>
                <w:sz w:val="18"/>
                <w:szCs w:val="18"/>
                <w:lang w:val="en-GB"/>
              </w:rPr>
              <w:t>1.23ᶜ ± 0.34</w:t>
            </w:r>
          </w:p>
        </w:tc>
        <w:tc>
          <w:tcPr>
            <w:tcW w:w="0" w:type="auto"/>
            <w:tcBorders>
              <w:left w:val="nil"/>
              <w:bottom w:val="nil"/>
              <w:right w:val="nil"/>
            </w:tcBorders>
            <w:shd w:val="clear" w:color="auto" w:fill="auto"/>
            <w:noWrap/>
            <w:vAlign w:val="center"/>
          </w:tcPr>
          <w:p w14:paraId="7AF71C39" w14:textId="77777777" w:rsidR="00885E3A" w:rsidRPr="009C5C7C" w:rsidRDefault="00885E3A" w:rsidP="00EA13E6">
            <w:pPr>
              <w:contextualSpacing/>
              <w:jc w:val="right"/>
              <w:rPr>
                <w:color w:val="000000"/>
                <w:sz w:val="18"/>
                <w:szCs w:val="18"/>
                <w:lang w:val="en-GB"/>
              </w:rPr>
            </w:pPr>
            <w:r w:rsidRPr="009C5C7C">
              <w:rPr>
                <w:sz w:val="18"/>
                <w:szCs w:val="18"/>
                <w:lang w:val="en-GB"/>
              </w:rPr>
              <w:t>4.19ᵃ ± 0.28</w:t>
            </w:r>
          </w:p>
        </w:tc>
        <w:tc>
          <w:tcPr>
            <w:tcW w:w="0" w:type="auto"/>
            <w:tcBorders>
              <w:left w:val="nil"/>
              <w:bottom w:val="nil"/>
              <w:right w:val="nil"/>
            </w:tcBorders>
            <w:shd w:val="clear" w:color="auto" w:fill="auto"/>
            <w:noWrap/>
            <w:vAlign w:val="center"/>
          </w:tcPr>
          <w:p w14:paraId="7502A8AC" w14:textId="77777777" w:rsidR="00885E3A" w:rsidRPr="009C5C7C" w:rsidRDefault="00885E3A" w:rsidP="00EA13E6">
            <w:pPr>
              <w:contextualSpacing/>
              <w:jc w:val="right"/>
              <w:rPr>
                <w:color w:val="000000"/>
                <w:sz w:val="18"/>
                <w:szCs w:val="18"/>
                <w:lang w:val="en-GB"/>
              </w:rPr>
            </w:pPr>
            <w:r w:rsidRPr="009C5C7C">
              <w:rPr>
                <w:sz w:val="18"/>
                <w:szCs w:val="18"/>
                <w:lang w:val="en-GB"/>
              </w:rPr>
              <w:t>2.13ᵇ ± 0.22</w:t>
            </w:r>
          </w:p>
        </w:tc>
      </w:tr>
      <w:tr w:rsidR="00885E3A" w:rsidRPr="009C5C7C" w14:paraId="34D2AE70" w14:textId="77777777" w:rsidTr="00CE1605">
        <w:trPr>
          <w:jc w:val="center"/>
        </w:trPr>
        <w:tc>
          <w:tcPr>
            <w:tcW w:w="0" w:type="auto"/>
            <w:tcBorders>
              <w:top w:val="nil"/>
              <w:left w:val="nil"/>
              <w:bottom w:val="nil"/>
              <w:right w:val="nil"/>
            </w:tcBorders>
            <w:shd w:val="clear" w:color="auto" w:fill="auto"/>
            <w:noWrap/>
            <w:vAlign w:val="center"/>
            <w:hideMark/>
          </w:tcPr>
          <w:p w14:paraId="62977788" w14:textId="77777777" w:rsidR="00885E3A" w:rsidRPr="009C5C7C" w:rsidRDefault="00885E3A" w:rsidP="00CE1605">
            <w:pPr>
              <w:contextualSpacing/>
              <w:jc w:val="both"/>
              <w:rPr>
                <w:b/>
                <w:bCs/>
                <w:color w:val="000000"/>
                <w:sz w:val="18"/>
                <w:szCs w:val="18"/>
                <w:lang w:val="en-GB"/>
              </w:rPr>
            </w:pPr>
            <w:r w:rsidRPr="009C5C7C">
              <w:rPr>
                <w:b/>
                <w:bCs/>
                <w:sz w:val="18"/>
                <w:szCs w:val="18"/>
                <w:lang w:val="en-GB"/>
              </w:rPr>
              <w:t xml:space="preserve">Oil holding capacity </w:t>
            </w:r>
            <w:r w:rsidRPr="009C5C7C">
              <w:rPr>
                <w:b/>
                <w:bCs/>
                <w:color w:val="000000"/>
                <w:sz w:val="18"/>
                <w:szCs w:val="18"/>
                <w:lang w:val="en-GB"/>
              </w:rPr>
              <w:t>(g oil/g)</w:t>
            </w:r>
          </w:p>
        </w:tc>
        <w:tc>
          <w:tcPr>
            <w:tcW w:w="0" w:type="auto"/>
            <w:tcBorders>
              <w:top w:val="nil"/>
              <w:left w:val="nil"/>
              <w:bottom w:val="nil"/>
              <w:right w:val="nil"/>
            </w:tcBorders>
            <w:vAlign w:val="center"/>
          </w:tcPr>
          <w:p w14:paraId="67D19963" w14:textId="77777777" w:rsidR="00885E3A" w:rsidRPr="009C5C7C" w:rsidRDefault="00885E3A" w:rsidP="00EA13E6">
            <w:pPr>
              <w:contextualSpacing/>
              <w:jc w:val="right"/>
              <w:rPr>
                <w:color w:val="000000" w:themeColor="text1"/>
                <w:sz w:val="18"/>
                <w:szCs w:val="18"/>
                <w:lang w:val="en-GB"/>
              </w:rPr>
            </w:pPr>
            <w:r w:rsidRPr="009C5C7C">
              <w:rPr>
                <w:color w:val="000000" w:themeColor="text1"/>
                <w:sz w:val="18"/>
                <w:szCs w:val="18"/>
                <w:lang w:val="en-GB"/>
              </w:rPr>
              <w:t>1.57ᵇ ± 0.08</w:t>
            </w:r>
          </w:p>
        </w:tc>
        <w:tc>
          <w:tcPr>
            <w:tcW w:w="0" w:type="auto"/>
            <w:tcBorders>
              <w:top w:val="nil"/>
              <w:left w:val="nil"/>
              <w:bottom w:val="nil"/>
              <w:right w:val="nil"/>
            </w:tcBorders>
            <w:shd w:val="clear" w:color="auto" w:fill="auto"/>
            <w:noWrap/>
            <w:vAlign w:val="center"/>
          </w:tcPr>
          <w:p w14:paraId="6EF65AE8" w14:textId="77777777" w:rsidR="00885E3A" w:rsidRPr="009C5C7C" w:rsidRDefault="00885E3A" w:rsidP="00EA13E6">
            <w:pPr>
              <w:contextualSpacing/>
              <w:jc w:val="right"/>
              <w:rPr>
                <w:color w:val="000000"/>
                <w:sz w:val="18"/>
                <w:szCs w:val="18"/>
                <w:lang w:val="en-GB"/>
              </w:rPr>
            </w:pPr>
            <w:r w:rsidRPr="009C5C7C">
              <w:rPr>
                <w:sz w:val="18"/>
                <w:szCs w:val="18"/>
                <w:lang w:val="en-GB"/>
              </w:rPr>
              <w:t>2.24ᵃ ± 0.16</w:t>
            </w:r>
          </w:p>
        </w:tc>
        <w:tc>
          <w:tcPr>
            <w:tcW w:w="0" w:type="auto"/>
            <w:tcBorders>
              <w:top w:val="nil"/>
              <w:left w:val="nil"/>
              <w:bottom w:val="nil"/>
              <w:right w:val="nil"/>
            </w:tcBorders>
            <w:shd w:val="clear" w:color="auto" w:fill="auto"/>
            <w:noWrap/>
            <w:vAlign w:val="center"/>
          </w:tcPr>
          <w:p w14:paraId="7C0A5E5A" w14:textId="77777777" w:rsidR="00885E3A" w:rsidRPr="009C5C7C" w:rsidRDefault="00885E3A" w:rsidP="00EA13E6">
            <w:pPr>
              <w:contextualSpacing/>
              <w:jc w:val="right"/>
              <w:rPr>
                <w:color w:val="000000"/>
                <w:sz w:val="18"/>
                <w:szCs w:val="18"/>
                <w:lang w:val="en-GB"/>
              </w:rPr>
            </w:pPr>
            <w:r w:rsidRPr="009C5C7C">
              <w:rPr>
                <w:sz w:val="18"/>
                <w:szCs w:val="18"/>
                <w:lang w:val="en-GB"/>
              </w:rPr>
              <w:t>1.68ᵇ ± 0.22</w:t>
            </w:r>
          </w:p>
        </w:tc>
      </w:tr>
      <w:tr w:rsidR="00885E3A" w:rsidRPr="009C5C7C" w14:paraId="2676C2E6" w14:textId="77777777" w:rsidTr="00CE1605">
        <w:trPr>
          <w:jc w:val="center"/>
        </w:trPr>
        <w:tc>
          <w:tcPr>
            <w:tcW w:w="0" w:type="auto"/>
            <w:tcBorders>
              <w:top w:val="nil"/>
              <w:left w:val="nil"/>
              <w:bottom w:val="nil"/>
              <w:right w:val="nil"/>
            </w:tcBorders>
            <w:shd w:val="clear" w:color="auto" w:fill="auto"/>
            <w:noWrap/>
            <w:vAlign w:val="center"/>
            <w:hideMark/>
          </w:tcPr>
          <w:p w14:paraId="117ACF63" w14:textId="77777777" w:rsidR="00885E3A" w:rsidRPr="009C5C7C" w:rsidRDefault="00885E3A" w:rsidP="00CE1605">
            <w:pPr>
              <w:contextualSpacing/>
              <w:jc w:val="both"/>
              <w:rPr>
                <w:b/>
                <w:bCs/>
                <w:color w:val="000000"/>
                <w:sz w:val="18"/>
                <w:szCs w:val="18"/>
                <w:lang w:val="en-GB"/>
              </w:rPr>
            </w:pPr>
            <w:r w:rsidRPr="009C5C7C">
              <w:rPr>
                <w:b/>
                <w:bCs/>
                <w:color w:val="000000"/>
                <w:sz w:val="18"/>
                <w:szCs w:val="18"/>
                <w:lang w:val="en-GB"/>
              </w:rPr>
              <w:t>Gelling capacity (g/100 mL)</w:t>
            </w:r>
          </w:p>
        </w:tc>
        <w:tc>
          <w:tcPr>
            <w:tcW w:w="0" w:type="auto"/>
            <w:tcBorders>
              <w:top w:val="nil"/>
              <w:left w:val="nil"/>
              <w:bottom w:val="nil"/>
              <w:right w:val="nil"/>
            </w:tcBorders>
            <w:vAlign w:val="center"/>
          </w:tcPr>
          <w:p w14:paraId="2F72D47E" w14:textId="77777777" w:rsidR="00885E3A" w:rsidRPr="009C5C7C" w:rsidRDefault="00885E3A" w:rsidP="00EA13E6">
            <w:pPr>
              <w:contextualSpacing/>
              <w:jc w:val="right"/>
              <w:rPr>
                <w:color w:val="000000" w:themeColor="text1"/>
                <w:sz w:val="18"/>
                <w:szCs w:val="18"/>
                <w:lang w:val="en-GB"/>
              </w:rPr>
            </w:pPr>
            <w:r w:rsidRPr="009C5C7C">
              <w:rPr>
                <w:color w:val="000000" w:themeColor="text1"/>
                <w:sz w:val="18"/>
                <w:szCs w:val="18"/>
                <w:lang w:val="en-GB"/>
              </w:rPr>
              <w:t>21.52ᵇ ± 0.28</w:t>
            </w:r>
          </w:p>
        </w:tc>
        <w:tc>
          <w:tcPr>
            <w:tcW w:w="0" w:type="auto"/>
            <w:tcBorders>
              <w:top w:val="nil"/>
              <w:left w:val="nil"/>
              <w:bottom w:val="nil"/>
              <w:right w:val="nil"/>
            </w:tcBorders>
            <w:shd w:val="clear" w:color="auto" w:fill="auto"/>
            <w:noWrap/>
            <w:vAlign w:val="center"/>
          </w:tcPr>
          <w:p w14:paraId="634EC335" w14:textId="77777777" w:rsidR="00885E3A" w:rsidRPr="009C5C7C" w:rsidRDefault="00885E3A" w:rsidP="00EA13E6">
            <w:pPr>
              <w:contextualSpacing/>
              <w:jc w:val="right"/>
              <w:rPr>
                <w:color w:val="000000"/>
                <w:sz w:val="18"/>
                <w:szCs w:val="18"/>
                <w:lang w:val="en-GB"/>
              </w:rPr>
            </w:pPr>
            <w:r w:rsidRPr="009C5C7C">
              <w:rPr>
                <w:sz w:val="18"/>
                <w:szCs w:val="18"/>
                <w:lang w:val="en-GB"/>
              </w:rPr>
              <w:t>16.09ᶜ ± 0.99</w:t>
            </w:r>
          </w:p>
        </w:tc>
        <w:tc>
          <w:tcPr>
            <w:tcW w:w="0" w:type="auto"/>
            <w:tcBorders>
              <w:top w:val="nil"/>
              <w:left w:val="nil"/>
              <w:bottom w:val="nil"/>
              <w:right w:val="nil"/>
            </w:tcBorders>
            <w:shd w:val="clear" w:color="auto" w:fill="auto"/>
            <w:noWrap/>
            <w:vAlign w:val="center"/>
          </w:tcPr>
          <w:p w14:paraId="5FA3B57F" w14:textId="77777777" w:rsidR="00885E3A" w:rsidRPr="009C5C7C" w:rsidRDefault="00885E3A" w:rsidP="00EA13E6">
            <w:pPr>
              <w:contextualSpacing/>
              <w:jc w:val="right"/>
              <w:rPr>
                <w:color w:val="000000"/>
                <w:sz w:val="18"/>
                <w:szCs w:val="18"/>
                <w:lang w:val="en-GB"/>
              </w:rPr>
            </w:pPr>
            <w:r w:rsidRPr="009C5C7C">
              <w:rPr>
                <w:sz w:val="18"/>
                <w:szCs w:val="18"/>
                <w:lang w:val="en-GB"/>
              </w:rPr>
              <w:t>28.67ᵃ ± 1.62</w:t>
            </w:r>
          </w:p>
        </w:tc>
      </w:tr>
      <w:tr w:rsidR="00885E3A" w:rsidRPr="009C5C7C" w14:paraId="52F7C498" w14:textId="77777777" w:rsidTr="00CE1605">
        <w:trPr>
          <w:jc w:val="center"/>
        </w:trPr>
        <w:tc>
          <w:tcPr>
            <w:tcW w:w="0" w:type="auto"/>
            <w:tcBorders>
              <w:top w:val="nil"/>
              <w:left w:val="nil"/>
              <w:bottom w:val="nil"/>
              <w:right w:val="nil"/>
            </w:tcBorders>
            <w:shd w:val="clear" w:color="auto" w:fill="auto"/>
            <w:noWrap/>
            <w:vAlign w:val="center"/>
            <w:hideMark/>
          </w:tcPr>
          <w:p w14:paraId="351FAB66" w14:textId="77777777" w:rsidR="00885E3A" w:rsidRPr="009C5C7C" w:rsidRDefault="00885E3A" w:rsidP="00CE1605">
            <w:pPr>
              <w:contextualSpacing/>
              <w:jc w:val="both"/>
              <w:rPr>
                <w:b/>
                <w:bCs/>
                <w:color w:val="000000"/>
                <w:sz w:val="18"/>
                <w:szCs w:val="18"/>
                <w:lang w:val="en-GB"/>
              </w:rPr>
            </w:pPr>
            <w:r w:rsidRPr="009C5C7C">
              <w:rPr>
                <w:b/>
                <w:bCs/>
                <w:color w:val="000000"/>
                <w:sz w:val="18"/>
                <w:szCs w:val="18"/>
                <w:lang w:val="en-GB"/>
              </w:rPr>
              <w:t>Foaming capacity (%)</w:t>
            </w:r>
          </w:p>
        </w:tc>
        <w:tc>
          <w:tcPr>
            <w:tcW w:w="0" w:type="auto"/>
            <w:tcBorders>
              <w:top w:val="nil"/>
              <w:left w:val="nil"/>
              <w:bottom w:val="nil"/>
              <w:right w:val="nil"/>
            </w:tcBorders>
          </w:tcPr>
          <w:p w14:paraId="1AFF4A97" w14:textId="77777777" w:rsidR="00885E3A" w:rsidRPr="009C5C7C" w:rsidRDefault="00885E3A" w:rsidP="00EA13E6">
            <w:pPr>
              <w:contextualSpacing/>
              <w:jc w:val="right"/>
              <w:rPr>
                <w:color w:val="000000" w:themeColor="text1"/>
                <w:sz w:val="18"/>
                <w:szCs w:val="18"/>
                <w:lang w:val="en-GB"/>
              </w:rPr>
            </w:pPr>
            <w:r w:rsidRPr="009C5C7C">
              <w:rPr>
                <w:color w:val="000000" w:themeColor="text1"/>
                <w:sz w:val="18"/>
                <w:szCs w:val="18"/>
                <w:lang w:val="en-GB"/>
              </w:rPr>
              <w:t>69.18</w:t>
            </w:r>
            <w:r w:rsidRPr="009C5C7C">
              <w:rPr>
                <w:sz w:val="18"/>
                <w:szCs w:val="18"/>
                <w:lang w:val="en-GB"/>
              </w:rPr>
              <w:t>ᵃ</w:t>
            </w:r>
            <w:r w:rsidRPr="009C5C7C">
              <w:rPr>
                <w:color w:val="000000" w:themeColor="text1"/>
                <w:sz w:val="18"/>
                <w:szCs w:val="18"/>
                <w:lang w:val="en-GB"/>
              </w:rPr>
              <w:t xml:space="preserve"> ± 1.39</w:t>
            </w:r>
          </w:p>
        </w:tc>
        <w:tc>
          <w:tcPr>
            <w:tcW w:w="0" w:type="auto"/>
            <w:tcBorders>
              <w:top w:val="nil"/>
              <w:left w:val="nil"/>
              <w:bottom w:val="nil"/>
              <w:right w:val="nil"/>
            </w:tcBorders>
            <w:shd w:val="clear" w:color="auto" w:fill="auto"/>
            <w:noWrap/>
            <w:vAlign w:val="center"/>
          </w:tcPr>
          <w:p w14:paraId="4EDD30DC" w14:textId="77777777" w:rsidR="00885E3A" w:rsidRPr="009C5C7C" w:rsidRDefault="00885E3A" w:rsidP="00EA13E6">
            <w:pPr>
              <w:contextualSpacing/>
              <w:jc w:val="right"/>
              <w:rPr>
                <w:color w:val="000000"/>
                <w:sz w:val="18"/>
                <w:szCs w:val="18"/>
                <w:lang w:val="en-GB"/>
              </w:rPr>
            </w:pPr>
            <w:r w:rsidRPr="009C5C7C">
              <w:rPr>
                <w:sz w:val="18"/>
                <w:szCs w:val="18"/>
                <w:lang w:val="en-GB"/>
              </w:rPr>
              <w:t>21.59ᶜ ± 1.36</w:t>
            </w:r>
          </w:p>
        </w:tc>
        <w:tc>
          <w:tcPr>
            <w:tcW w:w="0" w:type="auto"/>
            <w:tcBorders>
              <w:top w:val="nil"/>
              <w:left w:val="nil"/>
              <w:bottom w:val="nil"/>
              <w:right w:val="nil"/>
            </w:tcBorders>
            <w:shd w:val="clear" w:color="auto" w:fill="auto"/>
            <w:noWrap/>
            <w:vAlign w:val="center"/>
          </w:tcPr>
          <w:p w14:paraId="16A855FF" w14:textId="77777777" w:rsidR="00885E3A" w:rsidRPr="009C5C7C" w:rsidRDefault="00885E3A" w:rsidP="00EA13E6">
            <w:pPr>
              <w:contextualSpacing/>
              <w:jc w:val="right"/>
              <w:rPr>
                <w:color w:val="000000"/>
                <w:sz w:val="18"/>
                <w:szCs w:val="18"/>
                <w:lang w:val="en-GB"/>
              </w:rPr>
            </w:pPr>
            <w:r w:rsidRPr="009C5C7C">
              <w:rPr>
                <w:sz w:val="18"/>
                <w:szCs w:val="18"/>
                <w:lang w:val="en-GB"/>
              </w:rPr>
              <w:t>28.46ᵇ ± 1.39</w:t>
            </w:r>
          </w:p>
        </w:tc>
      </w:tr>
      <w:tr w:rsidR="00885E3A" w:rsidRPr="009C5C7C" w14:paraId="75E18DFD" w14:textId="77777777" w:rsidTr="00CE1605">
        <w:trPr>
          <w:jc w:val="center"/>
        </w:trPr>
        <w:tc>
          <w:tcPr>
            <w:tcW w:w="0" w:type="auto"/>
            <w:tcBorders>
              <w:top w:val="nil"/>
              <w:left w:val="nil"/>
              <w:right w:val="nil"/>
            </w:tcBorders>
            <w:shd w:val="clear" w:color="auto" w:fill="auto"/>
            <w:noWrap/>
            <w:vAlign w:val="center"/>
            <w:hideMark/>
          </w:tcPr>
          <w:p w14:paraId="063DD476" w14:textId="77777777" w:rsidR="00885E3A" w:rsidRPr="009C5C7C" w:rsidRDefault="00885E3A" w:rsidP="00CE1605">
            <w:pPr>
              <w:contextualSpacing/>
              <w:jc w:val="both"/>
              <w:rPr>
                <w:b/>
                <w:bCs/>
                <w:color w:val="000000"/>
                <w:sz w:val="18"/>
                <w:szCs w:val="18"/>
                <w:lang w:val="en-GB"/>
              </w:rPr>
            </w:pPr>
            <w:r w:rsidRPr="009C5C7C">
              <w:rPr>
                <w:b/>
                <w:bCs/>
                <w:color w:val="000000"/>
                <w:sz w:val="18"/>
                <w:szCs w:val="18"/>
                <w:lang w:val="en-GB"/>
              </w:rPr>
              <w:t>Foam stability (%)</w:t>
            </w:r>
          </w:p>
        </w:tc>
        <w:tc>
          <w:tcPr>
            <w:tcW w:w="0" w:type="auto"/>
            <w:tcBorders>
              <w:top w:val="nil"/>
              <w:left w:val="nil"/>
              <w:right w:val="nil"/>
            </w:tcBorders>
          </w:tcPr>
          <w:p w14:paraId="0D0C7329" w14:textId="77777777" w:rsidR="00885E3A" w:rsidRPr="009C5C7C" w:rsidRDefault="00885E3A" w:rsidP="00EA13E6">
            <w:pPr>
              <w:contextualSpacing/>
              <w:jc w:val="right"/>
              <w:rPr>
                <w:color w:val="000000" w:themeColor="text1"/>
                <w:sz w:val="18"/>
                <w:szCs w:val="18"/>
                <w:lang w:val="en-GB"/>
              </w:rPr>
            </w:pPr>
            <w:r w:rsidRPr="009C5C7C">
              <w:rPr>
                <w:color w:val="000000" w:themeColor="text1"/>
                <w:sz w:val="18"/>
                <w:szCs w:val="18"/>
                <w:lang w:val="en-GB"/>
              </w:rPr>
              <w:t>49.55</w:t>
            </w:r>
            <w:r w:rsidRPr="009C5C7C">
              <w:rPr>
                <w:sz w:val="18"/>
                <w:szCs w:val="18"/>
                <w:lang w:val="en-GB"/>
              </w:rPr>
              <w:t>ᵃ</w:t>
            </w:r>
            <w:r w:rsidRPr="009C5C7C">
              <w:rPr>
                <w:color w:val="000000" w:themeColor="text1"/>
                <w:sz w:val="18"/>
                <w:szCs w:val="18"/>
                <w:lang w:val="en-GB"/>
              </w:rPr>
              <w:t xml:space="preserve"> ± 0.01</w:t>
            </w:r>
          </w:p>
        </w:tc>
        <w:tc>
          <w:tcPr>
            <w:tcW w:w="0" w:type="auto"/>
            <w:tcBorders>
              <w:top w:val="nil"/>
              <w:left w:val="nil"/>
              <w:right w:val="nil"/>
            </w:tcBorders>
            <w:shd w:val="clear" w:color="auto" w:fill="auto"/>
            <w:noWrap/>
            <w:vAlign w:val="center"/>
          </w:tcPr>
          <w:p w14:paraId="31AA9987" w14:textId="77777777" w:rsidR="00885E3A" w:rsidRPr="009C5C7C" w:rsidRDefault="00885E3A" w:rsidP="00EA13E6">
            <w:pPr>
              <w:contextualSpacing/>
              <w:jc w:val="right"/>
              <w:rPr>
                <w:color w:val="000000"/>
                <w:sz w:val="18"/>
                <w:szCs w:val="18"/>
                <w:lang w:val="en-GB"/>
              </w:rPr>
            </w:pPr>
            <w:r w:rsidRPr="009C5C7C">
              <w:rPr>
                <w:sz w:val="18"/>
                <w:szCs w:val="18"/>
                <w:lang w:val="en-GB"/>
              </w:rPr>
              <w:t>15.21ᵇ ± 2.08</w:t>
            </w:r>
          </w:p>
        </w:tc>
        <w:tc>
          <w:tcPr>
            <w:tcW w:w="0" w:type="auto"/>
            <w:tcBorders>
              <w:top w:val="nil"/>
              <w:left w:val="nil"/>
              <w:right w:val="nil"/>
            </w:tcBorders>
            <w:shd w:val="clear" w:color="auto" w:fill="auto"/>
            <w:noWrap/>
            <w:vAlign w:val="center"/>
          </w:tcPr>
          <w:p w14:paraId="78D09B45" w14:textId="77777777" w:rsidR="00885E3A" w:rsidRPr="009C5C7C" w:rsidRDefault="00885E3A" w:rsidP="00EA13E6">
            <w:pPr>
              <w:contextualSpacing/>
              <w:jc w:val="right"/>
              <w:rPr>
                <w:color w:val="000000"/>
                <w:sz w:val="18"/>
                <w:szCs w:val="18"/>
                <w:lang w:val="en-GB"/>
              </w:rPr>
            </w:pPr>
            <w:r w:rsidRPr="009C5C7C">
              <w:rPr>
                <w:sz w:val="18"/>
                <w:szCs w:val="18"/>
                <w:lang w:val="en-GB"/>
              </w:rPr>
              <w:t>6.38ᶜ ± 1.39</w:t>
            </w:r>
          </w:p>
        </w:tc>
      </w:tr>
      <w:tr w:rsidR="00885E3A" w:rsidRPr="009C5C7C" w14:paraId="25C408D8" w14:textId="77777777" w:rsidTr="00CE1605">
        <w:trPr>
          <w:jc w:val="center"/>
        </w:trPr>
        <w:tc>
          <w:tcPr>
            <w:tcW w:w="0" w:type="auto"/>
            <w:tcBorders>
              <w:top w:val="nil"/>
              <w:left w:val="nil"/>
              <w:bottom w:val="single" w:sz="4" w:space="0" w:color="auto"/>
              <w:right w:val="nil"/>
            </w:tcBorders>
            <w:shd w:val="clear" w:color="auto" w:fill="auto"/>
            <w:noWrap/>
            <w:vAlign w:val="center"/>
            <w:hideMark/>
          </w:tcPr>
          <w:p w14:paraId="691120B6" w14:textId="77777777" w:rsidR="00885E3A" w:rsidRPr="009C5C7C" w:rsidRDefault="00885E3A" w:rsidP="00CE1605">
            <w:pPr>
              <w:contextualSpacing/>
              <w:jc w:val="both"/>
              <w:rPr>
                <w:b/>
                <w:bCs/>
                <w:color w:val="000000"/>
                <w:sz w:val="18"/>
                <w:szCs w:val="18"/>
                <w:lang w:val="en-GB"/>
              </w:rPr>
            </w:pPr>
            <w:r w:rsidRPr="009C5C7C">
              <w:rPr>
                <w:b/>
                <w:bCs/>
                <w:color w:val="000000"/>
                <w:sz w:val="18"/>
                <w:szCs w:val="18"/>
                <w:lang w:val="en-GB"/>
              </w:rPr>
              <w:t>Emulsifying activity (%)</w:t>
            </w:r>
          </w:p>
        </w:tc>
        <w:tc>
          <w:tcPr>
            <w:tcW w:w="0" w:type="auto"/>
            <w:tcBorders>
              <w:top w:val="nil"/>
              <w:left w:val="nil"/>
              <w:bottom w:val="single" w:sz="4" w:space="0" w:color="auto"/>
              <w:right w:val="nil"/>
            </w:tcBorders>
            <w:shd w:val="clear" w:color="auto" w:fill="auto"/>
          </w:tcPr>
          <w:p w14:paraId="5120E56B" w14:textId="77777777" w:rsidR="00885E3A" w:rsidRPr="009C5C7C" w:rsidRDefault="00885E3A" w:rsidP="00EA13E6">
            <w:pPr>
              <w:contextualSpacing/>
              <w:jc w:val="right"/>
              <w:rPr>
                <w:sz w:val="18"/>
                <w:szCs w:val="18"/>
                <w:lang w:val="en-GB"/>
              </w:rPr>
            </w:pPr>
            <w:r w:rsidRPr="009C5C7C">
              <w:rPr>
                <w:color w:val="000000" w:themeColor="text1"/>
                <w:sz w:val="18"/>
                <w:szCs w:val="18"/>
                <w:lang w:val="en-GB"/>
              </w:rPr>
              <w:t>63.26 ± 1.15</w:t>
            </w:r>
          </w:p>
        </w:tc>
        <w:tc>
          <w:tcPr>
            <w:tcW w:w="0" w:type="auto"/>
            <w:tcBorders>
              <w:top w:val="nil"/>
              <w:left w:val="nil"/>
              <w:bottom w:val="single" w:sz="4" w:space="0" w:color="auto"/>
              <w:right w:val="nil"/>
            </w:tcBorders>
            <w:shd w:val="clear" w:color="auto" w:fill="auto"/>
            <w:noWrap/>
            <w:vAlign w:val="center"/>
          </w:tcPr>
          <w:p w14:paraId="760E2B03" w14:textId="77777777" w:rsidR="00885E3A" w:rsidRPr="009C5C7C" w:rsidRDefault="00885E3A" w:rsidP="00EA13E6">
            <w:pPr>
              <w:contextualSpacing/>
              <w:jc w:val="right"/>
              <w:rPr>
                <w:color w:val="000000"/>
                <w:sz w:val="18"/>
                <w:szCs w:val="18"/>
                <w:lang w:val="en-GB"/>
              </w:rPr>
            </w:pPr>
            <w:r w:rsidRPr="009C5C7C">
              <w:rPr>
                <w:sz w:val="18"/>
                <w:szCs w:val="18"/>
                <w:lang w:val="en-GB"/>
              </w:rPr>
              <w:t>62.20 ± 1.28</w:t>
            </w:r>
          </w:p>
        </w:tc>
        <w:tc>
          <w:tcPr>
            <w:tcW w:w="0" w:type="auto"/>
            <w:tcBorders>
              <w:top w:val="nil"/>
              <w:left w:val="nil"/>
              <w:bottom w:val="single" w:sz="4" w:space="0" w:color="auto"/>
              <w:right w:val="nil"/>
            </w:tcBorders>
            <w:shd w:val="clear" w:color="auto" w:fill="auto"/>
            <w:noWrap/>
            <w:vAlign w:val="center"/>
          </w:tcPr>
          <w:p w14:paraId="1894F692" w14:textId="77777777" w:rsidR="00885E3A" w:rsidRPr="009C5C7C" w:rsidRDefault="00885E3A" w:rsidP="00EA13E6">
            <w:pPr>
              <w:contextualSpacing/>
              <w:jc w:val="right"/>
              <w:rPr>
                <w:color w:val="000000"/>
                <w:sz w:val="18"/>
                <w:szCs w:val="18"/>
                <w:lang w:val="en-GB"/>
              </w:rPr>
            </w:pPr>
            <w:r w:rsidRPr="009C5C7C">
              <w:rPr>
                <w:sz w:val="18"/>
                <w:szCs w:val="18"/>
                <w:lang w:val="en-GB"/>
              </w:rPr>
              <w:t>60.89 ± 1.07</w:t>
            </w:r>
          </w:p>
        </w:tc>
      </w:tr>
    </w:tbl>
    <w:bookmarkEnd w:id="4"/>
    <w:p w14:paraId="514B4206" w14:textId="6F810EAE" w:rsidR="00EA13E6" w:rsidRPr="00BB576A" w:rsidRDefault="00F45B4D" w:rsidP="00BB576A">
      <w:pPr>
        <w:tabs>
          <w:tab w:val="left" w:pos="851"/>
        </w:tabs>
        <w:spacing w:before="300" w:after="120"/>
        <w:ind w:left="851" w:hanging="851"/>
        <w:rPr>
          <w:b/>
          <w:iCs/>
          <w:sz w:val="18"/>
          <w:lang w:val="en-GB"/>
        </w:rPr>
      </w:pPr>
      <w:r w:rsidRPr="00BB576A">
        <w:rPr>
          <w:b/>
          <w:iCs/>
          <w:sz w:val="18"/>
          <w:lang w:val="en-GB"/>
        </w:rPr>
        <w:t>Table 2</w:t>
      </w:r>
      <w:r w:rsidR="00DD65B5" w:rsidRPr="00BB576A">
        <w:rPr>
          <w:b/>
          <w:iCs/>
          <w:sz w:val="18"/>
          <w:lang w:val="en-GB"/>
        </w:rPr>
        <w:tab/>
      </w:r>
      <w:r w:rsidR="00DD65B5" w:rsidRPr="00BB576A">
        <w:rPr>
          <w:i/>
          <w:iCs/>
          <w:sz w:val="18"/>
          <w:lang w:val="en-GB"/>
        </w:rPr>
        <w:t xml:space="preserve">Pea waste batters and enriched breads characterisation: B12 levels, microbial counts, organic acids, baking loss, specific </w:t>
      </w:r>
      <w:proofErr w:type="gramStart"/>
      <w:r w:rsidR="00DD65B5" w:rsidRPr="00BB576A">
        <w:rPr>
          <w:i/>
          <w:iCs/>
          <w:sz w:val="18"/>
          <w:lang w:val="en-GB"/>
        </w:rPr>
        <w:t>volume</w:t>
      </w:r>
      <w:proofErr w:type="gramEnd"/>
      <w:r w:rsidR="00DD65B5" w:rsidRPr="00BB576A">
        <w:rPr>
          <w:i/>
          <w:iCs/>
          <w:sz w:val="18"/>
          <w:lang w:val="en-GB"/>
        </w:rPr>
        <w:t xml:space="preserve"> and crumb hardness.</w:t>
      </w:r>
    </w:p>
    <w:tbl>
      <w:tblPr>
        <w:tblW w:w="9075" w:type="dxa"/>
        <w:jc w:val="center"/>
        <w:tblLayout w:type="fixed"/>
        <w:tblCellMar>
          <w:left w:w="70" w:type="dxa"/>
          <w:right w:w="70" w:type="dxa"/>
        </w:tblCellMar>
        <w:tblLook w:val="04A0" w:firstRow="1" w:lastRow="0" w:firstColumn="1" w:lastColumn="0" w:noHBand="0" w:noVBand="1"/>
      </w:tblPr>
      <w:tblGrid>
        <w:gridCol w:w="1277"/>
        <w:gridCol w:w="1278"/>
        <w:gridCol w:w="1278"/>
        <w:gridCol w:w="1278"/>
        <w:gridCol w:w="1278"/>
        <w:gridCol w:w="63"/>
        <w:gridCol w:w="1342"/>
        <w:gridCol w:w="1281"/>
      </w:tblGrid>
      <w:tr w:rsidR="00EA13E6" w:rsidRPr="009C5C7C" w14:paraId="5C61AE16" w14:textId="77777777" w:rsidTr="003A2367">
        <w:trPr>
          <w:jc w:val="center"/>
        </w:trPr>
        <w:tc>
          <w:tcPr>
            <w:tcW w:w="1277" w:type="dxa"/>
            <w:tcBorders>
              <w:top w:val="single" w:sz="4" w:space="0" w:color="auto"/>
              <w:left w:val="nil"/>
              <w:right w:val="nil"/>
            </w:tcBorders>
            <w:shd w:val="clear" w:color="auto" w:fill="auto"/>
            <w:noWrap/>
            <w:vAlign w:val="bottom"/>
          </w:tcPr>
          <w:p w14:paraId="07F65A8D" w14:textId="77777777" w:rsidR="00EA13E6" w:rsidRPr="009C5C7C" w:rsidRDefault="00EA13E6" w:rsidP="00F45B4D">
            <w:pPr>
              <w:tabs>
                <w:tab w:val="left" w:pos="284"/>
              </w:tabs>
              <w:ind w:left="426" w:hanging="426"/>
              <w:jc w:val="both"/>
              <w:rPr>
                <w:b/>
                <w:sz w:val="18"/>
                <w:szCs w:val="18"/>
                <w:lang w:val="en-GB"/>
              </w:rPr>
            </w:pPr>
            <w:bookmarkStart w:id="5" w:name="_Hlk136962389"/>
            <w:r w:rsidRPr="009C5C7C">
              <w:rPr>
                <w:b/>
                <w:sz w:val="18"/>
                <w:szCs w:val="18"/>
                <w:lang w:val="en-GB"/>
              </w:rPr>
              <w:t>Batter</w:t>
            </w:r>
          </w:p>
        </w:tc>
        <w:tc>
          <w:tcPr>
            <w:tcW w:w="1278" w:type="dxa"/>
            <w:tcBorders>
              <w:top w:val="single" w:sz="4" w:space="0" w:color="auto"/>
              <w:left w:val="nil"/>
              <w:right w:val="nil"/>
            </w:tcBorders>
            <w:shd w:val="clear" w:color="auto" w:fill="auto"/>
            <w:noWrap/>
            <w:vAlign w:val="bottom"/>
          </w:tcPr>
          <w:p w14:paraId="10FC8D98" w14:textId="77777777" w:rsidR="00EA13E6" w:rsidRPr="009C5C7C" w:rsidRDefault="00EA13E6" w:rsidP="00F45B4D">
            <w:pPr>
              <w:ind w:left="426" w:hanging="426"/>
              <w:jc w:val="center"/>
              <w:rPr>
                <w:b/>
                <w:sz w:val="18"/>
                <w:szCs w:val="18"/>
                <w:lang w:val="en-GB"/>
              </w:rPr>
            </w:pPr>
            <w:r w:rsidRPr="009C5C7C">
              <w:rPr>
                <w:b/>
                <w:sz w:val="18"/>
                <w:szCs w:val="18"/>
                <w:lang w:val="en-GB"/>
              </w:rPr>
              <w:t>Fermentation</w:t>
            </w:r>
          </w:p>
        </w:tc>
        <w:tc>
          <w:tcPr>
            <w:tcW w:w="1278" w:type="dxa"/>
            <w:tcBorders>
              <w:top w:val="single" w:sz="4" w:space="0" w:color="auto"/>
              <w:left w:val="nil"/>
              <w:right w:val="nil"/>
            </w:tcBorders>
            <w:shd w:val="clear" w:color="auto" w:fill="auto"/>
            <w:noWrap/>
            <w:vAlign w:val="bottom"/>
          </w:tcPr>
          <w:p w14:paraId="43D0C6CD" w14:textId="77777777" w:rsidR="00EA13E6" w:rsidRPr="001C5968" w:rsidRDefault="00EA13E6" w:rsidP="00F45B4D">
            <w:pPr>
              <w:ind w:left="426" w:hanging="426"/>
              <w:jc w:val="center"/>
              <w:rPr>
                <w:b/>
                <w:sz w:val="18"/>
                <w:szCs w:val="18"/>
                <w:lang w:val="en-GB"/>
              </w:rPr>
            </w:pPr>
            <w:r w:rsidRPr="001C5968">
              <w:rPr>
                <w:b/>
                <w:sz w:val="18"/>
                <w:szCs w:val="18"/>
                <w:lang w:val="en-GB"/>
              </w:rPr>
              <w:t>B12</w:t>
            </w:r>
          </w:p>
        </w:tc>
        <w:tc>
          <w:tcPr>
            <w:tcW w:w="1278" w:type="dxa"/>
            <w:tcBorders>
              <w:top w:val="single" w:sz="4" w:space="0" w:color="auto"/>
              <w:left w:val="nil"/>
              <w:right w:val="nil"/>
            </w:tcBorders>
            <w:shd w:val="clear" w:color="auto" w:fill="auto"/>
            <w:vAlign w:val="bottom"/>
          </w:tcPr>
          <w:p w14:paraId="3B67845C" w14:textId="5606D16E" w:rsidR="00EA13E6" w:rsidRPr="009C5C7C" w:rsidRDefault="00EA13E6" w:rsidP="00F45B4D">
            <w:pPr>
              <w:ind w:left="426" w:hanging="426"/>
              <w:jc w:val="center"/>
              <w:rPr>
                <w:b/>
                <w:sz w:val="18"/>
                <w:szCs w:val="18"/>
                <w:lang w:val="en-GB"/>
              </w:rPr>
            </w:pPr>
            <w:proofErr w:type="spellStart"/>
            <w:r w:rsidRPr="009C5C7C">
              <w:rPr>
                <w:b/>
                <w:sz w:val="18"/>
                <w:szCs w:val="18"/>
                <w:lang w:val="en-GB"/>
              </w:rPr>
              <w:t>Propioni</w:t>
            </w:r>
            <w:proofErr w:type="spellEnd"/>
            <w:r w:rsidR="00FB0B80" w:rsidRPr="009C5C7C">
              <w:rPr>
                <w:bCs/>
                <w:sz w:val="18"/>
                <w:szCs w:val="18"/>
                <w:lang w:val="en-GB"/>
              </w:rPr>
              <w:t>-</w:t>
            </w:r>
          </w:p>
        </w:tc>
        <w:tc>
          <w:tcPr>
            <w:tcW w:w="1341" w:type="dxa"/>
            <w:gridSpan w:val="2"/>
            <w:tcBorders>
              <w:top w:val="single" w:sz="4" w:space="0" w:color="auto"/>
              <w:left w:val="nil"/>
              <w:right w:val="nil"/>
            </w:tcBorders>
            <w:shd w:val="clear" w:color="auto" w:fill="auto"/>
            <w:noWrap/>
            <w:vAlign w:val="bottom"/>
          </w:tcPr>
          <w:p w14:paraId="0D4D87C1" w14:textId="77777777" w:rsidR="00EA13E6" w:rsidRPr="009C5C7C" w:rsidRDefault="00EA13E6" w:rsidP="00F45B4D">
            <w:pPr>
              <w:ind w:left="426" w:hanging="426"/>
              <w:jc w:val="center"/>
              <w:rPr>
                <w:b/>
                <w:sz w:val="18"/>
                <w:szCs w:val="18"/>
                <w:lang w:val="en-GB"/>
              </w:rPr>
            </w:pPr>
            <w:r w:rsidRPr="009C5C7C">
              <w:rPr>
                <w:b/>
                <w:sz w:val="18"/>
                <w:szCs w:val="18"/>
                <w:lang w:val="en-GB"/>
              </w:rPr>
              <w:t>Lactic acid</w:t>
            </w:r>
          </w:p>
        </w:tc>
        <w:tc>
          <w:tcPr>
            <w:tcW w:w="1342" w:type="dxa"/>
            <w:tcBorders>
              <w:top w:val="single" w:sz="4" w:space="0" w:color="auto"/>
              <w:left w:val="nil"/>
              <w:right w:val="nil"/>
            </w:tcBorders>
            <w:shd w:val="clear" w:color="auto" w:fill="auto"/>
            <w:vAlign w:val="bottom"/>
          </w:tcPr>
          <w:p w14:paraId="725DB1C8" w14:textId="77777777" w:rsidR="00EA13E6" w:rsidRPr="009C5C7C" w:rsidRDefault="00EA13E6" w:rsidP="00F45B4D">
            <w:pPr>
              <w:ind w:left="426" w:hanging="426"/>
              <w:jc w:val="center"/>
              <w:rPr>
                <w:b/>
                <w:sz w:val="18"/>
                <w:szCs w:val="18"/>
                <w:lang w:val="en-GB"/>
              </w:rPr>
            </w:pPr>
            <w:r w:rsidRPr="009C5C7C">
              <w:rPr>
                <w:b/>
                <w:sz w:val="18"/>
                <w:szCs w:val="18"/>
                <w:lang w:val="en-GB"/>
              </w:rPr>
              <w:t>Acetic acid</w:t>
            </w:r>
          </w:p>
        </w:tc>
        <w:tc>
          <w:tcPr>
            <w:tcW w:w="1281" w:type="dxa"/>
            <w:tcBorders>
              <w:top w:val="single" w:sz="4" w:space="0" w:color="auto"/>
              <w:left w:val="nil"/>
              <w:right w:val="nil"/>
            </w:tcBorders>
            <w:shd w:val="clear" w:color="auto" w:fill="auto"/>
            <w:noWrap/>
            <w:vAlign w:val="bottom"/>
          </w:tcPr>
          <w:p w14:paraId="0F7A281E" w14:textId="77777777" w:rsidR="00EA13E6" w:rsidRPr="009C5C7C" w:rsidRDefault="00EA13E6" w:rsidP="00F45B4D">
            <w:pPr>
              <w:ind w:left="426" w:hanging="426"/>
              <w:jc w:val="center"/>
              <w:rPr>
                <w:b/>
                <w:sz w:val="18"/>
                <w:szCs w:val="18"/>
                <w:lang w:val="en-GB"/>
              </w:rPr>
            </w:pPr>
            <w:r w:rsidRPr="009C5C7C">
              <w:rPr>
                <w:b/>
                <w:sz w:val="18"/>
                <w:szCs w:val="18"/>
                <w:lang w:val="en-GB"/>
              </w:rPr>
              <w:t>Propionic acid</w:t>
            </w:r>
          </w:p>
        </w:tc>
      </w:tr>
      <w:tr w:rsidR="00EA13E6" w:rsidRPr="009C5C7C" w14:paraId="4FEB1428" w14:textId="77777777" w:rsidTr="003A2367">
        <w:trPr>
          <w:jc w:val="center"/>
        </w:trPr>
        <w:tc>
          <w:tcPr>
            <w:tcW w:w="1277" w:type="dxa"/>
            <w:tcBorders>
              <w:left w:val="nil"/>
              <w:bottom w:val="single" w:sz="4" w:space="0" w:color="auto"/>
              <w:right w:val="nil"/>
            </w:tcBorders>
            <w:shd w:val="clear" w:color="auto" w:fill="auto"/>
            <w:noWrap/>
          </w:tcPr>
          <w:p w14:paraId="2A605BC2" w14:textId="77777777" w:rsidR="00EA13E6" w:rsidRPr="009C5C7C" w:rsidRDefault="00EA13E6" w:rsidP="00F45B4D">
            <w:pPr>
              <w:tabs>
                <w:tab w:val="left" w:pos="284"/>
              </w:tabs>
              <w:ind w:left="426" w:hanging="426"/>
              <w:jc w:val="both"/>
              <w:rPr>
                <w:b/>
                <w:sz w:val="18"/>
                <w:szCs w:val="18"/>
                <w:lang w:val="en-GB"/>
              </w:rPr>
            </w:pPr>
            <w:r w:rsidRPr="009C5C7C">
              <w:rPr>
                <w:b/>
                <w:sz w:val="18"/>
                <w:szCs w:val="18"/>
                <w:lang w:val="en-GB"/>
              </w:rPr>
              <w:t>batches</w:t>
            </w:r>
          </w:p>
        </w:tc>
        <w:tc>
          <w:tcPr>
            <w:tcW w:w="1278" w:type="dxa"/>
            <w:tcBorders>
              <w:left w:val="nil"/>
              <w:bottom w:val="single" w:sz="4" w:space="0" w:color="auto"/>
              <w:right w:val="nil"/>
            </w:tcBorders>
            <w:shd w:val="clear" w:color="auto" w:fill="auto"/>
            <w:noWrap/>
          </w:tcPr>
          <w:p w14:paraId="4DACEC2E" w14:textId="77777777" w:rsidR="00EA13E6" w:rsidRPr="009C5C7C" w:rsidRDefault="00EA13E6" w:rsidP="00F45B4D">
            <w:pPr>
              <w:ind w:left="426" w:hanging="426"/>
              <w:jc w:val="center"/>
              <w:rPr>
                <w:b/>
                <w:sz w:val="18"/>
                <w:szCs w:val="18"/>
                <w:lang w:val="en-GB"/>
              </w:rPr>
            </w:pPr>
            <w:r w:rsidRPr="009C5C7C">
              <w:rPr>
                <w:b/>
                <w:sz w:val="18"/>
                <w:szCs w:val="18"/>
                <w:lang w:val="en-GB"/>
              </w:rPr>
              <w:t>time (h)</w:t>
            </w:r>
          </w:p>
        </w:tc>
        <w:tc>
          <w:tcPr>
            <w:tcW w:w="1278" w:type="dxa"/>
            <w:tcBorders>
              <w:left w:val="nil"/>
              <w:bottom w:val="single" w:sz="4" w:space="0" w:color="auto"/>
              <w:right w:val="nil"/>
            </w:tcBorders>
            <w:shd w:val="clear" w:color="auto" w:fill="auto"/>
            <w:noWrap/>
          </w:tcPr>
          <w:p w14:paraId="7DED7E38" w14:textId="77777777" w:rsidR="00EA13E6" w:rsidRPr="009C5C7C" w:rsidRDefault="00EA13E6" w:rsidP="00F45B4D">
            <w:pPr>
              <w:ind w:left="426" w:hanging="426"/>
              <w:jc w:val="center"/>
              <w:rPr>
                <w:b/>
                <w:sz w:val="18"/>
                <w:szCs w:val="18"/>
                <w:lang w:val="en-GB"/>
              </w:rPr>
            </w:pPr>
            <w:r w:rsidRPr="009C5C7C">
              <w:rPr>
                <w:b/>
                <w:sz w:val="18"/>
                <w:szCs w:val="18"/>
                <w:lang w:val="en-GB"/>
              </w:rPr>
              <w:t>(ng/g)</w:t>
            </w:r>
          </w:p>
        </w:tc>
        <w:tc>
          <w:tcPr>
            <w:tcW w:w="1278" w:type="dxa"/>
            <w:tcBorders>
              <w:left w:val="nil"/>
              <w:bottom w:val="single" w:sz="4" w:space="0" w:color="auto"/>
              <w:right w:val="nil"/>
            </w:tcBorders>
            <w:shd w:val="clear" w:color="auto" w:fill="auto"/>
            <w:noWrap/>
          </w:tcPr>
          <w:p w14:paraId="1B101E8F" w14:textId="77777777" w:rsidR="00EA13E6" w:rsidRPr="009C5C7C" w:rsidRDefault="00EA13E6" w:rsidP="00F45B4D">
            <w:pPr>
              <w:ind w:left="426" w:hanging="426"/>
              <w:jc w:val="center"/>
              <w:rPr>
                <w:b/>
                <w:sz w:val="18"/>
                <w:szCs w:val="18"/>
                <w:lang w:val="en-GB"/>
              </w:rPr>
            </w:pPr>
            <w:r w:rsidRPr="009C5C7C">
              <w:rPr>
                <w:b/>
                <w:sz w:val="18"/>
                <w:szCs w:val="18"/>
                <w:lang w:val="en-GB"/>
              </w:rPr>
              <w:t>bacteria</w:t>
            </w:r>
          </w:p>
        </w:tc>
        <w:tc>
          <w:tcPr>
            <w:tcW w:w="1278" w:type="dxa"/>
            <w:tcBorders>
              <w:left w:val="nil"/>
              <w:bottom w:val="single" w:sz="4" w:space="0" w:color="auto"/>
              <w:right w:val="nil"/>
            </w:tcBorders>
            <w:shd w:val="clear" w:color="auto" w:fill="auto"/>
            <w:noWrap/>
          </w:tcPr>
          <w:p w14:paraId="5471234C" w14:textId="77777777" w:rsidR="00EA13E6" w:rsidRPr="009C5C7C" w:rsidRDefault="00EA13E6" w:rsidP="00F45B4D">
            <w:pPr>
              <w:ind w:left="426" w:hanging="426"/>
              <w:jc w:val="center"/>
              <w:rPr>
                <w:b/>
                <w:sz w:val="18"/>
                <w:szCs w:val="18"/>
                <w:lang w:val="en-GB"/>
              </w:rPr>
            </w:pPr>
            <w:r w:rsidRPr="009C5C7C">
              <w:rPr>
                <w:b/>
                <w:sz w:val="18"/>
                <w:szCs w:val="18"/>
                <w:lang w:val="en-GB"/>
              </w:rPr>
              <w:t>bacteria</w:t>
            </w:r>
          </w:p>
        </w:tc>
        <w:tc>
          <w:tcPr>
            <w:tcW w:w="1405" w:type="dxa"/>
            <w:gridSpan w:val="2"/>
            <w:tcBorders>
              <w:left w:val="nil"/>
              <w:bottom w:val="single" w:sz="4" w:space="0" w:color="auto"/>
              <w:right w:val="nil"/>
            </w:tcBorders>
            <w:shd w:val="clear" w:color="auto" w:fill="auto"/>
            <w:noWrap/>
          </w:tcPr>
          <w:p w14:paraId="1364022A" w14:textId="77777777" w:rsidR="00EA13E6" w:rsidRPr="009C5C7C" w:rsidRDefault="00EA13E6" w:rsidP="00F45B4D">
            <w:pPr>
              <w:ind w:left="426" w:hanging="426"/>
              <w:jc w:val="center"/>
              <w:rPr>
                <w:b/>
                <w:sz w:val="18"/>
                <w:szCs w:val="18"/>
                <w:lang w:val="en-GB"/>
              </w:rPr>
            </w:pPr>
            <w:r w:rsidRPr="009C5C7C">
              <w:rPr>
                <w:b/>
                <w:sz w:val="18"/>
                <w:szCs w:val="18"/>
                <w:lang w:val="en-GB"/>
              </w:rPr>
              <w:t>(mg/g)</w:t>
            </w:r>
          </w:p>
        </w:tc>
        <w:tc>
          <w:tcPr>
            <w:tcW w:w="1281" w:type="dxa"/>
            <w:tcBorders>
              <w:left w:val="nil"/>
              <w:bottom w:val="single" w:sz="4" w:space="0" w:color="auto"/>
              <w:right w:val="nil"/>
            </w:tcBorders>
            <w:shd w:val="clear" w:color="auto" w:fill="auto"/>
            <w:noWrap/>
          </w:tcPr>
          <w:p w14:paraId="7EB3B9C7" w14:textId="77777777" w:rsidR="00EA13E6" w:rsidRPr="009C5C7C" w:rsidRDefault="00EA13E6" w:rsidP="00F45B4D">
            <w:pPr>
              <w:ind w:left="426" w:hanging="426"/>
              <w:jc w:val="center"/>
              <w:rPr>
                <w:b/>
                <w:sz w:val="18"/>
                <w:szCs w:val="18"/>
                <w:lang w:val="en-GB"/>
              </w:rPr>
            </w:pPr>
            <w:r w:rsidRPr="009C5C7C">
              <w:rPr>
                <w:b/>
                <w:sz w:val="18"/>
                <w:szCs w:val="18"/>
                <w:lang w:val="en-GB"/>
              </w:rPr>
              <w:t>(mg/g)</w:t>
            </w:r>
          </w:p>
        </w:tc>
      </w:tr>
      <w:tr w:rsidR="00EA13E6" w:rsidRPr="009C5C7C" w14:paraId="17492E80" w14:textId="77777777" w:rsidTr="003A2367">
        <w:trPr>
          <w:jc w:val="center"/>
        </w:trPr>
        <w:tc>
          <w:tcPr>
            <w:tcW w:w="1277" w:type="dxa"/>
            <w:tcBorders>
              <w:top w:val="single" w:sz="4" w:space="0" w:color="auto"/>
              <w:left w:val="nil"/>
              <w:right w:val="nil"/>
            </w:tcBorders>
            <w:shd w:val="clear" w:color="auto" w:fill="auto"/>
            <w:noWrap/>
            <w:vAlign w:val="center"/>
          </w:tcPr>
          <w:p w14:paraId="08712EF5" w14:textId="77777777" w:rsidR="00EA13E6" w:rsidRPr="009C5C7C" w:rsidRDefault="00EA13E6" w:rsidP="00F45B4D">
            <w:pPr>
              <w:ind w:left="426" w:hanging="426"/>
              <w:rPr>
                <w:bCs/>
                <w:sz w:val="18"/>
                <w:szCs w:val="18"/>
                <w:lang w:val="en-GB"/>
              </w:rPr>
            </w:pPr>
            <w:r w:rsidRPr="009C5C7C">
              <w:rPr>
                <w:bCs/>
                <w:sz w:val="18"/>
                <w:szCs w:val="18"/>
                <w:lang w:val="en-GB"/>
              </w:rPr>
              <w:t>1</w:t>
            </w:r>
          </w:p>
        </w:tc>
        <w:tc>
          <w:tcPr>
            <w:tcW w:w="1278" w:type="dxa"/>
            <w:tcBorders>
              <w:top w:val="single" w:sz="4" w:space="0" w:color="auto"/>
              <w:left w:val="nil"/>
              <w:right w:val="nil"/>
            </w:tcBorders>
            <w:shd w:val="clear" w:color="auto" w:fill="auto"/>
            <w:noWrap/>
            <w:vAlign w:val="center"/>
          </w:tcPr>
          <w:p w14:paraId="79231A1C" w14:textId="77777777" w:rsidR="00EA13E6" w:rsidRPr="009C5C7C" w:rsidRDefault="00EA13E6" w:rsidP="00F45B4D">
            <w:pPr>
              <w:ind w:left="426" w:hanging="426"/>
              <w:jc w:val="center"/>
              <w:rPr>
                <w:bCs/>
                <w:sz w:val="18"/>
                <w:szCs w:val="18"/>
                <w:lang w:val="en-GB"/>
              </w:rPr>
            </w:pPr>
            <w:r w:rsidRPr="009C5C7C">
              <w:rPr>
                <w:bCs/>
                <w:sz w:val="18"/>
                <w:szCs w:val="18"/>
                <w:lang w:val="en-GB"/>
              </w:rPr>
              <w:t>0</w:t>
            </w:r>
          </w:p>
        </w:tc>
        <w:tc>
          <w:tcPr>
            <w:tcW w:w="1278" w:type="dxa"/>
            <w:tcBorders>
              <w:top w:val="single" w:sz="4" w:space="0" w:color="auto"/>
              <w:left w:val="nil"/>
              <w:right w:val="nil"/>
            </w:tcBorders>
            <w:shd w:val="clear" w:color="auto" w:fill="auto"/>
            <w:noWrap/>
            <w:vAlign w:val="center"/>
          </w:tcPr>
          <w:p w14:paraId="52AD8B59" w14:textId="77777777" w:rsidR="00EA13E6" w:rsidRPr="009C5C7C" w:rsidRDefault="00EA13E6" w:rsidP="00F45B4D">
            <w:pPr>
              <w:ind w:left="426" w:hanging="426"/>
              <w:jc w:val="center"/>
              <w:rPr>
                <w:bCs/>
                <w:sz w:val="18"/>
                <w:szCs w:val="18"/>
                <w:lang w:val="en-GB"/>
              </w:rPr>
            </w:pPr>
          </w:p>
        </w:tc>
        <w:tc>
          <w:tcPr>
            <w:tcW w:w="1278" w:type="dxa"/>
            <w:tcBorders>
              <w:top w:val="single" w:sz="4" w:space="0" w:color="auto"/>
              <w:left w:val="nil"/>
              <w:right w:val="nil"/>
            </w:tcBorders>
            <w:shd w:val="clear" w:color="auto" w:fill="auto"/>
            <w:noWrap/>
            <w:vAlign w:val="center"/>
          </w:tcPr>
          <w:p w14:paraId="66C7B3D1" w14:textId="77777777" w:rsidR="00EA13E6" w:rsidRPr="009C5C7C" w:rsidRDefault="00EA13E6" w:rsidP="00F45B4D">
            <w:pPr>
              <w:ind w:left="426" w:hanging="426"/>
              <w:jc w:val="center"/>
              <w:rPr>
                <w:bCs/>
                <w:sz w:val="18"/>
                <w:szCs w:val="18"/>
                <w:lang w:val="en-GB"/>
              </w:rPr>
            </w:pPr>
            <w:r w:rsidRPr="009C5C7C">
              <w:rPr>
                <w:bCs/>
                <w:sz w:val="18"/>
                <w:szCs w:val="18"/>
                <w:lang w:val="en-GB"/>
              </w:rPr>
              <w:t>8.64±0.09</w:t>
            </w:r>
          </w:p>
        </w:tc>
        <w:tc>
          <w:tcPr>
            <w:tcW w:w="1278" w:type="dxa"/>
            <w:tcBorders>
              <w:top w:val="single" w:sz="4" w:space="0" w:color="auto"/>
              <w:left w:val="nil"/>
              <w:right w:val="nil"/>
            </w:tcBorders>
            <w:shd w:val="clear" w:color="auto" w:fill="auto"/>
            <w:noWrap/>
            <w:vAlign w:val="center"/>
          </w:tcPr>
          <w:p w14:paraId="164A34A4" w14:textId="77777777" w:rsidR="00EA13E6" w:rsidRPr="009C5C7C" w:rsidRDefault="00EA13E6" w:rsidP="00F45B4D">
            <w:pPr>
              <w:ind w:left="426" w:hanging="426"/>
              <w:jc w:val="center"/>
              <w:rPr>
                <w:bCs/>
                <w:sz w:val="18"/>
                <w:szCs w:val="18"/>
                <w:lang w:val="en-GB"/>
              </w:rPr>
            </w:pPr>
            <w:r w:rsidRPr="009C5C7C">
              <w:rPr>
                <w:bCs/>
                <w:sz w:val="18"/>
                <w:szCs w:val="18"/>
                <w:lang w:val="en-GB"/>
              </w:rPr>
              <w:t>3.13±0.12</w:t>
            </w:r>
          </w:p>
        </w:tc>
        <w:tc>
          <w:tcPr>
            <w:tcW w:w="1405" w:type="dxa"/>
            <w:gridSpan w:val="2"/>
            <w:tcBorders>
              <w:top w:val="single" w:sz="4" w:space="0" w:color="auto"/>
              <w:left w:val="nil"/>
              <w:right w:val="nil"/>
            </w:tcBorders>
            <w:shd w:val="clear" w:color="auto" w:fill="auto"/>
            <w:noWrap/>
            <w:vAlign w:val="center"/>
          </w:tcPr>
          <w:p w14:paraId="37D237A5" w14:textId="77777777" w:rsidR="00EA13E6" w:rsidRPr="009C5C7C" w:rsidRDefault="00EA13E6" w:rsidP="00F45B4D">
            <w:pPr>
              <w:ind w:left="426" w:hanging="426"/>
              <w:jc w:val="center"/>
              <w:rPr>
                <w:bCs/>
                <w:sz w:val="18"/>
                <w:szCs w:val="18"/>
                <w:lang w:val="en-GB"/>
              </w:rPr>
            </w:pPr>
          </w:p>
        </w:tc>
        <w:tc>
          <w:tcPr>
            <w:tcW w:w="1281" w:type="dxa"/>
            <w:tcBorders>
              <w:top w:val="single" w:sz="4" w:space="0" w:color="auto"/>
              <w:left w:val="nil"/>
              <w:right w:val="nil"/>
            </w:tcBorders>
            <w:shd w:val="clear" w:color="auto" w:fill="auto"/>
            <w:noWrap/>
            <w:vAlign w:val="center"/>
          </w:tcPr>
          <w:p w14:paraId="16AD7409" w14:textId="77777777" w:rsidR="00EA13E6" w:rsidRPr="009C5C7C" w:rsidRDefault="00EA13E6" w:rsidP="00F45B4D">
            <w:pPr>
              <w:ind w:left="426" w:hanging="426"/>
              <w:jc w:val="center"/>
              <w:rPr>
                <w:bCs/>
                <w:sz w:val="18"/>
                <w:szCs w:val="18"/>
                <w:lang w:val="en-GB"/>
              </w:rPr>
            </w:pPr>
          </w:p>
        </w:tc>
      </w:tr>
      <w:tr w:rsidR="00EA13E6" w:rsidRPr="009C5C7C" w14:paraId="551DE984" w14:textId="77777777" w:rsidTr="003A2367">
        <w:trPr>
          <w:jc w:val="center"/>
        </w:trPr>
        <w:tc>
          <w:tcPr>
            <w:tcW w:w="1277" w:type="dxa"/>
            <w:tcBorders>
              <w:left w:val="nil"/>
              <w:right w:val="nil"/>
            </w:tcBorders>
            <w:shd w:val="clear" w:color="auto" w:fill="auto"/>
            <w:noWrap/>
            <w:vAlign w:val="center"/>
          </w:tcPr>
          <w:p w14:paraId="6D89A4F0" w14:textId="77777777" w:rsidR="00EA13E6" w:rsidRPr="009C5C7C" w:rsidRDefault="00EA13E6" w:rsidP="00F45B4D">
            <w:pPr>
              <w:ind w:left="426" w:hanging="426"/>
              <w:rPr>
                <w:bCs/>
                <w:sz w:val="18"/>
                <w:szCs w:val="18"/>
                <w:lang w:val="en-GB"/>
              </w:rPr>
            </w:pPr>
            <w:r w:rsidRPr="009C5C7C">
              <w:rPr>
                <w:bCs/>
                <w:sz w:val="18"/>
                <w:szCs w:val="18"/>
                <w:lang w:val="en-GB"/>
              </w:rPr>
              <w:t>1</w:t>
            </w:r>
          </w:p>
        </w:tc>
        <w:tc>
          <w:tcPr>
            <w:tcW w:w="1278" w:type="dxa"/>
            <w:tcBorders>
              <w:left w:val="nil"/>
              <w:right w:val="nil"/>
            </w:tcBorders>
            <w:shd w:val="clear" w:color="auto" w:fill="auto"/>
            <w:noWrap/>
            <w:vAlign w:val="center"/>
          </w:tcPr>
          <w:p w14:paraId="54896D1E" w14:textId="77777777" w:rsidR="00EA13E6" w:rsidRPr="009C5C7C" w:rsidRDefault="00EA13E6" w:rsidP="00F45B4D">
            <w:pPr>
              <w:ind w:left="426" w:hanging="426"/>
              <w:jc w:val="center"/>
              <w:rPr>
                <w:bCs/>
                <w:sz w:val="18"/>
                <w:szCs w:val="18"/>
                <w:lang w:val="en-GB"/>
              </w:rPr>
            </w:pPr>
            <w:r w:rsidRPr="009C5C7C">
              <w:rPr>
                <w:bCs/>
                <w:sz w:val="18"/>
                <w:szCs w:val="18"/>
                <w:lang w:val="en-GB"/>
              </w:rPr>
              <w:t>72</w:t>
            </w:r>
          </w:p>
        </w:tc>
        <w:tc>
          <w:tcPr>
            <w:tcW w:w="1278" w:type="dxa"/>
            <w:tcBorders>
              <w:left w:val="nil"/>
              <w:right w:val="nil"/>
            </w:tcBorders>
            <w:shd w:val="clear" w:color="auto" w:fill="auto"/>
            <w:noWrap/>
            <w:vAlign w:val="center"/>
          </w:tcPr>
          <w:p w14:paraId="372C0153" w14:textId="77777777" w:rsidR="00EA13E6" w:rsidRPr="009C5C7C" w:rsidRDefault="00EA13E6" w:rsidP="00F45B4D">
            <w:pPr>
              <w:ind w:left="426" w:hanging="426"/>
              <w:jc w:val="center"/>
              <w:rPr>
                <w:bCs/>
                <w:sz w:val="18"/>
                <w:szCs w:val="18"/>
                <w:lang w:val="en-GB"/>
              </w:rPr>
            </w:pPr>
            <w:r w:rsidRPr="009C5C7C">
              <w:rPr>
                <w:bCs/>
                <w:sz w:val="18"/>
                <w:szCs w:val="18"/>
                <w:lang w:val="en-GB"/>
              </w:rPr>
              <w:t>211.3</w:t>
            </w:r>
            <w:r w:rsidRPr="009C5C7C">
              <w:rPr>
                <w:bCs/>
                <w:sz w:val="18"/>
                <w:szCs w:val="18"/>
                <w:vertAlign w:val="superscript"/>
                <w:lang w:val="en-GB"/>
              </w:rPr>
              <w:t>a</w:t>
            </w:r>
            <w:r w:rsidRPr="009C5C7C">
              <w:rPr>
                <w:bCs/>
                <w:sz w:val="18"/>
                <w:szCs w:val="18"/>
                <w:lang w:val="en-GB"/>
              </w:rPr>
              <w:t>±22.9</w:t>
            </w:r>
          </w:p>
        </w:tc>
        <w:tc>
          <w:tcPr>
            <w:tcW w:w="1278" w:type="dxa"/>
            <w:tcBorders>
              <w:left w:val="nil"/>
              <w:right w:val="nil"/>
            </w:tcBorders>
            <w:shd w:val="clear" w:color="auto" w:fill="auto"/>
            <w:noWrap/>
            <w:vAlign w:val="center"/>
          </w:tcPr>
          <w:p w14:paraId="2E3B966F" w14:textId="77777777" w:rsidR="00EA13E6" w:rsidRPr="009C5C7C" w:rsidRDefault="00EA13E6" w:rsidP="00F45B4D">
            <w:pPr>
              <w:ind w:left="426" w:hanging="426"/>
              <w:jc w:val="center"/>
              <w:rPr>
                <w:bCs/>
                <w:sz w:val="18"/>
                <w:szCs w:val="18"/>
                <w:lang w:val="en-GB"/>
              </w:rPr>
            </w:pPr>
            <w:r w:rsidRPr="009C5C7C">
              <w:rPr>
                <w:bCs/>
                <w:sz w:val="18"/>
                <w:szCs w:val="18"/>
                <w:lang w:val="en-GB"/>
              </w:rPr>
              <w:t>9.93±0.04</w:t>
            </w:r>
          </w:p>
        </w:tc>
        <w:tc>
          <w:tcPr>
            <w:tcW w:w="1278" w:type="dxa"/>
            <w:tcBorders>
              <w:left w:val="nil"/>
              <w:right w:val="nil"/>
            </w:tcBorders>
            <w:shd w:val="clear" w:color="auto" w:fill="auto"/>
            <w:noWrap/>
            <w:vAlign w:val="center"/>
          </w:tcPr>
          <w:p w14:paraId="3F06EC87" w14:textId="77777777" w:rsidR="00EA13E6" w:rsidRPr="009C5C7C" w:rsidRDefault="00EA13E6" w:rsidP="00F45B4D">
            <w:pPr>
              <w:ind w:left="426" w:hanging="426"/>
              <w:jc w:val="center"/>
              <w:rPr>
                <w:bCs/>
                <w:sz w:val="18"/>
                <w:szCs w:val="18"/>
                <w:lang w:val="en-GB"/>
              </w:rPr>
            </w:pPr>
            <w:r w:rsidRPr="009C5C7C">
              <w:rPr>
                <w:bCs/>
                <w:sz w:val="18"/>
                <w:szCs w:val="18"/>
                <w:lang w:val="en-GB"/>
              </w:rPr>
              <w:t>4.86±0.20</w:t>
            </w:r>
          </w:p>
        </w:tc>
        <w:tc>
          <w:tcPr>
            <w:tcW w:w="1405" w:type="dxa"/>
            <w:gridSpan w:val="2"/>
            <w:tcBorders>
              <w:left w:val="nil"/>
              <w:right w:val="nil"/>
            </w:tcBorders>
            <w:shd w:val="clear" w:color="auto" w:fill="auto"/>
            <w:noWrap/>
            <w:vAlign w:val="center"/>
          </w:tcPr>
          <w:p w14:paraId="07ACC679" w14:textId="77777777" w:rsidR="00EA13E6" w:rsidRPr="009C5C7C" w:rsidRDefault="00EA13E6" w:rsidP="00F45B4D">
            <w:pPr>
              <w:ind w:left="426" w:hanging="426"/>
              <w:jc w:val="center"/>
              <w:rPr>
                <w:bCs/>
                <w:sz w:val="18"/>
                <w:szCs w:val="18"/>
                <w:lang w:val="en-GB"/>
              </w:rPr>
            </w:pPr>
            <w:r w:rsidRPr="009C5C7C">
              <w:rPr>
                <w:bCs/>
                <w:sz w:val="18"/>
                <w:szCs w:val="18"/>
                <w:lang w:val="en-GB"/>
              </w:rPr>
              <w:t>2.81±0.01</w:t>
            </w:r>
          </w:p>
        </w:tc>
        <w:tc>
          <w:tcPr>
            <w:tcW w:w="1281" w:type="dxa"/>
            <w:tcBorders>
              <w:left w:val="nil"/>
              <w:right w:val="nil"/>
            </w:tcBorders>
            <w:shd w:val="clear" w:color="auto" w:fill="auto"/>
            <w:noWrap/>
            <w:vAlign w:val="center"/>
          </w:tcPr>
          <w:p w14:paraId="0A46B1C1" w14:textId="77777777" w:rsidR="00EA13E6" w:rsidRPr="009C5C7C" w:rsidRDefault="00EA13E6" w:rsidP="00F45B4D">
            <w:pPr>
              <w:ind w:left="426" w:hanging="426"/>
              <w:jc w:val="center"/>
              <w:rPr>
                <w:bCs/>
                <w:sz w:val="18"/>
                <w:szCs w:val="18"/>
                <w:lang w:val="en-GB"/>
              </w:rPr>
            </w:pPr>
            <w:r w:rsidRPr="009C5C7C">
              <w:rPr>
                <w:bCs/>
                <w:sz w:val="18"/>
                <w:szCs w:val="18"/>
                <w:lang w:val="en-GB"/>
              </w:rPr>
              <w:t>4.05±0.01</w:t>
            </w:r>
          </w:p>
        </w:tc>
      </w:tr>
      <w:tr w:rsidR="00EA13E6" w:rsidRPr="009C5C7C" w14:paraId="5EB2CA15" w14:textId="77777777" w:rsidTr="003A2367">
        <w:trPr>
          <w:jc w:val="center"/>
        </w:trPr>
        <w:tc>
          <w:tcPr>
            <w:tcW w:w="1277" w:type="dxa"/>
            <w:tcBorders>
              <w:left w:val="nil"/>
              <w:right w:val="nil"/>
            </w:tcBorders>
            <w:shd w:val="clear" w:color="auto" w:fill="auto"/>
            <w:noWrap/>
            <w:vAlign w:val="center"/>
          </w:tcPr>
          <w:p w14:paraId="779453D4" w14:textId="77777777" w:rsidR="00EA13E6" w:rsidRPr="009C5C7C" w:rsidRDefault="00EA13E6" w:rsidP="00F45B4D">
            <w:pPr>
              <w:ind w:left="426" w:hanging="426"/>
              <w:rPr>
                <w:bCs/>
                <w:sz w:val="18"/>
                <w:szCs w:val="18"/>
                <w:lang w:val="en-GB"/>
              </w:rPr>
            </w:pPr>
            <w:r w:rsidRPr="009C5C7C">
              <w:rPr>
                <w:bCs/>
                <w:sz w:val="18"/>
                <w:szCs w:val="18"/>
                <w:lang w:val="en-GB"/>
              </w:rPr>
              <w:t>2</w:t>
            </w:r>
          </w:p>
        </w:tc>
        <w:tc>
          <w:tcPr>
            <w:tcW w:w="1278" w:type="dxa"/>
            <w:tcBorders>
              <w:left w:val="nil"/>
              <w:right w:val="nil"/>
            </w:tcBorders>
            <w:shd w:val="clear" w:color="auto" w:fill="auto"/>
            <w:noWrap/>
            <w:vAlign w:val="center"/>
          </w:tcPr>
          <w:p w14:paraId="1060D4EB" w14:textId="77777777" w:rsidR="00EA13E6" w:rsidRPr="009C5C7C" w:rsidRDefault="00EA13E6" w:rsidP="00F45B4D">
            <w:pPr>
              <w:ind w:left="426" w:hanging="426"/>
              <w:jc w:val="center"/>
              <w:rPr>
                <w:bCs/>
                <w:sz w:val="18"/>
                <w:szCs w:val="18"/>
                <w:lang w:val="en-GB"/>
              </w:rPr>
            </w:pPr>
            <w:r w:rsidRPr="009C5C7C">
              <w:rPr>
                <w:bCs/>
                <w:sz w:val="18"/>
                <w:szCs w:val="18"/>
                <w:lang w:val="en-GB"/>
              </w:rPr>
              <w:t>0</w:t>
            </w:r>
          </w:p>
        </w:tc>
        <w:tc>
          <w:tcPr>
            <w:tcW w:w="1278" w:type="dxa"/>
            <w:tcBorders>
              <w:left w:val="nil"/>
              <w:right w:val="nil"/>
            </w:tcBorders>
            <w:shd w:val="clear" w:color="auto" w:fill="auto"/>
            <w:noWrap/>
            <w:vAlign w:val="center"/>
          </w:tcPr>
          <w:p w14:paraId="6DD4FA3C" w14:textId="77777777" w:rsidR="00EA13E6" w:rsidRPr="009C5C7C" w:rsidRDefault="00EA13E6" w:rsidP="00F45B4D">
            <w:pPr>
              <w:ind w:left="426" w:hanging="426"/>
              <w:jc w:val="center"/>
              <w:rPr>
                <w:bCs/>
                <w:sz w:val="18"/>
                <w:szCs w:val="18"/>
                <w:lang w:val="en-GB"/>
              </w:rPr>
            </w:pPr>
          </w:p>
        </w:tc>
        <w:tc>
          <w:tcPr>
            <w:tcW w:w="1278" w:type="dxa"/>
            <w:tcBorders>
              <w:left w:val="nil"/>
              <w:right w:val="nil"/>
            </w:tcBorders>
            <w:shd w:val="clear" w:color="auto" w:fill="auto"/>
            <w:noWrap/>
            <w:vAlign w:val="center"/>
          </w:tcPr>
          <w:p w14:paraId="1E90B8D9" w14:textId="77777777" w:rsidR="00EA13E6" w:rsidRPr="009C5C7C" w:rsidRDefault="00EA13E6" w:rsidP="00F45B4D">
            <w:pPr>
              <w:ind w:left="426" w:hanging="426"/>
              <w:jc w:val="center"/>
              <w:rPr>
                <w:bCs/>
                <w:sz w:val="18"/>
                <w:szCs w:val="18"/>
                <w:lang w:val="en-GB"/>
              </w:rPr>
            </w:pPr>
            <w:r w:rsidRPr="009C5C7C">
              <w:rPr>
                <w:bCs/>
                <w:sz w:val="18"/>
                <w:szCs w:val="18"/>
                <w:lang w:val="en-GB"/>
              </w:rPr>
              <w:t>8.63±0.04</w:t>
            </w:r>
          </w:p>
        </w:tc>
        <w:tc>
          <w:tcPr>
            <w:tcW w:w="1278" w:type="dxa"/>
            <w:tcBorders>
              <w:left w:val="nil"/>
              <w:right w:val="nil"/>
            </w:tcBorders>
            <w:shd w:val="clear" w:color="auto" w:fill="auto"/>
            <w:noWrap/>
            <w:vAlign w:val="center"/>
          </w:tcPr>
          <w:p w14:paraId="311029C9" w14:textId="77777777" w:rsidR="00EA13E6" w:rsidRPr="009C5C7C" w:rsidRDefault="00EA13E6" w:rsidP="00F45B4D">
            <w:pPr>
              <w:ind w:left="426" w:hanging="426"/>
              <w:jc w:val="center"/>
              <w:rPr>
                <w:bCs/>
                <w:sz w:val="18"/>
                <w:szCs w:val="18"/>
                <w:lang w:val="en-GB"/>
              </w:rPr>
            </w:pPr>
            <w:r w:rsidRPr="009C5C7C">
              <w:rPr>
                <w:bCs/>
                <w:sz w:val="18"/>
                <w:szCs w:val="18"/>
                <w:lang w:val="en-GB"/>
              </w:rPr>
              <w:t>3.76±0.07</w:t>
            </w:r>
          </w:p>
        </w:tc>
        <w:tc>
          <w:tcPr>
            <w:tcW w:w="1405" w:type="dxa"/>
            <w:gridSpan w:val="2"/>
            <w:tcBorders>
              <w:left w:val="nil"/>
              <w:right w:val="nil"/>
            </w:tcBorders>
            <w:shd w:val="clear" w:color="auto" w:fill="auto"/>
            <w:noWrap/>
            <w:vAlign w:val="center"/>
          </w:tcPr>
          <w:p w14:paraId="541FCC66" w14:textId="77777777" w:rsidR="00EA13E6" w:rsidRPr="009C5C7C" w:rsidRDefault="00EA13E6" w:rsidP="00F45B4D">
            <w:pPr>
              <w:ind w:left="426" w:hanging="426"/>
              <w:jc w:val="center"/>
              <w:rPr>
                <w:bCs/>
                <w:sz w:val="18"/>
                <w:szCs w:val="18"/>
                <w:lang w:val="en-GB"/>
              </w:rPr>
            </w:pPr>
          </w:p>
        </w:tc>
        <w:tc>
          <w:tcPr>
            <w:tcW w:w="1281" w:type="dxa"/>
            <w:tcBorders>
              <w:left w:val="nil"/>
              <w:right w:val="nil"/>
            </w:tcBorders>
            <w:shd w:val="clear" w:color="auto" w:fill="auto"/>
            <w:noWrap/>
            <w:vAlign w:val="center"/>
          </w:tcPr>
          <w:p w14:paraId="62F150BA" w14:textId="77777777" w:rsidR="00EA13E6" w:rsidRPr="009C5C7C" w:rsidRDefault="00EA13E6" w:rsidP="00F45B4D">
            <w:pPr>
              <w:ind w:left="426" w:hanging="426"/>
              <w:jc w:val="center"/>
              <w:rPr>
                <w:bCs/>
                <w:sz w:val="18"/>
                <w:szCs w:val="18"/>
                <w:lang w:val="en-GB"/>
              </w:rPr>
            </w:pPr>
          </w:p>
        </w:tc>
      </w:tr>
      <w:tr w:rsidR="00EA13E6" w:rsidRPr="009C5C7C" w14:paraId="6E36DB61" w14:textId="77777777" w:rsidTr="003A2367">
        <w:trPr>
          <w:jc w:val="center"/>
        </w:trPr>
        <w:tc>
          <w:tcPr>
            <w:tcW w:w="1277" w:type="dxa"/>
            <w:tcBorders>
              <w:left w:val="nil"/>
              <w:bottom w:val="nil"/>
              <w:right w:val="nil"/>
            </w:tcBorders>
            <w:shd w:val="clear" w:color="auto" w:fill="auto"/>
            <w:noWrap/>
            <w:vAlign w:val="center"/>
          </w:tcPr>
          <w:p w14:paraId="0BFF71A8" w14:textId="77777777" w:rsidR="00EA13E6" w:rsidRPr="009C5C7C" w:rsidRDefault="00EA13E6" w:rsidP="00F45B4D">
            <w:pPr>
              <w:ind w:left="426" w:hanging="426"/>
              <w:rPr>
                <w:bCs/>
                <w:sz w:val="18"/>
                <w:szCs w:val="18"/>
                <w:lang w:val="en-GB"/>
              </w:rPr>
            </w:pPr>
            <w:r w:rsidRPr="009C5C7C">
              <w:rPr>
                <w:bCs/>
                <w:sz w:val="18"/>
                <w:szCs w:val="18"/>
                <w:lang w:val="en-GB"/>
              </w:rPr>
              <w:t>2</w:t>
            </w:r>
          </w:p>
        </w:tc>
        <w:tc>
          <w:tcPr>
            <w:tcW w:w="1278" w:type="dxa"/>
            <w:tcBorders>
              <w:left w:val="nil"/>
              <w:bottom w:val="nil"/>
              <w:right w:val="nil"/>
            </w:tcBorders>
            <w:shd w:val="clear" w:color="auto" w:fill="auto"/>
            <w:noWrap/>
            <w:vAlign w:val="center"/>
          </w:tcPr>
          <w:p w14:paraId="61B7EE54" w14:textId="77777777" w:rsidR="00EA13E6" w:rsidRPr="009C5C7C" w:rsidRDefault="00EA13E6" w:rsidP="00F45B4D">
            <w:pPr>
              <w:ind w:left="426" w:hanging="426"/>
              <w:jc w:val="center"/>
              <w:rPr>
                <w:bCs/>
                <w:sz w:val="18"/>
                <w:szCs w:val="18"/>
                <w:lang w:val="en-GB"/>
              </w:rPr>
            </w:pPr>
            <w:r w:rsidRPr="009C5C7C">
              <w:rPr>
                <w:bCs/>
                <w:sz w:val="18"/>
                <w:szCs w:val="18"/>
                <w:lang w:val="en-GB"/>
              </w:rPr>
              <w:t>72</w:t>
            </w:r>
          </w:p>
        </w:tc>
        <w:tc>
          <w:tcPr>
            <w:tcW w:w="1278" w:type="dxa"/>
            <w:tcBorders>
              <w:left w:val="nil"/>
              <w:bottom w:val="nil"/>
              <w:right w:val="nil"/>
            </w:tcBorders>
            <w:shd w:val="clear" w:color="auto" w:fill="auto"/>
            <w:noWrap/>
            <w:vAlign w:val="center"/>
          </w:tcPr>
          <w:p w14:paraId="683F0479" w14:textId="77777777" w:rsidR="00EA13E6" w:rsidRPr="009C5C7C" w:rsidRDefault="00EA13E6" w:rsidP="00F45B4D">
            <w:pPr>
              <w:ind w:left="426" w:hanging="426"/>
              <w:jc w:val="center"/>
              <w:rPr>
                <w:bCs/>
                <w:sz w:val="18"/>
                <w:szCs w:val="18"/>
                <w:lang w:val="en-GB"/>
              </w:rPr>
            </w:pPr>
            <w:r w:rsidRPr="009C5C7C">
              <w:rPr>
                <w:bCs/>
                <w:sz w:val="18"/>
                <w:szCs w:val="18"/>
                <w:lang w:val="en-GB"/>
              </w:rPr>
              <w:t>206.5</w:t>
            </w:r>
            <w:r w:rsidRPr="009C5C7C">
              <w:rPr>
                <w:bCs/>
                <w:sz w:val="18"/>
                <w:szCs w:val="18"/>
                <w:vertAlign w:val="superscript"/>
                <w:lang w:val="en-GB"/>
              </w:rPr>
              <w:t>a</w:t>
            </w:r>
            <w:r w:rsidRPr="009C5C7C">
              <w:rPr>
                <w:bCs/>
                <w:sz w:val="18"/>
                <w:szCs w:val="18"/>
                <w:lang w:val="en-GB"/>
              </w:rPr>
              <w:t>±25.8</w:t>
            </w:r>
          </w:p>
        </w:tc>
        <w:tc>
          <w:tcPr>
            <w:tcW w:w="1278" w:type="dxa"/>
            <w:tcBorders>
              <w:left w:val="nil"/>
              <w:bottom w:val="nil"/>
              <w:right w:val="nil"/>
            </w:tcBorders>
            <w:shd w:val="clear" w:color="auto" w:fill="auto"/>
            <w:noWrap/>
            <w:vAlign w:val="center"/>
          </w:tcPr>
          <w:p w14:paraId="549B8EBE" w14:textId="77777777" w:rsidR="00EA13E6" w:rsidRPr="009C5C7C" w:rsidRDefault="00EA13E6" w:rsidP="00F45B4D">
            <w:pPr>
              <w:ind w:left="426" w:hanging="426"/>
              <w:jc w:val="center"/>
              <w:rPr>
                <w:bCs/>
                <w:sz w:val="18"/>
                <w:szCs w:val="18"/>
                <w:lang w:val="en-GB"/>
              </w:rPr>
            </w:pPr>
            <w:r w:rsidRPr="009C5C7C">
              <w:rPr>
                <w:bCs/>
                <w:sz w:val="18"/>
                <w:szCs w:val="18"/>
                <w:lang w:val="en-GB"/>
              </w:rPr>
              <w:t>9.98±0.01</w:t>
            </w:r>
          </w:p>
        </w:tc>
        <w:tc>
          <w:tcPr>
            <w:tcW w:w="1278" w:type="dxa"/>
            <w:tcBorders>
              <w:left w:val="nil"/>
              <w:bottom w:val="nil"/>
              <w:right w:val="nil"/>
            </w:tcBorders>
            <w:shd w:val="clear" w:color="auto" w:fill="auto"/>
            <w:noWrap/>
            <w:vAlign w:val="center"/>
          </w:tcPr>
          <w:p w14:paraId="6EBFE15E" w14:textId="77777777" w:rsidR="00EA13E6" w:rsidRPr="009C5C7C" w:rsidRDefault="00EA13E6" w:rsidP="00F45B4D">
            <w:pPr>
              <w:ind w:left="426" w:hanging="426"/>
              <w:jc w:val="center"/>
              <w:rPr>
                <w:bCs/>
                <w:sz w:val="18"/>
                <w:szCs w:val="18"/>
                <w:lang w:val="en-GB"/>
              </w:rPr>
            </w:pPr>
            <w:r w:rsidRPr="009C5C7C">
              <w:rPr>
                <w:bCs/>
                <w:sz w:val="18"/>
                <w:szCs w:val="18"/>
                <w:lang w:val="en-GB"/>
              </w:rPr>
              <w:t>5.31±0.51</w:t>
            </w:r>
          </w:p>
        </w:tc>
        <w:tc>
          <w:tcPr>
            <w:tcW w:w="1405" w:type="dxa"/>
            <w:gridSpan w:val="2"/>
            <w:tcBorders>
              <w:left w:val="nil"/>
              <w:bottom w:val="nil"/>
              <w:right w:val="nil"/>
            </w:tcBorders>
            <w:shd w:val="clear" w:color="auto" w:fill="auto"/>
            <w:noWrap/>
            <w:vAlign w:val="center"/>
          </w:tcPr>
          <w:p w14:paraId="5235C4E4" w14:textId="77777777" w:rsidR="00EA13E6" w:rsidRPr="009C5C7C" w:rsidRDefault="00EA13E6" w:rsidP="00F45B4D">
            <w:pPr>
              <w:ind w:left="426" w:hanging="426"/>
              <w:jc w:val="center"/>
              <w:rPr>
                <w:bCs/>
                <w:sz w:val="18"/>
                <w:szCs w:val="18"/>
                <w:lang w:val="en-GB"/>
              </w:rPr>
            </w:pPr>
            <w:r w:rsidRPr="009C5C7C">
              <w:rPr>
                <w:bCs/>
                <w:sz w:val="18"/>
                <w:szCs w:val="18"/>
                <w:lang w:val="en-GB"/>
              </w:rPr>
              <w:t>2.78±0.01</w:t>
            </w:r>
          </w:p>
        </w:tc>
        <w:tc>
          <w:tcPr>
            <w:tcW w:w="1281" w:type="dxa"/>
            <w:tcBorders>
              <w:left w:val="nil"/>
              <w:bottom w:val="nil"/>
              <w:right w:val="nil"/>
            </w:tcBorders>
            <w:shd w:val="clear" w:color="auto" w:fill="auto"/>
            <w:noWrap/>
            <w:vAlign w:val="center"/>
          </w:tcPr>
          <w:p w14:paraId="73CF2E79" w14:textId="77777777" w:rsidR="00EA13E6" w:rsidRPr="009C5C7C" w:rsidRDefault="00EA13E6" w:rsidP="00F45B4D">
            <w:pPr>
              <w:ind w:left="426" w:hanging="426"/>
              <w:jc w:val="center"/>
              <w:rPr>
                <w:bCs/>
                <w:sz w:val="18"/>
                <w:szCs w:val="18"/>
                <w:lang w:val="en-GB"/>
              </w:rPr>
            </w:pPr>
            <w:r w:rsidRPr="009C5C7C">
              <w:rPr>
                <w:bCs/>
                <w:sz w:val="18"/>
                <w:szCs w:val="18"/>
                <w:lang w:val="en-GB"/>
              </w:rPr>
              <w:t>4.03±0.01</w:t>
            </w:r>
          </w:p>
        </w:tc>
      </w:tr>
      <w:tr w:rsidR="00EA13E6" w:rsidRPr="009C5C7C" w14:paraId="583CB041" w14:textId="77777777" w:rsidTr="003A2367">
        <w:trPr>
          <w:jc w:val="center"/>
        </w:trPr>
        <w:tc>
          <w:tcPr>
            <w:tcW w:w="1277" w:type="dxa"/>
            <w:tcBorders>
              <w:top w:val="single" w:sz="4" w:space="0" w:color="auto"/>
              <w:left w:val="nil"/>
              <w:bottom w:val="nil"/>
              <w:right w:val="nil"/>
            </w:tcBorders>
            <w:shd w:val="clear" w:color="auto" w:fill="auto"/>
            <w:noWrap/>
            <w:vAlign w:val="center"/>
            <w:hideMark/>
          </w:tcPr>
          <w:p w14:paraId="498B0928" w14:textId="77777777" w:rsidR="00EA13E6" w:rsidRPr="009C5C7C" w:rsidRDefault="00EA13E6" w:rsidP="00F45B4D">
            <w:pPr>
              <w:tabs>
                <w:tab w:val="left" w:pos="284"/>
              </w:tabs>
              <w:ind w:left="426" w:hanging="426"/>
              <w:jc w:val="both"/>
              <w:rPr>
                <w:b/>
                <w:sz w:val="18"/>
                <w:szCs w:val="18"/>
                <w:lang w:val="en-GB"/>
              </w:rPr>
            </w:pPr>
            <w:r w:rsidRPr="009C5C7C">
              <w:rPr>
                <w:b/>
                <w:sz w:val="18"/>
                <w:szCs w:val="18"/>
                <w:lang w:val="en-GB"/>
              </w:rPr>
              <w:t>Bread</w:t>
            </w:r>
          </w:p>
        </w:tc>
        <w:tc>
          <w:tcPr>
            <w:tcW w:w="1278" w:type="dxa"/>
            <w:tcBorders>
              <w:top w:val="single" w:sz="4" w:space="0" w:color="auto"/>
              <w:left w:val="nil"/>
              <w:bottom w:val="nil"/>
              <w:right w:val="nil"/>
            </w:tcBorders>
            <w:shd w:val="clear" w:color="auto" w:fill="auto"/>
            <w:noWrap/>
            <w:vAlign w:val="center"/>
            <w:hideMark/>
          </w:tcPr>
          <w:p w14:paraId="75EB132D" w14:textId="77777777" w:rsidR="00EA13E6" w:rsidRPr="009C5C7C" w:rsidRDefault="00EA13E6" w:rsidP="00F45B4D">
            <w:pPr>
              <w:ind w:left="426" w:hanging="426"/>
              <w:jc w:val="center"/>
              <w:rPr>
                <w:b/>
                <w:sz w:val="18"/>
                <w:szCs w:val="18"/>
                <w:lang w:val="en-GB"/>
              </w:rPr>
            </w:pPr>
            <w:r w:rsidRPr="009C5C7C">
              <w:rPr>
                <w:b/>
                <w:sz w:val="18"/>
                <w:szCs w:val="18"/>
                <w:lang w:val="en-GB"/>
              </w:rPr>
              <w:t>Enrichment</w:t>
            </w:r>
          </w:p>
        </w:tc>
        <w:tc>
          <w:tcPr>
            <w:tcW w:w="1278" w:type="dxa"/>
            <w:tcBorders>
              <w:top w:val="single" w:sz="4" w:space="0" w:color="auto"/>
              <w:left w:val="nil"/>
              <w:bottom w:val="nil"/>
              <w:right w:val="nil"/>
            </w:tcBorders>
            <w:shd w:val="clear" w:color="auto" w:fill="auto"/>
            <w:noWrap/>
            <w:vAlign w:val="center"/>
            <w:hideMark/>
          </w:tcPr>
          <w:p w14:paraId="564BA8C5" w14:textId="77777777" w:rsidR="00EA13E6" w:rsidRPr="001C5968" w:rsidRDefault="00EA13E6" w:rsidP="00F45B4D">
            <w:pPr>
              <w:ind w:left="426" w:hanging="426"/>
              <w:jc w:val="center"/>
              <w:rPr>
                <w:b/>
                <w:sz w:val="18"/>
                <w:szCs w:val="18"/>
                <w:lang w:val="en-GB"/>
              </w:rPr>
            </w:pPr>
            <w:r w:rsidRPr="001C5968">
              <w:rPr>
                <w:b/>
                <w:sz w:val="18"/>
                <w:szCs w:val="18"/>
                <w:lang w:val="en-GB"/>
              </w:rPr>
              <w:t>B12</w:t>
            </w:r>
          </w:p>
        </w:tc>
        <w:tc>
          <w:tcPr>
            <w:tcW w:w="1278" w:type="dxa"/>
            <w:tcBorders>
              <w:top w:val="single" w:sz="4" w:space="0" w:color="auto"/>
              <w:left w:val="nil"/>
              <w:bottom w:val="nil"/>
              <w:right w:val="nil"/>
            </w:tcBorders>
            <w:shd w:val="clear" w:color="auto" w:fill="auto"/>
            <w:noWrap/>
            <w:vAlign w:val="center"/>
            <w:hideMark/>
          </w:tcPr>
          <w:p w14:paraId="2F967E7C" w14:textId="77777777" w:rsidR="00EA13E6" w:rsidRPr="009C5C7C" w:rsidRDefault="00EA13E6" w:rsidP="00F45B4D">
            <w:pPr>
              <w:ind w:left="426" w:hanging="426"/>
              <w:jc w:val="center"/>
              <w:rPr>
                <w:b/>
                <w:sz w:val="18"/>
                <w:szCs w:val="18"/>
                <w:lang w:val="en-GB"/>
              </w:rPr>
            </w:pPr>
            <w:r w:rsidRPr="009C5C7C">
              <w:rPr>
                <w:b/>
                <w:sz w:val="18"/>
                <w:szCs w:val="18"/>
                <w:lang w:val="en-GB"/>
              </w:rPr>
              <w:t>Baking loss</w:t>
            </w:r>
          </w:p>
        </w:tc>
        <w:tc>
          <w:tcPr>
            <w:tcW w:w="1278" w:type="dxa"/>
            <w:tcBorders>
              <w:top w:val="single" w:sz="4" w:space="0" w:color="auto"/>
              <w:left w:val="nil"/>
              <w:bottom w:val="nil"/>
              <w:right w:val="nil"/>
            </w:tcBorders>
            <w:shd w:val="clear" w:color="auto" w:fill="auto"/>
            <w:noWrap/>
            <w:vAlign w:val="center"/>
            <w:hideMark/>
          </w:tcPr>
          <w:p w14:paraId="3B7F2A9F" w14:textId="77777777" w:rsidR="00EA13E6" w:rsidRPr="009C5C7C" w:rsidRDefault="00EA13E6" w:rsidP="00F45B4D">
            <w:pPr>
              <w:ind w:left="426" w:hanging="426"/>
              <w:jc w:val="center"/>
              <w:rPr>
                <w:b/>
                <w:sz w:val="18"/>
                <w:szCs w:val="18"/>
                <w:lang w:val="en-GB"/>
              </w:rPr>
            </w:pPr>
            <w:r w:rsidRPr="009C5C7C">
              <w:rPr>
                <w:b/>
                <w:sz w:val="18"/>
                <w:szCs w:val="18"/>
                <w:lang w:val="en-GB"/>
              </w:rPr>
              <w:t>Volume</w:t>
            </w:r>
          </w:p>
        </w:tc>
        <w:tc>
          <w:tcPr>
            <w:tcW w:w="1405" w:type="dxa"/>
            <w:gridSpan w:val="2"/>
            <w:tcBorders>
              <w:top w:val="single" w:sz="4" w:space="0" w:color="auto"/>
              <w:left w:val="nil"/>
              <w:bottom w:val="nil"/>
              <w:right w:val="nil"/>
            </w:tcBorders>
            <w:shd w:val="clear" w:color="auto" w:fill="auto"/>
            <w:noWrap/>
            <w:vAlign w:val="center"/>
            <w:hideMark/>
          </w:tcPr>
          <w:p w14:paraId="1892EBDB" w14:textId="77777777" w:rsidR="00EA13E6" w:rsidRPr="009C5C7C" w:rsidRDefault="00EA13E6" w:rsidP="00F45B4D">
            <w:pPr>
              <w:ind w:left="426" w:hanging="426"/>
              <w:jc w:val="center"/>
              <w:rPr>
                <w:b/>
                <w:sz w:val="18"/>
                <w:szCs w:val="18"/>
                <w:lang w:val="en-GB"/>
              </w:rPr>
            </w:pPr>
            <w:r w:rsidRPr="009C5C7C">
              <w:rPr>
                <w:b/>
                <w:sz w:val="18"/>
                <w:szCs w:val="18"/>
                <w:lang w:val="en-GB"/>
              </w:rPr>
              <w:t>Specific volume</w:t>
            </w:r>
          </w:p>
        </w:tc>
        <w:tc>
          <w:tcPr>
            <w:tcW w:w="1281" w:type="dxa"/>
            <w:tcBorders>
              <w:top w:val="single" w:sz="4" w:space="0" w:color="auto"/>
              <w:left w:val="nil"/>
              <w:bottom w:val="nil"/>
              <w:right w:val="nil"/>
            </w:tcBorders>
            <w:shd w:val="clear" w:color="auto" w:fill="auto"/>
            <w:noWrap/>
            <w:vAlign w:val="center"/>
            <w:hideMark/>
          </w:tcPr>
          <w:p w14:paraId="576EFF15" w14:textId="77777777" w:rsidR="00EA13E6" w:rsidRPr="009C5C7C" w:rsidRDefault="00EA13E6" w:rsidP="00F45B4D">
            <w:pPr>
              <w:ind w:left="426" w:hanging="426"/>
              <w:jc w:val="center"/>
              <w:rPr>
                <w:b/>
                <w:sz w:val="18"/>
                <w:szCs w:val="18"/>
                <w:lang w:val="en-GB"/>
              </w:rPr>
            </w:pPr>
            <w:r w:rsidRPr="009C5C7C">
              <w:rPr>
                <w:b/>
                <w:sz w:val="18"/>
                <w:szCs w:val="18"/>
                <w:lang w:val="en-GB"/>
              </w:rPr>
              <w:t>Hardness</w:t>
            </w:r>
          </w:p>
        </w:tc>
      </w:tr>
      <w:tr w:rsidR="00EA13E6" w:rsidRPr="009C5C7C" w14:paraId="1BBF5CB2" w14:textId="77777777" w:rsidTr="003A2367">
        <w:trPr>
          <w:jc w:val="center"/>
        </w:trPr>
        <w:tc>
          <w:tcPr>
            <w:tcW w:w="1277" w:type="dxa"/>
            <w:tcBorders>
              <w:top w:val="nil"/>
              <w:left w:val="nil"/>
              <w:bottom w:val="single" w:sz="4" w:space="0" w:color="auto"/>
              <w:right w:val="nil"/>
            </w:tcBorders>
            <w:shd w:val="clear" w:color="auto" w:fill="auto"/>
            <w:noWrap/>
            <w:vAlign w:val="center"/>
          </w:tcPr>
          <w:p w14:paraId="2B428F79" w14:textId="77777777" w:rsidR="00EA13E6" w:rsidRPr="009C5C7C" w:rsidRDefault="00EA13E6" w:rsidP="00F45B4D">
            <w:pPr>
              <w:tabs>
                <w:tab w:val="left" w:pos="284"/>
              </w:tabs>
              <w:ind w:left="426" w:hanging="426"/>
              <w:jc w:val="both"/>
              <w:rPr>
                <w:b/>
                <w:sz w:val="18"/>
                <w:szCs w:val="18"/>
                <w:lang w:val="en-GB"/>
              </w:rPr>
            </w:pPr>
            <w:r w:rsidRPr="009C5C7C">
              <w:rPr>
                <w:b/>
                <w:sz w:val="18"/>
                <w:szCs w:val="18"/>
                <w:lang w:val="en-GB"/>
              </w:rPr>
              <w:t>batches</w:t>
            </w:r>
          </w:p>
        </w:tc>
        <w:tc>
          <w:tcPr>
            <w:tcW w:w="1278" w:type="dxa"/>
            <w:tcBorders>
              <w:top w:val="nil"/>
              <w:left w:val="nil"/>
              <w:bottom w:val="single" w:sz="4" w:space="0" w:color="auto"/>
              <w:right w:val="nil"/>
            </w:tcBorders>
            <w:shd w:val="clear" w:color="auto" w:fill="auto"/>
            <w:noWrap/>
            <w:vAlign w:val="center"/>
          </w:tcPr>
          <w:p w14:paraId="3386D0FA" w14:textId="77777777" w:rsidR="00EA13E6" w:rsidRPr="009C5C7C" w:rsidRDefault="00EA13E6" w:rsidP="00F45B4D">
            <w:pPr>
              <w:ind w:left="426" w:hanging="426"/>
              <w:jc w:val="center"/>
              <w:rPr>
                <w:b/>
                <w:sz w:val="18"/>
                <w:szCs w:val="18"/>
                <w:lang w:val="en-GB"/>
              </w:rPr>
            </w:pPr>
            <w:r w:rsidRPr="009C5C7C">
              <w:rPr>
                <w:b/>
                <w:sz w:val="18"/>
                <w:szCs w:val="18"/>
                <w:lang w:val="en-GB"/>
              </w:rPr>
              <w:t>(%)</w:t>
            </w:r>
          </w:p>
        </w:tc>
        <w:tc>
          <w:tcPr>
            <w:tcW w:w="1278" w:type="dxa"/>
            <w:tcBorders>
              <w:top w:val="nil"/>
              <w:left w:val="nil"/>
              <w:bottom w:val="single" w:sz="4" w:space="0" w:color="auto"/>
              <w:right w:val="nil"/>
            </w:tcBorders>
            <w:shd w:val="clear" w:color="auto" w:fill="auto"/>
            <w:noWrap/>
            <w:vAlign w:val="center"/>
          </w:tcPr>
          <w:p w14:paraId="560BCD40" w14:textId="77777777" w:rsidR="00EA13E6" w:rsidRPr="009C5C7C" w:rsidRDefault="00EA13E6" w:rsidP="00F45B4D">
            <w:pPr>
              <w:ind w:left="426" w:hanging="426"/>
              <w:jc w:val="center"/>
              <w:rPr>
                <w:b/>
                <w:sz w:val="18"/>
                <w:szCs w:val="18"/>
                <w:lang w:val="en-GB"/>
              </w:rPr>
            </w:pPr>
            <w:r w:rsidRPr="009C5C7C">
              <w:rPr>
                <w:b/>
                <w:sz w:val="18"/>
                <w:szCs w:val="18"/>
                <w:lang w:val="en-GB"/>
              </w:rPr>
              <w:t>(ng/g)</w:t>
            </w:r>
          </w:p>
        </w:tc>
        <w:tc>
          <w:tcPr>
            <w:tcW w:w="1278" w:type="dxa"/>
            <w:tcBorders>
              <w:top w:val="nil"/>
              <w:left w:val="nil"/>
              <w:bottom w:val="single" w:sz="4" w:space="0" w:color="auto"/>
              <w:right w:val="nil"/>
            </w:tcBorders>
            <w:shd w:val="clear" w:color="auto" w:fill="auto"/>
            <w:noWrap/>
            <w:vAlign w:val="center"/>
          </w:tcPr>
          <w:p w14:paraId="1DCE0690" w14:textId="77777777" w:rsidR="00EA13E6" w:rsidRPr="009C5C7C" w:rsidRDefault="00EA13E6" w:rsidP="00F45B4D">
            <w:pPr>
              <w:ind w:left="426" w:hanging="426"/>
              <w:jc w:val="center"/>
              <w:rPr>
                <w:b/>
                <w:sz w:val="18"/>
                <w:szCs w:val="18"/>
                <w:lang w:val="en-GB"/>
              </w:rPr>
            </w:pPr>
            <w:r w:rsidRPr="009C5C7C">
              <w:rPr>
                <w:b/>
                <w:sz w:val="18"/>
                <w:szCs w:val="18"/>
                <w:lang w:val="en-GB"/>
              </w:rPr>
              <w:t>(%)</w:t>
            </w:r>
          </w:p>
        </w:tc>
        <w:tc>
          <w:tcPr>
            <w:tcW w:w="1278" w:type="dxa"/>
            <w:tcBorders>
              <w:top w:val="nil"/>
              <w:left w:val="nil"/>
              <w:bottom w:val="single" w:sz="4" w:space="0" w:color="auto"/>
              <w:right w:val="nil"/>
            </w:tcBorders>
            <w:shd w:val="clear" w:color="auto" w:fill="auto"/>
            <w:noWrap/>
            <w:vAlign w:val="center"/>
          </w:tcPr>
          <w:p w14:paraId="03DE94E3" w14:textId="77777777" w:rsidR="00EA13E6" w:rsidRPr="009C5C7C" w:rsidRDefault="00EA13E6" w:rsidP="00F45B4D">
            <w:pPr>
              <w:ind w:left="426" w:hanging="426"/>
              <w:jc w:val="center"/>
              <w:rPr>
                <w:b/>
                <w:sz w:val="18"/>
                <w:szCs w:val="18"/>
                <w:lang w:val="en-GB"/>
              </w:rPr>
            </w:pPr>
            <w:r w:rsidRPr="009C5C7C">
              <w:rPr>
                <w:b/>
                <w:sz w:val="18"/>
                <w:szCs w:val="18"/>
                <w:lang w:val="en-GB"/>
              </w:rPr>
              <w:t>(ml)</w:t>
            </w:r>
          </w:p>
        </w:tc>
        <w:tc>
          <w:tcPr>
            <w:tcW w:w="1405" w:type="dxa"/>
            <w:gridSpan w:val="2"/>
            <w:tcBorders>
              <w:top w:val="nil"/>
              <w:left w:val="nil"/>
              <w:bottom w:val="single" w:sz="4" w:space="0" w:color="auto"/>
              <w:right w:val="nil"/>
            </w:tcBorders>
            <w:shd w:val="clear" w:color="auto" w:fill="auto"/>
            <w:noWrap/>
            <w:vAlign w:val="center"/>
          </w:tcPr>
          <w:p w14:paraId="0D028263" w14:textId="77777777" w:rsidR="00EA13E6" w:rsidRPr="009C5C7C" w:rsidRDefault="00EA13E6" w:rsidP="00F45B4D">
            <w:pPr>
              <w:ind w:left="426" w:hanging="426"/>
              <w:jc w:val="center"/>
              <w:rPr>
                <w:b/>
                <w:sz w:val="18"/>
                <w:szCs w:val="18"/>
                <w:lang w:val="en-GB"/>
              </w:rPr>
            </w:pPr>
            <w:r w:rsidRPr="009C5C7C">
              <w:rPr>
                <w:b/>
                <w:sz w:val="18"/>
                <w:szCs w:val="18"/>
                <w:lang w:val="en-GB"/>
              </w:rPr>
              <w:t>(ml/g)</w:t>
            </w:r>
          </w:p>
        </w:tc>
        <w:tc>
          <w:tcPr>
            <w:tcW w:w="1281" w:type="dxa"/>
            <w:tcBorders>
              <w:top w:val="nil"/>
              <w:left w:val="nil"/>
              <w:bottom w:val="single" w:sz="4" w:space="0" w:color="auto"/>
              <w:right w:val="nil"/>
            </w:tcBorders>
            <w:shd w:val="clear" w:color="auto" w:fill="auto"/>
            <w:noWrap/>
            <w:vAlign w:val="center"/>
          </w:tcPr>
          <w:p w14:paraId="3450D31A" w14:textId="77777777" w:rsidR="00EA13E6" w:rsidRPr="009C5C7C" w:rsidRDefault="00EA13E6" w:rsidP="00F45B4D">
            <w:pPr>
              <w:ind w:left="426" w:hanging="426"/>
              <w:jc w:val="center"/>
              <w:rPr>
                <w:b/>
                <w:sz w:val="18"/>
                <w:szCs w:val="18"/>
                <w:lang w:val="en-GB"/>
              </w:rPr>
            </w:pPr>
            <w:r w:rsidRPr="009C5C7C">
              <w:rPr>
                <w:b/>
                <w:sz w:val="18"/>
                <w:szCs w:val="18"/>
                <w:lang w:val="en-GB"/>
              </w:rPr>
              <w:t>(N)</w:t>
            </w:r>
          </w:p>
        </w:tc>
      </w:tr>
      <w:tr w:rsidR="00EA13E6" w:rsidRPr="009C5C7C" w14:paraId="1AF7DA29" w14:textId="77777777" w:rsidTr="003A2367">
        <w:trPr>
          <w:jc w:val="center"/>
        </w:trPr>
        <w:tc>
          <w:tcPr>
            <w:tcW w:w="1277" w:type="dxa"/>
            <w:tcBorders>
              <w:top w:val="single" w:sz="4" w:space="0" w:color="auto"/>
              <w:left w:val="nil"/>
              <w:bottom w:val="nil"/>
              <w:right w:val="nil"/>
            </w:tcBorders>
            <w:shd w:val="clear" w:color="auto" w:fill="auto"/>
            <w:noWrap/>
            <w:vAlign w:val="center"/>
            <w:hideMark/>
          </w:tcPr>
          <w:p w14:paraId="1753E0BF" w14:textId="77777777" w:rsidR="00EA13E6" w:rsidRPr="009C5C7C" w:rsidRDefault="00EA13E6" w:rsidP="00F45B4D">
            <w:pPr>
              <w:ind w:left="426" w:hanging="426"/>
              <w:rPr>
                <w:bCs/>
                <w:sz w:val="18"/>
                <w:szCs w:val="18"/>
                <w:lang w:val="en-GB"/>
              </w:rPr>
            </w:pPr>
            <w:r w:rsidRPr="009C5C7C">
              <w:rPr>
                <w:bCs/>
                <w:sz w:val="18"/>
                <w:szCs w:val="18"/>
                <w:lang w:val="en-GB"/>
              </w:rPr>
              <w:t>Control</w:t>
            </w:r>
          </w:p>
        </w:tc>
        <w:tc>
          <w:tcPr>
            <w:tcW w:w="1278" w:type="dxa"/>
            <w:tcBorders>
              <w:top w:val="single" w:sz="4" w:space="0" w:color="auto"/>
              <w:left w:val="nil"/>
              <w:bottom w:val="nil"/>
              <w:right w:val="nil"/>
            </w:tcBorders>
            <w:shd w:val="clear" w:color="auto" w:fill="auto"/>
            <w:noWrap/>
            <w:vAlign w:val="center"/>
            <w:hideMark/>
          </w:tcPr>
          <w:p w14:paraId="07E1CF30" w14:textId="77777777" w:rsidR="00EA13E6" w:rsidRPr="009C5C7C" w:rsidRDefault="00EA13E6" w:rsidP="00F45B4D">
            <w:pPr>
              <w:ind w:left="426" w:hanging="426"/>
              <w:jc w:val="center"/>
              <w:rPr>
                <w:bCs/>
                <w:sz w:val="18"/>
                <w:szCs w:val="18"/>
                <w:lang w:val="en-GB"/>
              </w:rPr>
            </w:pPr>
            <w:r w:rsidRPr="009C5C7C">
              <w:rPr>
                <w:bCs/>
                <w:sz w:val="18"/>
                <w:szCs w:val="18"/>
                <w:lang w:val="en-GB"/>
              </w:rPr>
              <w:t>0</w:t>
            </w:r>
          </w:p>
        </w:tc>
        <w:tc>
          <w:tcPr>
            <w:tcW w:w="1278" w:type="dxa"/>
            <w:tcBorders>
              <w:top w:val="single" w:sz="4" w:space="0" w:color="auto"/>
              <w:left w:val="nil"/>
              <w:bottom w:val="nil"/>
              <w:right w:val="nil"/>
            </w:tcBorders>
            <w:shd w:val="clear" w:color="auto" w:fill="auto"/>
            <w:noWrap/>
            <w:vAlign w:val="center"/>
            <w:hideMark/>
          </w:tcPr>
          <w:p w14:paraId="7CD62912" w14:textId="77777777" w:rsidR="00EA13E6" w:rsidRPr="009C5C7C" w:rsidRDefault="00EA13E6" w:rsidP="00F45B4D">
            <w:pPr>
              <w:ind w:left="426" w:hanging="426"/>
              <w:jc w:val="center"/>
              <w:rPr>
                <w:bCs/>
                <w:sz w:val="18"/>
                <w:szCs w:val="18"/>
                <w:lang w:val="en-GB"/>
              </w:rPr>
            </w:pPr>
          </w:p>
        </w:tc>
        <w:tc>
          <w:tcPr>
            <w:tcW w:w="1278" w:type="dxa"/>
            <w:tcBorders>
              <w:top w:val="single" w:sz="4" w:space="0" w:color="auto"/>
              <w:left w:val="nil"/>
              <w:bottom w:val="nil"/>
              <w:right w:val="nil"/>
            </w:tcBorders>
            <w:shd w:val="clear" w:color="auto" w:fill="auto"/>
            <w:noWrap/>
            <w:vAlign w:val="center"/>
            <w:hideMark/>
          </w:tcPr>
          <w:p w14:paraId="3EF28010" w14:textId="77777777" w:rsidR="00EA13E6" w:rsidRPr="009C5C7C" w:rsidRDefault="00EA13E6" w:rsidP="00F45B4D">
            <w:pPr>
              <w:ind w:left="426" w:hanging="426"/>
              <w:jc w:val="center"/>
              <w:rPr>
                <w:bCs/>
                <w:sz w:val="18"/>
                <w:szCs w:val="18"/>
                <w:lang w:val="en-GB"/>
              </w:rPr>
            </w:pPr>
            <w:r w:rsidRPr="009C5C7C">
              <w:rPr>
                <w:bCs/>
                <w:sz w:val="18"/>
                <w:szCs w:val="18"/>
                <w:lang w:val="en-GB"/>
              </w:rPr>
              <w:t>13.3</w:t>
            </w:r>
            <w:r w:rsidRPr="009C5C7C">
              <w:rPr>
                <w:bCs/>
                <w:sz w:val="18"/>
                <w:szCs w:val="18"/>
                <w:vertAlign w:val="superscript"/>
                <w:lang w:val="en-GB"/>
              </w:rPr>
              <w:t>a</w:t>
            </w:r>
            <w:r w:rsidRPr="009C5C7C">
              <w:rPr>
                <w:bCs/>
                <w:sz w:val="18"/>
                <w:szCs w:val="18"/>
                <w:lang w:val="en-GB"/>
              </w:rPr>
              <w:t xml:space="preserve"> ±0.5</w:t>
            </w:r>
          </w:p>
        </w:tc>
        <w:tc>
          <w:tcPr>
            <w:tcW w:w="1278" w:type="dxa"/>
            <w:tcBorders>
              <w:top w:val="single" w:sz="4" w:space="0" w:color="auto"/>
              <w:left w:val="nil"/>
              <w:bottom w:val="nil"/>
              <w:right w:val="nil"/>
            </w:tcBorders>
            <w:shd w:val="clear" w:color="auto" w:fill="auto"/>
            <w:noWrap/>
            <w:vAlign w:val="center"/>
            <w:hideMark/>
          </w:tcPr>
          <w:p w14:paraId="7827CEA2" w14:textId="77777777" w:rsidR="00EA13E6" w:rsidRPr="009C5C7C" w:rsidRDefault="00EA13E6" w:rsidP="00F45B4D">
            <w:pPr>
              <w:ind w:left="426" w:hanging="426"/>
              <w:jc w:val="center"/>
              <w:rPr>
                <w:bCs/>
                <w:sz w:val="18"/>
                <w:szCs w:val="18"/>
                <w:lang w:val="en-GB"/>
              </w:rPr>
            </w:pPr>
            <w:r w:rsidRPr="009C5C7C">
              <w:rPr>
                <w:bCs/>
                <w:sz w:val="18"/>
                <w:szCs w:val="18"/>
                <w:lang w:val="en-GB"/>
              </w:rPr>
              <w:t>381.9</w:t>
            </w:r>
            <w:r w:rsidRPr="009C5C7C">
              <w:rPr>
                <w:bCs/>
                <w:sz w:val="18"/>
                <w:szCs w:val="18"/>
                <w:vertAlign w:val="superscript"/>
                <w:lang w:val="en-GB"/>
              </w:rPr>
              <w:t>a</w:t>
            </w:r>
            <w:r w:rsidRPr="009C5C7C">
              <w:rPr>
                <w:bCs/>
                <w:sz w:val="18"/>
                <w:szCs w:val="18"/>
                <w:lang w:val="en-GB"/>
              </w:rPr>
              <w:t>±3.6</w:t>
            </w:r>
          </w:p>
        </w:tc>
        <w:tc>
          <w:tcPr>
            <w:tcW w:w="1405" w:type="dxa"/>
            <w:gridSpan w:val="2"/>
            <w:tcBorders>
              <w:top w:val="single" w:sz="4" w:space="0" w:color="auto"/>
              <w:left w:val="nil"/>
              <w:bottom w:val="nil"/>
              <w:right w:val="nil"/>
            </w:tcBorders>
            <w:shd w:val="clear" w:color="auto" w:fill="auto"/>
            <w:noWrap/>
            <w:vAlign w:val="center"/>
            <w:hideMark/>
          </w:tcPr>
          <w:p w14:paraId="2A2F217A" w14:textId="77777777" w:rsidR="00EA13E6" w:rsidRPr="009C5C7C" w:rsidRDefault="00EA13E6" w:rsidP="00F45B4D">
            <w:pPr>
              <w:ind w:left="426" w:hanging="426"/>
              <w:jc w:val="center"/>
              <w:rPr>
                <w:bCs/>
                <w:sz w:val="18"/>
                <w:szCs w:val="18"/>
                <w:lang w:val="en-GB"/>
              </w:rPr>
            </w:pPr>
            <w:r w:rsidRPr="009C5C7C">
              <w:rPr>
                <w:bCs/>
                <w:sz w:val="18"/>
                <w:szCs w:val="18"/>
                <w:lang w:val="en-GB"/>
              </w:rPr>
              <w:t>2.90</w:t>
            </w:r>
            <w:r w:rsidRPr="009C5C7C">
              <w:rPr>
                <w:bCs/>
                <w:sz w:val="18"/>
                <w:szCs w:val="18"/>
                <w:vertAlign w:val="superscript"/>
                <w:lang w:val="en-GB"/>
              </w:rPr>
              <w:t>a</w:t>
            </w:r>
            <w:r w:rsidRPr="009C5C7C">
              <w:rPr>
                <w:bCs/>
                <w:sz w:val="18"/>
                <w:szCs w:val="18"/>
                <w:lang w:val="en-GB"/>
              </w:rPr>
              <w:t>±0.03</w:t>
            </w:r>
          </w:p>
        </w:tc>
        <w:tc>
          <w:tcPr>
            <w:tcW w:w="1281" w:type="dxa"/>
            <w:tcBorders>
              <w:top w:val="single" w:sz="4" w:space="0" w:color="auto"/>
              <w:left w:val="nil"/>
              <w:bottom w:val="nil"/>
              <w:right w:val="nil"/>
            </w:tcBorders>
            <w:shd w:val="clear" w:color="auto" w:fill="auto"/>
            <w:noWrap/>
            <w:vAlign w:val="center"/>
            <w:hideMark/>
          </w:tcPr>
          <w:p w14:paraId="6D240C46" w14:textId="77777777" w:rsidR="00EA13E6" w:rsidRPr="009C5C7C" w:rsidRDefault="00EA13E6" w:rsidP="00F45B4D">
            <w:pPr>
              <w:ind w:left="426" w:hanging="426"/>
              <w:jc w:val="center"/>
              <w:rPr>
                <w:bCs/>
                <w:sz w:val="18"/>
                <w:szCs w:val="18"/>
                <w:lang w:val="en-GB"/>
              </w:rPr>
            </w:pPr>
            <w:r w:rsidRPr="009C5C7C">
              <w:rPr>
                <w:bCs/>
                <w:sz w:val="18"/>
                <w:szCs w:val="18"/>
                <w:lang w:val="en-GB"/>
              </w:rPr>
              <w:t>14.0</w:t>
            </w:r>
            <w:r w:rsidRPr="009C5C7C">
              <w:rPr>
                <w:bCs/>
                <w:sz w:val="18"/>
                <w:szCs w:val="18"/>
                <w:vertAlign w:val="superscript"/>
                <w:lang w:val="en-GB"/>
              </w:rPr>
              <w:t>bc</w:t>
            </w:r>
            <w:r w:rsidRPr="009C5C7C">
              <w:rPr>
                <w:bCs/>
                <w:sz w:val="18"/>
                <w:szCs w:val="18"/>
                <w:lang w:val="en-GB"/>
              </w:rPr>
              <w:t>±1.1</w:t>
            </w:r>
          </w:p>
        </w:tc>
      </w:tr>
      <w:tr w:rsidR="00EA13E6" w:rsidRPr="009C5C7C" w14:paraId="0B8CB57C" w14:textId="77777777" w:rsidTr="003A2367">
        <w:trPr>
          <w:jc w:val="center"/>
        </w:trPr>
        <w:tc>
          <w:tcPr>
            <w:tcW w:w="1277" w:type="dxa"/>
            <w:tcBorders>
              <w:top w:val="nil"/>
              <w:left w:val="nil"/>
              <w:bottom w:val="nil"/>
              <w:right w:val="nil"/>
            </w:tcBorders>
            <w:shd w:val="clear" w:color="auto" w:fill="auto"/>
            <w:noWrap/>
            <w:vAlign w:val="center"/>
            <w:hideMark/>
          </w:tcPr>
          <w:p w14:paraId="31790CC5" w14:textId="77777777" w:rsidR="00EA13E6" w:rsidRPr="009C5C7C" w:rsidRDefault="00EA13E6" w:rsidP="00F45B4D">
            <w:pPr>
              <w:ind w:left="426" w:hanging="426"/>
              <w:rPr>
                <w:bCs/>
                <w:sz w:val="18"/>
                <w:szCs w:val="18"/>
                <w:lang w:val="en-GB"/>
              </w:rPr>
            </w:pPr>
            <w:r w:rsidRPr="009C5C7C">
              <w:rPr>
                <w:bCs/>
                <w:sz w:val="18"/>
                <w:szCs w:val="18"/>
                <w:lang w:val="en-GB"/>
              </w:rPr>
              <w:t>Control-NF</w:t>
            </w:r>
          </w:p>
        </w:tc>
        <w:tc>
          <w:tcPr>
            <w:tcW w:w="1278" w:type="dxa"/>
            <w:tcBorders>
              <w:top w:val="nil"/>
              <w:left w:val="nil"/>
              <w:bottom w:val="nil"/>
              <w:right w:val="nil"/>
            </w:tcBorders>
            <w:shd w:val="clear" w:color="auto" w:fill="auto"/>
            <w:noWrap/>
            <w:vAlign w:val="center"/>
            <w:hideMark/>
          </w:tcPr>
          <w:p w14:paraId="0BEBAC0C" w14:textId="77777777" w:rsidR="00EA13E6" w:rsidRPr="009C5C7C" w:rsidRDefault="00EA13E6" w:rsidP="00F45B4D">
            <w:pPr>
              <w:ind w:left="426" w:hanging="426"/>
              <w:jc w:val="center"/>
              <w:rPr>
                <w:bCs/>
                <w:sz w:val="18"/>
                <w:szCs w:val="18"/>
                <w:lang w:val="en-GB"/>
              </w:rPr>
            </w:pPr>
            <w:r w:rsidRPr="009C5C7C">
              <w:rPr>
                <w:bCs/>
                <w:sz w:val="18"/>
                <w:szCs w:val="18"/>
                <w:lang w:val="en-GB"/>
              </w:rPr>
              <w:t>20</w:t>
            </w:r>
          </w:p>
        </w:tc>
        <w:tc>
          <w:tcPr>
            <w:tcW w:w="1278" w:type="dxa"/>
            <w:tcBorders>
              <w:top w:val="nil"/>
              <w:left w:val="nil"/>
              <w:bottom w:val="nil"/>
              <w:right w:val="nil"/>
            </w:tcBorders>
            <w:shd w:val="clear" w:color="auto" w:fill="auto"/>
            <w:noWrap/>
            <w:vAlign w:val="center"/>
            <w:hideMark/>
          </w:tcPr>
          <w:p w14:paraId="6B3410F6" w14:textId="77777777" w:rsidR="00EA13E6" w:rsidRPr="009C5C7C" w:rsidRDefault="00EA13E6" w:rsidP="00F45B4D">
            <w:pPr>
              <w:ind w:left="426" w:hanging="426"/>
              <w:jc w:val="center"/>
              <w:rPr>
                <w:bCs/>
                <w:sz w:val="18"/>
                <w:szCs w:val="18"/>
                <w:lang w:val="en-GB"/>
              </w:rPr>
            </w:pPr>
          </w:p>
        </w:tc>
        <w:tc>
          <w:tcPr>
            <w:tcW w:w="1278" w:type="dxa"/>
            <w:tcBorders>
              <w:top w:val="nil"/>
              <w:left w:val="nil"/>
              <w:bottom w:val="nil"/>
              <w:right w:val="nil"/>
            </w:tcBorders>
            <w:shd w:val="clear" w:color="auto" w:fill="auto"/>
            <w:noWrap/>
            <w:vAlign w:val="center"/>
            <w:hideMark/>
          </w:tcPr>
          <w:p w14:paraId="477BADF2" w14:textId="77777777" w:rsidR="00EA13E6" w:rsidRPr="009C5C7C" w:rsidRDefault="00EA13E6" w:rsidP="00F45B4D">
            <w:pPr>
              <w:ind w:left="426" w:hanging="426"/>
              <w:jc w:val="center"/>
              <w:rPr>
                <w:bCs/>
                <w:sz w:val="18"/>
                <w:szCs w:val="18"/>
                <w:lang w:val="en-GB"/>
              </w:rPr>
            </w:pPr>
            <w:r w:rsidRPr="009C5C7C">
              <w:rPr>
                <w:bCs/>
                <w:sz w:val="18"/>
                <w:szCs w:val="18"/>
                <w:lang w:val="en-GB"/>
              </w:rPr>
              <w:t>12.2</w:t>
            </w:r>
            <w:r w:rsidRPr="009C5C7C">
              <w:rPr>
                <w:bCs/>
                <w:sz w:val="18"/>
                <w:szCs w:val="18"/>
                <w:vertAlign w:val="superscript"/>
                <w:lang w:val="en-GB"/>
              </w:rPr>
              <w:t>d</w:t>
            </w:r>
            <w:r w:rsidRPr="009C5C7C">
              <w:rPr>
                <w:bCs/>
                <w:sz w:val="18"/>
                <w:szCs w:val="18"/>
                <w:lang w:val="en-GB"/>
              </w:rPr>
              <w:t>±0.7</w:t>
            </w:r>
          </w:p>
        </w:tc>
        <w:tc>
          <w:tcPr>
            <w:tcW w:w="1278" w:type="dxa"/>
            <w:tcBorders>
              <w:top w:val="nil"/>
              <w:left w:val="nil"/>
              <w:bottom w:val="nil"/>
              <w:right w:val="nil"/>
            </w:tcBorders>
            <w:shd w:val="clear" w:color="auto" w:fill="auto"/>
            <w:noWrap/>
            <w:vAlign w:val="center"/>
            <w:hideMark/>
          </w:tcPr>
          <w:p w14:paraId="6ECCEB10" w14:textId="77777777" w:rsidR="00EA13E6" w:rsidRPr="009C5C7C" w:rsidRDefault="00EA13E6" w:rsidP="00F45B4D">
            <w:pPr>
              <w:ind w:left="426" w:hanging="426"/>
              <w:jc w:val="center"/>
              <w:rPr>
                <w:bCs/>
                <w:sz w:val="18"/>
                <w:szCs w:val="18"/>
                <w:lang w:val="en-GB"/>
              </w:rPr>
            </w:pPr>
            <w:r w:rsidRPr="009C5C7C">
              <w:rPr>
                <w:bCs/>
                <w:sz w:val="18"/>
                <w:szCs w:val="18"/>
                <w:lang w:val="en-GB"/>
              </w:rPr>
              <w:t>379.9</w:t>
            </w:r>
            <w:r w:rsidRPr="009C5C7C">
              <w:rPr>
                <w:bCs/>
                <w:sz w:val="18"/>
                <w:szCs w:val="18"/>
                <w:vertAlign w:val="superscript"/>
                <w:lang w:val="en-GB"/>
              </w:rPr>
              <w:t>a</w:t>
            </w:r>
            <w:r w:rsidRPr="009C5C7C">
              <w:rPr>
                <w:bCs/>
                <w:sz w:val="18"/>
                <w:szCs w:val="18"/>
                <w:lang w:val="en-GB"/>
              </w:rPr>
              <w:t>±1.5</w:t>
            </w:r>
          </w:p>
        </w:tc>
        <w:tc>
          <w:tcPr>
            <w:tcW w:w="1405" w:type="dxa"/>
            <w:gridSpan w:val="2"/>
            <w:tcBorders>
              <w:top w:val="nil"/>
              <w:left w:val="nil"/>
              <w:bottom w:val="nil"/>
              <w:right w:val="nil"/>
            </w:tcBorders>
            <w:shd w:val="clear" w:color="auto" w:fill="auto"/>
            <w:noWrap/>
            <w:vAlign w:val="center"/>
            <w:hideMark/>
          </w:tcPr>
          <w:p w14:paraId="4662AFF6" w14:textId="77777777" w:rsidR="00EA13E6" w:rsidRPr="009C5C7C" w:rsidRDefault="00EA13E6" w:rsidP="00F45B4D">
            <w:pPr>
              <w:ind w:left="426" w:hanging="426"/>
              <w:jc w:val="center"/>
              <w:rPr>
                <w:bCs/>
                <w:sz w:val="18"/>
                <w:szCs w:val="18"/>
                <w:lang w:val="en-GB"/>
              </w:rPr>
            </w:pPr>
            <w:r w:rsidRPr="009C5C7C">
              <w:rPr>
                <w:bCs/>
                <w:sz w:val="18"/>
                <w:szCs w:val="18"/>
                <w:lang w:val="en-GB"/>
              </w:rPr>
              <w:t>2.88</w:t>
            </w:r>
            <w:r w:rsidRPr="009C5C7C">
              <w:rPr>
                <w:bCs/>
                <w:sz w:val="18"/>
                <w:szCs w:val="18"/>
                <w:vertAlign w:val="superscript"/>
                <w:lang w:val="en-GB"/>
              </w:rPr>
              <w:t>b</w:t>
            </w:r>
            <w:r w:rsidRPr="009C5C7C">
              <w:rPr>
                <w:bCs/>
                <w:sz w:val="18"/>
                <w:szCs w:val="18"/>
                <w:lang w:val="en-GB"/>
              </w:rPr>
              <w:t>±0.03</w:t>
            </w:r>
          </w:p>
        </w:tc>
        <w:tc>
          <w:tcPr>
            <w:tcW w:w="1281" w:type="dxa"/>
            <w:tcBorders>
              <w:top w:val="nil"/>
              <w:left w:val="nil"/>
              <w:bottom w:val="nil"/>
              <w:right w:val="nil"/>
            </w:tcBorders>
            <w:shd w:val="clear" w:color="auto" w:fill="auto"/>
            <w:noWrap/>
            <w:vAlign w:val="center"/>
            <w:hideMark/>
          </w:tcPr>
          <w:p w14:paraId="5305409D" w14:textId="77777777" w:rsidR="00EA13E6" w:rsidRPr="009C5C7C" w:rsidRDefault="00EA13E6" w:rsidP="00F45B4D">
            <w:pPr>
              <w:ind w:left="426" w:hanging="426"/>
              <w:jc w:val="center"/>
              <w:rPr>
                <w:bCs/>
                <w:sz w:val="18"/>
                <w:szCs w:val="18"/>
                <w:lang w:val="en-GB"/>
              </w:rPr>
            </w:pPr>
            <w:r w:rsidRPr="009C5C7C">
              <w:rPr>
                <w:bCs/>
                <w:sz w:val="18"/>
                <w:szCs w:val="18"/>
                <w:lang w:val="en-GB"/>
              </w:rPr>
              <w:t xml:space="preserve">11.9 </w:t>
            </w:r>
            <w:r w:rsidRPr="009C5C7C">
              <w:rPr>
                <w:bCs/>
                <w:sz w:val="18"/>
                <w:szCs w:val="18"/>
                <w:vertAlign w:val="superscript"/>
                <w:lang w:val="en-GB"/>
              </w:rPr>
              <w:t>c</w:t>
            </w:r>
            <w:r w:rsidRPr="009C5C7C">
              <w:rPr>
                <w:bCs/>
                <w:sz w:val="18"/>
                <w:szCs w:val="18"/>
                <w:lang w:val="en-GB"/>
              </w:rPr>
              <w:t>±0.8</w:t>
            </w:r>
          </w:p>
        </w:tc>
      </w:tr>
      <w:tr w:rsidR="00EA13E6" w:rsidRPr="009C5C7C" w14:paraId="12E3CBB5" w14:textId="77777777" w:rsidTr="003A2367">
        <w:trPr>
          <w:jc w:val="center"/>
        </w:trPr>
        <w:tc>
          <w:tcPr>
            <w:tcW w:w="1277" w:type="dxa"/>
            <w:tcBorders>
              <w:top w:val="nil"/>
              <w:left w:val="nil"/>
              <w:bottom w:val="nil"/>
              <w:right w:val="nil"/>
            </w:tcBorders>
            <w:shd w:val="clear" w:color="auto" w:fill="auto"/>
            <w:noWrap/>
            <w:vAlign w:val="center"/>
            <w:hideMark/>
          </w:tcPr>
          <w:p w14:paraId="301AFF7C" w14:textId="77777777" w:rsidR="00EA13E6" w:rsidRPr="009C5C7C" w:rsidRDefault="00EA13E6" w:rsidP="00F45B4D">
            <w:pPr>
              <w:ind w:left="425" w:hanging="425"/>
              <w:rPr>
                <w:bCs/>
                <w:sz w:val="18"/>
                <w:szCs w:val="18"/>
                <w:lang w:val="en-GB"/>
              </w:rPr>
            </w:pPr>
            <w:r w:rsidRPr="009C5C7C">
              <w:rPr>
                <w:bCs/>
                <w:sz w:val="18"/>
                <w:szCs w:val="18"/>
                <w:lang w:val="en-GB"/>
              </w:rPr>
              <w:t>1a</w:t>
            </w:r>
          </w:p>
        </w:tc>
        <w:tc>
          <w:tcPr>
            <w:tcW w:w="1278" w:type="dxa"/>
            <w:tcBorders>
              <w:top w:val="nil"/>
              <w:left w:val="nil"/>
              <w:bottom w:val="nil"/>
              <w:right w:val="nil"/>
            </w:tcBorders>
            <w:shd w:val="clear" w:color="auto" w:fill="auto"/>
            <w:noWrap/>
            <w:vAlign w:val="center"/>
            <w:hideMark/>
          </w:tcPr>
          <w:p w14:paraId="16C7FCAF" w14:textId="77777777" w:rsidR="00EA13E6" w:rsidRPr="009C5C7C" w:rsidRDefault="00EA13E6" w:rsidP="00F45B4D">
            <w:pPr>
              <w:ind w:left="425" w:hanging="425"/>
              <w:jc w:val="center"/>
              <w:rPr>
                <w:bCs/>
                <w:sz w:val="18"/>
                <w:szCs w:val="18"/>
                <w:lang w:val="en-GB"/>
              </w:rPr>
            </w:pPr>
            <w:r w:rsidRPr="009C5C7C">
              <w:rPr>
                <w:bCs/>
                <w:sz w:val="18"/>
                <w:szCs w:val="18"/>
                <w:lang w:val="en-GB"/>
              </w:rPr>
              <w:t>15</w:t>
            </w:r>
          </w:p>
        </w:tc>
        <w:tc>
          <w:tcPr>
            <w:tcW w:w="1278" w:type="dxa"/>
            <w:tcBorders>
              <w:top w:val="nil"/>
              <w:left w:val="nil"/>
              <w:bottom w:val="nil"/>
              <w:right w:val="nil"/>
            </w:tcBorders>
            <w:shd w:val="clear" w:color="auto" w:fill="auto"/>
            <w:noWrap/>
            <w:vAlign w:val="center"/>
            <w:hideMark/>
          </w:tcPr>
          <w:p w14:paraId="113587BD" w14:textId="77777777" w:rsidR="00EA13E6" w:rsidRPr="009C5C7C" w:rsidRDefault="00EA13E6" w:rsidP="00F45B4D">
            <w:pPr>
              <w:ind w:left="425" w:hanging="425"/>
              <w:jc w:val="center"/>
              <w:rPr>
                <w:bCs/>
                <w:sz w:val="18"/>
                <w:szCs w:val="18"/>
                <w:lang w:val="en-GB"/>
              </w:rPr>
            </w:pPr>
            <w:r w:rsidRPr="009C5C7C">
              <w:rPr>
                <w:bCs/>
                <w:sz w:val="18"/>
                <w:szCs w:val="18"/>
                <w:lang w:val="en-GB"/>
              </w:rPr>
              <w:t>39</w:t>
            </w:r>
            <w:r w:rsidRPr="009C5C7C">
              <w:rPr>
                <w:bCs/>
                <w:i/>
                <w:iCs/>
                <w:sz w:val="18"/>
                <w:szCs w:val="18"/>
                <w:lang w:val="en-GB"/>
              </w:rPr>
              <w:t>.</w:t>
            </w:r>
            <w:r w:rsidRPr="009C5C7C">
              <w:rPr>
                <w:bCs/>
                <w:sz w:val="18"/>
                <w:szCs w:val="18"/>
                <w:lang w:val="en-GB"/>
              </w:rPr>
              <w:t>7</w:t>
            </w:r>
            <w:r w:rsidRPr="009C5C7C">
              <w:rPr>
                <w:bCs/>
                <w:sz w:val="18"/>
                <w:szCs w:val="18"/>
                <w:vertAlign w:val="superscript"/>
                <w:lang w:val="en-GB"/>
              </w:rPr>
              <w:t>b</w:t>
            </w:r>
            <w:r w:rsidRPr="009C5C7C">
              <w:rPr>
                <w:bCs/>
                <w:sz w:val="18"/>
                <w:szCs w:val="18"/>
                <w:lang w:val="en-GB"/>
              </w:rPr>
              <w:t>±0</w:t>
            </w:r>
            <w:r w:rsidRPr="009C5C7C">
              <w:rPr>
                <w:bCs/>
                <w:i/>
                <w:iCs/>
                <w:sz w:val="18"/>
                <w:szCs w:val="18"/>
                <w:lang w:val="en-GB"/>
              </w:rPr>
              <w:t>.</w:t>
            </w:r>
            <w:r w:rsidRPr="009C5C7C">
              <w:rPr>
                <w:bCs/>
                <w:sz w:val="18"/>
                <w:szCs w:val="18"/>
                <w:lang w:val="en-GB"/>
              </w:rPr>
              <w:t>5</w:t>
            </w:r>
          </w:p>
        </w:tc>
        <w:tc>
          <w:tcPr>
            <w:tcW w:w="1278" w:type="dxa"/>
            <w:tcBorders>
              <w:top w:val="nil"/>
              <w:left w:val="nil"/>
              <w:bottom w:val="nil"/>
              <w:right w:val="nil"/>
            </w:tcBorders>
            <w:shd w:val="clear" w:color="auto" w:fill="auto"/>
            <w:noWrap/>
            <w:vAlign w:val="center"/>
            <w:hideMark/>
          </w:tcPr>
          <w:p w14:paraId="4DA5200C" w14:textId="77777777" w:rsidR="00EA13E6" w:rsidRPr="009C5C7C" w:rsidRDefault="00EA13E6" w:rsidP="00F45B4D">
            <w:pPr>
              <w:ind w:left="425" w:hanging="425"/>
              <w:jc w:val="center"/>
              <w:rPr>
                <w:bCs/>
                <w:sz w:val="18"/>
                <w:szCs w:val="18"/>
                <w:lang w:val="en-GB"/>
              </w:rPr>
            </w:pPr>
            <w:r w:rsidRPr="009C5C7C">
              <w:rPr>
                <w:bCs/>
                <w:sz w:val="18"/>
                <w:szCs w:val="18"/>
                <w:lang w:val="en-GB"/>
              </w:rPr>
              <w:t>12.3</w:t>
            </w:r>
            <w:r w:rsidRPr="009C5C7C">
              <w:rPr>
                <w:bCs/>
                <w:sz w:val="18"/>
                <w:szCs w:val="18"/>
                <w:vertAlign w:val="superscript"/>
                <w:lang w:val="en-GB"/>
              </w:rPr>
              <w:t>cd</w:t>
            </w:r>
            <w:r w:rsidRPr="009C5C7C">
              <w:rPr>
                <w:bCs/>
                <w:sz w:val="18"/>
                <w:szCs w:val="18"/>
                <w:lang w:val="en-GB"/>
              </w:rPr>
              <w:t>±0.3</w:t>
            </w:r>
          </w:p>
        </w:tc>
        <w:tc>
          <w:tcPr>
            <w:tcW w:w="1278" w:type="dxa"/>
            <w:tcBorders>
              <w:top w:val="nil"/>
              <w:left w:val="nil"/>
              <w:bottom w:val="nil"/>
              <w:right w:val="nil"/>
            </w:tcBorders>
            <w:shd w:val="clear" w:color="auto" w:fill="auto"/>
            <w:noWrap/>
            <w:vAlign w:val="center"/>
            <w:hideMark/>
          </w:tcPr>
          <w:p w14:paraId="52CB43A6" w14:textId="77777777" w:rsidR="00EA13E6" w:rsidRPr="009C5C7C" w:rsidRDefault="00EA13E6" w:rsidP="00F45B4D">
            <w:pPr>
              <w:ind w:left="425" w:hanging="425"/>
              <w:jc w:val="center"/>
              <w:rPr>
                <w:bCs/>
                <w:sz w:val="18"/>
                <w:szCs w:val="18"/>
                <w:lang w:val="en-GB"/>
              </w:rPr>
            </w:pPr>
            <w:r w:rsidRPr="009C5C7C">
              <w:rPr>
                <w:bCs/>
                <w:sz w:val="18"/>
                <w:szCs w:val="18"/>
                <w:lang w:val="en-GB"/>
              </w:rPr>
              <w:t>379.6</w:t>
            </w:r>
            <w:r w:rsidRPr="009C5C7C">
              <w:rPr>
                <w:bCs/>
                <w:sz w:val="18"/>
                <w:szCs w:val="18"/>
                <w:vertAlign w:val="superscript"/>
                <w:lang w:val="en-GB"/>
              </w:rPr>
              <w:t>a</w:t>
            </w:r>
            <w:r w:rsidRPr="009C5C7C">
              <w:rPr>
                <w:bCs/>
                <w:sz w:val="18"/>
                <w:szCs w:val="18"/>
                <w:lang w:val="en-GB"/>
              </w:rPr>
              <w:t>±1.9</w:t>
            </w:r>
          </w:p>
        </w:tc>
        <w:tc>
          <w:tcPr>
            <w:tcW w:w="1405" w:type="dxa"/>
            <w:gridSpan w:val="2"/>
            <w:tcBorders>
              <w:top w:val="nil"/>
              <w:left w:val="nil"/>
              <w:bottom w:val="nil"/>
              <w:right w:val="nil"/>
            </w:tcBorders>
            <w:shd w:val="clear" w:color="auto" w:fill="auto"/>
            <w:noWrap/>
            <w:vAlign w:val="center"/>
            <w:hideMark/>
          </w:tcPr>
          <w:p w14:paraId="5AEF2898" w14:textId="77777777" w:rsidR="00EA13E6" w:rsidRPr="009C5C7C" w:rsidRDefault="00EA13E6" w:rsidP="00F45B4D">
            <w:pPr>
              <w:ind w:left="425" w:hanging="425"/>
              <w:jc w:val="center"/>
              <w:rPr>
                <w:bCs/>
                <w:sz w:val="18"/>
                <w:szCs w:val="18"/>
                <w:lang w:val="en-GB"/>
              </w:rPr>
            </w:pPr>
            <w:r w:rsidRPr="009C5C7C">
              <w:rPr>
                <w:bCs/>
                <w:sz w:val="18"/>
                <w:szCs w:val="18"/>
                <w:lang w:val="en-GB"/>
              </w:rPr>
              <w:t>2.89</w:t>
            </w:r>
            <w:r w:rsidRPr="009C5C7C">
              <w:rPr>
                <w:bCs/>
                <w:sz w:val="18"/>
                <w:szCs w:val="18"/>
                <w:vertAlign w:val="superscript"/>
                <w:lang w:val="en-GB"/>
              </w:rPr>
              <w:t>b</w:t>
            </w:r>
            <w:r w:rsidRPr="009C5C7C">
              <w:rPr>
                <w:bCs/>
                <w:sz w:val="18"/>
                <w:szCs w:val="18"/>
                <w:lang w:val="en-GB"/>
              </w:rPr>
              <w:t>±0.02</w:t>
            </w:r>
          </w:p>
        </w:tc>
        <w:tc>
          <w:tcPr>
            <w:tcW w:w="1281" w:type="dxa"/>
            <w:tcBorders>
              <w:top w:val="nil"/>
              <w:left w:val="nil"/>
              <w:bottom w:val="nil"/>
              <w:right w:val="nil"/>
            </w:tcBorders>
            <w:shd w:val="clear" w:color="auto" w:fill="auto"/>
            <w:noWrap/>
            <w:vAlign w:val="center"/>
            <w:hideMark/>
          </w:tcPr>
          <w:p w14:paraId="23F541A3" w14:textId="77777777" w:rsidR="00EA13E6" w:rsidRPr="009C5C7C" w:rsidRDefault="00EA13E6" w:rsidP="00F45B4D">
            <w:pPr>
              <w:ind w:left="425" w:hanging="425"/>
              <w:jc w:val="center"/>
              <w:rPr>
                <w:bCs/>
                <w:sz w:val="18"/>
                <w:szCs w:val="18"/>
                <w:lang w:val="en-GB"/>
              </w:rPr>
            </w:pPr>
            <w:r w:rsidRPr="009C5C7C">
              <w:rPr>
                <w:bCs/>
                <w:sz w:val="18"/>
                <w:szCs w:val="18"/>
                <w:lang w:val="en-GB"/>
              </w:rPr>
              <w:t>16.2</w:t>
            </w:r>
            <w:r w:rsidRPr="009C5C7C">
              <w:rPr>
                <w:bCs/>
                <w:sz w:val="18"/>
                <w:szCs w:val="18"/>
                <w:vertAlign w:val="superscript"/>
                <w:lang w:val="en-GB"/>
              </w:rPr>
              <w:t>ab</w:t>
            </w:r>
            <w:r w:rsidRPr="009C5C7C">
              <w:rPr>
                <w:bCs/>
                <w:sz w:val="18"/>
                <w:szCs w:val="18"/>
                <w:lang w:val="en-GB"/>
              </w:rPr>
              <w:t>±1.6</w:t>
            </w:r>
          </w:p>
        </w:tc>
      </w:tr>
      <w:tr w:rsidR="00EA13E6" w:rsidRPr="009C5C7C" w14:paraId="24B744F0" w14:textId="77777777" w:rsidTr="003A2367">
        <w:trPr>
          <w:jc w:val="center"/>
        </w:trPr>
        <w:tc>
          <w:tcPr>
            <w:tcW w:w="1277" w:type="dxa"/>
            <w:tcBorders>
              <w:top w:val="nil"/>
              <w:left w:val="nil"/>
              <w:bottom w:val="nil"/>
              <w:right w:val="nil"/>
            </w:tcBorders>
            <w:shd w:val="clear" w:color="auto" w:fill="auto"/>
            <w:noWrap/>
            <w:vAlign w:val="center"/>
            <w:hideMark/>
          </w:tcPr>
          <w:p w14:paraId="480A88CA" w14:textId="77777777" w:rsidR="00EA13E6" w:rsidRPr="009C5C7C" w:rsidRDefault="00EA13E6" w:rsidP="00F45B4D">
            <w:pPr>
              <w:ind w:left="426" w:hanging="426"/>
              <w:rPr>
                <w:bCs/>
                <w:sz w:val="18"/>
                <w:szCs w:val="18"/>
                <w:lang w:val="en-GB"/>
              </w:rPr>
            </w:pPr>
            <w:r w:rsidRPr="009C5C7C">
              <w:rPr>
                <w:bCs/>
                <w:sz w:val="18"/>
                <w:szCs w:val="18"/>
                <w:lang w:val="en-GB"/>
              </w:rPr>
              <w:t>2a</w:t>
            </w:r>
          </w:p>
        </w:tc>
        <w:tc>
          <w:tcPr>
            <w:tcW w:w="1278" w:type="dxa"/>
            <w:tcBorders>
              <w:top w:val="nil"/>
              <w:left w:val="nil"/>
              <w:bottom w:val="nil"/>
              <w:right w:val="nil"/>
            </w:tcBorders>
            <w:shd w:val="clear" w:color="auto" w:fill="auto"/>
            <w:noWrap/>
            <w:vAlign w:val="center"/>
            <w:hideMark/>
          </w:tcPr>
          <w:p w14:paraId="572E8366" w14:textId="77777777" w:rsidR="00EA13E6" w:rsidRPr="009C5C7C" w:rsidRDefault="00EA13E6" w:rsidP="00F45B4D">
            <w:pPr>
              <w:ind w:left="426" w:hanging="426"/>
              <w:jc w:val="center"/>
              <w:rPr>
                <w:bCs/>
                <w:sz w:val="18"/>
                <w:szCs w:val="18"/>
                <w:lang w:val="en-GB"/>
              </w:rPr>
            </w:pPr>
            <w:r w:rsidRPr="009C5C7C">
              <w:rPr>
                <w:bCs/>
                <w:sz w:val="18"/>
                <w:szCs w:val="18"/>
                <w:lang w:val="en-GB"/>
              </w:rPr>
              <w:t>15</w:t>
            </w:r>
          </w:p>
        </w:tc>
        <w:tc>
          <w:tcPr>
            <w:tcW w:w="1278" w:type="dxa"/>
            <w:tcBorders>
              <w:top w:val="nil"/>
              <w:left w:val="nil"/>
              <w:bottom w:val="nil"/>
              <w:right w:val="nil"/>
            </w:tcBorders>
            <w:shd w:val="clear" w:color="auto" w:fill="auto"/>
            <w:noWrap/>
            <w:vAlign w:val="center"/>
            <w:hideMark/>
          </w:tcPr>
          <w:p w14:paraId="2E73CDFA" w14:textId="77777777" w:rsidR="00EA13E6" w:rsidRPr="009C5C7C" w:rsidRDefault="00EA13E6" w:rsidP="00F45B4D">
            <w:pPr>
              <w:ind w:left="426" w:hanging="426"/>
              <w:jc w:val="center"/>
              <w:rPr>
                <w:bCs/>
                <w:sz w:val="18"/>
                <w:szCs w:val="18"/>
                <w:lang w:val="en-GB"/>
              </w:rPr>
            </w:pPr>
            <w:r w:rsidRPr="009C5C7C">
              <w:rPr>
                <w:bCs/>
                <w:sz w:val="18"/>
                <w:szCs w:val="18"/>
                <w:lang w:val="en-GB"/>
              </w:rPr>
              <w:t>32</w:t>
            </w:r>
            <w:r w:rsidRPr="009C5C7C">
              <w:rPr>
                <w:bCs/>
                <w:i/>
                <w:iCs/>
                <w:sz w:val="18"/>
                <w:szCs w:val="18"/>
                <w:lang w:val="en-GB"/>
              </w:rPr>
              <w:t>.</w:t>
            </w:r>
            <w:r w:rsidRPr="009C5C7C">
              <w:rPr>
                <w:bCs/>
                <w:sz w:val="18"/>
                <w:szCs w:val="18"/>
                <w:lang w:val="en-GB"/>
              </w:rPr>
              <w:t>0</w:t>
            </w:r>
            <w:r w:rsidRPr="009C5C7C">
              <w:rPr>
                <w:bCs/>
                <w:sz w:val="18"/>
                <w:szCs w:val="18"/>
                <w:vertAlign w:val="superscript"/>
                <w:lang w:val="en-GB"/>
              </w:rPr>
              <w:t>b</w:t>
            </w:r>
            <w:r w:rsidRPr="009C5C7C">
              <w:rPr>
                <w:bCs/>
                <w:sz w:val="18"/>
                <w:szCs w:val="18"/>
                <w:lang w:val="en-GB"/>
              </w:rPr>
              <w:t>±4</w:t>
            </w:r>
            <w:r w:rsidRPr="009C5C7C">
              <w:rPr>
                <w:bCs/>
                <w:i/>
                <w:iCs/>
                <w:sz w:val="18"/>
                <w:szCs w:val="18"/>
                <w:lang w:val="en-GB"/>
              </w:rPr>
              <w:t>.</w:t>
            </w:r>
            <w:r w:rsidRPr="009C5C7C">
              <w:rPr>
                <w:bCs/>
                <w:sz w:val="18"/>
                <w:szCs w:val="18"/>
                <w:lang w:val="en-GB"/>
              </w:rPr>
              <w:t>1</w:t>
            </w:r>
          </w:p>
        </w:tc>
        <w:tc>
          <w:tcPr>
            <w:tcW w:w="1278" w:type="dxa"/>
            <w:tcBorders>
              <w:top w:val="nil"/>
              <w:left w:val="nil"/>
              <w:bottom w:val="nil"/>
              <w:right w:val="nil"/>
            </w:tcBorders>
            <w:shd w:val="clear" w:color="auto" w:fill="auto"/>
            <w:noWrap/>
            <w:vAlign w:val="center"/>
            <w:hideMark/>
          </w:tcPr>
          <w:p w14:paraId="2BB1B535" w14:textId="77777777" w:rsidR="00EA13E6" w:rsidRPr="009C5C7C" w:rsidRDefault="00EA13E6" w:rsidP="00F45B4D">
            <w:pPr>
              <w:ind w:left="426" w:hanging="426"/>
              <w:jc w:val="center"/>
              <w:rPr>
                <w:bCs/>
                <w:sz w:val="18"/>
                <w:szCs w:val="18"/>
                <w:lang w:val="en-GB"/>
              </w:rPr>
            </w:pPr>
            <w:r w:rsidRPr="009C5C7C">
              <w:rPr>
                <w:bCs/>
                <w:sz w:val="18"/>
                <w:szCs w:val="18"/>
                <w:lang w:val="en-GB"/>
              </w:rPr>
              <w:t>13.0</w:t>
            </w:r>
            <w:r w:rsidRPr="009C5C7C">
              <w:rPr>
                <w:bCs/>
                <w:sz w:val="18"/>
                <w:szCs w:val="18"/>
                <w:vertAlign w:val="superscript"/>
                <w:lang w:val="en-GB"/>
              </w:rPr>
              <w:t>ab</w:t>
            </w:r>
            <w:r w:rsidRPr="009C5C7C">
              <w:rPr>
                <w:bCs/>
                <w:sz w:val="18"/>
                <w:szCs w:val="18"/>
                <w:lang w:val="en-GB"/>
              </w:rPr>
              <w:t>±0.2</w:t>
            </w:r>
          </w:p>
        </w:tc>
        <w:tc>
          <w:tcPr>
            <w:tcW w:w="1278" w:type="dxa"/>
            <w:tcBorders>
              <w:top w:val="nil"/>
              <w:left w:val="nil"/>
              <w:bottom w:val="nil"/>
              <w:right w:val="nil"/>
            </w:tcBorders>
            <w:shd w:val="clear" w:color="auto" w:fill="auto"/>
            <w:noWrap/>
            <w:vAlign w:val="center"/>
            <w:hideMark/>
          </w:tcPr>
          <w:p w14:paraId="5B816D5F" w14:textId="77777777" w:rsidR="00EA13E6" w:rsidRPr="009C5C7C" w:rsidRDefault="00EA13E6" w:rsidP="00F45B4D">
            <w:pPr>
              <w:ind w:left="426" w:hanging="426"/>
              <w:jc w:val="center"/>
              <w:rPr>
                <w:bCs/>
                <w:sz w:val="18"/>
                <w:szCs w:val="18"/>
                <w:lang w:val="en-GB"/>
              </w:rPr>
            </w:pPr>
            <w:r w:rsidRPr="009C5C7C">
              <w:rPr>
                <w:bCs/>
                <w:sz w:val="18"/>
                <w:szCs w:val="18"/>
                <w:lang w:val="en-GB"/>
              </w:rPr>
              <w:t>367.2</w:t>
            </w:r>
            <w:r w:rsidRPr="009C5C7C">
              <w:rPr>
                <w:bCs/>
                <w:sz w:val="18"/>
                <w:szCs w:val="18"/>
                <w:vertAlign w:val="superscript"/>
                <w:lang w:val="en-GB"/>
              </w:rPr>
              <w:t>b</w:t>
            </w:r>
            <w:r w:rsidRPr="009C5C7C">
              <w:rPr>
                <w:bCs/>
                <w:sz w:val="18"/>
                <w:szCs w:val="18"/>
                <w:lang w:val="en-GB"/>
              </w:rPr>
              <w:t>±2.0</w:t>
            </w:r>
          </w:p>
        </w:tc>
        <w:tc>
          <w:tcPr>
            <w:tcW w:w="1405" w:type="dxa"/>
            <w:gridSpan w:val="2"/>
            <w:tcBorders>
              <w:top w:val="nil"/>
              <w:left w:val="nil"/>
              <w:bottom w:val="nil"/>
              <w:right w:val="nil"/>
            </w:tcBorders>
            <w:shd w:val="clear" w:color="auto" w:fill="auto"/>
            <w:noWrap/>
            <w:vAlign w:val="center"/>
            <w:hideMark/>
          </w:tcPr>
          <w:p w14:paraId="0F4DBB6B" w14:textId="77777777" w:rsidR="00EA13E6" w:rsidRPr="009C5C7C" w:rsidRDefault="00EA13E6" w:rsidP="00F45B4D">
            <w:pPr>
              <w:ind w:left="426" w:hanging="426"/>
              <w:jc w:val="center"/>
              <w:rPr>
                <w:bCs/>
                <w:sz w:val="18"/>
                <w:szCs w:val="18"/>
                <w:lang w:val="en-GB"/>
              </w:rPr>
            </w:pPr>
            <w:r w:rsidRPr="009C5C7C">
              <w:rPr>
                <w:bCs/>
                <w:sz w:val="18"/>
                <w:szCs w:val="18"/>
                <w:lang w:val="en-GB"/>
              </w:rPr>
              <w:t>2.82</w:t>
            </w:r>
            <w:r w:rsidRPr="009C5C7C">
              <w:rPr>
                <w:bCs/>
                <w:sz w:val="18"/>
                <w:szCs w:val="18"/>
                <w:vertAlign w:val="superscript"/>
                <w:lang w:val="en-GB"/>
              </w:rPr>
              <w:t>c</w:t>
            </w:r>
            <w:r w:rsidRPr="009C5C7C">
              <w:rPr>
                <w:bCs/>
                <w:sz w:val="18"/>
                <w:szCs w:val="18"/>
                <w:lang w:val="en-GB"/>
              </w:rPr>
              <w:t>±0.01</w:t>
            </w:r>
          </w:p>
        </w:tc>
        <w:tc>
          <w:tcPr>
            <w:tcW w:w="1281" w:type="dxa"/>
            <w:tcBorders>
              <w:top w:val="nil"/>
              <w:left w:val="nil"/>
              <w:bottom w:val="nil"/>
              <w:right w:val="nil"/>
            </w:tcBorders>
            <w:shd w:val="clear" w:color="auto" w:fill="auto"/>
            <w:noWrap/>
            <w:vAlign w:val="center"/>
            <w:hideMark/>
          </w:tcPr>
          <w:p w14:paraId="341BAC8C" w14:textId="77777777" w:rsidR="00EA13E6" w:rsidRPr="009C5C7C" w:rsidRDefault="00EA13E6" w:rsidP="00F45B4D">
            <w:pPr>
              <w:ind w:left="426" w:hanging="426"/>
              <w:jc w:val="center"/>
              <w:rPr>
                <w:bCs/>
                <w:sz w:val="18"/>
                <w:szCs w:val="18"/>
                <w:lang w:val="en-GB"/>
              </w:rPr>
            </w:pPr>
            <w:r w:rsidRPr="009C5C7C">
              <w:rPr>
                <w:bCs/>
                <w:sz w:val="18"/>
                <w:szCs w:val="18"/>
                <w:lang w:val="en-GB"/>
              </w:rPr>
              <w:t>14.1</w:t>
            </w:r>
            <w:r w:rsidRPr="009C5C7C">
              <w:rPr>
                <w:bCs/>
                <w:sz w:val="18"/>
                <w:szCs w:val="18"/>
                <w:vertAlign w:val="superscript"/>
                <w:lang w:val="en-GB"/>
              </w:rPr>
              <w:t>bc</w:t>
            </w:r>
            <w:r w:rsidRPr="009C5C7C">
              <w:rPr>
                <w:bCs/>
                <w:sz w:val="18"/>
                <w:szCs w:val="18"/>
                <w:lang w:val="en-GB"/>
              </w:rPr>
              <w:t>±1.1</w:t>
            </w:r>
          </w:p>
        </w:tc>
      </w:tr>
      <w:tr w:rsidR="00EA13E6" w:rsidRPr="009C5C7C" w14:paraId="7F201708" w14:textId="77777777" w:rsidTr="003A2367">
        <w:trPr>
          <w:jc w:val="center"/>
        </w:trPr>
        <w:tc>
          <w:tcPr>
            <w:tcW w:w="1277" w:type="dxa"/>
            <w:tcBorders>
              <w:top w:val="nil"/>
              <w:left w:val="nil"/>
              <w:bottom w:val="nil"/>
              <w:right w:val="nil"/>
            </w:tcBorders>
            <w:shd w:val="clear" w:color="auto" w:fill="auto"/>
            <w:noWrap/>
            <w:vAlign w:val="center"/>
            <w:hideMark/>
          </w:tcPr>
          <w:p w14:paraId="25DC6901" w14:textId="77777777" w:rsidR="00EA13E6" w:rsidRPr="009C5C7C" w:rsidRDefault="00EA13E6" w:rsidP="00F45B4D">
            <w:pPr>
              <w:ind w:left="426" w:hanging="426"/>
              <w:rPr>
                <w:bCs/>
                <w:sz w:val="18"/>
                <w:szCs w:val="18"/>
                <w:lang w:val="en-GB"/>
              </w:rPr>
            </w:pPr>
            <w:r w:rsidRPr="009C5C7C">
              <w:rPr>
                <w:bCs/>
                <w:sz w:val="18"/>
                <w:szCs w:val="18"/>
                <w:lang w:val="en-GB"/>
              </w:rPr>
              <w:t>1b</w:t>
            </w:r>
          </w:p>
        </w:tc>
        <w:tc>
          <w:tcPr>
            <w:tcW w:w="1278" w:type="dxa"/>
            <w:tcBorders>
              <w:top w:val="nil"/>
              <w:left w:val="nil"/>
              <w:bottom w:val="nil"/>
              <w:right w:val="nil"/>
            </w:tcBorders>
            <w:shd w:val="clear" w:color="auto" w:fill="auto"/>
            <w:noWrap/>
            <w:vAlign w:val="center"/>
            <w:hideMark/>
          </w:tcPr>
          <w:p w14:paraId="13B51F96" w14:textId="77777777" w:rsidR="00EA13E6" w:rsidRPr="009C5C7C" w:rsidRDefault="00EA13E6" w:rsidP="00F45B4D">
            <w:pPr>
              <w:ind w:left="426" w:hanging="426"/>
              <w:jc w:val="center"/>
              <w:rPr>
                <w:bCs/>
                <w:sz w:val="18"/>
                <w:szCs w:val="18"/>
                <w:lang w:val="en-GB"/>
              </w:rPr>
            </w:pPr>
            <w:r w:rsidRPr="009C5C7C">
              <w:rPr>
                <w:bCs/>
                <w:sz w:val="18"/>
                <w:szCs w:val="18"/>
                <w:lang w:val="en-GB"/>
              </w:rPr>
              <w:t>20</w:t>
            </w:r>
          </w:p>
        </w:tc>
        <w:tc>
          <w:tcPr>
            <w:tcW w:w="1278" w:type="dxa"/>
            <w:tcBorders>
              <w:top w:val="nil"/>
              <w:left w:val="nil"/>
              <w:bottom w:val="nil"/>
              <w:right w:val="nil"/>
            </w:tcBorders>
            <w:shd w:val="clear" w:color="auto" w:fill="auto"/>
            <w:noWrap/>
            <w:vAlign w:val="center"/>
            <w:hideMark/>
          </w:tcPr>
          <w:p w14:paraId="26897744" w14:textId="77777777" w:rsidR="00EA13E6" w:rsidRPr="009C5C7C" w:rsidRDefault="00EA13E6" w:rsidP="00F45B4D">
            <w:pPr>
              <w:ind w:left="426" w:hanging="426"/>
              <w:jc w:val="center"/>
              <w:rPr>
                <w:bCs/>
                <w:sz w:val="18"/>
                <w:szCs w:val="18"/>
                <w:lang w:val="en-GB"/>
              </w:rPr>
            </w:pPr>
            <w:r w:rsidRPr="009C5C7C">
              <w:rPr>
                <w:bCs/>
                <w:sz w:val="18"/>
                <w:szCs w:val="18"/>
                <w:lang w:val="en-GB"/>
              </w:rPr>
              <w:t>52</w:t>
            </w:r>
            <w:r w:rsidRPr="009C5C7C">
              <w:rPr>
                <w:bCs/>
                <w:i/>
                <w:iCs/>
                <w:sz w:val="18"/>
                <w:szCs w:val="18"/>
                <w:lang w:val="en-GB"/>
              </w:rPr>
              <w:t>.</w:t>
            </w:r>
            <w:r w:rsidRPr="009C5C7C">
              <w:rPr>
                <w:bCs/>
                <w:sz w:val="18"/>
                <w:szCs w:val="18"/>
                <w:lang w:val="en-GB"/>
              </w:rPr>
              <w:t>3</w:t>
            </w:r>
            <w:r w:rsidRPr="009C5C7C">
              <w:rPr>
                <w:bCs/>
                <w:sz w:val="18"/>
                <w:szCs w:val="18"/>
                <w:vertAlign w:val="superscript"/>
                <w:lang w:val="en-GB"/>
              </w:rPr>
              <w:t>a</w:t>
            </w:r>
            <w:r w:rsidRPr="009C5C7C">
              <w:rPr>
                <w:bCs/>
                <w:sz w:val="18"/>
                <w:szCs w:val="18"/>
                <w:lang w:val="en-GB"/>
              </w:rPr>
              <w:t>±6</w:t>
            </w:r>
            <w:r w:rsidRPr="009C5C7C">
              <w:rPr>
                <w:bCs/>
                <w:i/>
                <w:iCs/>
                <w:sz w:val="18"/>
                <w:szCs w:val="18"/>
                <w:lang w:val="en-GB"/>
              </w:rPr>
              <w:t>.</w:t>
            </w:r>
            <w:r w:rsidRPr="009C5C7C">
              <w:rPr>
                <w:bCs/>
                <w:sz w:val="18"/>
                <w:szCs w:val="18"/>
                <w:lang w:val="en-GB"/>
              </w:rPr>
              <w:t>3</w:t>
            </w:r>
          </w:p>
        </w:tc>
        <w:tc>
          <w:tcPr>
            <w:tcW w:w="1278" w:type="dxa"/>
            <w:tcBorders>
              <w:top w:val="nil"/>
              <w:left w:val="nil"/>
              <w:bottom w:val="nil"/>
              <w:right w:val="nil"/>
            </w:tcBorders>
            <w:shd w:val="clear" w:color="auto" w:fill="auto"/>
            <w:noWrap/>
            <w:vAlign w:val="center"/>
            <w:hideMark/>
          </w:tcPr>
          <w:p w14:paraId="02B120E8" w14:textId="77777777" w:rsidR="00EA13E6" w:rsidRPr="009C5C7C" w:rsidRDefault="00EA13E6" w:rsidP="00F45B4D">
            <w:pPr>
              <w:ind w:left="426" w:hanging="426"/>
              <w:jc w:val="center"/>
              <w:rPr>
                <w:bCs/>
                <w:sz w:val="18"/>
                <w:szCs w:val="18"/>
                <w:lang w:val="en-GB"/>
              </w:rPr>
            </w:pPr>
            <w:r w:rsidRPr="009C5C7C">
              <w:rPr>
                <w:bCs/>
                <w:sz w:val="18"/>
                <w:szCs w:val="18"/>
                <w:lang w:val="en-GB"/>
              </w:rPr>
              <w:t>12.5</w:t>
            </w:r>
            <w:r w:rsidRPr="009C5C7C">
              <w:rPr>
                <w:bCs/>
                <w:sz w:val="18"/>
                <w:szCs w:val="18"/>
                <w:vertAlign w:val="superscript"/>
                <w:lang w:val="en-GB"/>
              </w:rPr>
              <w:t>bcd</w:t>
            </w:r>
            <w:r w:rsidRPr="009C5C7C">
              <w:rPr>
                <w:bCs/>
                <w:sz w:val="18"/>
                <w:szCs w:val="18"/>
                <w:lang w:val="en-GB"/>
              </w:rPr>
              <w:t>±0.2</w:t>
            </w:r>
          </w:p>
        </w:tc>
        <w:tc>
          <w:tcPr>
            <w:tcW w:w="1278" w:type="dxa"/>
            <w:tcBorders>
              <w:top w:val="nil"/>
              <w:left w:val="nil"/>
              <w:bottom w:val="nil"/>
              <w:right w:val="nil"/>
            </w:tcBorders>
            <w:shd w:val="clear" w:color="auto" w:fill="auto"/>
            <w:noWrap/>
            <w:vAlign w:val="center"/>
            <w:hideMark/>
          </w:tcPr>
          <w:p w14:paraId="60481668" w14:textId="77777777" w:rsidR="00EA13E6" w:rsidRPr="009C5C7C" w:rsidRDefault="00EA13E6" w:rsidP="00F45B4D">
            <w:pPr>
              <w:ind w:left="426" w:hanging="426"/>
              <w:jc w:val="center"/>
              <w:rPr>
                <w:bCs/>
                <w:sz w:val="18"/>
                <w:szCs w:val="18"/>
                <w:lang w:val="en-GB"/>
              </w:rPr>
            </w:pPr>
            <w:r w:rsidRPr="009C5C7C">
              <w:rPr>
                <w:bCs/>
                <w:sz w:val="18"/>
                <w:szCs w:val="18"/>
                <w:lang w:val="en-GB"/>
              </w:rPr>
              <w:t>358.1</w:t>
            </w:r>
            <w:r w:rsidRPr="009C5C7C">
              <w:rPr>
                <w:bCs/>
                <w:sz w:val="18"/>
                <w:szCs w:val="18"/>
                <w:vertAlign w:val="superscript"/>
                <w:lang w:val="en-GB"/>
              </w:rPr>
              <w:t>c</w:t>
            </w:r>
            <w:r w:rsidRPr="009C5C7C">
              <w:rPr>
                <w:bCs/>
                <w:sz w:val="18"/>
                <w:szCs w:val="18"/>
                <w:lang w:val="en-GB"/>
              </w:rPr>
              <w:t>±3.2</w:t>
            </w:r>
          </w:p>
        </w:tc>
        <w:tc>
          <w:tcPr>
            <w:tcW w:w="1405" w:type="dxa"/>
            <w:gridSpan w:val="2"/>
            <w:tcBorders>
              <w:top w:val="nil"/>
              <w:left w:val="nil"/>
              <w:bottom w:val="nil"/>
              <w:right w:val="nil"/>
            </w:tcBorders>
            <w:shd w:val="clear" w:color="auto" w:fill="auto"/>
            <w:noWrap/>
            <w:vAlign w:val="center"/>
            <w:hideMark/>
          </w:tcPr>
          <w:p w14:paraId="4890817A" w14:textId="77777777" w:rsidR="00EA13E6" w:rsidRPr="009C5C7C" w:rsidRDefault="00EA13E6" w:rsidP="00F45B4D">
            <w:pPr>
              <w:ind w:left="426" w:hanging="426"/>
              <w:jc w:val="center"/>
              <w:rPr>
                <w:bCs/>
                <w:sz w:val="18"/>
                <w:szCs w:val="18"/>
                <w:lang w:val="en-GB"/>
              </w:rPr>
            </w:pPr>
            <w:r w:rsidRPr="009C5C7C">
              <w:rPr>
                <w:bCs/>
                <w:sz w:val="18"/>
                <w:szCs w:val="18"/>
                <w:lang w:val="en-GB"/>
              </w:rPr>
              <w:t>2.73</w:t>
            </w:r>
            <w:r w:rsidRPr="009C5C7C">
              <w:rPr>
                <w:bCs/>
                <w:sz w:val="18"/>
                <w:szCs w:val="18"/>
                <w:vertAlign w:val="superscript"/>
                <w:lang w:val="en-GB"/>
              </w:rPr>
              <w:t>d</w:t>
            </w:r>
            <w:r w:rsidRPr="009C5C7C">
              <w:rPr>
                <w:bCs/>
                <w:sz w:val="18"/>
                <w:szCs w:val="18"/>
                <w:lang w:val="en-GB"/>
              </w:rPr>
              <w:t>±0.03</w:t>
            </w:r>
          </w:p>
        </w:tc>
        <w:tc>
          <w:tcPr>
            <w:tcW w:w="1281" w:type="dxa"/>
            <w:tcBorders>
              <w:top w:val="nil"/>
              <w:left w:val="nil"/>
              <w:bottom w:val="nil"/>
              <w:right w:val="nil"/>
            </w:tcBorders>
            <w:shd w:val="clear" w:color="auto" w:fill="auto"/>
            <w:noWrap/>
            <w:vAlign w:val="center"/>
            <w:hideMark/>
          </w:tcPr>
          <w:p w14:paraId="6AC4132A" w14:textId="77777777" w:rsidR="00EA13E6" w:rsidRPr="009C5C7C" w:rsidRDefault="00EA13E6" w:rsidP="00F45B4D">
            <w:pPr>
              <w:ind w:left="426" w:hanging="426"/>
              <w:jc w:val="center"/>
              <w:rPr>
                <w:bCs/>
                <w:sz w:val="18"/>
                <w:szCs w:val="18"/>
                <w:lang w:val="en-GB"/>
              </w:rPr>
            </w:pPr>
            <w:r w:rsidRPr="009C5C7C">
              <w:rPr>
                <w:bCs/>
                <w:sz w:val="18"/>
                <w:szCs w:val="18"/>
                <w:lang w:val="en-GB"/>
              </w:rPr>
              <w:t xml:space="preserve">17.9 </w:t>
            </w:r>
            <w:r w:rsidRPr="009C5C7C">
              <w:rPr>
                <w:bCs/>
                <w:sz w:val="18"/>
                <w:szCs w:val="18"/>
                <w:vertAlign w:val="superscript"/>
                <w:lang w:val="en-GB"/>
              </w:rPr>
              <w:t>a</w:t>
            </w:r>
            <w:r w:rsidRPr="009C5C7C">
              <w:rPr>
                <w:bCs/>
                <w:sz w:val="18"/>
                <w:szCs w:val="18"/>
                <w:lang w:val="en-GB"/>
              </w:rPr>
              <w:t>±2.0</w:t>
            </w:r>
          </w:p>
        </w:tc>
      </w:tr>
      <w:tr w:rsidR="00EA13E6" w:rsidRPr="009C5C7C" w14:paraId="0C166681" w14:textId="77777777" w:rsidTr="003A2367">
        <w:trPr>
          <w:jc w:val="center"/>
        </w:trPr>
        <w:tc>
          <w:tcPr>
            <w:tcW w:w="1277" w:type="dxa"/>
            <w:tcBorders>
              <w:top w:val="nil"/>
              <w:left w:val="nil"/>
              <w:bottom w:val="single" w:sz="4" w:space="0" w:color="auto"/>
              <w:right w:val="nil"/>
            </w:tcBorders>
            <w:shd w:val="clear" w:color="auto" w:fill="auto"/>
            <w:noWrap/>
            <w:vAlign w:val="center"/>
            <w:hideMark/>
          </w:tcPr>
          <w:p w14:paraId="0D2099E0" w14:textId="77777777" w:rsidR="00EA13E6" w:rsidRPr="009C5C7C" w:rsidRDefault="00EA13E6" w:rsidP="00F45B4D">
            <w:pPr>
              <w:ind w:left="426" w:hanging="426"/>
              <w:rPr>
                <w:bCs/>
                <w:sz w:val="18"/>
                <w:szCs w:val="18"/>
                <w:lang w:val="en-GB"/>
              </w:rPr>
            </w:pPr>
            <w:r w:rsidRPr="009C5C7C">
              <w:rPr>
                <w:bCs/>
                <w:sz w:val="18"/>
                <w:szCs w:val="18"/>
                <w:lang w:val="en-GB"/>
              </w:rPr>
              <w:t>2b</w:t>
            </w:r>
          </w:p>
        </w:tc>
        <w:tc>
          <w:tcPr>
            <w:tcW w:w="1278" w:type="dxa"/>
            <w:tcBorders>
              <w:top w:val="nil"/>
              <w:left w:val="nil"/>
              <w:bottom w:val="single" w:sz="4" w:space="0" w:color="auto"/>
              <w:right w:val="nil"/>
            </w:tcBorders>
            <w:shd w:val="clear" w:color="auto" w:fill="auto"/>
            <w:noWrap/>
            <w:vAlign w:val="center"/>
            <w:hideMark/>
          </w:tcPr>
          <w:p w14:paraId="36BBE58A" w14:textId="77777777" w:rsidR="00EA13E6" w:rsidRPr="009C5C7C" w:rsidRDefault="00EA13E6" w:rsidP="00F45B4D">
            <w:pPr>
              <w:ind w:left="426" w:hanging="426"/>
              <w:jc w:val="center"/>
              <w:rPr>
                <w:bCs/>
                <w:sz w:val="18"/>
                <w:szCs w:val="18"/>
                <w:lang w:val="en-GB"/>
              </w:rPr>
            </w:pPr>
            <w:r w:rsidRPr="009C5C7C">
              <w:rPr>
                <w:bCs/>
                <w:sz w:val="18"/>
                <w:szCs w:val="18"/>
                <w:lang w:val="en-GB"/>
              </w:rPr>
              <w:t>20</w:t>
            </w:r>
          </w:p>
        </w:tc>
        <w:tc>
          <w:tcPr>
            <w:tcW w:w="1278" w:type="dxa"/>
            <w:tcBorders>
              <w:top w:val="nil"/>
              <w:left w:val="nil"/>
              <w:bottom w:val="single" w:sz="4" w:space="0" w:color="auto"/>
              <w:right w:val="nil"/>
            </w:tcBorders>
            <w:shd w:val="clear" w:color="auto" w:fill="auto"/>
            <w:noWrap/>
            <w:vAlign w:val="center"/>
            <w:hideMark/>
          </w:tcPr>
          <w:p w14:paraId="6161BDB1" w14:textId="77777777" w:rsidR="00EA13E6" w:rsidRPr="009C5C7C" w:rsidRDefault="00EA13E6" w:rsidP="00F45B4D">
            <w:pPr>
              <w:ind w:left="426" w:hanging="426"/>
              <w:jc w:val="center"/>
              <w:rPr>
                <w:bCs/>
                <w:sz w:val="18"/>
                <w:szCs w:val="18"/>
                <w:lang w:val="en-GB"/>
              </w:rPr>
            </w:pPr>
            <w:r w:rsidRPr="009C5C7C">
              <w:rPr>
                <w:bCs/>
                <w:sz w:val="18"/>
                <w:szCs w:val="18"/>
                <w:lang w:val="en-GB"/>
              </w:rPr>
              <w:t>51</w:t>
            </w:r>
            <w:r w:rsidRPr="009C5C7C">
              <w:rPr>
                <w:bCs/>
                <w:i/>
                <w:iCs/>
                <w:sz w:val="18"/>
                <w:szCs w:val="18"/>
                <w:lang w:val="en-GB"/>
              </w:rPr>
              <w:t>.</w:t>
            </w:r>
            <w:r w:rsidRPr="009C5C7C">
              <w:rPr>
                <w:bCs/>
                <w:sz w:val="18"/>
                <w:szCs w:val="18"/>
                <w:lang w:val="en-GB"/>
              </w:rPr>
              <w:t>1</w:t>
            </w:r>
            <w:r w:rsidRPr="009C5C7C">
              <w:rPr>
                <w:bCs/>
                <w:sz w:val="18"/>
                <w:szCs w:val="18"/>
                <w:vertAlign w:val="superscript"/>
                <w:lang w:val="en-GB"/>
              </w:rPr>
              <w:t>a</w:t>
            </w:r>
            <w:r w:rsidRPr="009C5C7C">
              <w:rPr>
                <w:bCs/>
                <w:sz w:val="18"/>
                <w:szCs w:val="18"/>
                <w:lang w:val="en-GB"/>
              </w:rPr>
              <w:t>±3</w:t>
            </w:r>
            <w:r w:rsidRPr="009C5C7C">
              <w:rPr>
                <w:bCs/>
                <w:i/>
                <w:iCs/>
                <w:sz w:val="18"/>
                <w:szCs w:val="18"/>
                <w:lang w:val="en-GB"/>
              </w:rPr>
              <w:t>.</w:t>
            </w:r>
            <w:r w:rsidRPr="009C5C7C">
              <w:rPr>
                <w:bCs/>
                <w:sz w:val="18"/>
                <w:szCs w:val="18"/>
                <w:lang w:val="en-GB"/>
              </w:rPr>
              <w:t>5</w:t>
            </w:r>
          </w:p>
        </w:tc>
        <w:tc>
          <w:tcPr>
            <w:tcW w:w="1278" w:type="dxa"/>
            <w:tcBorders>
              <w:top w:val="nil"/>
              <w:left w:val="nil"/>
              <w:bottom w:val="single" w:sz="4" w:space="0" w:color="auto"/>
              <w:right w:val="nil"/>
            </w:tcBorders>
            <w:shd w:val="clear" w:color="auto" w:fill="auto"/>
            <w:noWrap/>
            <w:vAlign w:val="center"/>
            <w:hideMark/>
          </w:tcPr>
          <w:p w14:paraId="7DB711FA" w14:textId="77777777" w:rsidR="00EA13E6" w:rsidRPr="009C5C7C" w:rsidRDefault="00EA13E6" w:rsidP="00F45B4D">
            <w:pPr>
              <w:ind w:left="426" w:hanging="426"/>
              <w:jc w:val="center"/>
              <w:rPr>
                <w:bCs/>
                <w:sz w:val="18"/>
                <w:szCs w:val="18"/>
                <w:lang w:val="en-GB"/>
              </w:rPr>
            </w:pPr>
            <w:r w:rsidRPr="009C5C7C">
              <w:rPr>
                <w:bCs/>
                <w:sz w:val="18"/>
                <w:szCs w:val="18"/>
                <w:lang w:val="en-GB"/>
              </w:rPr>
              <w:t>13.0</w:t>
            </w:r>
            <w:r w:rsidRPr="009C5C7C">
              <w:rPr>
                <w:bCs/>
                <w:sz w:val="18"/>
                <w:szCs w:val="18"/>
                <w:vertAlign w:val="superscript"/>
                <w:lang w:val="en-GB"/>
              </w:rPr>
              <w:t>abc</w:t>
            </w:r>
            <w:r w:rsidRPr="009C5C7C">
              <w:rPr>
                <w:bCs/>
                <w:sz w:val="18"/>
                <w:szCs w:val="18"/>
                <w:lang w:val="en-GB"/>
              </w:rPr>
              <w:t>±0.2</w:t>
            </w:r>
          </w:p>
        </w:tc>
        <w:tc>
          <w:tcPr>
            <w:tcW w:w="1278" w:type="dxa"/>
            <w:tcBorders>
              <w:top w:val="nil"/>
              <w:left w:val="nil"/>
              <w:bottom w:val="single" w:sz="4" w:space="0" w:color="auto"/>
              <w:right w:val="nil"/>
            </w:tcBorders>
            <w:shd w:val="clear" w:color="auto" w:fill="auto"/>
            <w:noWrap/>
            <w:vAlign w:val="center"/>
            <w:hideMark/>
          </w:tcPr>
          <w:p w14:paraId="7339AC7D" w14:textId="77777777" w:rsidR="00EA13E6" w:rsidRPr="009C5C7C" w:rsidRDefault="00EA13E6" w:rsidP="00F45B4D">
            <w:pPr>
              <w:ind w:left="426" w:hanging="426"/>
              <w:jc w:val="center"/>
              <w:rPr>
                <w:bCs/>
                <w:sz w:val="18"/>
                <w:szCs w:val="18"/>
                <w:lang w:val="en-GB"/>
              </w:rPr>
            </w:pPr>
            <w:r w:rsidRPr="009C5C7C">
              <w:rPr>
                <w:bCs/>
                <w:sz w:val="18"/>
                <w:szCs w:val="18"/>
                <w:lang w:val="en-GB"/>
              </w:rPr>
              <w:t>351.3</w:t>
            </w:r>
            <w:r w:rsidRPr="009C5C7C">
              <w:rPr>
                <w:bCs/>
                <w:sz w:val="18"/>
                <w:szCs w:val="18"/>
                <w:vertAlign w:val="superscript"/>
                <w:lang w:val="en-GB"/>
              </w:rPr>
              <w:t>d</w:t>
            </w:r>
            <w:r w:rsidRPr="009C5C7C">
              <w:rPr>
                <w:bCs/>
                <w:sz w:val="18"/>
                <w:szCs w:val="18"/>
                <w:lang w:val="en-GB"/>
              </w:rPr>
              <w:t>±2.1</w:t>
            </w:r>
          </w:p>
        </w:tc>
        <w:tc>
          <w:tcPr>
            <w:tcW w:w="1405" w:type="dxa"/>
            <w:gridSpan w:val="2"/>
            <w:tcBorders>
              <w:top w:val="nil"/>
              <w:left w:val="nil"/>
              <w:bottom w:val="single" w:sz="4" w:space="0" w:color="auto"/>
              <w:right w:val="nil"/>
            </w:tcBorders>
            <w:shd w:val="clear" w:color="auto" w:fill="auto"/>
            <w:noWrap/>
            <w:vAlign w:val="center"/>
            <w:hideMark/>
          </w:tcPr>
          <w:p w14:paraId="069B1D3E" w14:textId="77777777" w:rsidR="00EA13E6" w:rsidRPr="009C5C7C" w:rsidRDefault="00EA13E6" w:rsidP="00F45B4D">
            <w:pPr>
              <w:ind w:left="426" w:hanging="426"/>
              <w:jc w:val="center"/>
              <w:rPr>
                <w:bCs/>
                <w:sz w:val="18"/>
                <w:szCs w:val="18"/>
                <w:lang w:val="en-GB"/>
              </w:rPr>
            </w:pPr>
            <w:r w:rsidRPr="009C5C7C">
              <w:rPr>
                <w:bCs/>
                <w:sz w:val="18"/>
                <w:szCs w:val="18"/>
                <w:lang w:val="en-GB"/>
              </w:rPr>
              <w:t>2.69</w:t>
            </w:r>
            <w:r w:rsidRPr="009C5C7C">
              <w:rPr>
                <w:bCs/>
                <w:sz w:val="18"/>
                <w:szCs w:val="18"/>
                <w:vertAlign w:val="superscript"/>
                <w:lang w:val="en-GB"/>
              </w:rPr>
              <w:t>d</w:t>
            </w:r>
            <w:r w:rsidRPr="009C5C7C">
              <w:rPr>
                <w:bCs/>
                <w:sz w:val="18"/>
                <w:szCs w:val="18"/>
                <w:lang w:val="en-GB"/>
              </w:rPr>
              <w:t>±0.01</w:t>
            </w:r>
          </w:p>
        </w:tc>
        <w:tc>
          <w:tcPr>
            <w:tcW w:w="1281" w:type="dxa"/>
            <w:tcBorders>
              <w:top w:val="nil"/>
              <w:left w:val="nil"/>
              <w:bottom w:val="single" w:sz="4" w:space="0" w:color="auto"/>
              <w:right w:val="nil"/>
            </w:tcBorders>
            <w:shd w:val="clear" w:color="auto" w:fill="auto"/>
            <w:noWrap/>
            <w:vAlign w:val="center"/>
            <w:hideMark/>
          </w:tcPr>
          <w:p w14:paraId="07BD814F" w14:textId="77777777" w:rsidR="00EA13E6" w:rsidRPr="009C5C7C" w:rsidRDefault="00EA13E6" w:rsidP="00F45B4D">
            <w:pPr>
              <w:ind w:left="426" w:hanging="426"/>
              <w:jc w:val="center"/>
              <w:rPr>
                <w:bCs/>
                <w:sz w:val="18"/>
                <w:szCs w:val="18"/>
                <w:lang w:val="en-GB"/>
              </w:rPr>
            </w:pPr>
            <w:r w:rsidRPr="009C5C7C">
              <w:rPr>
                <w:bCs/>
                <w:sz w:val="18"/>
                <w:szCs w:val="18"/>
                <w:lang w:val="en-GB"/>
              </w:rPr>
              <w:t>16.3</w:t>
            </w:r>
            <w:r w:rsidRPr="009C5C7C">
              <w:rPr>
                <w:bCs/>
                <w:sz w:val="18"/>
                <w:szCs w:val="18"/>
                <w:vertAlign w:val="superscript"/>
                <w:lang w:val="en-GB"/>
              </w:rPr>
              <w:t>ab</w:t>
            </w:r>
            <w:r w:rsidRPr="009C5C7C">
              <w:rPr>
                <w:bCs/>
                <w:sz w:val="18"/>
                <w:szCs w:val="18"/>
                <w:lang w:val="en-GB"/>
              </w:rPr>
              <w:t>±0.6</w:t>
            </w:r>
          </w:p>
        </w:tc>
      </w:tr>
      <w:bookmarkEnd w:id="5"/>
    </w:tbl>
    <w:p w14:paraId="6375EE7F" w14:textId="77777777" w:rsidR="00CE1D5F" w:rsidRPr="00CE1D5F" w:rsidRDefault="00CE1D5F" w:rsidP="00CE1D5F">
      <w:pPr>
        <w:rPr>
          <w:lang w:val="en-GB"/>
        </w:rPr>
      </w:pPr>
    </w:p>
    <w:p w14:paraId="19E51C6B" w14:textId="0DC52B51" w:rsidR="00987A3C" w:rsidRPr="009C5C7C" w:rsidRDefault="005B4F27" w:rsidP="00055CB3">
      <w:pPr>
        <w:pStyle w:val="Titolo1"/>
        <w:tabs>
          <w:tab w:val="left" w:pos="567"/>
        </w:tabs>
        <w:spacing w:before="120" w:after="120"/>
        <w:ind w:right="0"/>
        <w:jc w:val="both"/>
        <w:rPr>
          <w:b/>
          <w:bCs/>
          <w:color w:val="000000"/>
          <w:sz w:val="24"/>
          <w:lang w:val="en-GB"/>
        </w:rPr>
      </w:pPr>
      <w:r w:rsidRPr="009C5C7C">
        <w:rPr>
          <w:b/>
          <w:bCs/>
          <w:color w:val="000000"/>
          <w:sz w:val="24"/>
          <w:lang w:val="en-GB"/>
        </w:rPr>
        <w:t>4</w:t>
      </w:r>
      <w:r w:rsidR="007D40F9" w:rsidRPr="009C5C7C">
        <w:rPr>
          <w:b/>
          <w:bCs/>
          <w:color w:val="000000"/>
          <w:sz w:val="24"/>
          <w:lang w:val="en-GB"/>
        </w:rPr>
        <w:t>. Conclusions and Future Perspectives</w:t>
      </w:r>
    </w:p>
    <w:p w14:paraId="0DA00C2D" w14:textId="61253883" w:rsidR="00EA6017" w:rsidRPr="002C1590" w:rsidRDefault="004162FA" w:rsidP="00BA3AB3">
      <w:pPr>
        <w:jc w:val="both"/>
        <w:rPr>
          <w:lang w:val="en-GB"/>
        </w:rPr>
      </w:pPr>
      <w:r>
        <w:rPr>
          <w:lang w:val="en-GB"/>
        </w:rPr>
        <w:t>L</w:t>
      </w:r>
      <w:r w:rsidR="00EA6017" w:rsidRPr="009C5C7C">
        <w:rPr>
          <w:lang w:val="en-GB"/>
        </w:rPr>
        <w:t xml:space="preserve">upin was confirmed as a </w:t>
      </w:r>
      <w:r w:rsidR="002D1A7D" w:rsidRPr="009C5C7C">
        <w:rPr>
          <w:lang w:val="en-GB"/>
        </w:rPr>
        <w:t>promising</w:t>
      </w:r>
      <w:r w:rsidR="00EA6017" w:rsidRPr="009C5C7C">
        <w:rPr>
          <w:lang w:val="en-GB"/>
        </w:rPr>
        <w:t xml:space="preserve"> source of antioxidants, whose composition can be further improved by germinating seeds, selecting the most promising accessions for cultivation</w:t>
      </w:r>
      <w:r w:rsidR="009D3126">
        <w:rPr>
          <w:lang w:val="en-GB"/>
        </w:rPr>
        <w:t>,</w:t>
      </w:r>
      <w:r w:rsidR="00EA6017" w:rsidRPr="009C5C7C">
        <w:rPr>
          <w:lang w:val="en-GB"/>
        </w:rPr>
        <w:t xml:space="preserve"> and adopting optimised debittering </w:t>
      </w:r>
      <w:r w:rsidR="00310E60">
        <w:rPr>
          <w:lang w:val="en-GB"/>
        </w:rPr>
        <w:t xml:space="preserve">to </w:t>
      </w:r>
      <w:r w:rsidR="00EA6017" w:rsidRPr="009C5C7C">
        <w:rPr>
          <w:lang w:val="en-GB"/>
        </w:rPr>
        <w:t xml:space="preserve">limit </w:t>
      </w:r>
      <w:r w:rsidR="005F7641" w:rsidRPr="009C5C7C">
        <w:rPr>
          <w:lang w:val="en-GB"/>
        </w:rPr>
        <w:t>leaching of valuable</w:t>
      </w:r>
      <w:r w:rsidR="005F7641">
        <w:rPr>
          <w:lang w:val="en-GB"/>
        </w:rPr>
        <w:t xml:space="preserve"> </w:t>
      </w:r>
      <w:r w:rsidR="005F7641" w:rsidRPr="009C5C7C">
        <w:rPr>
          <w:lang w:val="en-GB"/>
        </w:rPr>
        <w:t>compounds</w:t>
      </w:r>
      <w:r w:rsidR="007C4BA6">
        <w:rPr>
          <w:lang w:val="en-GB"/>
        </w:rPr>
        <w:t xml:space="preserve">. </w:t>
      </w:r>
      <w:r w:rsidR="007C4BA6" w:rsidRPr="007C4BA6">
        <w:rPr>
          <w:lang w:val="en-GB"/>
        </w:rPr>
        <w:t>The proposed procedure, either with citric acid or sodium chloride, could</w:t>
      </w:r>
      <w:r w:rsidR="007C4BA6">
        <w:rPr>
          <w:lang w:val="en-GB"/>
        </w:rPr>
        <w:t xml:space="preserve"> </w:t>
      </w:r>
      <w:r w:rsidR="007C4BA6" w:rsidRPr="007C4BA6">
        <w:rPr>
          <w:lang w:val="en-GB"/>
        </w:rPr>
        <w:t xml:space="preserve">easily </w:t>
      </w:r>
      <w:r w:rsidR="00055CB3" w:rsidRPr="007C4BA6">
        <w:rPr>
          <w:lang w:val="en-GB"/>
        </w:rPr>
        <w:t xml:space="preserve">be </w:t>
      </w:r>
      <w:r w:rsidR="007C4BA6" w:rsidRPr="007C4BA6">
        <w:rPr>
          <w:lang w:val="en-GB"/>
        </w:rPr>
        <w:t>adopted by the industry to reduce time</w:t>
      </w:r>
      <w:r w:rsidR="007C4BA6">
        <w:rPr>
          <w:lang w:val="en-GB"/>
        </w:rPr>
        <w:t>,</w:t>
      </w:r>
      <w:r w:rsidR="007C4BA6" w:rsidRPr="007C4BA6">
        <w:rPr>
          <w:lang w:val="en-GB"/>
        </w:rPr>
        <w:t xml:space="preserve"> </w:t>
      </w:r>
      <w:r w:rsidR="007C4BA6" w:rsidRPr="00D92374">
        <w:rPr>
          <w:lang w:val="en-GB"/>
        </w:rPr>
        <w:t xml:space="preserve">water consumption </w:t>
      </w:r>
      <w:r w:rsidR="007C4BA6" w:rsidRPr="007C4BA6">
        <w:rPr>
          <w:lang w:val="en-GB"/>
        </w:rPr>
        <w:t>and costs of lupin debittering</w:t>
      </w:r>
      <w:r w:rsidR="007C4BA6">
        <w:rPr>
          <w:lang w:val="en-GB"/>
        </w:rPr>
        <w:t>.</w:t>
      </w:r>
      <w:r w:rsidR="009D3126">
        <w:rPr>
          <w:lang w:val="en-GB"/>
        </w:rPr>
        <w:t xml:space="preserve"> </w:t>
      </w:r>
      <w:r w:rsidR="009D3126" w:rsidRPr="00D92374">
        <w:rPr>
          <w:lang w:val="en-GB"/>
        </w:rPr>
        <w:t>Further studies should consider the incorporation of germinated lupin flour in food</w:t>
      </w:r>
      <w:r w:rsidR="009D3126">
        <w:rPr>
          <w:lang w:val="en-GB"/>
        </w:rPr>
        <w:t>.</w:t>
      </w:r>
      <w:r w:rsidR="00B0027C">
        <w:rPr>
          <w:lang w:val="en-GB"/>
        </w:rPr>
        <w:t xml:space="preserve"> </w:t>
      </w:r>
      <w:r w:rsidR="00B272AA">
        <w:rPr>
          <w:lang w:val="en-GB"/>
        </w:rPr>
        <w:t xml:space="preserve">Two approaches were attempted </w:t>
      </w:r>
      <w:r w:rsidR="00D92374">
        <w:rPr>
          <w:lang w:val="en-GB"/>
        </w:rPr>
        <w:t xml:space="preserve">for the first time </w:t>
      </w:r>
      <w:r w:rsidR="00B272AA">
        <w:rPr>
          <w:lang w:val="en-GB"/>
        </w:rPr>
        <w:t xml:space="preserve">to </w:t>
      </w:r>
      <w:r w:rsidR="00B272AA" w:rsidRPr="009C5C7C">
        <w:rPr>
          <w:lang w:val="en-GB"/>
        </w:rPr>
        <w:t>upcycle the pea canning by-product</w:t>
      </w:r>
      <w:r w:rsidR="00B272AA">
        <w:rPr>
          <w:lang w:val="en-GB"/>
        </w:rPr>
        <w:t xml:space="preserve">: </w:t>
      </w:r>
      <w:r w:rsidR="00055CB3">
        <w:rPr>
          <w:lang w:val="en-GB"/>
        </w:rPr>
        <w:t xml:space="preserve">i) </w:t>
      </w:r>
      <w:r w:rsidR="00B272AA">
        <w:rPr>
          <w:lang w:val="en-GB"/>
        </w:rPr>
        <w:t xml:space="preserve">protein </w:t>
      </w:r>
      <w:r w:rsidR="00D92374">
        <w:rPr>
          <w:lang w:val="en-GB"/>
        </w:rPr>
        <w:t>extraction</w:t>
      </w:r>
      <w:r w:rsidR="00B272AA">
        <w:rPr>
          <w:lang w:val="en-GB"/>
        </w:rPr>
        <w:t xml:space="preserve"> based on ultrasound technology was developed</w:t>
      </w:r>
      <w:r w:rsidR="00D92374">
        <w:rPr>
          <w:lang w:val="en-GB"/>
        </w:rPr>
        <w:t xml:space="preserve">; </w:t>
      </w:r>
      <w:r w:rsidR="00055CB3">
        <w:rPr>
          <w:lang w:val="en-GB"/>
        </w:rPr>
        <w:t xml:space="preserve">ii) </w:t>
      </w:r>
      <w:r w:rsidR="00D92374">
        <w:rPr>
          <w:lang w:val="en-GB"/>
        </w:rPr>
        <w:t>waste fermentation for synthesising B12 proved to be feasible</w:t>
      </w:r>
      <w:r w:rsidR="00D635A0">
        <w:rPr>
          <w:lang w:val="en-GB"/>
        </w:rPr>
        <w:t>, a</w:t>
      </w:r>
      <w:r w:rsidR="00D635A0" w:rsidRPr="009C5C7C">
        <w:rPr>
          <w:lang w:val="en-GB"/>
        </w:rPr>
        <w:t xml:space="preserve">lthough microbial alteration was </w:t>
      </w:r>
      <w:r w:rsidR="00D635A0">
        <w:rPr>
          <w:lang w:val="en-GB"/>
        </w:rPr>
        <w:t>identified as a limit, emphasising the importance of in-line processing. T</w:t>
      </w:r>
      <w:r w:rsidR="00D92374">
        <w:rPr>
          <w:lang w:val="en-GB"/>
        </w:rPr>
        <w:t xml:space="preserve">he fermented material was successfully </w:t>
      </w:r>
      <w:r w:rsidR="00055CB3">
        <w:rPr>
          <w:lang w:val="en-GB"/>
        </w:rPr>
        <w:t>added to</w:t>
      </w:r>
      <w:r w:rsidR="00D635A0">
        <w:rPr>
          <w:lang w:val="en-GB"/>
        </w:rPr>
        <w:t xml:space="preserve"> the dough to obtain a bread rich in vitamin B12 (35.7–51.7 ng/g)</w:t>
      </w:r>
      <w:r w:rsidR="00055CB3">
        <w:rPr>
          <w:lang w:val="en-GB"/>
        </w:rPr>
        <w:t>,</w:t>
      </w:r>
      <w:r w:rsidR="00D635A0">
        <w:rPr>
          <w:lang w:val="en-GB"/>
        </w:rPr>
        <w:t xml:space="preserve"> </w:t>
      </w:r>
      <w:r w:rsidR="00D92374">
        <w:rPr>
          <w:lang w:val="en-GB"/>
        </w:rPr>
        <w:t xml:space="preserve">without affecting leavening </w:t>
      </w:r>
      <w:r w:rsidR="00D635A0">
        <w:rPr>
          <w:lang w:val="en-GB"/>
        </w:rPr>
        <w:t>and volume development.</w:t>
      </w:r>
      <w:r w:rsidR="009D3126">
        <w:rPr>
          <w:lang w:val="en-GB"/>
        </w:rPr>
        <w:t xml:space="preserve"> </w:t>
      </w:r>
    </w:p>
    <w:p w14:paraId="7445255C" w14:textId="6C6048AE" w:rsidR="007D40F9" w:rsidRPr="009C5C7C" w:rsidRDefault="005B4F27" w:rsidP="007D40F9">
      <w:pPr>
        <w:pStyle w:val="Titolo1"/>
        <w:tabs>
          <w:tab w:val="left" w:pos="567"/>
        </w:tabs>
        <w:spacing w:before="240" w:after="120"/>
        <w:ind w:right="0"/>
        <w:jc w:val="both"/>
        <w:rPr>
          <w:b/>
          <w:bCs/>
          <w:color w:val="000000"/>
          <w:sz w:val="24"/>
          <w:lang w:val="en-GB"/>
        </w:rPr>
      </w:pPr>
      <w:r w:rsidRPr="009C5C7C">
        <w:rPr>
          <w:b/>
          <w:bCs/>
          <w:color w:val="000000"/>
          <w:sz w:val="24"/>
          <w:lang w:val="en-GB"/>
        </w:rPr>
        <w:t>5</w:t>
      </w:r>
      <w:r w:rsidR="007D40F9" w:rsidRPr="009C5C7C">
        <w:rPr>
          <w:b/>
          <w:bCs/>
          <w:color w:val="000000"/>
          <w:sz w:val="24"/>
          <w:lang w:val="en-GB"/>
        </w:rPr>
        <w:t>. References</w:t>
      </w:r>
    </w:p>
    <w:p w14:paraId="07D33E91" w14:textId="6663CE60" w:rsidR="00FD09C6" w:rsidRPr="009C5C7C" w:rsidRDefault="00FD09C6" w:rsidP="00FD09C6">
      <w:pPr>
        <w:ind w:left="426" w:hanging="426"/>
        <w:jc w:val="both"/>
        <w:rPr>
          <w:sz w:val="18"/>
          <w:lang w:val="en-GB"/>
        </w:rPr>
      </w:pPr>
      <w:proofErr w:type="spellStart"/>
      <w:r w:rsidRPr="009C5C7C">
        <w:rPr>
          <w:sz w:val="18"/>
          <w:lang w:val="en-GB"/>
        </w:rPr>
        <w:t>Boye</w:t>
      </w:r>
      <w:proofErr w:type="spellEnd"/>
      <w:r w:rsidRPr="009C5C7C">
        <w:rPr>
          <w:sz w:val="18"/>
          <w:lang w:val="en-GB"/>
        </w:rPr>
        <w:t xml:space="preserve"> J, </w:t>
      </w:r>
      <w:proofErr w:type="spellStart"/>
      <w:r w:rsidRPr="009C5C7C">
        <w:rPr>
          <w:sz w:val="18"/>
          <w:lang w:val="en-GB"/>
        </w:rPr>
        <w:t>Zare</w:t>
      </w:r>
      <w:proofErr w:type="spellEnd"/>
      <w:r w:rsidRPr="009C5C7C">
        <w:rPr>
          <w:sz w:val="18"/>
          <w:lang w:val="en-GB"/>
        </w:rPr>
        <w:t xml:space="preserve"> F, Pletch A (2010) Pulse proteins: Processing, characterization, functional properties and applications in food and feed. </w:t>
      </w:r>
      <w:r w:rsidRPr="009C5C7C">
        <w:rPr>
          <w:i/>
          <w:iCs/>
          <w:sz w:val="18"/>
          <w:lang w:val="en-GB"/>
        </w:rPr>
        <w:t>Food Res Int</w:t>
      </w:r>
      <w:r w:rsidRPr="009C5C7C">
        <w:rPr>
          <w:sz w:val="18"/>
          <w:lang w:val="en-GB"/>
        </w:rPr>
        <w:t xml:space="preserve"> </w:t>
      </w:r>
      <w:r w:rsidRPr="009C5C7C">
        <w:rPr>
          <w:b/>
          <w:bCs/>
          <w:sz w:val="18"/>
          <w:lang w:val="en-GB"/>
        </w:rPr>
        <w:t>43</w:t>
      </w:r>
      <w:r w:rsidRPr="009C5C7C">
        <w:rPr>
          <w:sz w:val="18"/>
          <w:lang w:val="en-GB"/>
        </w:rPr>
        <w:t>: 414</w:t>
      </w:r>
      <w:r w:rsidR="008B52AC">
        <w:rPr>
          <w:sz w:val="18"/>
          <w:lang w:val="en-GB"/>
        </w:rPr>
        <w:t>-</w:t>
      </w:r>
      <w:r w:rsidRPr="009C5C7C">
        <w:rPr>
          <w:sz w:val="18"/>
          <w:lang w:val="en-GB"/>
        </w:rPr>
        <w:t xml:space="preserve">431. </w:t>
      </w:r>
    </w:p>
    <w:p w14:paraId="41861050" w14:textId="6C57CA03" w:rsidR="00897185" w:rsidRPr="009C5C7C" w:rsidRDefault="00897185" w:rsidP="00897185">
      <w:pPr>
        <w:ind w:left="426" w:hanging="426"/>
        <w:jc w:val="both"/>
        <w:rPr>
          <w:sz w:val="18"/>
          <w:lang w:val="en-GB"/>
        </w:rPr>
      </w:pPr>
      <w:proofErr w:type="spellStart"/>
      <w:r w:rsidRPr="009C5C7C">
        <w:rPr>
          <w:sz w:val="18"/>
          <w:lang w:val="en-GB"/>
        </w:rPr>
        <w:t>Brandolini</w:t>
      </w:r>
      <w:proofErr w:type="spellEnd"/>
      <w:r w:rsidRPr="009C5C7C">
        <w:rPr>
          <w:sz w:val="18"/>
          <w:lang w:val="en-GB"/>
        </w:rPr>
        <w:t xml:space="preserve"> A, </w:t>
      </w:r>
      <w:proofErr w:type="spellStart"/>
      <w:r w:rsidRPr="009C5C7C">
        <w:rPr>
          <w:sz w:val="18"/>
          <w:lang w:val="en-GB"/>
        </w:rPr>
        <w:t>Glorio</w:t>
      </w:r>
      <w:proofErr w:type="spellEnd"/>
      <w:r w:rsidRPr="009C5C7C">
        <w:rPr>
          <w:sz w:val="18"/>
          <w:lang w:val="en-GB"/>
        </w:rPr>
        <w:t>-Paulet P, Estivi L, Locatelli N, Cordova-Ramos JS, Hidalgo A (2022) Tocopherols, carotenoids and phenolics changes during Andean lupin (</w:t>
      </w:r>
      <w:r w:rsidRPr="009C5C7C">
        <w:rPr>
          <w:i/>
          <w:iCs/>
          <w:sz w:val="18"/>
          <w:lang w:val="en-GB"/>
        </w:rPr>
        <w:t xml:space="preserve">Lupinus </w:t>
      </w:r>
      <w:proofErr w:type="spellStart"/>
      <w:r w:rsidRPr="009C5C7C">
        <w:rPr>
          <w:i/>
          <w:iCs/>
          <w:sz w:val="18"/>
          <w:lang w:val="en-GB"/>
        </w:rPr>
        <w:t>mutabilis</w:t>
      </w:r>
      <w:proofErr w:type="spellEnd"/>
      <w:r w:rsidRPr="009C5C7C">
        <w:rPr>
          <w:i/>
          <w:iCs/>
          <w:sz w:val="18"/>
          <w:lang w:val="en-GB"/>
        </w:rPr>
        <w:t xml:space="preserve"> </w:t>
      </w:r>
      <w:r w:rsidRPr="009C5C7C">
        <w:rPr>
          <w:sz w:val="18"/>
          <w:lang w:val="en-GB"/>
        </w:rPr>
        <w:t xml:space="preserve">sweet) seeds processing. </w:t>
      </w:r>
      <w:r w:rsidRPr="009C5C7C">
        <w:rPr>
          <w:i/>
          <w:iCs/>
          <w:sz w:val="18"/>
          <w:lang w:val="en-GB"/>
        </w:rPr>
        <w:t>J Food Compo</w:t>
      </w:r>
      <w:r w:rsidR="00484B68" w:rsidRPr="009C5C7C">
        <w:rPr>
          <w:i/>
          <w:iCs/>
          <w:sz w:val="18"/>
          <w:lang w:val="en-GB"/>
        </w:rPr>
        <w:t>s</w:t>
      </w:r>
      <w:r w:rsidRPr="009C5C7C">
        <w:rPr>
          <w:i/>
          <w:iCs/>
          <w:sz w:val="18"/>
          <w:lang w:val="en-GB"/>
        </w:rPr>
        <w:t xml:space="preserve"> Anal</w:t>
      </w:r>
      <w:r w:rsidRPr="009C5C7C">
        <w:rPr>
          <w:sz w:val="18"/>
          <w:lang w:val="en-GB"/>
        </w:rPr>
        <w:t xml:space="preserve"> </w:t>
      </w:r>
      <w:r w:rsidRPr="003377A2">
        <w:rPr>
          <w:b/>
          <w:bCs/>
          <w:sz w:val="18"/>
          <w:lang w:val="en-GB"/>
        </w:rPr>
        <w:t>106</w:t>
      </w:r>
      <w:r w:rsidRPr="00E25502">
        <w:rPr>
          <w:sz w:val="18"/>
          <w:lang w:val="en-GB"/>
        </w:rPr>
        <w:t>:</w:t>
      </w:r>
      <w:r w:rsidR="00E25502">
        <w:rPr>
          <w:sz w:val="18"/>
          <w:lang w:val="en-GB"/>
        </w:rPr>
        <w:t xml:space="preserve"> </w:t>
      </w:r>
      <w:r w:rsidRPr="009C5C7C">
        <w:rPr>
          <w:sz w:val="18"/>
          <w:lang w:val="en-GB"/>
        </w:rPr>
        <w:t xml:space="preserve">104335. </w:t>
      </w:r>
    </w:p>
    <w:p w14:paraId="4F2C95D1" w14:textId="3154A174" w:rsidR="00897185" w:rsidRPr="009C5C7C" w:rsidRDefault="00897185" w:rsidP="00897185">
      <w:pPr>
        <w:ind w:left="426" w:hanging="426"/>
        <w:jc w:val="both"/>
        <w:rPr>
          <w:sz w:val="18"/>
          <w:lang w:val="en-GB"/>
        </w:rPr>
      </w:pPr>
      <w:proofErr w:type="spellStart"/>
      <w:r w:rsidRPr="009C5C7C">
        <w:rPr>
          <w:sz w:val="18"/>
          <w:lang w:val="en-GB"/>
        </w:rPr>
        <w:t>Briceño</w:t>
      </w:r>
      <w:proofErr w:type="spellEnd"/>
      <w:r w:rsidRPr="009C5C7C">
        <w:rPr>
          <w:sz w:val="18"/>
          <w:lang w:val="en-GB"/>
        </w:rPr>
        <w:t xml:space="preserve"> </w:t>
      </w:r>
      <w:proofErr w:type="spellStart"/>
      <w:r w:rsidRPr="009C5C7C">
        <w:rPr>
          <w:sz w:val="18"/>
          <w:lang w:val="en-GB"/>
        </w:rPr>
        <w:t>Berru</w:t>
      </w:r>
      <w:proofErr w:type="spellEnd"/>
      <w:r w:rsidRPr="009C5C7C">
        <w:rPr>
          <w:sz w:val="18"/>
          <w:lang w:val="en-GB"/>
        </w:rPr>
        <w:t xml:space="preserve"> L, </w:t>
      </w:r>
      <w:proofErr w:type="spellStart"/>
      <w:r w:rsidRPr="009C5C7C">
        <w:rPr>
          <w:sz w:val="18"/>
          <w:lang w:val="en-GB"/>
        </w:rPr>
        <w:t>Glorio</w:t>
      </w:r>
      <w:proofErr w:type="spellEnd"/>
      <w:r w:rsidRPr="009C5C7C">
        <w:rPr>
          <w:sz w:val="18"/>
          <w:lang w:val="en-GB"/>
        </w:rPr>
        <w:t xml:space="preserve">-Paulet P, Basso C, </w:t>
      </w:r>
      <w:proofErr w:type="spellStart"/>
      <w:r w:rsidRPr="009C5C7C">
        <w:rPr>
          <w:sz w:val="18"/>
          <w:lang w:val="en-GB"/>
        </w:rPr>
        <w:t>Scarafoni</w:t>
      </w:r>
      <w:proofErr w:type="spellEnd"/>
      <w:r w:rsidRPr="009C5C7C">
        <w:rPr>
          <w:sz w:val="18"/>
          <w:lang w:val="en-GB"/>
        </w:rPr>
        <w:t xml:space="preserve"> A, Camarena F, Hidalgo A, </w:t>
      </w:r>
      <w:proofErr w:type="spellStart"/>
      <w:r w:rsidRPr="009C5C7C">
        <w:rPr>
          <w:sz w:val="18"/>
          <w:lang w:val="en-GB"/>
        </w:rPr>
        <w:t>Brandolini</w:t>
      </w:r>
      <w:proofErr w:type="spellEnd"/>
      <w:r w:rsidRPr="009C5C7C">
        <w:rPr>
          <w:sz w:val="18"/>
          <w:lang w:val="en-GB"/>
        </w:rPr>
        <w:t xml:space="preserve"> A (2021) Chemical composition, </w:t>
      </w:r>
      <w:proofErr w:type="gramStart"/>
      <w:r w:rsidRPr="009C5C7C">
        <w:rPr>
          <w:sz w:val="18"/>
          <w:lang w:val="en-GB"/>
        </w:rPr>
        <w:t>tocopherol</w:t>
      </w:r>
      <w:proofErr w:type="gramEnd"/>
      <w:r w:rsidRPr="009C5C7C">
        <w:rPr>
          <w:sz w:val="18"/>
          <w:lang w:val="en-GB"/>
        </w:rPr>
        <w:t xml:space="preserve"> and carotenoid content of seeds from different Andean lupin (</w:t>
      </w:r>
      <w:r w:rsidRPr="009C5C7C">
        <w:rPr>
          <w:i/>
          <w:sz w:val="18"/>
          <w:lang w:val="en-GB"/>
        </w:rPr>
        <w:t xml:space="preserve">Lupinus </w:t>
      </w:r>
      <w:proofErr w:type="spellStart"/>
      <w:r w:rsidRPr="009C5C7C">
        <w:rPr>
          <w:i/>
          <w:sz w:val="18"/>
          <w:lang w:val="en-GB"/>
        </w:rPr>
        <w:t>mutabilis</w:t>
      </w:r>
      <w:proofErr w:type="spellEnd"/>
      <w:r w:rsidRPr="009C5C7C">
        <w:rPr>
          <w:sz w:val="18"/>
          <w:lang w:val="en-GB"/>
        </w:rPr>
        <w:t xml:space="preserve">) ecotypes. </w:t>
      </w:r>
      <w:r w:rsidRPr="009C5C7C">
        <w:rPr>
          <w:i/>
          <w:iCs/>
          <w:sz w:val="18"/>
          <w:lang w:val="en-GB"/>
        </w:rPr>
        <w:t xml:space="preserve">Plant Foods Hum </w:t>
      </w:r>
      <w:proofErr w:type="spellStart"/>
      <w:r w:rsidRPr="009C5C7C">
        <w:rPr>
          <w:i/>
          <w:iCs/>
          <w:sz w:val="18"/>
          <w:lang w:val="en-GB"/>
        </w:rPr>
        <w:lastRenderedPageBreak/>
        <w:t>Nutr</w:t>
      </w:r>
      <w:proofErr w:type="spellEnd"/>
      <w:r w:rsidRPr="009C5C7C">
        <w:rPr>
          <w:sz w:val="18"/>
          <w:lang w:val="en-GB"/>
        </w:rPr>
        <w:t xml:space="preserve"> </w:t>
      </w:r>
      <w:r w:rsidRPr="003377A2">
        <w:rPr>
          <w:b/>
          <w:bCs/>
          <w:sz w:val="18"/>
          <w:lang w:val="en-GB"/>
        </w:rPr>
        <w:t>76</w:t>
      </w:r>
      <w:r w:rsidRPr="00E25502">
        <w:rPr>
          <w:sz w:val="18"/>
          <w:lang w:val="en-GB"/>
        </w:rPr>
        <w:t>:</w:t>
      </w:r>
      <w:r w:rsidR="00E25502">
        <w:rPr>
          <w:sz w:val="18"/>
          <w:lang w:val="en-GB"/>
        </w:rPr>
        <w:t xml:space="preserve"> </w:t>
      </w:r>
      <w:r w:rsidRPr="009C5C7C">
        <w:rPr>
          <w:sz w:val="18"/>
          <w:lang w:val="en-GB"/>
        </w:rPr>
        <w:t>98</w:t>
      </w:r>
      <w:r w:rsidR="00E25502">
        <w:rPr>
          <w:sz w:val="18"/>
          <w:lang w:val="en-GB"/>
        </w:rPr>
        <w:t>-</w:t>
      </w:r>
      <w:r w:rsidRPr="009C5C7C">
        <w:rPr>
          <w:sz w:val="18"/>
          <w:lang w:val="en-GB"/>
        </w:rPr>
        <w:t>104.</w:t>
      </w:r>
    </w:p>
    <w:p w14:paraId="30BA9D54" w14:textId="241BAA06" w:rsidR="006100E7" w:rsidRPr="009C5C7C" w:rsidRDefault="006100E7" w:rsidP="006100E7">
      <w:pPr>
        <w:ind w:left="426" w:hanging="426"/>
        <w:jc w:val="both"/>
        <w:rPr>
          <w:sz w:val="18"/>
          <w:lang w:val="en-GB"/>
        </w:rPr>
      </w:pPr>
      <w:r w:rsidRPr="009C5C7C">
        <w:rPr>
          <w:sz w:val="18"/>
          <w:lang w:val="en-GB"/>
        </w:rPr>
        <w:t xml:space="preserve">Chamlagain B, </w:t>
      </w:r>
      <w:proofErr w:type="spellStart"/>
      <w:r w:rsidRPr="009C5C7C">
        <w:rPr>
          <w:sz w:val="18"/>
          <w:lang w:val="en-GB"/>
        </w:rPr>
        <w:t>Edelmann</w:t>
      </w:r>
      <w:proofErr w:type="spellEnd"/>
      <w:r w:rsidRPr="009C5C7C">
        <w:rPr>
          <w:sz w:val="18"/>
          <w:lang w:val="en-GB"/>
        </w:rPr>
        <w:t xml:space="preserve"> M, </w:t>
      </w:r>
      <w:proofErr w:type="spellStart"/>
      <w:r w:rsidRPr="009C5C7C">
        <w:rPr>
          <w:sz w:val="18"/>
          <w:lang w:val="en-GB"/>
        </w:rPr>
        <w:t>Kariluoto</w:t>
      </w:r>
      <w:proofErr w:type="spellEnd"/>
      <w:r w:rsidRPr="009C5C7C">
        <w:rPr>
          <w:sz w:val="18"/>
          <w:lang w:val="en-GB"/>
        </w:rPr>
        <w:t xml:space="preserve"> S, </w:t>
      </w:r>
      <w:proofErr w:type="spellStart"/>
      <w:r w:rsidRPr="009C5C7C">
        <w:rPr>
          <w:sz w:val="18"/>
          <w:lang w:val="en-GB"/>
        </w:rPr>
        <w:t>Ollilainen</w:t>
      </w:r>
      <w:proofErr w:type="spellEnd"/>
      <w:r w:rsidRPr="009C5C7C">
        <w:rPr>
          <w:sz w:val="18"/>
          <w:lang w:val="en-GB"/>
        </w:rPr>
        <w:t xml:space="preserve"> V, Piironen V (2015) Ultra-</w:t>
      </w:r>
      <w:proofErr w:type="gramStart"/>
      <w:r w:rsidRPr="009C5C7C">
        <w:rPr>
          <w:sz w:val="18"/>
          <w:lang w:val="en-GB"/>
        </w:rPr>
        <w:t>high performance</w:t>
      </w:r>
      <w:proofErr w:type="gramEnd"/>
      <w:r w:rsidRPr="009C5C7C">
        <w:rPr>
          <w:sz w:val="18"/>
          <w:lang w:val="en-GB"/>
        </w:rPr>
        <w:t xml:space="preserve"> liquid chromatographic and mass spectrometric analysis of active vitamin B12 in cells of </w:t>
      </w:r>
      <w:r w:rsidRPr="009C5C7C">
        <w:rPr>
          <w:i/>
          <w:iCs/>
          <w:sz w:val="18"/>
          <w:lang w:val="en-GB"/>
        </w:rPr>
        <w:t>Propionibacterium</w:t>
      </w:r>
      <w:r w:rsidRPr="009C5C7C">
        <w:rPr>
          <w:sz w:val="18"/>
          <w:lang w:val="en-GB"/>
        </w:rPr>
        <w:t xml:space="preserve"> and fermented cereal matrices. </w:t>
      </w:r>
      <w:r w:rsidRPr="009C5C7C">
        <w:rPr>
          <w:i/>
          <w:iCs/>
          <w:sz w:val="18"/>
          <w:lang w:val="en-GB"/>
        </w:rPr>
        <w:t>Food Chem</w:t>
      </w:r>
      <w:r w:rsidR="00484B68" w:rsidRPr="009C5C7C">
        <w:rPr>
          <w:i/>
          <w:iCs/>
          <w:sz w:val="18"/>
          <w:lang w:val="en-GB"/>
        </w:rPr>
        <w:t xml:space="preserve"> </w:t>
      </w:r>
      <w:r w:rsidRPr="009C5C7C">
        <w:rPr>
          <w:b/>
          <w:bCs/>
          <w:sz w:val="18"/>
          <w:lang w:val="en-GB"/>
        </w:rPr>
        <w:t>166</w:t>
      </w:r>
      <w:r w:rsidRPr="009C5C7C">
        <w:rPr>
          <w:sz w:val="18"/>
          <w:lang w:val="en-GB"/>
        </w:rPr>
        <w:t>:</w:t>
      </w:r>
      <w:r w:rsidR="00E25502">
        <w:rPr>
          <w:sz w:val="18"/>
          <w:lang w:val="en-GB"/>
        </w:rPr>
        <w:t xml:space="preserve"> </w:t>
      </w:r>
      <w:r w:rsidRPr="009C5C7C">
        <w:rPr>
          <w:sz w:val="18"/>
          <w:lang w:val="en-GB"/>
        </w:rPr>
        <w:t>630</w:t>
      </w:r>
      <w:r w:rsidR="00E25502">
        <w:rPr>
          <w:sz w:val="18"/>
          <w:lang w:val="en-GB"/>
        </w:rPr>
        <w:t>-</w:t>
      </w:r>
      <w:r w:rsidRPr="009C5C7C">
        <w:rPr>
          <w:sz w:val="18"/>
          <w:lang w:val="en-GB"/>
        </w:rPr>
        <w:t>638.</w:t>
      </w:r>
    </w:p>
    <w:p w14:paraId="0F7BE23E" w14:textId="208928CF" w:rsidR="00035B14" w:rsidRPr="009C5C7C" w:rsidRDefault="00035B14" w:rsidP="00035B14">
      <w:pPr>
        <w:ind w:left="426" w:hanging="426"/>
        <w:jc w:val="both"/>
        <w:rPr>
          <w:sz w:val="18"/>
          <w:lang w:val="en-GB"/>
        </w:rPr>
      </w:pPr>
      <w:r w:rsidRPr="009C5C7C">
        <w:rPr>
          <w:sz w:val="18"/>
          <w:lang w:val="en-GB"/>
        </w:rPr>
        <w:t xml:space="preserve">Chamlagain B, </w:t>
      </w:r>
      <w:proofErr w:type="spellStart"/>
      <w:r w:rsidRPr="009C5C7C">
        <w:rPr>
          <w:sz w:val="18"/>
          <w:lang w:val="en-GB"/>
        </w:rPr>
        <w:t>Sugito</w:t>
      </w:r>
      <w:proofErr w:type="spellEnd"/>
      <w:r w:rsidRPr="009C5C7C">
        <w:rPr>
          <w:sz w:val="18"/>
          <w:lang w:val="en-GB"/>
        </w:rPr>
        <w:t xml:space="preserve"> TA, </w:t>
      </w:r>
      <w:proofErr w:type="spellStart"/>
      <w:r w:rsidRPr="009C5C7C">
        <w:rPr>
          <w:sz w:val="18"/>
          <w:lang w:val="en-GB"/>
        </w:rPr>
        <w:t>Deptula</w:t>
      </w:r>
      <w:proofErr w:type="spellEnd"/>
      <w:r w:rsidRPr="009C5C7C">
        <w:rPr>
          <w:sz w:val="18"/>
          <w:lang w:val="en-GB"/>
        </w:rPr>
        <w:t xml:space="preserve"> P, </w:t>
      </w:r>
      <w:proofErr w:type="spellStart"/>
      <w:r w:rsidRPr="009C5C7C">
        <w:rPr>
          <w:sz w:val="18"/>
          <w:lang w:val="en-GB"/>
        </w:rPr>
        <w:t>Edelmann</w:t>
      </w:r>
      <w:proofErr w:type="spellEnd"/>
      <w:r w:rsidRPr="009C5C7C">
        <w:rPr>
          <w:sz w:val="18"/>
          <w:lang w:val="en-GB"/>
        </w:rPr>
        <w:t xml:space="preserve"> M, </w:t>
      </w:r>
      <w:proofErr w:type="spellStart"/>
      <w:r w:rsidRPr="009C5C7C">
        <w:rPr>
          <w:sz w:val="18"/>
          <w:lang w:val="en-GB"/>
        </w:rPr>
        <w:t>Kariluoto</w:t>
      </w:r>
      <w:proofErr w:type="spellEnd"/>
      <w:r w:rsidRPr="009C5C7C">
        <w:rPr>
          <w:sz w:val="18"/>
          <w:lang w:val="en-GB"/>
        </w:rPr>
        <w:t xml:space="preserve"> S, Varmanen P, Piironen V (2018) </w:t>
      </w:r>
      <w:r w:rsidRPr="009C5C7C">
        <w:rPr>
          <w:i/>
          <w:iCs/>
          <w:sz w:val="18"/>
          <w:lang w:val="en-GB"/>
        </w:rPr>
        <w:t>In situ</w:t>
      </w:r>
      <w:r w:rsidRPr="009C5C7C">
        <w:rPr>
          <w:sz w:val="18"/>
          <w:lang w:val="en-GB"/>
        </w:rPr>
        <w:t xml:space="preserve"> production of active vitamin B12 in cereal matrices using </w:t>
      </w:r>
      <w:r w:rsidRPr="009C5C7C">
        <w:rPr>
          <w:i/>
          <w:iCs/>
          <w:sz w:val="18"/>
          <w:lang w:val="en-GB"/>
        </w:rPr>
        <w:t xml:space="preserve">Propionibacterium </w:t>
      </w:r>
      <w:proofErr w:type="spellStart"/>
      <w:r w:rsidRPr="009C5C7C">
        <w:rPr>
          <w:i/>
          <w:iCs/>
          <w:sz w:val="18"/>
          <w:lang w:val="en-GB"/>
        </w:rPr>
        <w:t>freudenreichii</w:t>
      </w:r>
      <w:proofErr w:type="spellEnd"/>
      <w:r w:rsidRPr="009C5C7C">
        <w:rPr>
          <w:sz w:val="18"/>
          <w:lang w:val="en-GB"/>
        </w:rPr>
        <w:t xml:space="preserve">. </w:t>
      </w:r>
      <w:r w:rsidRPr="009C5C7C">
        <w:rPr>
          <w:i/>
          <w:iCs/>
          <w:sz w:val="18"/>
          <w:lang w:val="en-GB"/>
        </w:rPr>
        <w:t xml:space="preserve">Food Sci </w:t>
      </w:r>
      <w:proofErr w:type="spellStart"/>
      <w:r w:rsidRPr="009C5C7C">
        <w:rPr>
          <w:i/>
          <w:iCs/>
          <w:sz w:val="18"/>
          <w:lang w:val="en-GB"/>
        </w:rPr>
        <w:t>Nutr</w:t>
      </w:r>
      <w:proofErr w:type="spellEnd"/>
      <w:r w:rsidRPr="009C5C7C">
        <w:rPr>
          <w:i/>
          <w:iCs/>
          <w:sz w:val="18"/>
          <w:lang w:val="en-GB"/>
        </w:rPr>
        <w:t xml:space="preserve"> </w:t>
      </w:r>
      <w:r w:rsidRPr="009C5C7C">
        <w:rPr>
          <w:b/>
          <w:bCs/>
          <w:sz w:val="18"/>
          <w:lang w:val="en-GB"/>
        </w:rPr>
        <w:t>6</w:t>
      </w:r>
      <w:r w:rsidRPr="009C5C7C">
        <w:rPr>
          <w:sz w:val="18"/>
          <w:lang w:val="en-GB"/>
        </w:rPr>
        <w:t>:</w:t>
      </w:r>
      <w:r w:rsidR="00E25502">
        <w:rPr>
          <w:sz w:val="18"/>
          <w:lang w:val="en-GB"/>
        </w:rPr>
        <w:t xml:space="preserve"> </w:t>
      </w:r>
      <w:r w:rsidRPr="009C5C7C">
        <w:rPr>
          <w:sz w:val="18"/>
          <w:lang w:val="en-GB"/>
        </w:rPr>
        <w:t>67</w:t>
      </w:r>
      <w:r w:rsidR="00E25502">
        <w:rPr>
          <w:sz w:val="18"/>
          <w:lang w:val="en-GB"/>
        </w:rPr>
        <w:t>-</w:t>
      </w:r>
      <w:r w:rsidRPr="009C5C7C">
        <w:rPr>
          <w:sz w:val="18"/>
          <w:lang w:val="en-GB"/>
        </w:rPr>
        <w:t xml:space="preserve">76. </w:t>
      </w:r>
    </w:p>
    <w:p w14:paraId="7C7C5B13" w14:textId="42A971BE" w:rsidR="00897185" w:rsidRPr="009C5C7C" w:rsidRDefault="00897185" w:rsidP="00897185">
      <w:pPr>
        <w:ind w:left="426" w:hanging="426"/>
        <w:jc w:val="both"/>
        <w:rPr>
          <w:sz w:val="18"/>
          <w:lang w:val="en-GB"/>
        </w:rPr>
      </w:pPr>
      <w:bookmarkStart w:id="6" w:name="_Hlk113818003"/>
      <w:proofErr w:type="spellStart"/>
      <w:r w:rsidRPr="009C5C7C">
        <w:rPr>
          <w:sz w:val="18"/>
          <w:lang w:val="en-GB"/>
        </w:rPr>
        <w:t>Córdova</w:t>
      </w:r>
      <w:proofErr w:type="spellEnd"/>
      <w:r w:rsidRPr="009C5C7C">
        <w:rPr>
          <w:sz w:val="18"/>
          <w:lang w:val="en-GB"/>
        </w:rPr>
        <w:t>-Ramos</w:t>
      </w:r>
      <w:bookmarkEnd w:id="6"/>
      <w:r w:rsidRPr="009C5C7C">
        <w:rPr>
          <w:sz w:val="18"/>
          <w:lang w:val="en-GB"/>
        </w:rPr>
        <w:t xml:space="preserve"> JS, </w:t>
      </w:r>
      <w:proofErr w:type="spellStart"/>
      <w:r w:rsidRPr="009C5C7C">
        <w:rPr>
          <w:sz w:val="18"/>
          <w:lang w:val="en-GB"/>
        </w:rPr>
        <w:t>Glorio</w:t>
      </w:r>
      <w:proofErr w:type="spellEnd"/>
      <w:r w:rsidRPr="009C5C7C">
        <w:rPr>
          <w:sz w:val="18"/>
          <w:lang w:val="en-GB"/>
        </w:rPr>
        <w:t xml:space="preserve">-Paulet P, Camarena F, </w:t>
      </w:r>
      <w:proofErr w:type="spellStart"/>
      <w:r w:rsidRPr="009C5C7C">
        <w:rPr>
          <w:sz w:val="18"/>
          <w:lang w:val="en-GB"/>
        </w:rPr>
        <w:t>Brandolini</w:t>
      </w:r>
      <w:proofErr w:type="spellEnd"/>
      <w:r w:rsidRPr="009C5C7C">
        <w:rPr>
          <w:sz w:val="18"/>
          <w:lang w:val="en-GB"/>
        </w:rPr>
        <w:t xml:space="preserve"> A, Hidalgo A (2020) Andean lupin (</w:t>
      </w:r>
      <w:r w:rsidRPr="009C5C7C">
        <w:rPr>
          <w:i/>
          <w:sz w:val="18"/>
          <w:lang w:val="en-GB"/>
        </w:rPr>
        <w:t xml:space="preserve">Lupinus </w:t>
      </w:r>
      <w:proofErr w:type="spellStart"/>
      <w:r w:rsidRPr="009C5C7C">
        <w:rPr>
          <w:i/>
          <w:sz w:val="18"/>
          <w:lang w:val="en-GB"/>
        </w:rPr>
        <w:t>mutabilis</w:t>
      </w:r>
      <w:proofErr w:type="spellEnd"/>
      <w:r w:rsidRPr="009C5C7C">
        <w:rPr>
          <w:sz w:val="18"/>
          <w:lang w:val="en-GB"/>
        </w:rPr>
        <w:t xml:space="preserve"> Sweet): processing effects on chemical composition, heat damage and </w:t>
      </w:r>
      <w:r w:rsidRPr="003377A2">
        <w:rPr>
          <w:i/>
          <w:iCs/>
          <w:sz w:val="18"/>
          <w:lang w:val="en-GB"/>
        </w:rPr>
        <w:t>in vitro</w:t>
      </w:r>
      <w:r w:rsidRPr="009C5C7C">
        <w:rPr>
          <w:sz w:val="18"/>
          <w:lang w:val="en-GB"/>
        </w:rPr>
        <w:t xml:space="preserve"> protein digestibility. </w:t>
      </w:r>
      <w:r w:rsidRPr="009C5C7C">
        <w:rPr>
          <w:i/>
          <w:sz w:val="18"/>
          <w:lang w:val="en-GB"/>
        </w:rPr>
        <w:t>Cereal Chem</w:t>
      </w:r>
      <w:r w:rsidRPr="009C5C7C">
        <w:rPr>
          <w:i/>
          <w:iCs/>
          <w:sz w:val="18"/>
          <w:lang w:val="en-GB"/>
        </w:rPr>
        <w:t xml:space="preserve"> </w:t>
      </w:r>
      <w:r w:rsidRPr="009C5C7C">
        <w:rPr>
          <w:b/>
          <w:bCs/>
          <w:sz w:val="18"/>
          <w:lang w:val="en-GB"/>
        </w:rPr>
        <w:t>97</w:t>
      </w:r>
      <w:r w:rsidRPr="009C5C7C">
        <w:rPr>
          <w:sz w:val="18"/>
          <w:lang w:val="en-GB"/>
        </w:rPr>
        <w:t>:</w:t>
      </w:r>
      <w:r w:rsidR="00E25502">
        <w:rPr>
          <w:sz w:val="18"/>
          <w:lang w:val="en-GB"/>
        </w:rPr>
        <w:t xml:space="preserve"> </w:t>
      </w:r>
      <w:r w:rsidRPr="009C5C7C">
        <w:rPr>
          <w:sz w:val="18"/>
          <w:lang w:val="en-GB"/>
        </w:rPr>
        <w:t>827</w:t>
      </w:r>
      <w:r w:rsidR="00E25502">
        <w:rPr>
          <w:sz w:val="18"/>
          <w:lang w:val="en-GB"/>
        </w:rPr>
        <w:t>-</w:t>
      </w:r>
      <w:r w:rsidRPr="009C5C7C">
        <w:rPr>
          <w:sz w:val="18"/>
          <w:lang w:val="en-GB"/>
        </w:rPr>
        <w:t xml:space="preserve">835. </w:t>
      </w:r>
    </w:p>
    <w:p w14:paraId="39F1F5BC" w14:textId="02DBD350" w:rsidR="00BA4872" w:rsidRPr="009C5C7C" w:rsidRDefault="00BA4872" w:rsidP="00BA4872">
      <w:pPr>
        <w:ind w:left="426" w:hanging="426"/>
        <w:jc w:val="both"/>
        <w:rPr>
          <w:sz w:val="18"/>
          <w:lang w:val="en-GB"/>
        </w:rPr>
      </w:pPr>
      <w:proofErr w:type="spellStart"/>
      <w:r w:rsidRPr="009C5C7C">
        <w:rPr>
          <w:sz w:val="18"/>
          <w:lang w:val="en-GB"/>
        </w:rPr>
        <w:t>Edelmann</w:t>
      </w:r>
      <w:proofErr w:type="spellEnd"/>
      <w:r w:rsidRPr="009C5C7C">
        <w:rPr>
          <w:sz w:val="18"/>
          <w:lang w:val="en-GB"/>
        </w:rPr>
        <w:t xml:space="preserve"> M, Chamlagain B, </w:t>
      </w:r>
      <w:proofErr w:type="spellStart"/>
      <w:r w:rsidRPr="009C5C7C">
        <w:rPr>
          <w:sz w:val="18"/>
          <w:lang w:val="en-GB"/>
        </w:rPr>
        <w:t>Santin</w:t>
      </w:r>
      <w:proofErr w:type="spellEnd"/>
      <w:r w:rsidRPr="009C5C7C">
        <w:rPr>
          <w:sz w:val="18"/>
          <w:lang w:val="en-GB"/>
        </w:rPr>
        <w:t xml:space="preserve"> M, </w:t>
      </w:r>
      <w:proofErr w:type="spellStart"/>
      <w:r w:rsidRPr="009C5C7C">
        <w:rPr>
          <w:sz w:val="18"/>
          <w:lang w:val="en-GB"/>
        </w:rPr>
        <w:t>Kariluoto</w:t>
      </w:r>
      <w:proofErr w:type="spellEnd"/>
      <w:r w:rsidRPr="009C5C7C">
        <w:rPr>
          <w:sz w:val="18"/>
          <w:lang w:val="en-GB"/>
        </w:rPr>
        <w:t xml:space="preserve"> S, Piironen V (2016) Stability of added and </w:t>
      </w:r>
      <w:r w:rsidRPr="00E25502">
        <w:rPr>
          <w:i/>
          <w:iCs/>
          <w:sz w:val="18"/>
          <w:lang w:val="en-GB"/>
        </w:rPr>
        <w:t>in situ</w:t>
      </w:r>
      <w:r w:rsidRPr="009C5C7C">
        <w:rPr>
          <w:sz w:val="18"/>
          <w:lang w:val="en-GB"/>
        </w:rPr>
        <w:t xml:space="preserve">-produced vitamin B12 in breadmaking. </w:t>
      </w:r>
      <w:r w:rsidRPr="009C5C7C">
        <w:rPr>
          <w:i/>
          <w:iCs/>
          <w:sz w:val="18"/>
          <w:lang w:val="en-GB"/>
        </w:rPr>
        <w:t>Food Chem</w:t>
      </w:r>
      <w:r w:rsidRPr="009C5C7C">
        <w:rPr>
          <w:sz w:val="18"/>
          <w:lang w:val="en-GB"/>
        </w:rPr>
        <w:t xml:space="preserve"> </w:t>
      </w:r>
      <w:r w:rsidRPr="009C5C7C">
        <w:rPr>
          <w:b/>
          <w:bCs/>
          <w:sz w:val="18"/>
          <w:lang w:val="en-GB"/>
        </w:rPr>
        <w:t>204</w:t>
      </w:r>
      <w:r w:rsidRPr="009C5C7C">
        <w:rPr>
          <w:sz w:val="18"/>
          <w:lang w:val="en-GB"/>
        </w:rPr>
        <w:t>:</w:t>
      </w:r>
      <w:r w:rsidR="00E25502">
        <w:rPr>
          <w:sz w:val="18"/>
          <w:lang w:val="en-GB"/>
        </w:rPr>
        <w:t xml:space="preserve"> </w:t>
      </w:r>
      <w:r w:rsidRPr="009C5C7C">
        <w:rPr>
          <w:sz w:val="18"/>
          <w:lang w:val="en-GB"/>
        </w:rPr>
        <w:t>21</w:t>
      </w:r>
      <w:r w:rsidR="00E25502">
        <w:rPr>
          <w:sz w:val="18"/>
          <w:lang w:val="en-GB"/>
        </w:rPr>
        <w:t>-</w:t>
      </w:r>
      <w:r w:rsidRPr="009C5C7C">
        <w:rPr>
          <w:sz w:val="18"/>
          <w:lang w:val="en-GB"/>
        </w:rPr>
        <w:t>28</w:t>
      </w:r>
      <w:r w:rsidR="00F82556">
        <w:rPr>
          <w:sz w:val="18"/>
          <w:lang w:val="en-GB"/>
        </w:rPr>
        <w:t>.</w:t>
      </w:r>
    </w:p>
    <w:p w14:paraId="0832A310" w14:textId="7A15438A" w:rsidR="000274DA" w:rsidRDefault="000274DA" w:rsidP="000274DA">
      <w:pPr>
        <w:ind w:left="284" w:hanging="284"/>
        <w:jc w:val="both"/>
        <w:rPr>
          <w:sz w:val="18"/>
          <w:lang w:val="en-GB"/>
        </w:rPr>
      </w:pPr>
      <w:r w:rsidRPr="009C5C7C">
        <w:rPr>
          <w:sz w:val="18"/>
          <w:lang w:val="en-GB"/>
        </w:rPr>
        <w:t xml:space="preserve">Estivi L (2021) </w:t>
      </w:r>
      <w:r w:rsidRPr="009C5C7C">
        <w:rPr>
          <w:bCs/>
          <w:sz w:val="18"/>
          <w:lang w:val="en-GB"/>
        </w:rPr>
        <w:t>Alternative strategies for the development of high-nutritional-value products from cereals and pulses</w:t>
      </w:r>
      <w:r w:rsidRPr="009C5C7C">
        <w:rPr>
          <w:sz w:val="18"/>
          <w:lang w:val="en-GB"/>
        </w:rPr>
        <w:t xml:space="preserve">. In </w:t>
      </w:r>
      <w:proofErr w:type="spellStart"/>
      <w:r w:rsidRPr="009C5C7C">
        <w:rPr>
          <w:sz w:val="18"/>
          <w:lang w:val="en-GB"/>
        </w:rPr>
        <w:t>Proc.s</w:t>
      </w:r>
      <w:proofErr w:type="spellEnd"/>
      <w:r w:rsidRPr="009C5C7C">
        <w:rPr>
          <w:sz w:val="18"/>
          <w:lang w:val="en-GB"/>
        </w:rPr>
        <w:t xml:space="preserve"> of the 1st telematic Workshop on the </w:t>
      </w:r>
      <w:r w:rsidRPr="009C5C7C">
        <w:rPr>
          <w:i/>
          <w:iCs/>
          <w:sz w:val="18"/>
          <w:lang w:val="en-GB"/>
        </w:rPr>
        <w:t>Developments in the Italian PhD Research on Food Science Technology and Biotechnology</w:t>
      </w:r>
      <w:r w:rsidR="00E54653">
        <w:rPr>
          <w:sz w:val="18"/>
          <w:lang w:val="en-GB"/>
        </w:rPr>
        <w:t>,</w:t>
      </w:r>
      <w:r w:rsidR="00E54653">
        <w:rPr>
          <w:i/>
          <w:iCs/>
          <w:sz w:val="18"/>
          <w:lang w:val="en-GB"/>
        </w:rPr>
        <w:t xml:space="preserve"> </w:t>
      </w:r>
      <w:r w:rsidRPr="009C5C7C">
        <w:rPr>
          <w:sz w:val="18"/>
          <w:lang w:val="en-GB"/>
        </w:rPr>
        <w:t>Palermo</w:t>
      </w:r>
      <w:r w:rsidR="00E54653">
        <w:rPr>
          <w:sz w:val="18"/>
          <w:lang w:val="en-GB"/>
        </w:rPr>
        <w:t xml:space="preserve"> (Italy)</w:t>
      </w:r>
      <w:r w:rsidRPr="009C5C7C">
        <w:rPr>
          <w:sz w:val="18"/>
          <w:lang w:val="en-GB"/>
        </w:rPr>
        <w:t xml:space="preserve">, </w:t>
      </w:r>
      <w:r w:rsidR="00E54653">
        <w:rPr>
          <w:sz w:val="18"/>
          <w:lang w:val="en-GB"/>
        </w:rPr>
        <w:t xml:space="preserve">14-15 </w:t>
      </w:r>
      <w:proofErr w:type="gramStart"/>
      <w:r w:rsidRPr="009C5C7C">
        <w:rPr>
          <w:sz w:val="18"/>
          <w:lang w:val="en-GB"/>
        </w:rPr>
        <w:t>September</w:t>
      </w:r>
      <w:r w:rsidR="00E54653">
        <w:rPr>
          <w:sz w:val="18"/>
          <w:lang w:val="en-GB"/>
        </w:rPr>
        <w:t>,</w:t>
      </w:r>
      <w:proofErr w:type="gramEnd"/>
      <w:r w:rsidR="00E54653">
        <w:rPr>
          <w:sz w:val="18"/>
          <w:lang w:val="en-GB"/>
        </w:rPr>
        <w:t xml:space="preserve"> </w:t>
      </w:r>
      <w:r w:rsidRPr="009C5C7C">
        <w:rPr>
          <w:sz w:val="18"/>
          <w:lang w:val="en-GB"/>
        </w:rPr>
        <w:t>2021.</w:t>
      </w:r>
    </w:p>
    <w:p w14:paraId="49BED42C" w14:textId="0280C7EA" w:rsidR="00897185" w:rsidRPr="009C5C7C" w:rsidRDefault="00897185" w:rsidP="00897185">
      <w:pPr>
        <w:ind w:left="426" w:hanging="426"/>
        <w:jc w:val="both"/>
        <w:rPr>
          <w:sz w:val="18"/>
          <w:lang w:val="en-GB"/>
        </w:rPr>
      </w:pPr>
      <w:r w:rsidRPr="009C5C7C">
        <w:rPr>
          <w:sz w:val="18"/>
          <w:lang w:val="en-GB"/>
        </w:rPr>
        <w:t xml:space="preserve">Estivi L, </w:t>
      </w:r>
      <w:proofErr w:type="spellStart"/>
      <w:r w:rsidRPr="009C5C7C">
        <w:rPr>
          <w:sz w:val="18"/>
          <w:lang w:val="en-GB"/>
        </w:rPr>
        <w:t>Brandolini</w:t>
      </w:r>
      <w:proofErr w:type="spellEnd"/>
      <w:r w:rsidRPr="009C5C7C">
        <w:rPr>
          <w:sz w:val="18"/>
          <w:lang w:val="en-GB"/>
        </w:rPr>
        <w:t xml:space="preserve"> A, </w:t>
      </w:r>
      <w:proofErr w:type="spellStart"/>
      <w:r w:rsidRPr="009C5C7C">
        <w:rPr>
          <w:sz w:val="18"/>
          <w:lang w:val="en-GB"/>
        </w:rPr>
        <w:t>Condezo-Hoyos</w:t>
      </w:r>
      <w:proofErr w:type="spellEnd"/>
      <w:r w:rsidRPr="009C5C7C">
        <w:rPr>
          <w:sz w:val="18"/>
          <w:lang w:val="en-GB"/>
        </w:rPr>
        <w:t xml:space="preserve"> L, Hidalgo, A (2022</w:t>
      </w:r>
      <w:r w:rsidR="009C00B9">
        <w:rPr>
          <w:sz w:val="18"/>
          <w:lang w:val="en-GB"/>
        </w:rPr>
        <w:t>c</w:t>
      </w:r>
      <w:r w:rsidRPr="009C5C7C">
        <w:rPr>
          <w:sz w:val="18"/>
          <w:lang w:val="en-GB"/>
        </w:rPr>
        <w:t xml:space="preserve">) Impact of low-frequency ultrasound technology on physical, </w:t>
      </w:r>
      <w:proofErr w:type="gramStart"/>
      <w:r w:rsidRPr="009C5C7C">
        <w:rPr>
          <w:sz w:val="18"/>
          <w:lang w:val="en-GB"/>
        </w:rPr>
        <w:t>chemical</w:t>
      </w:r>
      <w:proofErr w:type="gramEnd"/>
      <w:r w:rsidRPr="009C5C7C">
        <w:rPr>
          <w:sz w:val="18"/>
          <w:lang w:val="en-GB"/>
        </w:rPr>
        <w:t xml:space="preserve"> and technological properties of cereals and pseudocereals. </w:t>
      </w:r>
      <w:proofErr w:type="spellStart"/>
      <w:r w:rsidRPr="009C5C7C">
        <w:rPr>
          <w:i/>
          <w:iCs/>
          <w:sz w:val="18"/>
          <w:lang w:val="en-GB"/>
        </w:rPr>
        <w:t>Ultrason</w:t>
      </w:r>
      <w:proofErr w:type="spellEnd"/>
      <w:r w:rsidRPr="009C5C7C">
        <w:rPr>
          <w:i/>
          <w:iCs/>
          <w:sz w:val="18"/>
          <w:lang w:val="en-GB"/>
        </w:rPr>
        <w:t xml:space="preserve"> </w:t>
      </w:r>
      <w:proofErr w:type="spellStart"/>
      <w:r w:rsidRPr="009C5C7C">
        <w:rPr>
          <w:i/>
          <w:iCs/>
          <w:sz w:val="18"/>
          <w:lang w:val="en-GB"/>
        </w:rPr>
        <w:t>Sonochem</w:t>
      </w:r>
      <w:proofErr w:type="spellEnd"/>
      <w:r w:rsidRPr="009C5C7C">
        <w:rPr>
          <w:sz w:val="18"/>
          <w:lang w:val="en-GB"/>
        </w:rPr>
        <w:t xml:space="preserve"> </w:t>
      </w:r>
      <w:r w:rsidRPr="009C5C7C">
        <w:rPr>
          <w:b/>
          <w:bCs/>
          <w:sz w:val="18"/>
          <w:lang w:val="en-GB"/>
        </w:rPr>
        <w:t>86</w:t>
      </w:r>
      <w:r w:rsidRPr="009C5C7C">
        <w:rPr>
          <w:sz w:val="18"/>
          <w:lang w:val="en-GB"/>
        </w:rPr>
        <w:t>:</w:t>
      </w:r>
      <w:r w:rsidR="00E25502">
        <w:rPr>
          <w:sz w:val="18"/>
          <w:lang w:val="en-GB"/>
        </w:rPr>
        <w:t xml:space="preserve"> </w:t>
      </w:r>
      <w:r w:rsidRPr="009C5C7C">
        <w:rPr>
          <w:sz w:val="18"/>
          <w:lang w:val="en-GB"/>
        </w:rPr>
        <w:t xml:space="preserve">106044. </w:t>
      </w:r>
    </w:p>
    <w:p w14:paraId="6D304BFD" w14:textId="21821614" w:rsidR="009C00B9" w:rsidRPr="009C5C7C" w:rsidRDefault="009C00B9" w:rsidP="009C00B9">
      <w:pPr>
        <w:ind w:left="426" w:hanging="426"/>
        <w:jc w:val="both"/>
        <w:rPr>
          <w:sz w:val="18"/>
          <w:lang w:val="en-GB"/>
        </w:rPr>
      </w:pPr>
      <w:r w:rsidRPr="009C5C7C">
        <w:rPr>
          <w:sz w:val="18"/>
          <w:lang w:val="en-GB"/>
        </w:rPr>
        <w:t xml:space="preserve">Estivi L, Buratti S, </w:t>
      </w:r>
      <w:proofErr w:type="spellStart"/>
      <w:r w:rsidRPr="009C5C7C">
        <w:rPr>
          <w:sz w:val="18"/>
          <w:lang w:val="en-GB"/>
        </w:rPr>
        <w:t>Fusi</w:t>
      </w:r>
      <w:proofErr w:type="spellEnd"/>
      <w:r w:rsidRPr="009C5C7C">
        <w:rPr>
          <w:sz w:val="18"/>
          <w:lang w:val="en-GB"/>
        </w:rPr>
        <w:t xml:space="preserve"> D, Benedetti S, Rodríguez G, </w:t>
      </w:r>
      <w:proofErr w:type="spellStart"/>
      <w:r w:rsidRPr="009C5C7C">
        <w:rPr>
          <w:sz w:val="18"/>
          <w:lang w:val="en-GB"/>
        </w:rPr>
        <w:t>Brandolini</w:t>
      </w:r>
      <w:proofErr w:type="spellEnd"/>
      <w:r w:rsidRPr="009C5C7C">
        <w:rPr>
          <w:sz w:val="18"/>
          <w:lang w:val="en-GB"/>
        </w:rPr>
        <w:t xml:space="preserve"> A, Hidalgo A (2022</w:t>
      </w:r>
      <w:r>
        <w:rPr>
          <w:sz w:val="18"/>
          <w:lang w:val="en-GB"/>
        </w:rPr>
        <w:t>b</w:t>
      </w:r>
      <w:r w:rsidRPr="009C5C7C">
        <w:rPr>
          <w:sz w:val="18"/>
          <w:lang w:val="en-GB"/>
        </w:rPr>
        <w:t xml:space="preserve">) Alkaloid content and taste profile assessed by electronic tongue of </w:t>
      </w:r>
      <w:r w:rsidRPr="009C5C7C">
        <w:rPr>
          <w:i/>
          <w:iCs/>
          <w:sz w:val="18"/>
          <w:lang w:val="en-GB"/>
        </w:rPr>
        <w:t xml:space="preserve">Lupinus albus </w:t>
      </w:r>
      <w:r w:rsidRPr="009C5C7C">
        <w:rPr>
          <w:sz w:val="18"/>
          <w:lang w:val="en-GB"/>
        </w:rPr>
        <w:t xml:space="preserve">seeds debittered by different methods. </w:t>
      </w:r>
      <w:r w:rsidRPr="009C5C7C">
        <w:rPr>
          <w:i/>
          <w:iCs/>
          <w:sz w:val="18"/>
          <w:lang w:val="en-GB"/>
        </w:rPr>
        <w:t>J Food Compos Anal</w:t>
      </w:r>
      <w:r w:rsidRPr="009C5C7C">
        <w:rPr>
          <w:sz w:val="18"/>
          <w:lang w:val="en-GB"/>
        </w:rPr>
        <w:t xml:space="preserve"> </w:t>
      </w:r>
      <w:r w:rsidRPr="009C5C7C">
        <w:rPr>
          <w:b/>
          <w:bCs/>
          <w:sz w:val="18"/>
          <w:lang w:val="en-GB"/>
        </w:rPr>
        <w:t>114</w:t>
      </w:r>
      <w:r w:rsidRPr="009C5C7C">
        <w:rPr>
          <w:sz w:val="18"/>
          <w:lang w:val="en-GB"/>
        </w:rPr>
        <w:t>:</w:t>
      </w:r>
      <w:r w:rsidR="00E25502">
        <w:rPr>
          <w:sz w:val="18"/>
          <w:lang w:val="en-GB"/>
        </w:rPr>
        <w:t xml:space="preserve"> </w:t>
      </w:r>
      <w:r w:rsidRPr="009C5C7C">
        <w:rPr>
          <w:sz w:val="18"/>
          <w:lang w:val="en-GB"/>
        </w:rPr>
        <w:t xml:space="preserve">104810. </w:t>
      </w:r>
    </w:p>
    <w:p w14:paraId="29DBD0C1" w14:textId="22F8DBD7" w:rsidR="009C00B9" w:rsidRPr="009C5C7C" w:rsidRDefault="009C00B9" w:rsidP="009C00B9">
      <w:pPr>
        <w:ind w:left="426" w:hanging="426"/>
        <w:jc w:val="both"/>
        <w:rPr>
          <w:sz w:val="18"/>
          <w:lang w:val="en-GB"/>
        </w:rPr>
      </w:pPr>
      <w:r w:rsidRPr="005705C9">
        <w:rPr>
          <w:sz w:val="18"/>
          <w:lang w:val="en-GB"/>
        </w:rPr>
        <w:t>Estivi</w:t>
      </w:r>
      <w:r w:rsidRPr="009C5C7C">
        <w:rPr>
          <w:sz w:val="18"/>
          <w:lang w:val="en-GB"/>
        </w:rPr>
        <w:t xml:space="preserve"> </w:t>
      </w:r>
      <w:r w:rsidRPr="005705C9">
        <w:rPr>
          <w:sz w:val="18"/>
          <w:lang w:val="en-GB"/>
        </w:rPr>
        <w:t>L</w:t>
      </w:r>
      <w:r w:rsidRPr="009C5C7C">
        <w:rPr>
          <w:sz w:val="18"/>
          <w:lang w:val="en-GB"/>
        </w:rPr>
        <w:t>,</w:t>
      </w:r>
      <w:r w:rsidRPr="005705C9">
        <w:rPr>
          <w:sz w:val="18"/>
          <w:lang w:val="en-GB"/>
        </w:rPr>
        <w:t xml:space="preserve"> </w:t>
      </w:r>
      <w:proofErr w:type="spellStart"/>
      <w:r w:rsidRPr="005705C9">
        <w:rPr>
          <w:sz w:val="18"/>
          <w:lang w:val="en-GB"/>
        </w:rPr>
        <w:t>Fusi</w:t>
      </w:r>
      <w:proofErr w:type="spellEnd"/>
      <w:r w:rsidRPr="005705C9">
        <w:rPr>
          <w:sz w:val="18"/>
          <w:lang w:val="en-GB"/>
        </w:rPr>
        <w:t xml:space="preserve"> D</w:t>
      </w:r>
      <w:r w:rsidRPr="009C5C7C">
        <w:rPr>
          <w:sz w:val="18"/>
          <w:lang w:val="en-GB"/>
        </w:rPr>
        <w:t xml:space="preserve">, </w:t>
      </w:r>
      <w:proofErr w:type="spellStart"/>
      <w:r w:rsidRPr="005705C9">
        <w:rPr>
          <w:sz w:val="18"/>
          <w:lang w:val="en-GB"/>
        </w:rPr>
        <w:t>Brandolini</w:t>
      </w:r>
      <w:proofErr w:type="spellEnd"/>
      <w:r w:rsidRPr="009C5C7C">
        <w:rPr>
          <w:sz w:val="18"/>
          <w:lang w:val="en-GB"/>
        </w:rPr>
        <w:t xml:space="preserve"> </w:t>
      </w:r>
      <w:r w:rsidRPr="005705C9">
        <w:rPr>
          <w:sz w:val="18"/>
          <w:lang w:val="en-GB"/>
        </w:rPr>
        <w:t>A</w:t>
      </w:r>
      <w:r w:rsidRPr="009C5C7C">
        <w:rPr>
          <w:sz w:val="18"/>
          <w:lang w:val="en-GB"/>
        </w:rPr>
        <w:t>,</w:t>
      </w:r>
      <w:r w:rsidRPr="005705C9">
        <w:rPr>
          <w:sz w:val="18"/>
          <w:lang w:val="en-GB"/>
        </w:rPr>
        <w:t xml:space="preserve"> Hidalgo</w:t>
      </w:r>
      <w:r w:rsidRPr="009C5C7C">
        <w:rPr>
          <w:sz w:val="18"/>
          <w:lang w:val="en-GB"/>
        </w:rPr>
        <w:t xml:space="preserve"> </w:t>
      </w:r>
      <w:r w:rsidRPr="005705C9">
        <w:rPr>
          <w:sz w:val="18"/>
          <w:lang w:val="en-GB"/>
        </w:rPr>
        <w:t>A</w:t>
      </w:r>
      <w:r w:rsidRPr="009C5C7C">
        <w:rPr>
          <w:sz w:val="18"/>
          <w:lang w:val="en-GB"/>
        </w:rPr>
        <w:t xml:space="preserve"> (2022</w:t>
      </w:r>
      <w:r w:rsidR="00917A96">
        <w:rPr>
          <w:sz w:val="18"/>
          <w:lang w:val="en-GB"/>
        </w:rPr>
        <w:t>e</w:t>
      </w:r>
      <w:r w:rsidRPr="009C5C7C">
        <w:rPr>
          <w:sz w:val="18"/>
          <w:lang w:val="en-GB"/>
        </w:rPr>
        <w:t xml:space="preserve">) Effect of debittering with different solvents and ultrasound on carotenoids, tocopherols, and phenolics </w:t>
      </w:r>
      <w:r w:rsidRPr="005705C9">
        <w:rPr>
          <w:sz w:val="18"/>
          <w:lang w:val="en-GB"/>
        </w:rPr>
        <w:t>of</w:t>
      </w:r>
      <w:r w:rsidRPr="009C5C7C">
        <w:rPr>
          <w:sz w:val="18"/>
          <w:lang w:val="en-GB"/>
        </w:rPr>
        <w:t xml:space="preserve"> </w:t>
      </w:r>
      <w:r w:rsidRPr="005705C9">
        <w:rPr>
          <w:i/>
          <w:iCs/>
          <w:sz w:val="18"/>
          <w:lang w:val="en-GB"/>
        </w:rPr>
        <w:t>Lupinus albus</w:t>
      </w:r>
      <w:r w:rsidRPr="005705C9">
        <w:rPr>
          <w:sz w:val="18"/>
          <w:lang w:val="en-GB"/>
        </w:rPr>
        <w:t xml:space="preserve"> </w:t>
      </w:r>
      <w:r w:rsidRPr="009C5C7C">
        <w:rPr>
          <w:sz w:val="18"/>
          <w:lang w:val="en-GB"/>
        </w:rPr>
        <w:t>s</w:t>
      </w:r>
      <w:r w:rsidRPr="005705C9">
        <w:rPr>
          <w:sz w:val="18"/>
          <w:lang w:val="en-GB"/>
        </w:rPr>
        <w:t xml:space="preserve">eeds. </w:t>
      </w:r>
      <w:r w:rsidRPr="005705C9">
        <w:rPr>
          <w:i/>
          <w:iCs/>
          <w:sz w:val="18"/>
          <w:lang w:val="en-GB"/>
        </w:rPr>
        <w:t>Antioxidants</w:t>
      </w:r>
      <w:r w:rsidRPr="009C5C7C">
        <w:rPr>
          <w:sz w:val="18"/>
          <w:lang w:val="en-GB"/>
        </w:rPr>
        <w:t xml:space="preserve"> </w:t>
      </w:r>
      <w:r w:rsidRPr="009C5C7C">
        <w:rPr>
          <w:b/>
          <w:bCs/>
          <w:sz w:val="18"/>
          <w:lang w:val="en-GB"/>
        </w:rPr>
        <w:t>11</w:t>
      </w:r>
      <w:r w:rsidRPr="009C5C7C">
        <w:rPr>
          <w:sz w:val="18"/>
          <w:lang w:val="en-GB"/>
        </w:rPr>
        <w:t>:</w:t>
      </w:r>
      <w:r w:rsidR="00E25502">
        <w:rPr>
          <w:sz w:val="18"/>
          <w:lang w:val="en-GB"/>
        </w:rPr>
        <w:t xml:space="preserve"> </w:t>
      </w:r>
      <w:r w:rsidRPr="009C5C7C">
        <w:rPr>
          <w:sz w:val="18"/>
          <w:lang w:val="en-GB"/>
        </w:rPr>
        <w:t>2481.</w:t>
      </w:r>
    </w:p>
    <w:p w14:paraId="63135CA6" w14:textId="401688D1" w:rsidR="009C00B9" w:rsidRPr="00B0027C" w:rsidRDefault="00A0549B" w:rsidP="00897185">
      <w:pPr>
        <w:ind w:left="426" w:hanging="426"/>
        <w:jc w:val="both"/>
        <w:rPr>
          <w:sz w:val="18"/>
          <w:lang w:val="en-GB"/>
        </w:rPr>
      </w:pPr>
      <w:r w:rsidRPr="00B0027C">
        <w:rPr>
          <w:sz w:val="18"/>
          <w:lang w:val="en-GB"/>
        </w:rPr>
        <w:t xml:space="preserve">Estivi L, Grassi S, </w:t>
      </w:r>
      <w:proofErr w:type="spellStart"/>
      <w:r w:rsidRPr="00B0027C">
        <w:rPr>
          <w:sz w:val="18"/>
          <w:lang w:val="en-GB"/>
        </w:rPr>
        <w:t>Briceño-Berrú</w:t>
      </w:r>
      <w:proofErr w:type="spellEnd"/>
      <w:r w:rsidRPr="00B0027C">
        <w:rPr>
          <w:sz w:val="18"/>
          <w:lang w:val="en-GB"/>
        </w:rPr>
        <w:t xml:space="preserve"> L, </w:t>
      </w:r>
      <w:proofErr w:type="spellStart"/>
      <w:r w:rsidRPr="00B0027C">
        <w:rPr>
          <w:sz w:val="18"/>
          <w:lang w:val="en-GB"/>
        </w:rPr>
        <w:t>Glorio</w:t>
      </w:r>
      <w:proofErr w:type="spellEnd"/>
      <w:r w:rsidRPr="00B0027C">
        <w:rPr>
          <w:sz w:val="18"/>
          <w:lang w:val="en-GB"/>
        </w:rPr>
        <w:t xml:space="preserve">-Paulet P, Camarena F, Hidalgo A, </w:t>
      </w:r>
      <w:proofErr w:type="spellStart"/>
      <w:r w:rsidRPr="00B0027C">
        <w:rPr>
          <w:sz w:val="18"/>
          <w:lang w:val="en-GB"/>
        </w:rPr>
        <w:t>Brandolini</w:t>
      </w:r>
      <w:proofErr w:type="spellEnd"/>
      <w:r w:rsidRPr="00B0027C">
        <w:rPr>
          <w:sz w:val="18"/>
          <w:lang w:val="en-GB"/>
        </w:rPr>
        <w:t xml:space="preserve"> A (2022a) Free phenolic compounds, antioxidant capacity and FT-NIR survey of debittered </w:t>
      </w:r>
      <w:r w:rsidRPr="00B0027C">
        <w:rPr>
          <w:i/>
          <w:iCs/>
          <w:sz w:val="18"/>
          <w:lang w:val="en-GB"/>
        </w:rPr>
        <w:t xml:space="preserve">Lupinus </w:t>
      </w:r>
      <w:proofErr w:type="spellStart"/>
      <w:r w:rsidRPr="00B0027C">
        <w:rPr>
          <w:i/>
          <w:iCs/>
          <w:sz w:val="18"/>
          <w:lang w:val="en-GB"/>
        </w:rPr>
        <w:t>mutabilis</w:t>
      </w:r>
      <w:proofErr w:type="spellEnd"/>
      <w:r w:rsidRPr="00B0027C">
        <w:rPr>
          <w:sz w:val="18"/>
          <w:lang w:val="en-GB"/>
        </w:rPr>
        <w:t xml:space="preserve"> seeds. </w:t>
      </w:r>
      <w:r w:rsidRPr="00B0027C">
        <w:rPr>
          <w:i/>
          <w:iCs/>
          <w:sz w:val="18"/>
          <w:lang w:val="en-GB"/>
        </w:rPr>
        <w:t>Processes</w:t>
      </w:r>
      <w:r w:rsidRPr="00B0027C">
        <w:rPr>
          <w:sz w:val="18"/>
          <w:lang w:val="en-GB"/>
        </w:rPr>
        <w:t xml:space="preserve"> </w:t>
      </w:r>
      <w:r w:rsidRPr="00B0027C">
        <w:rPr>
          <w:b/>
          <w:bCs/>
          <w:sz w:val="18"/>
          <w:lang w:val="en-GB"/>
        </w:rPr>
        <w:t>10</w:t>
      </w:r>
      <w:r w:rsidR="009C00B9" w:rsidRPr="00B0027C">
        <w:rPr>
          <w:sz w:val="18"/>
          <w:lang w:val="en-GB"/>
        </w:rPr>
        <w:t>:</w:t>
      </w:r>
      <w:r w:rsidR="00E25502">
        <w:rPr>
          <w:sz w:val="18"/>
          <w:lang w:val="en-GB"/>
        </w:rPr>
        <w:t xml:space="preserve"> </w:t>
      </w:r>
      <w:r w:rsidRPr="00B0027C">
        <w:rPr>
          <w:sz w:val="18"/>
          <w:lang w:val="en-GB"/>
        </w:rPr>
        <w:t>1637.</w:t>
      </w:r>
    </w:p>
    <w:p w14:paraId="316A2E19" w14:textId="0DD3877A" w:rsidR="00595A88" w:rsidRDefault="003E6927" w:rsidP="00595A88">
      <w:pPr>
        <w:ind w:left="284" w:hanging="284"/>
        <w:jc w:val="both"/>
        <w:rPr>
          <w:sz w:val="18"/>
          <w:lang w:val="en-GB"/>
        </w:rPr>
      </w:pPr>
      <w:r w:rsidRPr="00B0027C">
        <w:rPr>
          <w:sz w:val="18"/>
          <w:lang w:val="en-GB"/>
        </w:rPr>
        <w:t>Estivi L, Pascual-</w:t>
      </w:r>
      <w:proofErr w:type="spellStart"/>
      <w:r w:rsidRPr="00B0027C">
        <w:rPr>
          <w:sz w:val="18"/>
          <w:lang w:val="en-GB"/>
        </w:rPr>
        <w:t>Chagman</w:t>
      </w:r>
      <w:proofErr w:type="spellEnd"/>
      <w:r w:rsidRPr="00B0027C">
        <w:rPr>
          <w:sz w:val="18"/>
          <w:lang w:val="en-GB"/>
        </w:rPr>
        <w:t xml:space="preserve"> G, Santa Cruz </w:t>
      </w:r>
      <w:proofErr w:type="spellStart"/>
      <w:r w:rsidRPr="00B0027C">
        <w:rPr>
          <w:sz w:val="18"/>
          <w:lang w:val="en-GB"/>
        </w:rPr>
        <w:t>Olivos</w:t>
      </w:r>
      <w:proofErr w:type="spellEnd"/>
      <w:r w:rsidRPr="00B0027C">
        <w:rPr>
          <w:sz w:val="18"/>
          <w:lang w:val="en-GB"/>
        </w:rPr>
        <w:t xml:space="preserve"> JE, Savasi P, </w:t>
      </w:r>
      <w:proofErr w:type="spellStart"/>
      <w:r w:rsidRPr="00B0027C">
        <w:rPr>
          <w:sz w:val="18"/>
          <w:lang w:val="en-GB"/>
        </w:rPr>
        <w:t>Brandolini</w:t>
      </w:r>
      <w:proofErr w:type="spellEnd"/>
      <w:r w:rsidRPr="00B0027C">
        <w:rPr>
          <w:sz w:val="18"/>
          <w:lang w:val="en-GB"/>
        </w:rPr>
        <w:t xml:space="preserve"> A, Hidalgo A (2022</w:t>
      </w:r>
      <w:r w:rsidR="00A0549B" w:rsidRPr="00B0027C">
        <w:rPr>
          <w:sz w:val="18"/>
          <w:lang w:val="en-GB"/>
        </w:rPr>
        <w:t>d</w:t>
      </w:r>
      <w:r w:rsidRPr="00B0027C">
        <w:rPr>
          <w:sz w:val="18"/>
          <w:lang w:val="en-GB"/>
        </w:rPr>
        <w:t xml:space="preserve">) </w:t>
      </w:r>
      <w:r w:rsidRPr="003E6927">
        <w:rPr>
          <w:sz w:val="18"/>
          <w:lang w:val="en-GB"/>
        </w:rPr>
        <w:t xml:space="preserve">Effect of germination on antioxidants of Andean lupin seeds. </w:t>
      </w:r>
      <w:r w:rsidRPr="009C5C7C">
        <w:rPr>
          <w:sz w:val="18"/>
          <w:lang w:val="en-GB"/>
        </w:rPr>
        <w:t xml:space="preserve">In </w:t>
      </w:r>
      <w:proofErr w:type="spellStart"/>
      <w:r w:rsidRPr="009C5C7C">
        <w:rPr>
          <w:sz w:val="18"/>
          <w:lang w:val="en-GB"/>
        </w:rPr>
        <w:t>Proc.s</w:t>
      </w:r>
      <w:proofErr w:type="spellEnd"/>
      <w:r w:rsidRPr="009C5C7C">
        <w:rPr>
          <w:sz w:val="18"/>
          <w:lang w:val="en-GB"/>
        </w:rPr>
        <w:t xml:space="preserve"> of the </w:t>
      </w:r>
      <w:r w:rsidRPr="003E6927">
        <w:rPr>
          <w:i/>
          <w:iCs/>
          <w:sz w:val="18"/>
          <w:lang w:val="en-GB"/>
        </w:rPr>
        <w:t xml:space="preserve">3rd International Conference on Food </w:t>
      </w:r>
      <w:proofErr w:type="spellStart"/>
      <w:r w:rsidRPr="003E6927">
        <w:rPr>
          <w:i/>
          <w:iCs/>
          <w:sz w:val="18"/>
          <w:lang w:val="en-GB"/>
        </w:rPr>
        <w:t>Bioactives</w:t>
      </w:r>
      <w:proofErr w:type="spellEnd"/>
      <w:r w:rsidRPr="003E6927">
        <w:rPr>
          <w:i/>
          <w:iCs/>
          <w:sz w:val="18"/>
          <w:lang w:val="en-GB"/>
        </w:rPr>
        <w:t xml:space="preserve"> &amp; Health</w:t>
      </w:r>
      <w:r w:rsidR="00E54653">
        <w:rPr>
          <w:sz w:val="18"/>
          <w:lang w:val="en-GB"/>
        </w:rPr>
        <w:t>,</w:t>
      </w:r>
      <w:r w:rsidRPr="003E6927">
        <w:rPr>
          <w:sz w:val="18"/>
          <w:lang w:val="en-GB"/>
        </w:rPr>
        <w:t xml:space="preserve"> Parma</w:t>
      </w:r>
      <w:r w:rsidR="00E54653">
        <w:rPr>
          <w:sz w:val="18"/>
          <w:lang w:val="en-GB"/>
        </w:rPr>
        <w:t xml:space="preserve"> Italy)</w:t>
      </w:r>
      <w:r w:rsidRPr="003E6927">
        <w:rPr>
          <w:sz w:val="18"/>
          <w:lang w:val="en-GB"/>
        </w:rPr>
        <w:t xml:space="preserve">, </w:t>
      </w:r>
      <w:r w:rsidR="00E54653">
        <w:rPr>
          <w:sz w:val="18"/>
          <w:lang w:val="en-GB"/>
        </w:rPr>
        <w:t xml:space="preserve">21-24 </w:t>
      </w:r>
      <w:proofErr w:type="gramStart"/>
      <w:r w:rsidR="00595A88">
        <w:rPr>
          <w:sz w:val="18"/>
          <w:lang w:val="en-GB"/>
        </w:rPr>
        <w:t>June</w:t>
      </w:r>
      <w:r w:rsidR="00E54653">
        <w:rPr>
          <w:sz w:val="18"/>
          <w:lang w:val="en-GB"/>
        </w:rPr>
        <w:t>,</w:t>
      </w:r>
      <w:proofErr w:type="gramEnd"/>
      <w:r w:rsidR="00E54653">
        <w:rPr>
          <w:sz w:val="18"/>
          <w:lang w:val="en-GB"/>
        </w:rPr>
        <w:t xml:space="preserve"> </w:t>
      </w:r>
      <w:r w:rsidR="00595A88" w:rsidRPr="009C5C7C">
        <w:rPr>
          <w:sz w:val="18"/>
          <w:lang w:val="en-GB"/>
        </w:rPr>
        <w:t>202</w:t>
      </w:r>
      <w:r w:rsidR="00595A88">
        <w:rPr>
          <w:sz w:val="18"/>
          <w:lang w:val="en-GB"/>
        </w:rPr>
        <w:t>2</w:t>
      </w:r>
      <w:r w:rsidR="00595A88" w:rsidRPr="009C5C7C">
        <w:rPr>
          <w:sz w:val="18"/>
          <w:lang w:val="en-GB"/>
        </w:rPr>
        <w:t>.</w:t>
      </w:r>
    </w:p>
    <w:p w14:paraId="0E671464" w14:textId="1DD48F0A" w:rsidR="00FD09C6" w:rsidRPr="009C5C7C" w:rsidRDefault="00FD09C6" w:rsidP="00FD09C6">
      <w:pPr>
        <w:ind w:left="426" w:hanging="426"/>
        <w:jc w:val="both"/>
        <w:rPr>
          <w:sz w:val="18"/>
          <w:lang w:val="en-GB"/>
        </w:rPr>
      </w:pPr>
      <w:proofErr w:type="spellStart"/>
      <w:r w:rsidRPr="009C5C7C">
        <w:rPr>
          <w:sz w:val="18"/>
          <w:lang w:val="en-GB"/>
        </w:rPr>
        <w:t>Geerts</w:t>
      </w:r>
      <w:proofErr w:type="spellEnd"/>
      <w:r w:rsidRPr="009C5C7C">
        <w:rPr>
          <w:sz w:val="18"/>
          <w:lang w:val="en-GB"/>
        </w:rPr>
        <w:t xml:space="preserve"> M, </w:t>
      </w:r>
      <w:proofErr w:type="spellStart"/>
      <w:r w:rsidRPr="009C5C7C">
        <w:rPr>
          <w:sz w:val="18"/>
          <w:lang w:val="en-GB"/>
        </w:rPr>
        <w:t>Mienis</w:t>
      </w:r>
      <w:proofErr w:type="spellEnd"/>
      <w:r w:rsidRPr="009C5C7C">
        <w:rPr>
          <w:sz w:val="18"/>
          <w:lang w:val="en-GB"/>
        </w:rPr>
        <w:t xml:space="preserve"> E, </w:t>
      </w:r>
      <w:proofErr w:type="spellStart"/>
      <w:r w:rsidRPr="009C5C7C">
        <w:rPr>
          <w:sz w:val="18"/>
          <w:lang w:val="en-GB"/>
        </w:rPr>
        <w:t>Nikiforidis</w:t>
      </w:r>
      <w:proofErr w:type="spellEnd"/>
      <w:r w:rsidRPr="009C5C7C">
        <w:rPr>
          <w:sz w:val="18"/>
          <w:lang w:val="en-GB"/>
        </w:rPr>
        <w:t xml:space="preserve"> CV, van der </w:t>
      </w:r>
      <w:proofErr w:type="spellStart"/>
      <w:r w:rsidRPr="009C5C7C">
        <w:rPr>
          <w:sz w:val="18"/>
          <w:lang w:val="en-GB"/>
        </w:rPr>
        <w:t>Padt</w:t>
      </w:r>
      <w:proofErr w:type="spellEnd"/>
      <w:r w:rsidRPr="009C5C7C">
        <w:rPr>
          <w:sz w:val="18"/>
          <w:lang w:val="en-GB"/>
        </w:rPr>
        <w:t xml:space="preserve"> A, van der </w:t>
      </w:r>
      <w:proofErr w:type="spellStart"/>
      <w:r w:rsidRPr="009C5C7C">
        <w:rPr>
          <w:sz w:val="18"/>
          <w:lang w:val="en-GB"/>
        </w:rPr>
        <w:t>Goot</w:t>
      </w:r>
      <w:proofErr w:type="spellEnd"/>
      <w:r w:rsidRPr="009C5C7C">
        <w:rPr>
          <w:sz w:val="18"/>
          <w:lang w:val="en-GB"/>
        </w:rPr>
        <w:t xml:space="preserve"> AJ (2017) Mildly refined fractions of yellow peas show rich behaviour in thickened oil-in-water emulsions. </w:t>
      </w:r>
      <w:proofErr w:type="spellStart"/>
      <w:r w:rsidRPr="009C5C7C">
        <w:rPr>
          <w:i/>
          <w:iCs/>
          <w:sz w:val="18"/>
          <w:lang w:val="en-GB"/>
        </w:rPr>
        <w:t>Innov</w:t>
      </w:r>
      <w:proofErr w:type="spellEnd"/>
      <w:r w:rsidRPr="009C5C7C">
        <w:rPr>
          <w:i/>
          <w:iCs/>
          <w:sz w:val="18"/>
          <w:lang w:val="en-GB"/>
        </w:rPr>
        <w:t xml:space="preserve"> Food Sci </w:t>
      </w:r>
      <w:proofErr w:type="spellStart"/>
      <w:r w:rsidRPr="009C5C7C">
        <w:rPr>
          <w:i/>
          <w:iCs/>
          <w:sz w:val="18"/>
          <w:lang w:val="en-GB"/>
        </w:rPr>
        <w:t>Emerg</w:t>
      </w:r>
      <w:proofErr w:type="spellEnd"/>
      <w:r w:rsidRPr="009C5C7C">
        <w:rPr>
          <w:i/>
          <w:iCs/>
          <w:sz w:val="18"/>
          <w:lang w:val="en-GB"/>
        </w:rPr>
        <w:t xml:space="preserve"> </w:t>
      </w:r>
      <w:proofErr w:type="spellStart"/>
      <w:r w:rsidRPr="009C5C7C">
        <w:rPr>
          <w:i/>
          <w:iCs/>
          <w:sz w:val="18"/>
          <w:lang w:val="en-GB"/>
        </w:rPr>
        <w:t>Technol</w:t>
      </w:r>
      <w:proofErr w:type="spellEnd"/>
      <w:r w:rsidRPr="009C5C7C">
        <w:rPr>
          <w:sz w:val="18"/>
          <w:lang w:val="en-GB"/>
        </w:rPr>
        <w:t xml:space="preserve"> </w:t>
      </w:r>
      <w:r w:rsidRPr="009C5C7C">
        <w:rPr>
          <w:b/>
          <w:bCs/>
          <w:sz w:val="18"/>
          <w:lang w:val="en-GB"/>
        </w:rPr>
        <w:t>41</w:t>
      </w:r>
      <w:r w:rsidRPr="009C5C7C">
        <w:rPr>
          <w:sz w:val="18"/>
          <w:lang w:val="en-GB"/>
        </w:rPr>
        <w:t>:</w:t>
      </w:r>
      <w:r w:rsidR="00E25502">
        <w:rPr>
          <w:sz w:val="18"/>
          <w:lang w:val="en-GB"/>
        </w:rPr>
        <w:t xml:space="preserve"> </w:t>
      </w:r>
      <w:r w:rsidRPr="009C5C7C">
        <w:rPr>
          <w:sz w:val="18"/>
          <w:lang w:val="en-GB"/>
        </w:rPr>
        <w:t>251</w:t>
      </w:r>
      <w:r w:rsidR="00E25502">
        <w:rPr>
          <w:sz w:val="18"/>
          <w:lang w:val="en-GB"/>
        </w:rPr>
        <w:t>-</w:t>
      </w:r>
      <w:r w:rsidRPr="009C5C7C">
        <w:rPr>
          <w:sz w:val="18"/>
          <w:lang w:val="en-GB"/>
        </w:rPr>
        <w:t xml:space="preserve">258. </w:t>
      </w:r>
    </w:p>
    <w:p w14:paraId="04E3E720" w14:textId="52FA8213" w:rsidR="00FD09C6" w:rsidRPr="009C5C7C" w:rsidRDefault="00FD09C6" w:rsidP="00FD09C6">
      <w:pPr>
        <w:ind w:left="426" w:hanging="426"/>
        <w:jc w:val="both"/>
        <w:rPr>
          <w:sz w:val="18"/>
          <w:lang w:val="en-GB"/>
        </w:rPr>
      </w:pPr>
      <w:r w:rsidRPr="009C5C7C">
        <w:rPr>
          <w:sz w:val="18"/>
          <w:lang w:val="en-GB"/>
        </w:rPr>
        <w:t xml:space="preserve">Kumar P, </w:t>
      </w:r>
      <w:proofErr w:type="spellStart"/>
      <w:r w:rsidRPr="009C5C7C">
        <w:rPr>
          <w:sz w:val="18"/>
          <w:lang w:val="en-GB"/>
        </w:rPr>
        <w:t>Chatli</w:t>
      </w:r>
      <w:proofErr w:type="spellEnd"/>
      <w:r w:rsidRPr="009C5C7C">
        <w:rPr>
          <w:sz w:val="18"/>
          <w:lang w:val="en-GB"/>
        </w:rPr>
        <w:t xml:space="preserve"> MK, Mehta N, Singh P, </w:t>
      </w:r>
      <w:proofErr w:type="spellStart"/>
      <w:r w:rsidRPr="009C5C7C">
        <w:rPr>
          <w:sz w:val="18"/>
          <w:lang w:val="en-GB"/>
        </w:rPr>
        <w:t>Malav</w:t>
      </w:r>
      <w:proofErr w:type="spellEnd"/>
      <w:r w:rsidRPr="009C5C7C">
        <w:rPr>
          <w:sz w:val="18"/>
          <w:lang w:val="en-GB"/>
        </w:rPr>
        <w:t xml:space="preserve"> OP, Verma AK (2017) Meat analogues: health promising sustainable meat substitutes. </w:t>
      </w:r>
      <w:r w:rsidRPr="009C5C7C">
        <w:rPr>
          <w:i/>
          <w:iCs/>
          <w:sz w:val="18"/>
          <w:lang w:val="en-GB"/>
        </w:rPr>
        <w:t xml:space="preserve">Crit Rev Food Sci </w:t>
      </w:r>
      <w:proofErr w:type="spellStart"/>
      <w:r w:rsidRPr="009C5C7C">
        <w:rPr>
          <w:i/>
          <w:iCs/>
          <w:sz w:val="18"/>
          <w:lang w:val="en-GB"/>
        </w:rPr>
        <w:t>Nutr</w:t>
      </w:r>
      <w:proofErr w:type="spellEnd"/>
      <w:r w:rsidRPr="009C5C7C">
        <w:rPr>
          <w:sz w:val="18"/>
          <w:lang w:val="en-GB"/>
        </w:rPr>
        <w:t xml:space="preserve"> </w:t>
      </w:r>
      <w:r w:rsidRPr="009C5C7C">
        <w:rPr>
          <w:b/>
          <w:bCs/>
          <w:sz w:val="18"/>
          <w:lang w:val="en-GB"/>
        </w:rPr>
        <w:t>57</w:t>
      </w:r>
      <w:r w:rsidRPr="009C5C7C">
        <w:rPr>
          <w:sz w:val="18"/>
          <w:lang w:val="en-GB"/>
        </w:rPr>
        <w:t>:</w:t>
      </w:r>
      <w:r w:rsidR="00E25502">
        <w:rPr>
          <w:sz w:val="18"/>
          <w:lang w:val="en-GB"/>
        </w:rPr>
        <w:t xml:space="preserve"> </w:t>
      </w:r>
      <w:r w:rsidRPr="009C5C7C">
        <w:rPr>
          <w:sz w:val="18"/>
          <w:lang w:val="en-GB"/>
        </w:rPr>
        <w:t>923</w:t>
      </w:r>
      <w:r w:rsidR="00E25502">
        <w:rPr>
          <w:sz w:val="18"/>
          <w:lang w:val="en-GB"/>
        </w:rPr>
        <w:t>-</w:t>
      </w:r>
      <w:r w:rsidRPr="009C5C7C">
        <w:rPr>
          <w:sz w:val="18"/>
          <w:lang w:val="en-GB"/>
        </w:rPr>
        <w:t>932.</w:t>
      </w:r>
    </w:p>
    <w:p w14:paraId="38DE87F5" w14:textId="678E900D" w:rsidR="00897185" w:rsidRPr="009C5C7C" w:rsidRDefault="00897185" w:rsidP="00897185">
      <w:pPr>
        <w:ind w:left="426" w:hanging="426"/>
        <w:jc w:val="both"/>
        <w:rPr>
          <w:sz w:val="18"/>
          <w:lang w:val="en-GB"/>
        </w:rPr>
      </w:pPr>
      <w:r w:rsidRPr="009C5C7C">
        <w:rPr>
          <w:sz w:val="18"/>
          <w:lang w:val="en-GB"/>
        </w:rPr>
        <w:t xml:space="preserve">Marengo M, Baffour LC, Buratti S, Benedetti S, </w:t>
      </w:r>
      <w:proofErr w:type="spellStart"/>
      <w:r w:rsidRPr="009C5C7C">
        <w:rPr>
          <w:sz w:val="18"/>
          <w:lang w:val="en-GB"/>
        </w:rPr>
        <w:t>Saalia</w:t>
      </w:r>
      <w:proofErr w:type="spellEnd"/>
      <w:r w:rsidRPr="009C5C7C">
        <w:rPr>
          <w:sz w:val="18"/>
          <w:lang w:val="en-GB"/>
        </w:rPr>
        <w:t xml:space="preserve"> FK, </w:t>
      </w:r>
      <w:proofErr w:type="spellStart"/>
      <w:r w:rsidRPr="009C5C7C">
        <w:rPr>
          <w:sz w:val="18"/>
          <w:lang w:val="en-GB"/>
        </w:rPr>
        <w:t>Carpen</w:t>
      </w:r>
      <w:proofErr w:type="spellEnd"/>
      <w:r w:rsidRPr="009C5C7C">
        <w:rPr>
          <w:sz w:val="18"/>
          <w:lang w:val="en-GB"/>
        </w:rPr>
        <w:t xml:space="preserve"> A, Manful J, Johnson P-NT, </w:t>
      </w:r>
      <w:proofErr w:type="spellStart"/>
      <w:r w:rsidRPr="009C5C7C">
        <w:rPr>
          <w:sz w:val="18"/>
          <w:lang w:val="en-GB"/>
        </w:rPr>
        <w:t>Barbiroli</w:t>
      </w:r>
      <w:proofErr w:type="spellEnd"/>
      <w:r w:rsidRPr="009C5C7C">
        <w:rPr>
          <w:sz w:val="18"/>
          <w:lang w:val="en-GB"/>
        </w:rPr>
        <w:t xml:space="preserve"> A, Bonomi F, Pagani A, Marti A, </w:t>
      </w:r>
      <w:proofErr w:type="spellStart"/>
      <w:r w:rsidRPr="009C5C7C">
        <w:rPr>
          <w:sz w:val="18"/>
          <w:lang w:val="en-GB"/>
        </w:rPr>
        <w:t>Iametti</w:t>
      </w:r>
      <w:proofErr w:type="spellEnd"/>
      <w:r w:rsidRPr="009C5C7C">
        <w:rPr>
          <w:sz w:val="18"/>
          <w:lang w:val="en-GB"/>
        </w:rPr>
        <w:t xml:space="preserve"> S (2016) Defining the overall quality of cowpea-enriched rice-based breakfast cereals. </w:t>
      </w:r>
      <w:r w:rsidRPr="009C5C7C">
        <w:rPr>
          <w:i/>
          <w:iCs/>
          <w:sz w:val="18"/>
          <w:lang w:val="en-GB"/>
        </w:rPr>
        <w:t>Cereal Chem</w:t>
      </w:r>
      <w:r w:rsidRPr="009C5C7C">
        <w:rPr>
          <w:sz w:val="18"/>
          <w:lang w:val="en-GB"/>
        </w:rPr>
        <w:t xml:space="preserve"> </w:t>
      </w:r>
      <w:r w:rsidRPr="009C5C7C">
        <w:rPr>
          <w:b/>
          <w:bCs/>
          <w:sz w:val="18"/>
          <w:lang w:val="en-GB"/>
        </w:rPr>
        <w:t>94</w:t>
      </w:r>
      <w:r w:rsidRPr="009C5C7C">
        <w:rPr>
          <w:sz w:val="18"/>
          <w:lang w:val="en-GB"/>
        </w:rPr>
        <w:t>:</w:t>
      </w:r>
      <w:r w:rsidR="00E25502">
        <w:rPr>
          <w:sz w:val="18"/>
          <w:lang w:val="en-GB"/>
        </w:rPr>
        <w:t xml:space="preserve"> </w:t>
      </w:r>
      <w:r w:rsidRPr="009C5C7C">
        <w:rPr>
          <w:sz w:val="18"/>
          <w:lang w:val="en-GB"/>
        </w:rPr>
        <w:t>151</w:t>
      </w:r>
      <w:r w:rsidR="00E25502">
        <w:rPr>
          <w:sz w:val="18"/>
          <w:lang w:val="en-GB"/>
        </w:rPr>
        <w:t>-</w:t>
      </w:r>
      <w:r w:rsidRPr="009C5C7C">
        <w:rPr>
          <w:sz w:val="18"/>
          <w:lang w:val="en-GB"/>
        </w:rPr>
        <w:t>157.</w:t>
      </w:r>
    </w:p>
    <w:p w14:paraId="48420D73" w14:textId="0B1E5C4E" w:rsidR="00FD09C6" w:rsidRPr="009C5C7C" w:rsidRDefault="00FD09C6" w:rsidP="00FD09C6">
      <w:pPr>
        <w:ind w:left="426" w:hanging="426"/>
        <w:jc w:val="both"/>
        <w:rPr>
          <w:sz w:val="18"/>
          <w:lang w:val="en-GB"/>
        </w:rPr>
      </w:pPr>
      <w:proofErr w:type="spellStart"/>
      <w:r w:rsidRPr="009C5C7C">
        <w:rPr>
          <w:sz w:val="18"/>
          <w:lang w:val="en-GB"/>
        </w:rPr>
        <w:t>Mateos</w:t>
      </w:r>
      <w:proofErr w:type="spellEnd"/>
      <w:r w:rsidRPr="009C5C7C">
        <w:rPr>
          <w:sz w:val="18"/>
          <w:lang w:val="en-GB"/>
        </w:rPr>
        <w:t xml:space="preserve">-Aparicio I, Redondo-Cuenca A, Villanueva-Suarez MJ, Zapata-Revilla MA, Tenorio-Sanz MD (2010) Pea pod, broad bean pod and </w:t>
      </w:r>
      <w:proofErr w:type="spellStart"/>
      <w:r w:rsidRPr="009C5C7C">
        <w:rPr>
          <w:sz w:val="18"/>
          <w:lang w:val="en-GB"/>
        </w:rPr>
        <w:t>okara</w:t>
      </w:r>
      <w:proofErr w:type="spellEnd"/>
      <w:r w:rsidRPr="009C5C7C">
        <w:rPr>
          <w:sz w:val="18"/>
          <w:lang w:val="en-GB"/>
        </w:rPr>
        <w:t xml:space="preserve">, potential sources of functional compounds. </w:t>
      </w:r>
      <w:r w:rsidRPr="009C5C7C">
        <w:rPr>
          <w:i/>
          <w:iCs/>
          <w:sz w:val="18"/>
          <w:lang w:val="en-GB"/>
        </w:rPr>
        <w:t>LWT</w:t>
      </w:r>
      <w:r w:rsidR="007C7FF7" w:rsidRPr="007C7FF7">
        <w:rPr>
          <w:i/>
          <w:iCs/>
          <w:sz w:val="18"/>
          <w:lang w:val="en-GB"/>
        </w:rPr>
        <w:t xml:space="preserve">-Food Sci </w:t>
      </w:r>
      <w:proofErr w:type="spellStart"/>
      <w:r w:rsidR="007C7FF7" w:rsidRPr="007C7FF7">
        <w:rPr>
          <w:i/>
          <w:iCs/>
          <w:sz w:val="18"/>
          <w:lang w:val="en-GB"/>
        </w:rPr>
        <w:t>Technol</w:t>
      </w:r>
      <w:proofErr w:type="spellEnd"/>
      <w:r w:rsidRPr="009C5C7C">
        <w:rPr>
          <w:sz w:val="18"/>
          <w:lang w:val="en-GB"/>
        </w:rPr>
        <w:t xml:space="preserve"> </w:t>
      </w:r>
      <w:r w:rsidRPr="009C5C7C">
        <w:rPr>
          <w:b/>
          <w:bCs/>
          <w:sz w:val="18"/>
          <w:lang w:val="en-GB"/>
        </w:rPr>
        <w:t>43</w:t>
      </w:r>
      <w:r w:rsidRPr="009C5C7C">
        <w:rPr>
          <w:sz w:val="18"/>
          <w:lang w:val="en-GB"/>
        </w:rPr>
        <w:t>:</w:t>
      </w:r>
      <w:r w:rsidR="00E25502">
        <w:rPr>
          <w:sz w:val="18"/>
          <w:lang w:val="en-GB"/>
        </w:rPr>
        <w:t xml:space="preserve"> </w:t>
      </w:r>
      <w:r w:rsidRPr="009C5C7C">
        <w:rPr>
          <w:sz w:val="18"/>
          <w:lang w:val="en-GB"/>
        </w:rPr>
        <w:t>1467</w:t>
      </w:r>
      <w:r w:rsidR="00E25502">
        <w:rPr>
          <w:sz w:val="18"/>
          <w:lang w:val="en-GB"/>
        </w:rPr>
        <w:t>-</w:t>
      </w:r>
      <w:r w:rsidRPr="009C5C7C">
        <w:rPr>
          <w:sz w:val="18"/>
          <w:lang w:val="en-GB"/>
        </w:rPr>
        <w:t xml:space="preserve">1470. </w:t>
      </w:r>
    </w:p>
    <w:p w14:paraId="221B891E" w14:textId="7943C63A" w:rsidR="00E31FAF" w:rsidRPr="00B0027C" w:rsidRDefault="00E31FAF" w:rsidP="00E31FAF">
      <w:pPr>
        <w:ind w:left="426" w:hanging="426"/>
        <w:jc w:val="both"/>
        <w:rPr>
          <w:sz w:val="18"/>
          <w:lang w:val="en-GB"/>
        </w:rPr>
      </w:pPr>
      <w:proofErr w:type="spellStart"/>
      <w:r w:rsidRPr="00B0027C">
        <w:rPr>
          <w:sz w:val="18"/>
          <w:lang w:val="en-GB"/>
        </w:rPr>
        <w:t>Panfili</w:t>
      </w:r>
      <w:proofErr w:type="spellEnd"/>
      <w:r w:rsidRPr="00B0027C">
        <w:rPr>
          <w:sz w:val="18"/>
          <w:lang w:val="en-GB"/>
        </w:rPr>
        <w:t xml:space="preserve"> G, </w:t>
      </w:r>
      <w:proofErr w:type="spellStart"/>
      <w:r w:rsidRPr="00B0027C">
        <w:rPr>
          <w:sz w:val="18"/>
          <w:lang w:val="en-GB"/>
        </w:rPr>
        <w:t>Fratianni</w:t>
      </w:r>
      <w:proofErr w:type="spellEnd"/>
      <w:r w:rsidRPr="00B0027C">
        <w:rPr>
          <w:sz w:val="18"/>
          <w:lang w:val="en-GB"/>
        </w:rPr>
        <w:t xml:space="preserve"> A, </w:t>
      </w:r>
      <w:proofErr w:type="spellStart"/>
      <w:r w:rsidRPr="00B0027C">
        <w:rPr>
          <w:sz w:val="18"/>
          <w:lang w:val="en-GB"/>
        </w:rPr>
        <w:t>Irano</w:t>
      </w:r>
      <w:proofErr w:type="spellEnd"/>
      <w:r w:rsidRPr="00B0027C">
        <w:rPr>
          <w:sz w:val="18"/>
          <w:lang w:val="en-GB"/>
        </w:rPr>
        <w:t xml:space="preserve"> M (2003) </w:t>
      </w:r>
      <w:r w:rsidRPr="00E31FAF">
        <w:rPr>
          <w:sz w:val="18"/>
          <w:lang w:val="en-GB"/>
        </w:rPr>
        <w:t xml:space="preserve">Normal phase high performance liquid chromatography method for the determination of tocopherols and tocotrienols in cereals. </w:t>
      </w:r>
      <w:r w:rsidRPr="00E31FAF">
        <w:rPr>
          <w:i/>
          <w:iCs/>
          <w:sz w:val="18"/>
          <w:lang w:val="en-GB"/>
        </w:rPr>
        <w:t>J Agric Food Chem</w:t>
      </w:r>
      <w:r w:rsidRPr="00E31FAF">
        <w:rPr>
          <w:sz w:val="18"/>
          <w:lang w:val="en-GB"/>
        </w:rPr>
        <w:t xml:space="preserve"> </w:t>
      </w:r>
      <w:r w:rsidRPr="00E31FAF">
        <w:rPr>
          <w:b/>
          <w:bCs/>
          <w:sz w:val="18"/>
          <w:lang w:val="en-GB"/>
        </w:rPr>
        <w:t>51</w:t>
      </w:r>
      <w:r>
        <w:rPr>
          <w:sz w:val="18"/>
          <w:lang w:val="en-GB"/>
        </w:rPr>
        <w:t>:</w:t>
      </w:r>
      <w:r w:rsidR="00E25502">
        <w:rPr>
          <w:sz w:val="18"/>
          <w:lang w:val="en-GB"/>
        </w:rPr>
        <w:t xml:space="preserve"> </w:t>
      </w:r>
      <w:r w:rsidRPr="00E31FAF">
        <w:rPr>
          <w:sz w:val="18"/>
          <w:lang w:val="en-GB"/>
        </w:rPr>
        <w:t>3940</w:t>
      </w:r>
      <w:r w:rsidR="00E25502">
        <w:rPr>
          <w:sz w:val="18"/>
          <w:lang w:val="en-GB"/>
        </w:rPr>
        <w:t>-</w:t>
      </w:r>
      <w:r w:rsidRPr="00E31FAF">
        <w:rPr>
          <w:sz w:val="18"/>
          <w:lang w:val="en-GB"/>
        </w:rPr>
        <w:t>3944.</w:t>
      </w:r>
    </w:p>
    <w:p w14:paraId="1CC84B67" w14:textId="38189768" w:rsidR="00D066F9" w:rsidRPr="00D066F9" w:rsidRDefault="00D066F9" w:rsidP="00D066F9">
      <w:pPr>
        <w:ind w:left="426" w:hanging="426"/>
        <w:jc w:val="both"/>
        <w:rPr>
          <w:sz w:val="18"/>
          <w:lang w:val="en-GB"/>
        </w:rPr>
      </w:pPr>
      <w:proofErr w:type="spellStart"/>
      <w:r w:rsidRPr="00D066F9">
        <w:rPr>
          <w:sz w:val="18"/>
          <w:lang w:val="en-GB"/>
        </w:rPr>
        <w:t>Prestes</w:t>
      </w:r>
      <w:proofErr w:type="spellEnd"/>
      <w:r w:rsidRPr="00D066F9">
        <w:rPr>
          <w:sz w:val="18"/>
          <w:lang w:val="en-GB"/>
        </w:rPr>
        <w:t xml:space="preserve"> </w:t>
      </w:r>
      <w:proofErr w:type="spellStart"/>
      <w:r w:rsidRPr="00D066F9">
        <w:rPr>
          <w:sz w:val="18"/>
          <w:lang w:val="en-GB"/>
        </w:rPr>
        <w:t>Fallavena</w:t>
      </w:r>
      <w:proofErr w:type="spellEnd"/>
      <w:r w:rsidRPr="00D066F9">
        <w:rPr>
          <w:sz w:val="18"/>
          <w:lang w:val="en-GB"/>
        </w:rPr>
        <w:t xml:space="preserve"> L</w:t>
      </w:r>
      <w:r w:rsidRPr="009C5C7C">
        <w:rPr>
          <w:sz w:val="18"/>
          <w:lang w:val="en-GB"/>
        </w:rPr>
        <w:t>,</w:t>
      </w:r>
      <w:r w:rsidRPr="00D066F9">
        <w:rPr>
          <w:sz w:val="18"/>
          <w:lang w:val="en-GB"/>
        </w:rPr>
        <w:t xml:space="preserve"> Rodrigues N</w:t>
      </w:r>
      <w:r w:rsidRPr="009C5C7C">
        <w:rPr>
          <w:sz w:val="18"/>
          <w:lang w:val="en-GB"/>
        </w:rPr>
        <w:t>,</w:t>
      </w:r>
      <w:r w:rsidRPr="00D066F9">
        <w:rPr>
          <w:sz w:val="18"/>
          <w:lang w:val="en-GB"/>
        </w:rPr>
        <w:t xml:space="preserve"> Marczak LD</w:t>
      </w:r>
      <w:r w:rsidRPr="009C5C7C">
        <w:rPr>
          <w:sz w:val="18"/>
          <w:lang w:val="en-GB"/>
        </w:rPr>
        <w:t>,</w:t>
      </w:r>
      <w:r w:rsidRPr="00D066F9">
        <w:rPr>
          <w:sz w:val="18"/>
          <w:lang w:val="en-GB"/>
        </w:rPr>
        <w:t xml:space="preserve"> </w:t>
      </w:r>
      <w:proofErr w:type="spellStart"/>
      <w:r w:rsidRPr="00D066F9">
        <w:rPr>
          <w:sz w:val="18"/>
          <w:lang w:val="en-GB"/>
        </w:rPr>
        <w:t>Mercali</w:t>
      </w:r>
      <w:proofErr w:type="spellEnd"/>
      <w:r w:rsidRPr="00D066F9">
        <w:rPr>
          <w:sz w:val="18"/>
          <w:lang w:val="en-GB"/>
        </w:rPr>
        <w:t xml:space="preserve"> GD </w:t>
      </w:r>
      <w:r w:rsidRPr="009C5C7C">
        <w:rPr>
          <w:sz w:val="18"/>
          <w:lang w:val="en-GB"/>
        </w:rPr>
        <w:t>(</w:t>
      </w:r>
      <w:r w:rsidRPr="00D066F9">
        <w:rPr>
          <w:sz w:val="18"/>
          <w:lang w:val="en-GB"/>
        </w:rPr>
        <w:t>2022</w:t>
      </w:r>
      <w:r w:rsidRPr="009C5C7C">
        <w:rPr>
          <w:sz w:val="18"/>
          <w:lang w:val="en-GB"/>
        </w:rPr>
        <w:t xml:space="preserve">) </w:t>
      </w:r>
      <w:r w:rsidRPr="00D066F9">
        <w:rPr>
          <w:sz w:val="18"/>
          <w:lang w:val="en-GB"/>
        </w:rPr>
        <w:t>Formation of advanced glycation end products by novel food processing technologies: A review</w:t>
      </w:r>
      <w:r w:rsidRPr="009C5C7C">
        <w:rPr>
          <w:sz w:val="18"/>
          <w:lang w:val="en-GB"/>
        </w:rPr>
        <w:t>.</w:t>
      </w:r>
      <w:r w:rsidRPr="00D066F9">
        <w:rPr>
          <w:sz w:val="18"/>
          <w:lang w:val="en-GB"/>
        </w:rPr>
        <w:t xml:space="preserve"> </w:t>
      </w:r>
      <w:r w:rsidRPr="00D066F9">
        <w:rPr>
          <w:i/>
          <w:iCs/>
          <w:sz w:val="18"/>
          <w:lang w:val="en-GB"/>
        </w:rPr>
        <w:t xml:space="preserve">Food Chem </w:t>
      </w:r>
      <w:r w:rsidRPr="00D066F9">
        <w:rPr>
          <w:b/>
          <w:bCs/>
          <w:sz w:val="18"/>
          <w:lang w:val="en-GB"/>
        </w:rPr>
        <w:t>393</w:t>
      </w:r>
      <w:r w:rsidRPr="009C5C7C">
        <w:rPr>
          <w:sz w:val="18"/>
          <w:lang w:val="en-GB"/>
        </w:rPr>
        <w:t>:</w:t>
      </w:r>
      <w:r w:rsidR="00E25502">
        <w:rPr>
          <w:sz w:val="18"/>
          <w:lang w:val="en-GB"/>
        </w:rPr>
        <w:t xml:space="preserve"> </w:t>
      </w:r>
      <w:r w:rsidRPr="00D066F9">
        <w:rPr>
          <w:sz w:val="18"/>
          <w:lang w:val="en-GB"/>
        </w:rPr>
        <w:t>133338.</w:t>
      </w:r>
    </w:p>
    <w:p w14:paraId="1D5D317B" w14:textId="3C08F675" w:rsidR="00FD09C6" w:rsidRPr="009C5C7C" w:rsidRDefault="00FD09C6" w:rsidP="00FD09C6">
      <w:pPr>
        <w:ind w:left="426" w:hanging="426"/>
        <w:jc w:val="both"/>
        <w:rPr>
          <w:sz w:val="18"/>
          <w:lang w:val="en-GB"/>
        </w:rPr>
      </w:pPr>
      <w:proofErr w:type="spellStart"/>
      <w:r w:rsidRPr="009C5C7C">
        <w:rPr>
          <w:sz w:val="18"/>
          <w:lang w:val="en-GB"/>
        </w:rPr>
        <w:t>Qiaoyun</w:t>
      </w:r>
      <w:proofErr w:type="spellEnd"/>
      <w:r w:rsidRPr="009C5C7C">
        <w:rPr>
          <w:sz w:val="18"/>
          <w:lang w:val="en-GB"/>
        </w:rPr>
        <w:t xml:space="preserve"> C, </w:t>
      </w:r>
      <w:proofErr w:type="spellStart"/>
      <w:r w:rsidRPr="009C5C7C">
        <w:rPr>
          <w:sz w:val="18"/>
          <w:lang w:val="en-GB"/>
        </w:rPr>
        <w:t>Xinghong</w:t>
      </w:r>
      <w:proofErr w:type="spellEnd"/>
      <w:r w:rsidRPr="009C5C7C">
        <w:rPr>
          <w:sz w:val="18"/>
          <w:lang w:val="en-GB"/>
        </w:rPr>
        <w:t xml:space="preserve"> N, Liang Z, Zheng T, </w:t>
      </w:r>
      <w:proofErr w:type="spellStart"/>
      <w:r w:rsidRPr="009C5C7C">
        <w:rPr>
          <w:sz w:val="18"/>
          <w:lang w:val="en-GB"/>
        </w:rPr>
        <w:t>Jin</w:t>
      </w:r>
      <w:proofErr w:type="spellEnd"/>
      <w:r w:rsidRPr="009C5C7C">
        <w:rPr>
          <w:sz w:val="18"/>
          <w:lang w:val="en-GB"/>
        </w:rPr>
        <w:t xml:space="preserve"> L, Kang S, Xuan C, </w:t>
      </w:r>
      <w:proofErr w:type="spellStart"/>
      <w:r w:rsidRPr="009C5C7C">
        <w:rPr>
          <w:sz w:val="18"/>
          <w:lang w:val="en-GB"/>
        </w:rPr>
        <w:t>Xinghui</w:t>
      </w:r>
      <w:proofErr w:type="spellEnd"/>
      <w:r w:rsidRPr="009C5C7C">
        <w:rPr>
          <w:sz w:val="18"/>
          <w:lang w:val="en-GB"/>
        </w:rPr>
        <w:t xml:space="preserve"> L (2017) Optimization of protein extraction and </w:t>
      </w:r>
      <w:proofErr w:type="spellStart"/>
      <w:r w:rsidRPr="009C5C7C">
        <w:rPr>
          <w:sz w:val="18"/>
          <w:lang w:val="en-GB"/>
        </w:rPr>
        <w:t>decoloration</w:t>
      </w:r>
      <w:proofErr w:type="spellEnd"/>
      <w:r w:rsidRPr="009C5C7C">
        <w:rPr>
          <w:sz w:val="18"/>
          <w:lang w:val="en-GB"/>
        </w:rPr>
        <w:t xml:space="preserve"> conditions for tea residues. </w:t>
      </w:r>
      <w:proofErr w:type="spellStart"/>
      <w:r w:rsidRPr="009C5C7C">
        <w:rPr>
          <w:i/>
          <w:iCs/>
          <w:sz w:val="18"/>
          <w:lang w:val="en-GB"/>
        </w:rPr>
        <w:t>Hortic</w:t>
      </w:r>
      <w:proofErr w:type="spellEnd"/>
      <w:r w:rsidRPr="009C5C7C">
        <w:rPr>
          <w:i/>
          <w:iCs/>
          <w:sz w:val="18"/>
          <w:lang w:val="en-GB"/>
        </w:rPr>
        <w:t xml:space="preserve"> Plant J</w:t>
      </w:r>
      <w:r w:rsidRPr="009C5C7C">
        <w:rPr>
          <w:sz w:val="18"/>
          <w:lang w:val="en-GB"/>
        </w:rPr>
        <w:t xml:space="preserve"> </w:t>
      </w:r>
      <w:r w:rsidRPr="009C5C7C">
        <w:rPr>
          <w:b/>
          <w:bCs/>
          <w:sz w:val="18"/>
          <w:lang w:val="en-GB"/>
        </w:rPr>
        <w:t>3</w:t>
      </w:r>
      <w:r w:rsidRPr="009C5C7C">
        <w:rPr>
          <w:sz w:val="18"/>
          <w:lang w:val="en-GB"/>
        </w:rPr>
        <w:t>:</w:t>
      </w:r>
      <w:r w:rsidR="00E25502">
        <w:rPr>
          <w:sz w:val="18"/>
          <w:lang w:val="en-GB"/>
        </w:rPr>
        <w:t xml:space="preserve"> </w:t>
      </w:r>
      <w:r w:rsidRPr="009C5C7C">
        <w:rPr>
          <w:sz w:val="18"/>
          <w:lang w:val="en-GB"/>
        </w:rPr>
        <w:t>172</w:t>
      </w:r>
      <w:r w:rsidR="00E25502">
        <w:rPr>
          <w:sz w:val="18"/>
          <w:lang w:val="en-GB"/>
        </w:rPr>
        <w:t>-</w:t>
      </w:r>
      <w:r w:rsidRPr="009C5C7C">
        <w:rPr>
          <w:sz w:val="18"/>
          <w:lang w:val="en-GB"/>
        </w:rPr>
        <w:t xml:space="preserve">176. </w:t>
      </w:r>
    </w:p>
    <w:p w14:paraId="53E06DDB" w14:textId="3EE3CB82" w:rsidR="00FD09C6" w:rsidRPr="009C5C7C" w:rsidRDefault="00FD09C6" w:rsidP="00FD09C6">
      <w:pPr>
        <w:ind w:left="426" w:hanging="426"/>
        <w:jc w:val="both"/>
        <w:rPr>
          <w:sz w:val="18"/>
          <w:lang w:val="en-GB"/>
        </w:rPr>
      </w:pPr>
      <w:r w:rsidRPr="009C5C7C">
        <w:rPr>
          <w:sz w:val="18"/>
          <w:lang w:val="en-GB"/>
        </w:rPr>
        <w:t xml:space="preserve">Sharma BB, Sharma VK, </w:t>
      </w:r>
      <w:proofErr w:type="spellStart"/>
      <w:r w:rsidRPr="009C5C7C">
        <w:rPr>
          <w:sz w:val="18"/>
          <w:lang w:val="en-GB"/>
        </w:rPr>
        <w:t>Dhakar</w:t>
      </w:r>
      <w:proofErr w:type="spellEnd"/>
      <w:r w:rsidRPr="009C5C7C">
        <w:rPr>
          <w:sz w:val="18"/>
          <w:lang w:val="en-GB"/>
        </w:rPr>
        <w:t xml:space="preserve"> MK, </w:t>
      </w:r>
      <w:proofErr w:type="spellStart"/>
      <w:r w:rsidRPr="009C5C7C">
        <w:rPr>
          <w:sz w:val="18"/>
          <w:lang w:val="en-GB"/>
        </w:rPr>
        <w:t>Punetha</w:t>
      </w:r>
      <w:proofErr w:type="spellEnd"/>
      <w:r w:rsidRPr="009C5C7C">
        <w:rPr>
          <w:sz w:val="18"/>
          <w:lang w:val="en-GB"/>
        </w:rPr>
        <w:t xml:space="preserve"> SH (2013) Combining ability and gene action studies for horticultural traits in garden pea: A review. </w:t>
      </w:r>
      <w:proofErr w:type="spellStart"/>
      <w:r w:rsidRPr="009C5C7C">
        <w:rPr>
          <w:i/>
          <w:iCs/>
          <w:sz w:val="18"/>
          <w:lang w:val="en-GB"/>
        </w:rPr>
        <w:t>Afr</w:t>
      </w:r>
      <w:proofErr w:type="spellEnd"/>
      <w:r w:rsidRPr="009C5C7C">
        <w:rPr>
          <w:i/>
          <w:iCs/>
          <w:sz w:val="18"/>
          <w:lang w:val="en-GB"/>
        </w:rPr>
        <w:t xml:space="preserve"> J Agric Res</w:t>
      </w:r>
      <w:r w:rsidRPr="009C5C7C">
        <w:rPr>
          <w:sz w:val="18"/>
          <w:lang w:val="en-GB"/>
        </w:rPr>
        <w:t xml:space="preserve"> </w:t>
      </w:r>
      <w:r w:rsidRPr="009C5C7C">
        <w:rPr>
          <w:b/>
          <w:bCs/>
          <w:sz w:val="18"/>
          <w:lang w:val="en-GB"/>
        </w:rPr>
        <w:t>8</w:t>
      </w:r>
      <w:r w:rsidRPr="009C5C7C">
        <w:rPr>
          <w:sz w:val="18"/>
          <w:lang w:val="en-GB"/>
        </w:rPr>
        <w:t>:</w:t>
      </w:r>
      <w:r w:rsidR="00E25502">
        <w:rPr>
          <w:sz w:val="18"/>
          <w:lang w:val="en-GB"/>
        </w:rPr>
        <w:t xml:space="preserve"> </w:t>
      </w:r>
      <w:r w:rsidRPr="009C5C7C">
        <w:rPr>
          <w:sz w:val="18"/>
          <w:lang w:val="en-GB"/>
        </w:rPr>
        <w:t xml:space="preserve">4718. </w:t>
      </w:r>
    </w:p>
    <w:p w14:paraId="21899273" w14:textId="12D76B89" w:rsidR="00D066F9" w:rsidRPr="00D066F9" w:rsidRDefault="00D066F9" w:rsidP="00D066F9">
      <w:pPr>
        <w:ind w:left="426" w:hanging="426"/>
        <w:jc w:val="both"/>
        <w:rPr>
          <w:sz w:val="18"/>
          <w:lang w:val="en-GB"/>
        </w:rPr>
      </w:pPr>
      <w:r w:rsidRPr="00D066F9">
        <w:rPr>
          <w:sz w:val="18"/>
          <w:lang w:val="en-GB"/>
        </w:rPr>
        <w:t>Stone AK</w:t>
      </w:r>
      <w:r w:rsidRPr="009C5C7C">
        <w:rPr>
          <w:sz w:val="18"/>
          <w:lang w:val="en-GB"/>
        </w:rPr>
        <w:t>,</w:t>
      </w:r>
      <w:r w:rsidRPr="00D066F9">
        <w:rPr>
          <w:sz w:val="18"/>
          <w:lang w:val="en-GB"/>
        </w:rPr>
        <w:t xml:space="preserve"> </w:t>
      </w:r>
      <w:proofErr w:type="spellStart"/>
      <w:r w:rsidRPr="00D066F9">
        <w:rPr>
          <w:sz w:val="18"/>
          <w:lang w:val="en-GB"/>
        </w:rPr>
        <w:t>Karalash</w:t>
      </w:r>
      <w:proofErr w:type="spellEnd"/>
      <w:r w:rsidRPr="00D066F9">
        <w:rPr>
          <w:sz w:val="18"/>
          <w:lang w:val="en-GB"/>
        </w:rPr>
        <w:t xml:space="preserve"> A</w:t>
      </w:r>
      <w:r w:rsidRPr="009C5C7C">
        <w:rPr>
          <w:sz w:val="18"/>
          <w:lang w:val="en-GB"/>
        </w:rPr>
        <w:t>,</w:t>
      </w:r>
      <w:r w:rsidRPr="00D066F9">
        <w:rPr>
          <w:sz w:val="18"/>
          <w:lang w:val="en-GB"/>
        </w:rPr>
        <w:t xml:space="preserve"> Tyler RT</w:t>
      </w:r>
      <w:r w:rsidRPr="009C5C7C">
        <w:rPr>
          <w:sz w:val="18"/>
          <w:lang w:val="en-GB"/>
        </w:rPr>
        <w:t>,</w:t>
      </w:r>
      <w:r w:rsidRPr="00D066F9">
        <w:rPr>
          <w:sz w:val="18"/>
          <w:lang w:val="en-GB"/>
        </w:rPr>
        <w:t xml:space="preserve"> Warkentin TD</w:t>
      </w:r>
      <w:r w:rsidRPr="009C5C7C">
        <w:rPr>
          <w:sz w:val="18"/>
          <w:lang w:val="en-GB"/>
        </w:rPr>
        <w:t>,</w:t>
      </w:r>
      <w:r w:rsidRPr="00D066F9">
        <w:rPr>
          <w:sz w:val="18"/>
          <w:lang w:val="en-GB"/>
        </w:rPr>
        <w:t xml:space="preserve"> Nickerson MT </w:t>
      </w:r>
      <w:r w:rsidRPr="009C5C7C">
        <w:rPr>
          <w:sz w:val="18"/>
          <w:lang w:val="en-GB"/>
        </w:rPr>
        <w:t xml:space="preserve">(2015) </w:t>
      </w:r>
      <w:r w:rsidRPr="00D066F9">
        <w:rPr>
          <w:sz w:val="18"/>
          <w:lang w:val="en-GB"/>
        </w:rPr>
        <w:t xml:space="preserve">Functional attributes of pea protein isolates prepared using different extraction methods and cultivars. </w:t>
      </w:r>
      <w:r w:rsidRPr="00D066F9">
        <w:rPr>
          <w:i/>
          <w:iCs/>
          <w:sz w:val="18"/>
          <w:lang w:val="en-GB"/>
        </w:rPr>
        <w:t xml:space="preserve">Food Res Int </w:t>
      </w:r>
      <w:r w:rsidRPr="00D066F9">
        <w:rPr>
          <w:b/>
          <w:bCs/>
          <w:sz w:val="18"/>
          <w:lang w:val="en-GB"/>
        </w:rPr>
        <w:t>76</w:t>
      </w:r>
      <w:r w:rsidRPr="009C5C7C">
        <w:rPr>
          <w:sz w:val="18"/>
          <w:lang w:val="en-GB"/>
        </w:rPr>
        <w:t>:</w:t>
      </w:r>
      <w:r w:rsidR="00E25502">
        <w:rPr>
          <w:sz w:val="18"/>
          <w:lang w:val="en-GB"/>
        </w:rPr>
        <w:t xml:space="preserve"> </w:t>
      </w:r>
      <w:r w:rsidRPr="00D066F9">
        <w:rPr>
          <w:sz w:val="18"/>
          <w:lang w:val="en-GB"/>
        </w:rPr>
        <w:t>31</w:t>
      </w:r>
      <w:r w:rsidR="00E25502">
        <w:rPr>
          <w:sz w:val="18"/>
          <w:lang w:val="en-GB"/>
        </w:rPr>
        <w:t>-</w:t>
      </w:r>
      <w:r w:rsidRPr="00D066F9">
        <w:rPr>
          <w:sz w:val="18"/>
          <w:lang w:val="en-GB"/>
        </w:rPr>
        <w:t xml:space="preserve">38. </w:t>
      </w:r>
    </w:p>
    <w:p w14:paraId="382D6527" w14:textId="0D2427EF" w:rsidR="00D066F9" w:rsidRPr="00D066F9" w:rsidRDefault="00D066F9" w:rsidP="00D066F9">
      <w:pPr>
        <w:ind w:left="426" w:hanging="426"/>
        <w:jc w:val="both"/>
        <w:rPr>
          <w:sz w:val="18"/>
          <w:lang w:val="en-GB"/>
        </w:rPr>
      </w:pPr>
      <w:proofErr w:type="spellStart"/>
      <w:r w:rsidRPr="00D066F9">
        <w:rPr>
          <w:sz w:val="18"/>
          <w:lang w:val="en-GB"/>
        </w:rPr>
        <w:t>Thirunavookarasu</w:t>
      </w:r>
      <w:proofErr w:type="spellEnd"/>
      <w:r w:rsidRPr="00D066F9">
        <w:rPr>
          <w:sz w:val="18"/>
          <w:lang w:val="en-GB"/>
        </w:rPr>
        <w:t xml:space="preserve"> N</w:t>
      </w:r>
      <w:r w:rsidRPr="009C5C7C">
        <w:rPr>
          <w:sz w:val="18"/>
          <w:lang w:val="en-GB"/>
        </w:rPr>
        <w:t>,</w:t>
      </w:r>
      <w:r w:rsidRPr="00D066F9">
        <w:rPr>
          <w:sz w:val="18"/>
          <w:lang w:val="en-GB"/>
        </w:rPr>
        <w:t xml:space="preserve"> Kumar S</w:t>
      </w:r>
      <w:r w:rsidRPr="009C5C7C">
        <w:rPr>
          <w:sz w:val="18"/>
          <w:lang w:val="en-GB"/>
        </w:rPr>
        <w:t>,</w:t>
      </w:r>
      <w:r w:rsidRPr="00D066F9">
        <w:rPr>
          <w:sz w:val="18"/>
          <w:lang w:val="en-GB"/>
        </w:rPr>
        <w:t xml:space="preserve"> Rawson A </w:t>
      </w:r>
      <w:r w:rsidRPr="009C5C7C">
        <w:rPr>
          <w:sz w:val="18"/>
          <w:lang w:val="en-GB"/>
        </w:rPr>
        <w:t xml:space="preserve">(2022) </w:t>
      </w:r>
      <w:r w:rsidRPr="00D066F9">
        <w:rPr>
          <w:sz w:val="18"/>
          <w:lang w:val="en-GB"/>
        </w:rPr>
        <w:t xml:space="preserve">Effect of ultrasonication on the protein–polysaccharide complexes: a review. </w:t>
      </w:r>
      <w:r w:rsidRPr="009C5C7C">
        <w:rPr>
          <w:i/>
          <w:iCs/>
          <w:sz w:val="18"/>
          <w:lang w:val="en-GB"/>
        </w:rPr>
        <w:t xml:space="preserve">J Food </w:t>
      </w:r>
      <w:proofErr w:type="spellStart"/>
      <w:r w:rsidRPr="009C5C7C">
        <w:rPr>
          <w:i/>
          <w:iCs/>
          <w:sz w:val="18"/>
          <w:lang w:val="en-GB"/>
        </w:rPr>
        <w:t>Meas</w:t>
      </w:r>
      <w:proofErr w:type="spellEnd"/>
      <w:r w:rsidRPr="009C5C7C">
        <w:rPr>
          <w:i/>
          <w:iCs/>
          <w:sz w:val="18"/>
          <w:lang w:val="en-GB"/>
        </w:rPr>
        <w:t xml:space="preserve"> Charact</w:t>
      </w:r>
      <w:r w:rsidRPr="00D066F9">
        <w:rPr>
          <w:sz w:val="18"/>
          <w:lang w:val="en-GB"/>
        </w:rPr>
        <w:t xml:space="preserve"> </w:t>
      </w:r>
      <w:r w:rsidRPr="00D066F9">
        <w:rPr>
          <w:b/>
          <w:bCs/>
          <w:sz w:val="18"/>
          <w:lang w:val="en-GB"/>
        </w:rPr>
        <w:t>16</w:t>
      </w:r>
      <w:r w:rsidRPr="009C5C7C">
        <w:rPr>
          <w:sz w:val="18"/>
          <w:lang w:val="en-GB"/>
        </w:rPr>
        <w:t>:</w:t>
      </w:r>
      <w:r w:rsidR="00E25502">
        <w:rPr>
          <w:sz w:val="18"/>
          <w:lang w:val="en-GB"/>
        </w:rPr>
        <w:t xml:space="preserve"> </w:t>
      </w:r>
      <w:r w:rsidRPr="00D066F9">
        <w:rPr>
          <w:sz w:val="18"/>
          <w:lang w:val="en-GB"/>
        </w:rPr>
        <w:t>4860</w:t>
      </w:r>
      <w:r w:rsidR="00E25502">
        <w:rPr>
          <w:sz w:val="18"/>
          <w:lang w:val="en-GB"/>
        </w:rPr>
        <w:t>-</w:t>
      </w:r>
      <w:r w:rsidRPr="00D066F9">
        <w:rPr>
          <w:sz w:val="18"/>
          <w:lang w:val="en-GB"/>
        </w:rPr>
        <w:t xml:space="preserve">4879. </w:t>
      </w:r>
    </w:p>
    <w:p w14:paraId="7F78F014" w14:textId="1D89D2B0" w:rsidR="00897185" w:rsidRPr="009C5C7C" w:rsidRDefault="00897185" w:rsidP="00897185">
      <w:pPr>
        <w:ind w:left="426" w:hanging="426"/>
        <w:jc w:val="both"/>
        <w:rPr>
          <w:sz w:val="18"/>
          <w:lang w:val="en-GB"/>
        </w:rPr>
      </w:pPr>
      <w:proofErr w:type="spellStart"/>
      <w:r w:rsidRPr="009C5C7C">
        <w:rPr>
          <w:sz w:val="18"/>
          <w:lang w:val="en-GB"/>
        </w:rPr>
        <w:t>Villacrés</w:t>
      </w:r>
      <w:proofErr w:type="spellEnd"/>
      <w:r w:rsidRPr="009C5C7C">
        <w:rPr>
          <w:sz w:val="18"/>
          <w:lang w:val="en-GB"/>
        </w:rPr>
        <w:t xml:space="preserve"> E, Alvarez J, </w:t>
      </w:r>
      <w:proofErr w:type="spellStart"/>
      <w:r w:rsidRPr="009C5C7C">
        <w:rPr>
          <w:sz w:val="18"/>
          <w:lang w:val="en-GB"/>
        </w:rPr>
        <w:t>Rossell</w:t>
      </w:r>
      <w:proofErr w:type="spellEnd"/>
      <w:r w:rsidRPr="009C5C7C">
        <w:rPr>
          <w:sz w:val="18"/>
          <w:lang w:val="en-GB"/>
        </w:rPr>
        <w:t xml:space="preserve"> C (2020) Effects of two debittering processes on the alkaloid content and quality characteristics of lupin (</w:t>
      </w:r>
      <w:r w:rsidRPr="009C5C7C">
        <w:rPr>
          <w:i/>
          <w:iCs/>
          <w:sz w:val="18"/>
          <w:lang w:val="en-GB"/>
        </w:rPr>
        <w:t xml:space="preserve">Lupinus </w:t>
      </w:r>
      <w:proofErr w:type="spellStart"/>
      <w:r w:rsidRPr="009C5C7C">
        <w:rPr>
          <w:i/>
          <w:iCs/>
          <w:sz w:val="18"/>
          <w:lang w:val="en-GB"/>
        </w:rPr>
        <w:t>mutabilis</w:t>
      </w:r>
      <w:proofErr w:type="spellEnd"/>
      <w:r w:rsidRPr="009C5C7C">
        <w:rPr>
          <w:i/>
          <w:iCs/>
          <w:sz w:val="18"/>
          <w:lang w:val="en-GB"/>
        </w:rPr>
        <w:t xml:space="preserve"> </w:t>
      </w:r>
      <w:r w:rsidRPr="009C5C7C">
        <w:rPr>
          <w:sz w:val="18"/>
          <w:lang w:val="en-GB"/>
        </w:rPr>
        <w:t xml:space="preserve">Sweet). </w:t>
      </w:r>
      <w:r w:rsidRPr="009C5C7C">
        <w:rPr>
          <w:i/>
          <w:iCs/>
          <w:sz w:val="18"/>
          <w:lang w:val="en-GB"/>
        </w:rPr>
        <w:t>J Sc</w:t>
      </w:r>
      <w:r w:rsidR="00484B68" w:rsidRPr="009C5C7C">
        <w:rPr>
          <w:i/>
          <w:iCs/>
          <w:sz w:val="18"/>
          <w:lang w:val="en-GB"/>
        </w:rPr>
        <w:t>i</w:t>
      </w:r>
      <w:r w:rsidRPr="009C5C7C">
        <w:rPr>
          <w:i/>
          <w:iCs/>
          <w:sz w:val="18"/>
          <w:lang w:val="en-GB"/>
        </w:rPr>
        <w:t xml:space="preserve"> Food Agric</w:t>
      </w:r>
      <w:r w:rsidRPr="009C5C7C">
        <w:rPr>
          <w:sz w:val="18"/>
          <w:lang w:val="en-GB"/>
        </w:rPr>
        <w:t xml:space="preserve"> </w:t>
      </w:r>
      <w:r w:rsidRPr="009C5C7C">
        <w:rPr>
          <w:b/>
          <w:bCs/>
          <w:sz w:val="18"/>
          <w:lang w:val="en-GB"/>
        </w:rPr>
        <w:t>100</w:t>
      </w:r>
      <w:r w:rsidRPr="009C5C7C">
        <w:rPr>
          <w:sz w:val="18"/>
          <w:lang w:val="en-GB"/>
        </w:rPr>
        <w:t>:</w:t>
      </w:r>
      <w:r w:rsidR="00E25502">
        <w:rPr>
          <w:sz w:val="18"/>
          <w:lang w:val="en-GB"/>
        </w:rPr>
        <w:t xml:space="preserve"> </w:t>
      </w:r>
      <w:r w:rsidRPr="009C5C7C">
        <w:rPr>
          <w:sz w:val="18"/>
          <w:lang w:val="en-GB"/>
        </w:rPr>
        <w:t>2166</w:t>
      </w:r>
      <w:r w:rsidR="00E25502">
        <w:rPr>
          <w:sz w:val="18"/>
          <w:lang w:val="en-GB"/>
        </w:rPr>
        <w:t>-</w:t>
      </w:r>
      <w:r w:rsidRPr="009C5C7C">
        <w:rPr>
          <w:sz w:val="18"/>
          <w:lang w:val="en-GB"/>
        </w:rPr>
        <w:t>2175.</w:t>
      </w:r>
    </w:p>
    <w:p w14:paraId="389400BE" w14:textId="004888DB" w:rsidR="00484B68" w:rsidRPr="009C5C7C" w:rsidRDefault="00484B68" w:rsidP="00484B68">
      <w:pPr>
        <w:ind w:left="426" w:hanging="426"/>
        <w:jc w:val="both"/>
        <w:rPr>
          <w:sz w:val="18"/>
          <w:lang w:val="en-GB"/>
        </w:rPr>
      </w:pPr>
      <w:r w:rsidRPr="009C5C7C">
        <w:rPr>
          <w:sz w:val="18"/>
          <w:lang w:val="en-GB"/>
        </w:rPr>
        <w:t xml:space="preserve">van den </w:t>
      </w:r>
      <w:proofErr w:type="spellStart"/>
      <w:r w:rsidRPr="009C5C7C">
        <w:rPr>
          <w:sz w:val="18"/>
          <w:lang w:val="en-GB"/>
        </w:rPr>
        <w:t>Oever</w:t>
      </w:r>
      <w:proofErr w:type="spellEnd"/>
      <w:r w:rsidRPr="009C5C7C">
        <w:rPr>
          <w:sz w:val="18"/>
          <w:lang w:val="en-GB"/>
        </w:rPr>
        <w:t xml:space="preserve"> SP, Mayer HK (2022) Biologically active or just “pseudo”-vitamin B12 as predominant form in algae-based nutritional supplements? </w:t>
      </w:r>
      <w:r w:rsidRPr="009C5C7C">
        <w:rPr>
          <w:i/>
          <w:iCs/>
          <w:sz w:val="18"/>
          <w:lang w:val="en-GB"/>
        </w:rPr>
        <w:t>J Food Compos Anal</w:t>
      </w:r>
      <w:r w:rsidRPr="009C5C7C">
        <w:rPr>
          <w:sz w:val="18"/>
          <w:lang w:val="en-GB"/>
        </w:rPr>
        <w:t xml:space="preserve"> </w:t>
      </w:r>
      <w:r w:rsidRPr="009C5C7C">
        <w:rPr>
          <w:b/>
          <w:bCs/>
          <w:sz w:val="18"/>
          <w:lang w:val="en-GB"/>
        </w:rPr>
        <w:t>109</w:t>
      </w:r>
      <w:r w:rsidRPr="009C5C7C">
        <w:rPr>
          <w:sz w:val="18"/>
          <w:lang w:val="en-GB"/>
        </w:rPr>
        <w:t>:</w:t>
      </w:r>
      <w:r w:rsidR="00E25502">
        <w:rPr>
          <w:sz w:val="18"/>
          <w:lang w:val="en-GB"/>
        </w:rPr>
        <w:t xml:space="preserve"> </w:t>
      </w:r>
      <w:r w:rsidRPr="009C5C7C">
        <w:rPr>
          <w:sz w:val="18"/>
          <w:lang w:val="en-GB"/>
        </w:rPr>
        <w:t>104464.</w:t>
      </w:r>
    </w:p>
    <w:p w14:paraId="39DCAD56" w14:textId="231D731A" w:rsidR="00FD09C6" w:rsidRPr="009C5C7C" w:rsidRDefault="00FD09C6" w:rsidP="00FD09C6">
      <w:pPr>
        <w:ind w:left="426" w:hanging="426"/>
        <w:jc w:val="both"/>
        <w:rPr>
          <w:sz w:val="18"/>
          <w:lang w:val="en-GB"/>
        </w:rPr>
      </w:pPr>
      <w:r w:rsidRPr="009C5C7C">
        <w:rPr>
          <w:sz w:val="18"/>
          <w:lang w:val="en-GB"/>
        </w:rPr>
        <w:t>Vogelsang-</w:t>
      </w:r>
      <w:proofErr w:type="spellStart"/>
      <w:r w:rsidRPr="009C5C7C">
        <w:rPr>
          <w:sz w:val="18"/>
          <w:lang w:val="en-GB"/>
        </w:rPr>
        <w:t>O’Dwyer</w:t>
      </w:r>
      <w:proofErr w:type="spellEnd"/>
      <w:r w:rsidRPr="009C5C7C">
        <w:rPr>
          <w:sz w:val="18"/>
          <w:lang w:val="en-GB"/>
        </w:rPr>
        <w:t xml:space="preserve"> M, </w:t>
      </w:r>
      <w:proofErr w:type="spellStart"/>
      <w:r w:rsidRPr="009C5C7C">
        <w:rPr>
          <w:sz w:val="18"/>
          <w:lang w:val="en-GB"/>
        </w:rPr>
        <w:t>Zannini</w:t>
      </w:r>
      <w:proofErr w:type="spellEnd"/>
      <w:r w:rsidRPr="009C5C7C">
        <w:rPr>
          <w:sz w:val="18"/>
          <w:lang w:val="en-GB"/>
        </w:rPr>
        <w:t xml:space="preserve"> E, Arendt EK (2021) Production of pulse protein ingredients and their application in plant-based milk alternatives. </w:t>
      </w:r>
      <w:r w:rsidRPr="009C5C7C">
        <w:rPr>
          <w:i/>
          <w:iCs/>
          <w:sz w:val="18"/>
          <w:lang w:val="en-GB"/>
        </w:rPr>
        <w:t xml:space="preserve">Trends Food Sci </w:t>
      </w:r>
      <w:proofErr w:type="spellStart"/>
      <w:r w:rsidRPr="009C5C7C">
        <w:rPr>
          <w:i/>
          <w:iCs/>
          <w:sz w:val="18"/>
          <w:lang w:val="en-GB"/>
        </w:rPr>
        <w:t>Technol</w:t>
      </w:r>
      <w:proofErr w:type="spellEnd"/>
      <w:r w:rsidRPr="009C5C7C">
        <w:rPr>
          <w:sz w:val="18"/>
          <w:lang w:val="en-GB"/>
        </w:rPr>
        <w:t xml:space="preserve"> </w:t>
      </w:r>
      <w:r w:rsidRPr="009C5C7C">
        <w:rPr>
          <w:b/>
          <w:bCs/>
          <w:sz w:val="18"/>
          <w:lang w:val="en-GB"/>
        </w:rPr>
        <w:t>110</w:t>
      </w:r>
      <w:r w:rsidRPr="009C5C7C">
        <w:rPr>
          <w:sz w:val="18"/>
          <w:lang w:val="en-GB"/>
        </w:rPr>
        <w:t>:</w:t>
      </w:r>
      <w:r w:rsidR="00E25502">
        <w:rPr>
          <w:sz w:val="18"/>
          <w:lang w:val="en-GB"/>
        </w:rPr>
        <w:t xml:space="preserve"> </w:t>
      </w:r>
      <w:r w:rsidRPr="009C5C7C">
        <w:rPr>
          <w:sz w:val="18"/>
          <w:lang w:val="en-GB"/>
        </w:rPr>
        <w:t>364</w:t>
      </w:r>
      <w:r w:rsidR="00E25502">
        <w:rPr>
          <w:sz w:val="18"/>
          <w:lang w:val="en-GB"/>
        </w:rPr>
        <w:t>-</w:t>
      </w:r>
      <w:r w:rsidRPr="009C5C7C">
        <w:rPr>
          <w:sz w:val="18"/>
          <w:lang w:val="en-GB"/>
        </w:rPr>
        <w:t>374.</w:t>
      </w:r>
    </w:p>
    <w:p w14:paraId="4CB3FBC6" w14:textId="72ECF186" w:rsidR="00897185" w:rsidRPr="009C5C7C" w:rsidRDefault="00897185" w:rsidP="00897185">
      <w:pPr>
        <w:ind w:left="426" w:hanging="426"/>
        <w:jc w:val="both"/>
        <w:rPr>
          <w:sz w:val="18"/>
          <w:lang w:val="en-GB"/>
        </w:rPr>
      </w:pPr>
      <w:r w:rsidRPr="009C5C7C">
        <w:rPr>
          <w:sz w:val="18"/>
          <w:lang w:val="en-GB"/>
        </w:rPr>
        <w:t xml:space="preserve">von Baer D, </w:t>
      </w:r>
      <w:proofErr w:type="spellStart"/>
      <w:r w:rsidRPr="009C5C7C">
        <w:rPr>
          <w:sz w:val="18"/>
          <w:lang w:val="en-GB"/>
        </w:rPr>
        <w:t>Reimerdes</w:t>
      </w:r>
      <w:proofErr w:type="spellEnd"/>
      <w:r w:rsidRPr="009C5C7C">
        <w:rPr>
          <w:sz w:val="18"/>
          <w:lang w:val="en-GB"/>
        </w:rPr>
        <w:t xml:space="preserve"> EH, </w:t>
      </w:r>
      <w:proofErr w:type="spellStart"/>
      <w:r w:rsidRPr="009C5C7C">
        <w:rPr>
          <w:sz w:val="18"/>
          <w:lang w:val="en-GB"/>
        </w:rPr>
        <w:t>Feldheim</w:t>
      </w:r>
      <w:proofErr w:type="spellEnd"/>
      <w:r w:rsidRPr="009C5C7C">
        <w:rPr>
          <w:sz w:val="18"/>
          <w:lang w:val="en-GB"/>
        </w:rPr>
        <w:t xml:space="preserve"> W (1979) </w:t>
      </w:r>
      <w:proofErr w:type="spellStart"/>
      <w:r w:rsidRPr="009C5C7C">
        <w:rPr>
          <w:sz w:val="18"/>
          <w:lang w:val="en-GB"/>
        </w:rPr>
        <w:t>Methoden</w:t>
      </w:r>
      <w:proofErr w:type="spellEnd"/>
      <w:r w:rsidRPr="009C5C7C">
        <w:rPr>
          <w:sz w:val="18"/>
          <w:lang w:val="en-GB"/>
        </w:rPr>
        <w:t xml:space="preserve"> </w:t>
      </w:r>
      <w:proofErr w:type="spellStart"/>
      <w:r w:rsidRPr="009C5C7C">
        <w:rPr>
          <w:sz w:val="18"/>
          <w:lang w:val="en-GB"/>
        </w:rPr>
        <w:t>zur</w:t>
      </w:r>
      <w:proofErr w:type="spellEnd"/>
      <w:r w:rsidRPr="009C5C7C">
        <w:rPr>
          <w:sz w:val="18"/>
          <w:lang w:val="en-GB"/>
        </w:rPr>
        <w:t xml:space="preserve"> </w:t>
      </w:r>
      <w:proofErr w:type="spellStart"/>
      <w:r w:rsidRPr="009C5C7C">
        <w:rPr>
          <w:sz w:val="18"/>
          <w:lang w:val="en-GB"/>
        </w:rPr>
        <w:t>Bestimmung</w:t>
      </w:r>
      <w:proofErr w:type="spellEnd"/>
      <w:r w:rsidRPr="009C5C7C">
        <w:rPr>
          <w:sz w:val="18"/>
          <w:lang w:val="en-GB"/>
        </w:rPr>
        <w:t xml:space="preserve"> der </w:t>
      </w:r>
      <w:proofErr w:type="spellStart"/>
      <w:r w:rsidRPr="009C5C7C">
        <w:rPr>
          <w:sz w:val="18"/>
          <w:lang w:val="en-GB"/>
        </w:rPr>
        <w:t>Chinolizidinalkaloide</w:t>
      </w:r>
      <w:proofErr w:type="spellEnd"/>
      <w:r w:rsidRPr="009C5C7C">
        <w:rPr>
          <w:sz w:val="18"/>
          <w:lang w:val="en-GB"/>
        </w:rPr>
        <w:t xml:space="preserve"> in </w:t>
      </w:r>
      <w:r w:rsidRPr="009C5C7C">
        <w:rPr>
          <w:i/>
          <w:iCs/>
          <w:sz w:val="18"/>
          <w:lang w:val="en-GB"/>
        </w:rPr>
        <w:t xml:space="preserve">Lupinus </w:t>
      </w:r>
      <w:proofErr w:type="spellStart"/>
      <w:r w:rsidRPr="009C5C7C">
        <w:rPr>
          <w:i/>
          <w:iCs/>
          <w:sz w:val="18"/>
          <w:lang w:val="en-GB"/>
        </w:rPr>
        <w:t>mutabilis</w:t>
      </w:r>
      <w:proofErr w:type="spellEnd"/>
      <w:r w:rsidRPr="009C5C7C">
        <w:rPr>
          <w:sz w:val="18"/>
          <w:lang w:val="en-GB"/>
        </w:rPr>
        <w:t xml:space="preserve">. </w:t>
      </w:r>
      <w:r w:rsidRPr="009C5C7C">
        <w:rPr>
          <w:i/>
          <w:iCs/>
          <w:sz w:val="18"/>
          <w:lang w:val="en-GB"/>
        </w:rPr>
        <w:t xml:space="preserve">Z fur </w:t>
      </w:r>
      <w:proofErr w:type="spellStart"/>
      <w:r w:rsidRPr="009C5C7C">
        <w:rPr>
          <w:i/>
          <w:iCs/>
          <w:sz w:val="18"/>
          <w:lang w:val="en-GB"/>
        </w:rPr>
        <w:t>Lebensm-Unters</w:t>
      </w:r>
      <w:proofErr w:type="spellEnd"/>
      <w:r w:rsidRPr="009C5C7C">
        <w:rPr>
          <w:i/>
          <w:iCs/>
          <w:sz w:val="18"/>
          <w:lang w:val="en-GB"/>
        </w:rPr>
        <w:t xml:space="preserve"> und </w:t>
      </w:r>
      <w:proofErr w:type="spellStart"/>
      <w:r w:rsidRPr="009C5C7C">
        <w:rPr>
          <w:i/>
          <w:iCs/>
          <w:sz w:val="18"/>
          <w:lang w:val="en-GB"/>
        </w:rPr>
        <w:t>Forsch</w:t>
      </w:r>
      <w:proofErr w:type="spellEnd"/>
      <w:r w:rsidRPr="009C5C7C">
        <w:rPr>
          <w:sz w:val="18"/>
          <w:lang w:val="en-GB"/>
        </w:rPr>
        <w:t xml:space="preserve"> </w:t>
      </w:r>
      <w:r w:rsidRPr="009C5C7C">
        <w:rPr>
          <w:b/>
          <w:bCs/>
          <w:sz w:val="18"/>
          <w:lang w:val="en-GB"/>
        </w:rPr>
        <w:t>169</w:t>
      </w:r>
      <w:r w:rsidRPr="009C5C7C">
        <w:rPr>
          <w:sz w:val="18"/>
          <w:lang w:val="en-GB"/>
        </w:rPr>
        <w:t>:</w:t>
      </w:r>
      <w:r w:rsidR="00E25502">
        <w:rPr>
          <w:sz w:val="18"/>
          <w:lang w:val="en-GB"/>
        </w:rPr>
        <w:t xml:space="preserve"> </w:t>
      </w:r>
      <w:r w:rsidRPr="009C5C7C">
        <w:rPr>
          <w:sz w:val="18"/>
          <w:lang w:val="en-GB"/>
        </w:rPr>
        <w:t>27</w:t>
      </w:r>
      <w:r w:rsidR="00E25502">
        <w:rPr>
          <w:sz w:val="18"/>
          <w:lang w:val="en-GB"/>
        </w:rPr>
        <w:t>-</w:t>
      </w:r>
      <w:r w:rsidRPr="009C5C7C">
        <w:rPr>
          <w:sz w:val="18"/>
          <w:lang w:val="en-GB"/>
        </w:rPr>
        <w:t>31.</w:t>
      </w:r>
    </w:p>
    <w:p w14:paraId="520F1740" w14:textId="387A9AB3" w:rsidR="005F6C47" w:rsidRPr="009C5C7C" w:rsidRDefault="005F6C47" w:rsidP="005F6C47">
      <w:pPr>
        <w:ind w:left="426" w:hanging="426"/>
        <w:jc w:val="both"/>
        <w:rPr>
          <w:sz w:val="18"/>
          <w:lang w:val="en-GB"/>
        </w:rPr>
      </w:pPr>
      <w:r w:rsidRPr="009C5C7C">
        <w:rPr>
          <w:sz w:val="18"/>
          <w:lang w:val="en-GB"/>
        </w:rPr>
        <w:t xml:space="preserve">Xie C, Coda R, Chamlagain B, </w:t>
      </w:r>
      <w:proofErr w:type="spellStart"/>
      <w:r w:rsidRPr="009C5C7C">
        <w:rPr>
          <w:sz w:val="18"/>
          <w:lang w:val="en-GB"/>
        </w:rPr>
        <w:t>Edelmann</w:t>
      </w:r>
      <w:proofErr w:type="spellEnd"/>
      <w:r w:rsidRPr="009C5C7C">
        <w:rPr>
          <w:sz w:val="18"/>
          <w:lang w:val="en-GB"/>
        </w:rPr>
        <w:t xml:space="preserve"> M, Varmanen P, Piironen V, Katina K (2021) Fermentation of cereal, pseudo-</w:t>
      </w:r>
      <w:proofErr w:type="gramStart"/>
      <w:r w:rsidRPr="009C5C7C">
        <w:rPr>
          <w:sz w:val="18"/>
          <w:lang w:val="en-GB"/>
        </w:rPr>
        <w:t>cereal</w:t>
      </w:r>
      <w:proofErr w:type="gramEnd"/>
      <w:r w:rsidRPr="009C5C7C">
        <w:rPr>
          <w:sz w:val="18"/>
          <w:lang w:val="en-GB"/>
        </w:rPr>
        <w:t xml:space="preserve"> and legume materials with </w:t>
      </w:r>
      <w:r w:rsidRPr="009C5C7C">
        <w:rPr>
          <w:i/>
          <w:iCs/>
          <w:sz w:val="18"/>
          <w:lang w:val="en-GB"/>
        </w:rPr>
        <w:t xml:space="preserve">Propionibacterium </w:t>
      </w:r>
      <w:proofErr w:type="spellStart"/>
      <w:r w:rsidRPr="009C5C7C">
        <w:rPr>
          <w:i/>
          <w:iCs/>
          <w:sz w:val="18"/>
          <w:lang w:val="en-GB"/>
        </w:rPr>
        <w:t>freudenreichii</w:t>
      </w:r>
      <w:proofErr w:type="spellEnd"/>
      <w:r w:rsidRPr="009C5C7C">
        <w:rPr>
          <w:sz w:val="18"/>
          <w:lang w:val="en-GB"/>
        </w:rPr>
        <w:t xml:space="preserve"> and </w:t>
      </w:r>
      <w:proofErr w:type="spellStart"/>
      <w:r w:rsidRPr="009C5C7C">
        <w:rPr>
          <w:i/>
          <w:iCs/>
          <w:sz w:val="18"/>
          <w:lang w:val="en-GB"/>
        </w:rPr>
        <w:t>Levilactobacillus</w:t>
      </w:r>
      <w:proofErr w:type="spellEnd"/>
      <w:r w:rsidRPr="009C5C7C">
        <w:rPr>
          <w:i/>
          <w:iCs/>
          <w:sz w:val="18"/>
          <w:lang w:val="en-GB"/>
        </w:rPr>
        <w:t xml:space="preserve"> brevis</w:t>
      </w:r>
      <w:r w:rsidRPr="009C5C7C">
        <w:rPr>
          <w:sz w:val="18"/>
          <w:lang w:val="en-GB"/>
        </w:rPr>
        <w:t xml:space="preserve"> for vitamin B12 fortification. </w:t>
      </w:r>
      <w:r w:rsidRPr="009C5C7C">
        <w:rPr>
          <w:i/>
          <w:iCs/>
          <w:sz w:val="18"/>
          <w:lang w:val="en-GB"/>
        </w:rPr>
        <w:t>LWT</w:t>
      </w:r>
      <w:r w:rsidR="007C7FF7" w:rsidRPr="007C7FF7">
        <w:rPr>
          <w:i/>
          <w:iCs/>
          <w:sz w:val="18"/>
          <w:lang w:val="en-GB"/>
        </w:rPr>
        <w:t xml:space="preserve">-Food Sci </w:t>
      </w:r>
      <w:proofErr w:type="spellStart"/>
      <w:r w:rsidR="007C7FF7" w:rsidRPr="007C7FF7">
        <w:rPr>
          <w:i/>
          <w:iCs/>
          <w:sz w:val="18"/>
          <w:lang w:val="en-GB"/>
        </w:rPr>
        <w:t>Technol</w:t>
      </w:r>
      <w:proofErr w:type="spellEnd"/>
      <w:r w:rsidRPr="009C5C7C">
        <w:rPr>
          <w:sz w:val="18"/>
          <w:lang w:val="en-GB"/>
        </w:rPr>
        <w:t xml:space="preserve"> </w:t>
      </w:r>
      <w:r w:rsidRPr="009C5C7C">
        <w:rPr>
          <w:b/>
          <w:bCs/>
          <w:sz w:val="18"/>
          <w:lang w:val="en-GB"/>
        </w:rPr>
        <w:t>137</w:t>
      </w:r>
      <w:r w:rsidRPr="009C5C7C">
        <w:rPr>
          <w:sz w:val="18"/>
          <w:lang w:val="en-GB"/>
        </w:rPr>
        <w:t>:</w:t>
      </w:r>
      <w:r w:rsidR="00E25502">
        <w:rPr>
          <w:sz w:val="18"/>
          <w:lang w:val="en-GB"/>
        </w:rPr>
        <w:t xml:space="preserve"> </w:t>
      </w:r>
      <w:r w:rsidRPr="009C5C7C">
        <w:rPr>
          <w:sz w:val="18"/>
          <w:lang w:val="en-GB"/>
        </w:rPr>
        <w:t>110431.</w:t>
      </w:r>
    </w:p>
    <w:p w14:paraId="43D5B7B6" w14:textId="602EAC6D" w:rsidR="00FD09C6" w:rsidRPr="009C5C7C" w:rsidRDefault="00FD09C6" w:rsidP="00FD09C6">
      <w:pPr>
        <w:ind w:left="426" w:hanging="426"/>
        <w:jc w:val="both"/>
        <w:rPr>
          <w:sz w:val="18"/>
          <w:lang w:val="en-GB"/>
        </w:rPr>
      </w:pPr>
      <w:r w:rsidRPr="009C5C7C">
        <w:rPr>
          <w:sz w:val="18"/>
          <w:lang w:val="en-GB"/>
        </w:rPr>
        <w:t xml:space="preserve">Wang J, de Wit M, Boom RM, </w:t>
      </w:r>
      <w:proofErr w:type="spellStart"/>
      <w:r w:rsidRPr="009C5C7C">
        <w:rPr>
          <w:sz w:val="18"/>
          <w:lang w:val="en-GB"/>
        </w:rPr>
        <w:t>Schutyser</w:t>
      </w:r>
      <w:proofErr w:type="spellEnd"/>
      <w:r w:rsidRPr="009C5C7C">
        <w:rPr>
          <w:sz w:val="18"/>
          <w:lang w:val="en-GB"/>
        </w:rPr>
        <w:t xml:space="preserve"> MA (2015) Charging and separation </w:t>
      </w:r>
      <w:proofErr w:type="spellStart"/>
      <w:r w:rsidRPr="009C5C7C">
        <w:rPr>
          <w:sz w:val="18"/>
          <w:lang w:val="en-GB"/>
        </w:rPr>
        <w:t>behavior</w:t>
      </w:r>
      <w:proofErr w:type="spellEnd"/>
      <w:r w:rsidRPr="009C5C7C">
        <w:rPr>
          <w:sz w:val="18"/>
          <w:lang w:val="en-GB"/>
        </w:rPr>
        <w:t xml:space="preserve"> of gluten–starch mixtures assessed with a custom-built electrostatic separator. </w:t>
      </w:r>
      <w:r w:rsidRPr="009C5C7C">
        <w:rPr>
          <w:i/>
          <w:iCs/>
          <w:sz w:val="18"/>
          <w:lang w:val="en-GB"/>
        </w:rPr>
        <w:t xml:space="preserve">Sep </w:t>
      </w:r>
      <w:proofErr w:type="spellStart"/>
      <w:r w:rsidRPr="009C5C7C">
        <w:rPr>
          <w:i/>
          <w:iCs/>
          <w:sz w:val="18"/>
          <w:lang w:val="en-GB"/>
        </w:rPr>
        <w:t>Purif</w:t>
      </w:r>
      <w:proofErr w:type="spellEnd"/>
      <w:r w:rsidRPr="009C5C7C">
        <w:rPr>
          <w:i/>
          <w:iCs/>
          <w:sz w:val="18"/>
          <w:lang w:val="en-GB"/>
        </w:rPr>
        <w:t xml:space="preserve"> </w:t>
      </w:r>
      <w:proofErr w:type="spellStart"/>
      <w:r w:rsidRPr="009C5C7C">
        <w:rPr>
          <w:i/>
          <w:iCs/>
          <w:sz w:val="18"/>
          <w:lang w:val="en-GB"/>
        </w:rPr>
        <w:t>Technol</w:t>
      </w:r>
      <w:proofErr w:type="spellEnd"/>
      <w:r w:rsidRPr="009C5C7C">
        <w:rPr>
          <w:sz w:val="18"/>
          <w:lang w:val="en-GB"/>
        </w:rPr>
        <w:t xml:space="preserve"> </w:t>
      </w:r>
      <w:r w:rsidRPr="009C5C7C">
        <w:rPr>
          <w:b/>
          <w:bCs/>
          <w:sz w:val="18"/>
          <w:lang w:val="en-GB"/>
        </w:rPr>
        <w:t>152</w:t>
      </w:r>
      <w:r w:rsidRPr="009C5C7C">
        <w:rPr>
          <w:sz w:val="18"/>
          <w:lang w:val="en-GB"/>
        </w:rPr>
        <w:t>:</w:t>
      </w:r>
      <w:r w:rsidR="00E25502">
        <w:rPr>
          <w:sz w:val="18"/>
          <w:lang w:val="en-GB"/>
        </w:rPr>
        <w:t xml:space="preserve"> </w:t>
      </w:r>
      <w:r w:rsidRPr="009C5C7C">
        <w:rPr>
          <w:sz w:val="18"/>
          <w:lang w:val="en-GB"/>
        </w:rPr>
        <w:t>164</w:t>
      </w:r>
      <w:r w:rsidR="00E25502">
        <w:rPr>
          <w:sz w:val="18"/>
          <w:lang w:val="en-GB"/>
        </w:rPr>
        <w:t>-</w:t>
      </w:r>
      <w:r w:rsidRPr="009C5C7C">
        <w:rPr>
          <w:sz w:val="18"/>
          <w:lang w:val="en-GB"/>
        </w:rPr>
        <w:t xml:space="preserve">171. </w:t>
      </w:r>
    </w:p>
    <w:p w14:paraId="3D00BE56" w14:textId="2604319C" w:rsidR="00D066F9" w:rsidRPr="00D066F9" w:rsidRDefault="00D066F9" w:rsidP="00D066F9">
      <w:pPr>
        <w:ind w:left="426" w:hanging="426"/>
        <w:jc w:val="both"/>
        <w:rPr>
          <w:sz w:val="18"/>
          <w:lang w:val="en-GB"/>
        </w:rPr>
      </w:pPr>
      <w:r w:rsidRPr="00D066F9">
        <w:rPr>
          <w:sz w:val="18"/>
          <w:lang w:val="en-GB"/>
        </w:rPr>
        <w:t>Wang F</w:t>
      </w:r>
      <w:r w:rsidRPr="009C5C7C">
        <w:rPr>
          <w:sz w:val="18"/>
          <w:lang w:val="en-GB"/>
        </w:rPr>
        <w:t>,</w:t>
      </w:r>
      <w:r w:rsidRPr="00D066F9">
        <w:rPr>
          <w:sz w:val="18"/>
          <w:lang w:val="en-GB"/>
        </w:rPr>
        <w:t xml:space="preserve"> Zhang Y</w:t>
      </w:r>
      <w:r w:rsidRPr="009C5C7C">
        <w:rPr>
          <w:sz w:val="18"/>
          <w:lang w:val="en-GB"/>
        </w:rPr>
        <w:t>,</w:t>
      </w:r>
      <w:r w:rsidRPr="00D066F9">
        <w:rPr>
          <w:sz w:val="18"/>
          <w:lang w:val="en-GB"/>
        </w:rPr>
        <w:t xml:space="preserve"> Xu L</w:t>
      </w:r>
      <w:r w:rsidRPr="009C5C7C">
        <w:rPr>
          <w:sz w:val="18"/>
          <w:lang w:val="en-GB"/>
        </w:rPr>
        <w:t>,</w:t>
      </w:r>
      <w:r w:rsidRPr="00D066F9">
        <w:rPr>
          <w:sz w:val="18"/>
          <w:lang w:val="en-GB"/>
        </w:rPr>
        <w:t xml:space="preserve"> Ma H </w:t>
      </w:r>
      <w:r w:rsidRPr="009C5C7C">
        <w:rPr>
          <w:sz w:val="18"/>
          <w:lang w:val="en-GB"/>
        </w:rPr>
        <w:t xml:space="preserve">(2020) </w:t>
      </w:r>
      <w:r w:rsidRPr="00D066F9">
        <w:rPr>
          <w:sz w:val="18"/>
          <w:lang w:val="en-GB"/>
        </w:rPr>
        <w:t xml:space="preserve">An efficient ultrasound-assisted extraction method of pea protein and its effect on protein functional properties and biological activities. </w:t>
      </w:r>
      <w:r w:rsidRPr="00D066F9">
        <w:rPr>
          <w:i/>
          <w:iCs/>
          <w:sz w:val="18"/>
          <w:lang w:val="en-GB"/>
        </w:rPr>
        <w:t>LW</w:t>
      </w:r>
      <w:r w:rsidR="007C7FF7">
        <w:rPr>
          <w:i/>
          <w:iCs/>
          <w:sz w:val="18"/>
          <w:lang w:val="en-GB"/>
        </w:rPr>
        <w:t>T</w:t>
      </w:r>
      <w:r w:rsidR="007C7FF7" w:rsidRPr="007C7FF7">
        <w:rPr>
          <w:i/>
          <w:iCs/>
          <w:sz w:val="18"/>
          <w:lang w:val="en-GB"/>
        </w:rPr>
        <w:t xml:space="preserve">-Food Sci </w:t>
      </w:r>
      <w:proofErr w:type="spellStart"/>
      <w:r w:rsidR="007C7FF7" w:rsidRPr="007C7FF7">
        <w:rPr>
          <w:i/>
          <w:iCs/>
          <w:sz w:val="18"/>
          <w:lang w:val="en-GB"/>
        </w:rPr>
        <w:t>Technol</w:t>
      </w:r>
      <w:proofErr w:type="spellEnd"/>
      <w:r w:rsidRPr="00D066F9">
        <w:rPr>
          <w:sz w:val="18"/>
          <w:lang w:val="en-GB"/>
        </w:rPr>
        <w:t xml:space="preserve"> </w:t>
      </w:r>
      <w:r w:rsidRPr="00D066F9">
        <w:rPr>
          <w:b/>
          <w:bCs/>
          <w:sz w:val="18"/>
          <w:lang w:val="en-GB"/>
        </w:rPr>
        <w:t>127</w:t>
      </w:r>
      <w:r w:rsidRPr="009C5C7C">
        <w:rPr>
          <w:sz w:val="18"/>
          <w:lang w:val="en-GB"/>
        </w:rPr>
        <w:t>:</w:t>
      </w:r>
      <w:r w:rsidR="00E25502">
        <w:rPr>
          <w:sz w:val="18"/>
          <w:lang w:val="en-GB"/>
        </w:rPr>
        <w:t xml:space="preserve"> </w:t>
      </w:r>
      <w:r w:rsidRPr="00D066F9">
        <w:rPr>
          <w:sz w:val="18"/>
          <w:lang w:val="en-GB"/>
        </w:rPr>
        <w:t>e109348.</w:t>
      </w:r>
    </w:p>
    <w:sectPr w:rsidR="00D066F9" w:rsidRPr="00D066F9" w:rsidSect="008B52A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423C" w14:textId="77777777" w:rsidR="00C90779" w:rsidRDefault="00C90779">
      <w:r>
        <w:separator/>
      </w:r>
    </w:p>
  </w:endnote>
  <w:endnote w:type="continuationSeparator" w:id="0">
    <w:p w14:paraId="0CAA9AC3" w14:textId="77777777" w:rsidR="00C90779" w:rsidRDefault="00C9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92A" w14:textId="77777777" w:rsidR="00746B7D" w:rsidRDefault="000000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8BA" w14:textId="77777777" w:rsidR="00746B7D" w:rsidRDefault="000000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AF2" w14:textId="77777777" w:rsidR="00746B7D"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BBF9" w14:textId="77777777" w:rsidR="00C90779" w:rsidRDefault="00C90779">
      <w:r>
        <w:separator/>
      </w:r>
    </w:p>
  </w:footnote>
  <w:footnote w:type="continuationSeparator" w:id="0">
    <w:p w14:paraId="6F4EB206" w14:textId="77777777" w:rsidR="00C90779" w:rsidRDefault="00C90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5A6" w14:textId="77777777" w:rsidR="00746B7D" w:rsidRDefault="000000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C4AC" w14:textId="77777777" w:rsidR="00746B7D"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7DC" w14:textId="77777777" w:rsidR="00746B7D" w:rsidRDefault="0000000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0F9"/>
    <w:rsid w:val="00005CD0"/>
    <w:rsid w:val="00012295"/>
    <w:rsid w:val="00013D7E"/>
    <w:rsid w:val="00023285"/>
    <w:rsid w:val="00023B93"/>
    <w:rsid w:val="0002520D"/>
    <w:rsid w:val="000268AC"/>
    <w:rsid w:val="000274DA"/>
    <w:rsid w:val="00035B14"/>
    <w:rsid w:val="00055CB3"/>
    <w:rsid w:val="000B3831"/>
    <w:rsid w:val="000B7645"/>
    <w:rsid w:val="000F7C96"/>
    <w:rsid w:val="00130732"/>
    <w:rsid w:val="00160914"/>
    <w:rsid w:val="001A436E"/>
    <w:rsid w:val="001C2202"/>
    <w:rsid w:val="001C5968"/>
    <w:rsid w:val="001D6E38"/>
    <w:rsid w:val="002251AD"/>
    <w:rsid w:val="0022762B"/>
    <w:rsid w:val="00231C11"/>
    <w:rsid w:val="00231E7D"/>
    <w:rsid w:val="002556B4"/>
    <w:rsid w:val="00257048"/>
    <w:rsid w:val="002754A5"/>
    <w:rsid w:val="002C1590"/>
    <w:rsid w:val="002D1A7D"/>
    <w:rsid w:val="002D4DD0"/>
    <w:rsid w:val="002E58E9"/>
    <w:rsid w:val="00310E60"/>
    <w:rsid w:val="0031664D"/>
    <w:rsid w:val="0032327D"/>
    <w:rsid w:val="00334665"/>
    <w:rsid w:val="003377A2"/>
    <w:rsid w:val="003A2367"/>
    <w:rsid w:val="003A5CE6"/>
    <w:rsid w:val="003B15AD"/>
    <w:rsid w:val="003B6679"/>
    <w:rsid w:val="003C3F5D"/>
    <w:rsid w:val="003D2510"/>
    <w:rsid w:val="003D2B51"/>
    <w:rsid w:val="003E6927"/>
    <w:rsid w:val="003F69AE"/>
    <w:rsid w:val="004162FA"/>
    <w:rsid w:val="00417ED0"/>
    <w:rsid w:val="00437B1A"/>
    <w:rsid w:val="00477783"/>
    <w:rsid w:val="00484B68"/>
    <w:rsid w:val="004A683A"/>
    <w:rsid w:val="004B15AF"/>
    <w:rsid w:val="004B2F6D"/>
    <w:rsid w:val="004B5DD7"/>
    <w:rsid w:val="004C632C"/>
    <w:rsid w:val="004D1F3F"/>
    <w:rsid w:val="004E18A1"/>
    <w:rsid w:val="004F1F7A"/>
    <w:rsid w:val="0051511D"/>
    <w:rsid w:val="005332EE"/>
    <w:rsid w:val="005638DD"/>
    <w:rsid w:val="00563DF4"/>
    <w:rsid w:val="005705C9"/>
    <w:rsid w:val="00595A88"/>
    <w:rsid w:val="005B4F27"/>
    <w:rsid w:val="005C5998"/>
    <w:rsid w:val="005D0180"/>
    <w:rsid w:val="005D6E1F"/>
    <w:rsid w:val="005F2ECD"/>
    <w:rsid w:val="005F6C47"/>
    <w:rsid w:val="005F7641"/>
    <w:rsid w:val="005F782E"/>
    <w:rsid w:val="006100E7"/>
    <w:rsid w:val="006452AF"/>
    <w:rsid w:val="00645545"/>
    <w:rsid w:val="006564A6"/>
    <w:rsid w:val="00665C4C"/>
    <w:rsid w:val="00682F81"/>
    <w:rsid w:val="00690FAD"/>
    <w:rsid w:val="006B502C"/>
    <w:rsid w:val="006E663F"/>
    <w:rsid w:val="007071E4"/>
    <w:rsid w:val="007230F5"/>
    <w:rsid w:val="00733952"/>
    <w:rsid w:val="00751DBA"/>
    <w:rsid w:val="00751E52"/>
    <w:rsid w:val="007700CF"/>
    <w:rsid w:val="00770294"/>
    <w:rsid w:val="00777352"/>
    <w:rsid w:val="00782477"/>
    <w:rsid w:val="007C4BA6"/>
    <w:rsid w:val="007C7FF7"/>
    <w:rsid w:val="007D40F9"/>
    <w:rsid w:val="007D6873"/>
    <w:rsid w:val="007F2C0E"/>
    <w:rsid w:val="00803E68"/>
    <w:rsid w:val="00814E7E"/>
    <w:rsid w:val="0082447D"/>
    <w:rsid w:val="00837102"/>
    <w:rsid w:val="00864FEF"/>
    <w:rsid w:val="00881D71"/>
    <w:rsid w:val="00882F33"/>
    <w:rsid w:val="00885E3A"/>
    <w:rsid w:val="008871C5"/>
    <w:rsid w:val="00897185"/>
    <w:rsid w:val="008B52AC"/>
    <w:rsid w:val="008C101D"/>
    <w:rsid w:val="008D7422"/>
    <w:rsid w:val="008E0705"/>
    <w:rsid w:val="00917A44"/>
    <w:rsid w:val="00917A96"/>
    <w:rsid w:val="00951AF6"/>
    <w:rsid w:val="00984646"/>
    <w:rsid w:val="00987A3C"/>
    <w:rsid w:val="00995385"/>
    <w:rsid w:val="009967E0"/>
    <w:rsid w:val="009C00B9"/>
    <w:rsid w:val="009C5C7C"/>
    <w:rsid w:val="009D3126"/>
    <w:rsid w:val="009E131E"/>
    <w:rsid w:val="009E63AB"/>
    <w:rsid w:val="00A0549B"/>
    <w:rsid w:val="00A054C3"/>
    <w:rsid w:val="00A21044"/>
    <w:rsid w:val="00AA5536"/>
    <w:rsid w:val="00AC184A"/>
    <w:rsid w:val="00B0027C"/>
    <w:rsid w:val="00B272AA"/>
    <w:rsid w:val="00B328FB"/>
    <w:rsid w:val="00B44111"/>
    <w:rsid w:val="00B5470B"/>
    <w:rsid w:val="00B62870"/>
    <w:rsid w:val="00B818FD"/>
    <w:rsid w:val="00BA2530"/>
    <w:rsid w:val="00BA3AB3"/>
    <w:rsid w:val="00BA4872"/>
    <w:rsid w:val="00BB576A"/>
    <w:rsid w:val="00C14038"/>
    <w:rsid w:val="00C41672"/>
    <w:rsid w:val="00C44CBE"/>
    <w:rsid w:val="00C4584B"/>
    <w:rsid w:val="00C4673C"/>
    <w:rsid w:val="00C542C4"/>
    <w:rsid w:val="00C90779"/>
    <w:rsid w:val="00C9130E"/>
    <w:rsid w:val="00C96F44"/>
    <w:rsid w:val="00CA1189"/>
    <w:rsid w:val="00CB6E2A"/>
    <w:rsid w:val="00CD1F18"/>
    <w:rsid w:val="00CD3420"/>
    <w:rsid w:val="00CE1D5F"/>
    <w:rsid w:val="00CF382F"/>
    <w:rsid w:val="00D066F9"/>
    <w:rsid w:val="00D61C82"/>
    <w:rsid w:val="00D635A0"/>
    <w:rsid w:val="00D74C1D"/>
    <w:rsid w:val="00D77EE8"/>
    <w:rsid w:val="00D80A49"/>
    <w:rsid w:val="00D856DD"/>
    <w:rsid w:val="00D92374"/>
    <w:rsid w:val="00D955DA"/>
    <w:rsid w:val="00D962B0"/>
    <w:rsid w:val="00DA1D73"/>
    <w:rsid w:val="00DB32AD"/>
    <w:rsid w:val="00DD65B5"/>
    <w:rsid w:val="00DE237B"/>
    <w:rsid w:val="00DE691C"/>
    <w:rsid w:val="00E00899"/>
    <w:rsid w:val="00E017E5"/>
    <w:rsid w:val="00E04E31"/>
    <w:rsid w:val="00E1466A"/>
    <w:rsid w:val="00E24D98"/>
    <w:rsid w:val="00E25502"/>
    <w:rsid w:val="00E31FAF"/>
    <w:rsid w:val="00E5130E"/>
    <w:rsid w:val="00E54653"/>
    <w:rsid w:val="00E60E21"/>
    <w:rsid w:val="00E67B6A"/>
    <w:rsid w:val="00EA13E6"/>
    <w:rsid w:val="00EA6017"/>
    <w:rsid w:val="00EB35F8"/>
    <w:rsid w:val="00EB44F9"/>
    <w:rsid w:val="00ED6970"/>
    <w:rsid w:val="00EF5606"/>
    <w:rsid w:val="00F14E48"/>
    <w:rsid w:val="00F45B4D"/>
    <w:rsid w:val="00F70B24"/>
    <w:rsid w:val="00F82556"/>
    <w:rsid w:val="00F845BB"/>
    <w:rsid w:val="00FA17C9"/>
    <w:rsid w:val="00FA1F99"/>
    <w:rsid w:val="00FB0B80"/>
    <w:rsid w:val="00FB6D70"/>
    <w:rsid w:val="00FD09C6"/>
    <w:rsid w:val="00FE0960"/>
    <w:rsid w:val="00FE32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7D40F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7D40F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7D40F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7D40F9"/>
    <w:rPr>
      <w:rFonts w:ascii="Times New Roman" w:eastAsia="Times New Roman" w:hAnsi="Times New Roman" w:cs="Times New Roman"/>
      <w:b/>
      <w:kern w:val="2"/>
      <w:sz w:val="28"/>
      <w:szCs w:val="20"/>
      <w:lang w:val="nl-NL" w:eastAsia="zh-CN"/>
    </w:rPr>
  </w:style>
  <w:style w:type="paragraph" w:styleId="Corpodeltesto2">
    <w:name w:val="Body Text 2"/>
    <w:basedOn w:val="Normale"/>
    <w:link w:val="Corpodeltesto2Carattere"/>
    <w:qFormat/>
    <w:rsid w:val="007D40F9"/>
    <w:pPr>
      <w:shd w:val="clear" w:color="auto" w:fill="FFFFFF"/>
    </w:pPr>
    <w:rPr>
      <w:b/>
      <w:bCs/>
      <w:i/>
      <w:iCs/>
      <w:sz w:val="28"/>
    </w:rPr>
  </w:style>
  <w:style w:type="character" w:customStyle="1" w:styleId="Corpodeltesto2Carattere">
    <w:name w:val="Corpo del testo 2 Carattere"/>
    <w:basedOn w:val="Carpredefinitoparagrafo"/>
    <w:link w:val="Corpodeltesto2"/>
    <w:rsid w:val="007D40F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7D40F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7D40F9"/>
    <w:rPr>
      <w:rFonts w:ascii="Times New Roman" w:eastAsia="Times New Roman" w:hAnsi="Times New Roman" w:cs="Times New Roman"/>
      <w:kern w:val="2"/>
      <w:sz w:val="20"/>
      <w:szCs w:val="20"/>
      <w:lang w:val="nl-NL" w:eastAsia="zh-CN"/>
    </w:rPr>
  </w:style>
  <w:style w:type="paragraph" w:styleId="Rientrocorpodeltesto2">
    <w:name w:val="Body Text Indent 2"/>
    <w:basedOn w:val="Normale"/>
    <w:link w:val="Rientrocorpodeltesto2Carattere"/>
    <w:qFormat/>
    <w:rsid w:val="007D40F9"/>
    <w:pPr>
      <w:widowControl/>
      <w:ind w:firstLine="426"/>
      <w:jc w:val="both"/>
      <w:textAlignment w:val="baseline"/>
    </w:pPr>
    <w:rPr>
      <w:bCs/>
      <w:sz w:val="24"/>
      <w:lang w:val="en-GB"/>
    </w:rPr>
  </w:style>
  <w:style w:type="character" w:customStyle="1" w:styleId="Rientrocorpodeltesto2Carattere">
    <w:name w:val="Rientro corpo del testo 2 Carattere"/>
    <w:basedOn w:val="Carpredefinitoparagrafo"/>
    <w:link w:val="Rientrocorpodeltesto2"/>
    <w:rsid w:val="007D40F9"/>
    <w:rPr>
      <w:rFonts w:ascii="Times New Roman" w:eastAsia="Times New Roman" w:hAnsi="Times New Roman" w:cs="Times New Roman"/>
      <w:bCs/>
      <w:szCs w:val="20"/>
      <w:lang w:val="en-GB" w:eastAsia="zh-CN"/>
    </w:rPr>
  </w:style>
  <w:style w:type="paragraph" w:styleId="Pidipagina">
    <w:name w:val="footer"/>
    <w:basedOn w:val="Normale"/>
    <w:link w:val="PidipaginaCarattere"/>
    <w:rsid w:val="007D40F9"/>
    <w:pPr>
      <w:tabs>
        <w:tab w:val="center" w:pos="4153"/>
        <w:tab w:val="right" w:pos="8306"/>
      </w:tabs>
    </w:pPr>
  </w:style>
  <w:style w:type="character" w:customStyle="1" w:styleId="PidipaginaCarattere">
    <w:name w:val="Piè di pagina Carattere"/>
    <w:basedOn w:val="Carpredefinitoparagrafo"/>
    <w:link w:val="Pidipagina"/>
    <w:rsid w:val="007D40F9"/>
    <w:rPr>
      <w:rFonts w:ascii="Times New Roman" w:eastAsia="Times New Roman" w:hAnsi="Times New Roman" w:cs="Times New Roman"/>
      <w:sz w:val="20"/>
      <w:szCs w:val="20"/>
      <w:lang w:eastAsia="zh-CN"/>
    </w:rPr>
  </w:style>
  <w:style w:type="character" w:styleId="Collegamentoipertestuale">
    <w:name w:val="Hyperlink"/>
    <w:basedOn w:val="Carpredefinitoparagrafo"/>
    <w:uiPriority w:val="99"/>
    <w:unhideWhenUsed/>
    <w:rsid w:val="00897185"/>
    <w:rPr>
      <w:color w:val="0563C1" w:themeColor="hyperlink"/>
      <w:u w:val="single"/>
    </w:rPr>
  </w:style>
  <w:style w:type="character" w:styleId="Menzionenonrisolta">
    <w:name w:val="Unresolved Mention"/>
    <w:basedOn w:val="Carpredefinitoparagrafo"/>
    <w:uiPriority w:val="99"/>
    <w:semiHidden/>
    <w:unhideWhenUsed/>
    <w:rsid w:val="00897185"/>
    <w:rPr>
      <w:color w:val="605E5C"/>
      <w:shd w:val="clear" w:color="auto" w:fill="E1DFDD"/>
    </w:rPr>
  </w:style>
  <w:style w:type="paragraph" w:styleId="Didascalia">
    <w:name w:val="caption"/>
    <w:basedOn w:val="Normale"/>
    <w:next w:val="Normale"/>
    <w:uiPriority w:val="35"/>
    <w:unhideWhenUsed/>
    <w:qFormat/>
    <w:rsid w:val="00023285"/>
    <w:pPr>
      <w:widowControl/>
      <w:suppressAutoHyphens w:val="0"/>
      <w:spacing w:after="200"/>
      <w:jc w:val="both"/>
    </w:pPr>
    <w:rPr>
      <w:rFonts w:eastAsiaTheme="minorHAnsi"/>
      <w:i/>
      <w:iCs/>
      <w:color w:val="44546A" w:themeColor="text2"/>
      <w:sz w:val="18"/>
      <w:szCs w:val="18"/>
      <w:lang w:val="en-US" w:eastAsia="en-US"/>
    </w:rPr>
  </w:style>
  <w:style w:type="table" w:styleId="Grigliatabella">
    <w:name w:val="Table Grid"/>
    <w:basedOn w:val="Tabellanormale"/>
    <w:uiPriority w:val="39"/>
    <w:rsid w:val="00D06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2E58E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35027">
      <w:bodyDiv w:val="1"/>
      <w:marLeft w:val="0"/>
      <w:marRight w:val="0"/>
      <w:marTop w:val="0"/>
      <w:marBottom w:val="0"/>
      <w:divBdr>
        <w:top w:val="none" w:sz="0" w:space="0" w:color="auto"/>
        <w:left w:val="none" w:sz="0" w:space="0" w:color="auto"/>
        <w:bottom w:val="none" w:sz="0" w:space="0" w:color="auto"/>
        <w:right w:val="none" w:sz="0" w:space="0" w:color="auto"/>
      </w:divBdr>
    </w:div>
    <w:div w:id="484055359">
      <w:bodyDiv w:val="1"/>
      <w:marLeft w:val="0"/>
      <w:marRight w:val="0"/>
      <w:marTop w:val="0"/>
      <w:marBottom w:val="0"/>
      <w:divBdr>
        <w:top w:val="none" w:sz="0" w:space="0" w:color="auto"/>
        <w:left w:val="none" w:sz="0" w:space="0" w:color="auto"/>
        <w:bottom w:val="none" w:sz="0" w:space="0" w:color="auto"/>
        <w:right w:val="none" w:sz="0" w:space="0" w:color="auto"/>
      </w:divBdr>
    </w:div>
    <w:div w:id="954681300">
      <w:bodyDiv w:val="1"/>
      <w:marLeft w:val="0"/>
      <w:marRight w:val="0"/>
      <w:marTop w:val="0"/>
      <w:marBottom w:val="0"/>
      <w:divBdr>
        <w:top w:val="none" w:sz="0" w:space="0" w:color="auto"/>
        <w:left w:val="none" w:sz="0" w:space="0" w:color="auto"/>
        <w:bottom w:val="none" w:sz="0" w:space="0" w:color="auto"/>
        <w:right w:val="none" w:sz="0" w:space="0" w:color="auto"/>
      </w:divBdr>
    </w:div>
    <w:div w:id="1387605571">
      <w:bodyDiv w:val="1"/>
      <w:marLeft w:val="0"/>
      <w:marRight w:val="0"/>
      <w:marTop w:val="0"/>
      <w:marBottom w:val="0"/>
      <w:divBdr>
        <w:top w:val="none" w:sz="0" w:space="0" w:color="auto"/>
        <w:left w:val="none" w:sz="0" w:space="0" w:color="auto"/>
        <w:bottom w:val="none" w:sz="0" w:space="0" w:color="auto"/>
        <w:right w:val="none" w:sz="0" w:space="0" w:color="auto"/>
      </w:divBdr>
    </w:div>
    <w:div w:id="1394697179">
      <w:bodyDiv w:val="1"/>
      <w:marLeft w:val="0"/>
      <w:marRight w:val="0"/>
      <w:marTop w:val="0"/>
      <w:marBottom w:val="0"/>
      <w:divBdr>
        <w:top w:val="none" w:sz="0" w:space="0" w:color="auto"/>
        <w:left w:val="none" w:sz="0" w:space="0" w:color="auto"/>
        <w:bottom w:val="none" w:sz="0" w:space="0" w:color="auto"/>
        <w:right w:val="none" w:sz="0" w:space="0" w:color="auto"/>
      </w:divBdr>
    </w:div>
    <w:div w:id="1782649235">
      <w:bodyDiv w:val="1"/>
      <w:marLeft w:val="0"/>
      <w:marRight w:val="0"/>
      <w:marTop w:val="0"/>
      <w:marBottom w:val="0"/>
      <w:divBdr>
        <w:top w:val="none" w:sz="0" w:space="0" w:color="auto"/>
        <w:left w:val="none" w:sz="0" w:space="0" w:color="auto"/>
        <w:bottom w:val="none" w:sz="0" w:space="0" w:color="auto"/>
        <w:right w:val="none" w:sz="0" w:space="0" w:color="auto"/>
      </w:divBdr>
    </w:div>
    <w:div w:id="21055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B00753-2F9F-4DC5-BC01-E446AED8CF56}">
  <we:reference id="8c1c3d44-57e9-40d7-86e4-4adf61fea1dd" version="2.1.0.1" store="EXCatalog" storeType="EXCatalog"/>
  <we:alternateReferences>
    <we:reference id="WA104380122" version="2.1.0.1"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7EDF5-8B7A-462F-89E8-2A50C7D9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3730</Words>
  <Characters>21267</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Lorenzo Estivi</cp:lastModifiedBy>
  <cp:revision>20</cp:revision>
  <dcterms:created xsi:type="dcterms:W3CDTF">2023-06-09T09:04:00Z</dcterms:created>
  <dcterms:modified xsi:type="dcterms:W3CDTF">2023-06-29T22:42:00Z</dcterms:modified>
</cp:coreProperties>
</file>