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60082" w14:textId="0BD2D308" w:rsidR="00677E5D" w:rsidRPr="00677E5D" w:rsidRDefault="00677E5D" w:rsidP="00677E5D">
      <w:pPr>
        <w:jc w:val="center"/>
        <w:rPr>
          <w:b/>
          <w:bCs/>
          <w:sz w:val="28"/>
          <w:szCs w:val="28"/>
          <w:lang w:val="en-GB"/>
        </w:rPr>
      </w:pPr>
      <w:r w:rsidRPr="00677E5D">
        <w:rPr>
          <w:b/>
          <w:bCs/>
          <w:sz w:val="28"/>
          <w:szCs w:val="28"/>
          <w:lang w:val="en-GB"/>
        </w:rPr>
        <w:t xml:space="preserve">Yeast </w:t>
      </w:r>
      <w:r w:rsidR="00D57231">
        <w:rPr>
          <w:b/>
          <w:bCs/>
          <w:sz w:val="28"/>
          <w:szCs w:val="28"/>
          <w:lang w:val="en-GB"/>
        </w:rPr>
        <w:t>dynamics</w:t>
      </w:r>
      <w:r w:rsidRPr="00677E5D">
        <w:rPr>
          <w:b/>
          <w:bCs/>
          <w:sz w:val="28"/>
          <w:szCs w:val="28"/>
          <w:lang w:val="en-GB"/>
        </w:rPr>
        <w:t xml:space="preserve"> and </w:t>
      </w:r>
      <w:r w:rsidR="00D1638F">
        <w:rPr>
          <w:b/>
          <w:bCs/>
          <w:sz w:val="28"/>
          <w:szCs w:val="28"/>
          <w:lang w:val="en-GB"/>
        </w:rPr>
        <w:t>volatilome</w:t>
      </w:r>
      <w:r w:rsidR="004861BF">
        <w:rPr>
          <w:b/>
          <w:bCs/>
          <w:sz w:val="28"/>
          <w:szCs w:val="28"/>
          <w:lang w:val="en-GB"/>
        </w:rPr>
        <w:t xml:space="preserve"> analysis</w:t>
      </w:r>
      <w:r w:rsidRPr="00677E5D">
        <w:rPr>
          <w:b/>
          <w:bCs/>
          <w:sz w:val="28"/>
          <w:szCs w:val="28"/>
          <w:lang w:val="en-GB"/>
        </w:rPr>
        <w:t xml:space="preserve"> of </w:t>
      </w:r>
      <w:r w:rsidR="006265AC">
        <w:rPr>
          <w:b/>
          <w:bCs/>
          <w:sz w:val="28"/>
          <w:szCs w:val="28"/>
          <w:lang w:val="en-GB"/>
        </w:rPr>
        <w:t>natural</w:t>
      </w:r>
      <w:r>
        <w:rPr>
          <w:b/>
          <w:bCs/>
          <w:sz w:val="28"/>
          <w:szCs w:val="28"/>
          <w:lang w:val="en-GB"/>
        </w:rPr>
        <w:t>ly fermented Taggiasca black and green table olives</w:t>
      </w:r>
    </w:p>
    <w:p w14:paraId="19C35290" w14:textId="77777777" w:rsidR="00677E5D" w:rsidRDefault="00677E5D" w:rsidP="00677E5D">
      <w:pPr>
        <w:jc w:val="center"/>
        <w:rPr>
          <w:lang w:val="en-GB"/>
        </w:rPr>
      </w:pPr>
    </w:p>
    <w:p w14:paraId="7D59C408" w14:textId="389DADD0" w:rsidR="00677E5D" w:rsidRDefault="00677E5D" w:rsidP="00677E5D">
      <w:pPr>
        <w:jc w:val="center"/>
      </w:pPr>
      <w:r w:rsidRPr="00677E5D">
        <w:t>Chiara Traina (</w:t>
      </w:r>
      <w:hyperlink r:id="rId5" w:history="1">
        <w:r w:rsidRPr="00EE370A">
          <w:rPr>
            <w:rStyle w:val="Collegamentoipertestuale"/>
          </w:rPr>
          <w:t>chiara.traina@unito.it</w:t>
        </w:r>
      </w:hyperlink>
      <w:r w:rsidRPr="00677E5D">
        <w:t>)</w:t>
      </w:r>
    </w:p>
    <w:p w14:paraId="77C254E6" w14:textId="076F9CFF" w:rsidR="00677E5D" w:rsidRDefault="00677E5D" w:rsidP="00677E5D">
      <w:pPr>
        <w:jc w:val="center"/>
        <w:rPr>
          <w:lang w:val="en-GB"/>
        </w:rPr>
      </w:pPr>
      <w:r>
        <w:rPr>
          <w:lang w:val="en-GB"/>
        </w:rPr>
        <w:t xml:space="preserve">Dept. </w:t>
      </w:r>
      <w:r>
        <w:rPr>
          <w:noProof/>
          <w:lang w:val="en-GB"/>
        </w:rPr>
        <w:t xml:space="preserve">of Agricultural, Forest and Food Sciences, </w:t>
      </w:r>
      <w:r w:rsidRPr="003249A8">
        <w:rPr>
          <w:noProof/>
          <w:lang w:val="en-GB"/>
        </w:rPr>
        <w:t xml:space="preserve">University of </w:t>
      </w:r>
      <w:r>
        <w:rPr>
          <w:noProof/>
          <w:lang w:val="en-GB"/>
        </w:rPr>
        <w:t>Turin, Italy</w:t>
      </w:r>
    </w:p>
    <w:p w14:paraId="753FEE44" w14:textId="4F4BCC95" w:rsidR="00677E5D" w:rsidRDefault="00677E5D" w:rsidP="00677E5D">
      <w:pPr>
        <w:jc w:val="center"/>
        <w:rPr>
          <w:lang w:val="en-GB"/>
        </w:rPr>
      </w:pPr>
      <w:r>
        <w:rPr>
          <w:lang w:val="en-GB"/>
        </w:rPr>
        <w:t xml:space="preserve">Tutor: Prof. Luca </w:t>
      </w:r>
      <w:proofErr w:type="spellStart"/>
      <w:r>
        <w:rPr>
          <w:lang w:val="en-GB"/>
        </w:rPr>
        <w:t>Cocolin</w:t>
      </w:r>
      <w:proofErr w:type="spellEnd"/>
    </w:p>
    <w:p w14:paraId="30A4AA81" w14:textId="77777777" w:rsidR="00677E5D" w:rsidRDefault="00677E5D" w:rsidP="00677E5D">
      <w:pPr>
        <w:tabs>
          <w:tab w:val="left" w:pos="0"/>
        </w:tabs>
        <w:jc w:val="both"/>
        <w:rPr>
          <w:lang w:val="en-GB"/>
        </w:rPr>
      </w:pPr>
    </w:p>
    <w:p w14:paraId="1B462E4A" w14:textId="05E434BA" w:rsidR="008B3614" w:rsidRPr="00F324F1" w:rsidRDefault="008B3614" w:rsidP="00557F91">
      <w:pPr>
        <w:tabs>
          <w:tab w:val="left" w:pos="0"/>
        </w:tabs>
        <w:jc w:val="both"/>
        <w:rPr>
          <w:color w:val="FF0000"/>
          <w:lang w:val="en-US"/>
        </w:rPr>
      </w:pPr>
      <w:r>
        <w:rPr>
          <w:lang w:val="en-GB"/>
        </w:rPr>
        <w:t xml:space="preserve">In the framework of this PhD project, the activities carried </w:t>
      </w:r>
      <w:r w:rsidR="00D57231">
        <w:rPr>
          <w:lang w:val="en-GB"/>
        </w:rPr>
        <w:t xml:space="preserve">out </w:t>
      </w:r>
      <w:r w:rsidR="000A1D40">
        <w:rPr>
          <w:lang w:val="en-GB"/>
        </w:rPr>
        <w:t xml:space="preserve">included: </w:t>
      </w:r>
      <w:r w:rsidR="00892E9A">
        <w:rPr>
          <w:lang w:val="en-GB"/>
        </w:rPr>
        <w:t xml:space="preserve">the </w:t>
      </w:r>
      <w:r w:rsidR="00F324F1">
        <w:rPr>
          <w:lang w:val="en-GB"/>
        </w:rPr>
        <w:t>isola</w:t>
      </w:r>
      <w:r w:rsidR="00282FB8">
        <w:rPr>
          <w:lang w:val="en-GB"/>
        </w:rPr>
        <w:t xml:space="preserve">tion </w:t>
      </w:r>
      <w:r w:rsidR="00282FB8" w:rsidRPr="00282FB8">
        <w:rPr>
          <w:lang w:val="en-GB"/>
        </w:rPr>
        <w:t xml:space="preserve">and </w:t>
      </w:r>
      <w:r w:rsidRPr="00282FB8">
        <w:rPr>
          <w:lang w:val="en-GB"/>
        </w:rPr>
        <w:t xml:space="preserve">molecular identification of yeast </w:t>
      </w:r>
      <w:r w:rsidR="008653B0">
        <w:rPr>
          <w:lang w:val="en-GB"/>
        </w:rPr>
        <w:t>colonie</w:t>
      </w:r>
      <w:r w:rsidRPr="00282FB8">
        <w:rPr>
          <w:lang w:val="en-GB"/>
        </w:rPr>
        <w:t>s from 21-22</w:t>
      </w:r>
      <w:r w:rsidR="004C1472" w:rsidRPr="00282FB8">
        <w:rPr>
          <w:lang w:val="en-GB"/>
        </w:rPr>
        <w:t xml:space="preserve"> </w:t>
      </w:r>
      <w:r w:rsidRPr="00282FB8">
        <w:rPr>
          <w:lang w:val="en-GB"/>
        </w:rPr>
        <w:t xml:space="preserve">harvest </w:t>
      </w:r>
      <w:r w:rsidR="008653B0">
        <w:rPr>
          <w:lang w:val="en-GB"/>
        </w:rPr>
        <w:t xml:space="preserve">to </w:t>
      </w:r>
      <w:r w:rsidR="000A1D40">
        <w:rPr>
          <w:lang w:val="en-GB"/>
        </w:rPr>
        <w:t>determine the ecology of fermented olives by using culture</w:t>
      </w:r>
      <w:r w:rsidR="00904C9D">
        <w:rPr>
          <w:lang w:val="en-GB"/>
        </w:rPr>
        <w:t>-</w:t>
      </w:r>
      <w:r w:rsidR="000A1D40">
        <w:rPr>
          <w:lang w:val="en-GB"/>
        </w:rPr>
        <w:t xml:space="preserve">based methodologies; </w:t>
      </w:r>
      <w:r w:rsidR="00C43ED6">
        <w:rPr>
          <w:lang w:val="en-GB"/>
        </w:rPr>
        <w:t xml:space="preserve">26S </w:t>
      </w:r>
      <w:r w:rsidR="00C43ED6" w:rsidRPr="00890FFB">
        <w:rPr>
          <w:color w:val="000000" w:themeColor="text1"/>
          <w:lang w:val="en-GB"/>
        </w:rPr>
        <w:t>amplicon</w:t>
      </w:r>
      <w:r w:rsidR="00892E9A" w:rsidRPr="00890FFB">
        <w:rPr>
          <w:color w:val="000000" w:themeColor="text1"/>
          <w:lang w:val="en-GB"/>
        </w:rPr>
        <w:t xml:space="preserve"> sequencing </w:t>
      </w:r>
      <w:r w:rsidR="00890FFB">
        <w:rPr>
          <w:color w:val="000000" w:themeColor="text1"/>
          <w:lang w:val="en-GB"/>
        </w:rPr>
        <w:t xml:space="preserve">through the </w:t>
      </w:r>
      <w:r w:rsidR="00890FFB" w:rsidRPr="00890FFB">
        <w:rPr>
          <w:color w:val="000000" w:themeColor="text1"/>
          <w:lang w:val="en-GB"/>
        </w:rPr>
        <w:t>Illumina</w:t>
      </w:r>
      <w:r w:rsidR="00890FFB" w:rsidRPr="00F324F1">
        <w:rPr>
          <w:color w:val="FF0000"/>
          <w:lang w:val="en-GB"/>
        </w:rPr>
        <w:t xml:space="preserve"> </w:t>
      </w:r>
      <w:proofErr w:type="spellStart"/>
      <w:r w:rsidR="004861BF" w:rsidRPr="004861BF">
        <w:rPr>
          <w:lang w:val="en-GB"/>
        </w:rPr>
        <w:t>MiSeq</w:t>
      </w:r>
      <w:proofErr w:type="spellEnd"/>
      <w:r w:rsidR="004861BF" w:rsidRPr="004861BF">
        <w:rPr>
          <w:lang w:val="en-GB"/>
        </w:rPr>
        <w:t xml:space="preserve"> </w:t>
      </w:r>
      <w:r w:rsidR="00890FFB" w:rsidRPr="00890FFB">
        <w:rPr>
          <w:color w:val="000000" w:themeColor="text1"/>
          <w:lang w:val="en-GB"/>
        </w:rPr>
        <w:t>platform</w:t>
      </w:r>
      <w:r w:rsidR="000A1D40">
        <w:rPr>
          <w:color w:val="000000" w:themeColor="text1"/>
          <w:lang w:val="en-GB"/>
        </w:rPr>
        <w:t xml:space="preserve"> </w:t>
      </w:r>
      <w:r w:rsidR="000A1D40">
        <w:rPr>
          <w:lang w:val="en-GB"/>
        </w:rPr>
        <w:t xml:space="preserve">to overcome culture-dependent limitations, and to deeply describe fermented olives </w:t>
      </w:r>
      <w:proofErr w:type="spellStart"/>
      <w:r w:rsidR="000A1D40">
        <w:rPr>
          <w:lang w:val="en-GB"/>
        </w:rPr>
        <w:t>mycobiota</w:t>
      </w:r>
      <w:proofErr w:type="spellEnd"/>
      <w:r w:rsidR="00890FFB" w:rsidRPr="00890FFB">
        <w:rPr>
          <w:color w:val="000000" w:themeColor="text1"/>
          <w:lang w:val="en-GB"/>
        </w:rPr>
        <w:t>.</w:t>
      </w:r>
      <w:r w:rsidR="00890FFB">
        <w:rPr>
          <w:color w:val="000000" w:themeColor="text1"/>
          <w:lang w:val="en-GB"/>
        </w:rPr>
        <w:t xml:space="preserve"> </w:t>
      </w:r>
      <w:r w:rsidR="000A1D40">
        <w:rPr>
          <w:lang w:val="en-GB"/>
        </w:rPr>
        <w:t>Microbial ecology</w:t>
      </w:r>
      <w:r w:rsidR="000A1D40" w:rsidRPr="00D1638F">
        <w:rPr>
          <w:lang w:val="en-US"/>
        </w:rPr>
        <w:t xml:space="preserve"> </w:t>
      </w:r>
      <w:r w:rsidR="00892E9A" w:rsidRPr="00D1638F">
        <w:rPr>
          <w:lang w:val="en-US"/>
        </w:rPr>
        <w:t xml:space="preserve">data </w:t>
      </w:r>
      <w:r w:rsidR="00D1638F">
        <w:rPr>
          <w:lang w:val="en-US"/>
        </w:rPr>
        <w:t>was also</w:t>
      </w:r>
      <w:r w:rsidR="00892E9A" w:rsidRPr="00D1638F">
        <w:rPr>
          <w:lang w:val="en-US"/>
        </w:rPr>
        <w:t xml:space="preserve"> </w:t>
      </w:r>
      <w:r w:rsidR="000A1D40">
        <w:rPr>
          <w:lang w:val="en-US"/>
        </w:rPr>
        <w:t>complemented</w:t>
      </w:r>
      <w:r w:rsidR="000A1D40" w:rsidRPr="00D1638F">
        <w:rPr>
          <w:lang w:val="en-US"/>
        </w:rPr>
        <w:t xml:space="preserve"> </w:t>
      </w:r>
      <w:r w:rsidR="00892E9A" w:rsidRPr="00D1638F">
        <w:rPr>
          <w:lang w:val="en-US"/>
        </w:rPr>
        <w:t xml:space="preserve">with </w:t>
      </w:r>
      <w:r w:rsidR="00AD4120" w:rsidRPr="00D1638F">
        <w:rPr>
          <w:lang w:val="en-US"/>
        </w:rPr>
        <w:t>the determination of volatile compounds</w:t>
      </w:r>
      <w:r w:rsidR="00892E9A" w:rsidRPr="00D1638F">
        <w:rPr>
          <w:lang w:val="en-US"/>
        </w:rPr>
        <w:t xml:space="preserve"> </w:t>
      </w:r>
      <w:r w:rsidR="00D57231" w:rsidRPr="00D1638F">
        <w:rPr>
          <w:lang w:val="en-US"/>
        </w:rPr>
        <w:t>via</w:t>
      </w:r>
      <w:r w:rsidR="00AD4120" w:rsidRPr="00D1638F">
        <w:rPr>
          <w:lang w:val="en-US"/>
        </w:rPr>
        <w:t xml:space="preserve"> Gas Chromatography/Mass Spectrometry (GC/MS) </w:t>
      </w:r>
      <w:r w:rsidR="00892E9A" w:rsidRPr="00D1638F">
        <w:rPr>
          <w:lang w:val="en-US"/>
        </w:rPr>
        <w:t>analysis of both brines and olives samples</w:t>
      </w:r>
      <w:r w:rsidR="00AD4120" w:rsidRPr="00D1638F">
        <w:rPr>
          <w:lang w:val="en-US"/>
        </w:rPr>
        <w:t>.</w:t>
      </w:r>
      <w:r w:rsidR="00892E9A" w:rsidRPr="00D1638F">
        <w:rPr>
          <w:lang w:val="en-US"/>
        </w:rPr>
        <w:t xml:space="preserve"> </w:t>
      </w:r>
    </w:p>
    <w:p w14:paraId="52A39BA7" w14:textId="7D9FCB9C" w:rsidR="00677E5D" w:rsidRDefault="00D57231" w:rsidP="00677E5D">
      <w:pPr>
        <w:pStyle w:val="Titolo"/>
        <w:spacing w:before="240" w:line="240" w:lineRule="auto"/>
        <w:rPr>
          <w:sz w:val="24"/>
          <w:lang w:val="it-IT"/>
        </w:rPr>
      </w:pPr>
      <w:r>
        <w:rPr>
          <w:sz w:val="24"/>
          <w:lang w:val="it-IT"/>
        </w:rPr>
        <w:t>Dinamica</w:t>
      </w:r>
      <w:r w:rsidR="00D73230">
        <w:rPr>
          <w:sz w:val="24"/>
          <w:lang w:val="it-IT"/>
        </w:rPr>
        <w:t xml:space="preserve"> dei lieviti e </w:t>
      </w:r>
      <w:r w:rsidR="006265AC">
        <w:rPr>
          <w:sz w:val="24"/>
          <w:lang w:val="it-IT"/>
        </w:rPr>
        <w:t xml:space="preserve">analisi </w:t>
      </w:r>
      <w:r w:rsidR="00D1638F">
        <w:rPr>
          <w:sz w:val="24"/>
          <w:lang w:val="it-IT"/>
        </w:rPr>
        <w:t xml:space="preserve">del </w:t>
      </w:r>
      <w:proofErr w:type="spellStart"/>
      <w:r w:rsidR="00D1638F">
        <w:rPr>
          <w:sz w:val="24"/>
          <w:lang w:val="it-IT"/>
        </w:rPr>
        <w:t>volatiloma</w:t>
      </w:r>
      <w:proofErr w:type="spellEnd"/>
      <w:r w:rsidR="006265AC">
        <w:rPr>
          <w:sz w:val="24"/>
          <w:lang w:val="it-IT"/>
        </w:rPr>
        <w:t xml:space="preserve"> </w:t>
      </w:r>
      <w:r w:rsidR="00D73230">
        <w:rPr>
          <w:sz w:val="24"/>
          <w:lang w:val="it-IT"/>
        </w:rPr>
        <w:t xml:space="preserve">di olive </w:t>
      </w:r>
      <w:r w:rsidR="00087570">
        <w:rPr>
          <w:sz w:val="24"/>
          <w:lang w:val="it-IT"/>
        </w:rPr>
        <w:t xml:space="preserve">Taggiasche </w:t>
      </w:r>
      <w:r w:rsidR="00D73230">
        <w:rPr>
          <w:sz w:val="24"/>
          <w:lang w:val="it-IT"/>
        </w:rPr>
        <w:t xml:space="preserve">da tavola </w:t>
      </w:r>
      <w:r w:rsidR="00087570">
        <w:rPr>
          <w:sz w:val="24"/>
          <w:lang w:val="it-IT"/>
        </w:rPr>
        <w:t xml:space="preserve">verdi e nere </w:t>
      </w:r>
      <w:r w:rsidR="00D73230">
        <w:rPr>
          <w:sz w:val="24"/>
          <w:lang w:val="it-IT"/>
        </w:rPr>
        <w:t xml:space="preserve">fermentate </w:t>
      </w:r>
      <w:r w:rsidR="006265AC">
        <w:rPr>
          <w:sz w:val="24"/>
          <w:lang w:val="it-IT"/>
        </w:rPr>
        <w:t xml:space="preserve">naturalmente </w:t>
      </w:r>
    </w:p>
    <w:p w14:paraId="72C60424" w14:textId="62C4D4D6" w:rsidR="00AD4120" w:rsidRDefault="00AD4120" w:rsidP="00557F91">
      <w:pPr>
        <w:tabs>
          <w:tab w:val="left" w:pos="0"/>
        </w:tabs>
        <w:jc w:val="both"/>
      </w:pPr>
      <w:r w:rsidRPr="00AD4120">
        <w:t xml:space="preserve">Nell'ambito di questo progetto di dottorato, le attività svolte sono </w:t>
      </w:r>
      <w:r w:rsidR="00D57231">
        <w:t>riportate di seguito</w:t>
      </w:r>
      <w:r w:rsidRPr="00AD4120">
        <w:t>.</w:t>
      </w:r>
      <w:r w:rsidR="00D57231">
        <w:t xml:space="preserve"> </w:t>
      </w:r>
      <w:r w:rsidR="004C1472">
        <w:t>In un primo momento, è stat</w:t>
      </w:r>
      <w:r w:rsidR="008653B0">
        <w:t>o</w:t>
      </w:r>
      <w:r w:rsidR="004C1472">
        <w:t xml:space="preserve"> effettuat</w:t>
      </w:r>
      <w:r w:rsidR="008653B0">
        <w:t xml:space="preserve">o l’isolamento e </w:t>
      </w:r>
      <w:r w:rsidR="008653B0" w:rsidRPr="008653B0">
        <w:t>l’i</w:t>
      </w:r>
      <w:r w:rsidR="004C1472" w:rsidRPr="008653B0">
        <w:t>dentificazione molecolare degli isolati di lievito dalla raccolta 21-2</w:t>
      </w:r>
      <w:r w:rsidR="008653B0">
        <w:t>2</w:t>
      </w:r>
      <w:r w:rsidR="008653B0" w:rsidRPr="00C43ED6">
        <w:t>.</w:t>
      </w:r>
      <w:r w:rsidR="00087570">
        <w:t xml:space="preserve"> Successivamente, p</w:t>
      </w:r>
      <w:r w:rsidR="008653B0" w:rsidRPr="00C43ED6">
        <w:t xml:space="preserve">er superare i limiti </w:t>
      </w:r>
      <w:r w:rsidR="000A1D40">
        <w:t xml:space="preserve">delle metodiche </w:t>
      </w:r>
      <w:r w:rsidR="00C43ED6" w:rsidRPr="00C43ED6">
        <w:t>cultura-dipendenti,</w:t>
      </w:r>
      <w:r w:rsidR="00C43ED6">
        <w:rPr>
          <w:color w:val="FF0000"/>
        </w:rPr>
        <w:t xml:space="preserve"> </w:t>
      </w:r>
      <w:r w:rsidR="00C43ED6" w:rsidRPr="00C43ED6">
        <w:t xml:space="preserve">il </w:t>
      </w:r>
      <w:proofErr w:type="spellStart"/>
      <w:r w:rsidR="000A1D40">
        <w:t>micobiota</w:t>
      </w:r>
      <w:proofErr w:type="spellEnd"/>
      <w:r w:rsidR="000A1D40" w:rsidRPr="00C43ED6">
        <w:t xml:space="preserve"> </w:t>
      </w:r>
      <w:r w:rsidR="00C43ED6" w:rsidRPr="00C43ED6">
        <w:t xml:space="preserve">delle olive fermentate è stato analizzato tramite </w:t>
      </w:r>
      <w:r w:rsidR="00D373F0" w:rsidRPr="00C43ED6">
        <w:rPr>
          <w:color w:val="000000" w:themeColor="text1"/>
        </w:rPr>
        <w:t>sequenziamento</w:t>
      </w:r>
      <w:r w:rsidR="004C1472" w:rsidRPr="00C43ED6">
        <w:rPr>
          <w:color w:val="000000" w:themeColor="text1"/>
        </w:rPr>
        <w:t xml:space="preserve"> Illumina degli </w:t>
      </w:r>
      <w:proofErr w:type="spellStart"/>
      <w:r w:rsidR="004C1472" w:rsidRPr="00C43ED6">
        <w:rPr>
          <w:color w:val="000000" w:themeColor="text1"/>
        </w:rPr>
        <w:t>ampliconi</w:t>
      </w:r>
      <w:proofErr w:type="spellEnd"/>
      <w:r w:rsidR="004C1472" w:rsidRPr="00C43ED6">
        <w:rPr>
          <w:color w:val="000000" w:themeColor="text1"/>
        </w:rPr>
        <w:t xml:space="preserve"> </w:t>
      </w:r>
      <w:r w:rsidR="000A1D40">
        <w:rPr>
          <w:color w:val="000000" w:themeColor="text1"/>
        </w:rPr>
        <w:t xml:space="preserve">del gene </w:t>
      </w:r>
      <w:r w:rsidR="004C1472" w:rsidRPr="00C43ED6">
        <w:rPr>
          <w:color w:val="000000" w:themeColor="text1"/>
        </w:rPr>
        <w:t>26S</w:t>
      </w:r>
      <w:r w:rsidR="000A1D40">
        <w:rPr>
          <w:color w:val="000000" w:themeColor="text1"/>
        </w:rPr>
        <w:t xml:space="preserve"> rRNA</w:t>
      </w:r>
      <w:r w:rsidR="00890FFB" w:rsidRPr="00D1638F">
        <w:t>.</w:t>
      </w:r>
      <w:r w:rsidR="00C43ED6" w:rsidRPr="00D1638F">
        <w:t xml:space="preserve"> </w:t>
      </w:r>
      <w:r w:rsidR="00D373F0" w:rsidRPr="00D1638F">
        <w:t xml:space="preserve">I dati molecolari </w:t>
      </w:r>
      <w:r w:rsidR="00D1638F" w:rsidRPr="00D1638F">
        <w:t>sono stati</w:t>
      </w:r>
      <w:r w:rsidR="0082255E" w:rsidRPr="00D1638F">
        <w:t xml:space="preserve"> </w:t>
      </w:r>
      <w:r w:rsidR="00D1638F">
        <w:t xml:space="preserve">inoltre </w:t>
      </w:r>
      <w:proofErr w:type="spellStart"/>
      <w:r w:rsidR="000A1D40">
        <w:t>complementati</w:t>
      </w:r>
      <w:proofErr w:type="spellEnd"/>
      <w:r w:rsidR="000A1D40" w:rsidRPr="00D1638F">
        <w:t xml:space="preserve"> </w:t>
      </w:r>
      <w:r w:rsidR="00D373F0" w:rsidRPr="00D1638F">
        <w:t xml:space="preserve">con </w:t>
      </w:r>
      <w:r w:rsidR="00D1638F">
        <w:t>la determinazione dei</w:t>
      </w:r>
      <w:r w:rsidR="00C43ED6" w:rsidRPr="00D1638F">
        <w:t xml:space="preserve"> </w:t>
      </w:r>
      <w:r w:rsidR="00D373F0" w:rsidRPr="00D1638F">
        <w:t>composti volatili effettuata con analisi Gas Cromatografia/Spettrometria di Massa (GC/MS) sia sui campioni di salamoia</w:t>
      </w:r>
      <w:r w:rsidR="000A1D40">
        <w:t>,</w:t>
      </w:r>
      <w:r w:rsidR="00D373F0" w:rsidRPr="00D1638F">
        <w:t xml:space="preserve"> che di olive.</w:t>
      </w:r>
    </w:p>
    <w:p w14:paraId="685C9C04" w14:textId="77777777" w:rsidR="00677E5D" w:rsidRDefault="00677E5D" w:rsidP="00677E5D">
      <w:pPr>
        <w:tabs>
          <w:tab w:val="left" w:pos="0"/>
        </w:tabs>
        <w:jc w:val="both"/>
      </w:pPr>
    </w:p>
    <w:p w14:paraId="43DA3CAA" w14:textId="3887F2F0" w:rsidR="00677E5D" w:rsidRPr="00C039F6" w:rsidRDefault="00677E5D" w:rsidP="00677E5D">
      <w:pPr>
        <w:ind w:left="567" w:hanging="567"/>
        <w:jc w:val="both"/>
        <w:rPr>
          <w:lang w:val="en-US"/>
        </w:rPr>
      </w:pPr>
      <w:r>
        <w:rPr>
          <w:b/>
          <w:bCs/>
          <w:lang w:val="en-GB"/>
        </w:rPr>
        <w:t>Key words</w:t>
      </w:r>
      <w:r>
        <w:rPr>
          <w:lang w:val="en-GB"/>
        </w:rPr>
        <w:t xml:space="preserve">: </w:t>
      </w:r>
      <w:r w:rsidR="00892E9A">
        <w:rPr>
          <w:lang w:val="en-GB"/>
        </w:rPr>
        <w:t>Yeasts</w:t>
      </w:r>
      <w:r>
        <w:rPr>
          <w:lang w:val="en-GB"/>
        </w:rPr>
        <w:t xml:space="preserve">, </w:t>
      </w:r>
      <w:r w:rsidR="00C039F6">
        <w:rPr>
          <w:lang w:val="en-GB"/>
        </w:rPr>
        <w:t>spontaneous fermentation</w:t>
      </w:r>
      <w:r>
        <w:rPr>
          <w:lang w:val="en-GB"/>
        </w:rPr>
        <w:t xml:space="preserve">, </w:t>
      </w:r>
      <w:r w:rsidR="00C039F6">
        <w:rPr>
          <w:lang w:val="en-GB"/>
        </w:rPr>
        <w:t>Taggiasca</w:t>
      </w:r>
      <w:r w:rsidR="000A1D40">
        <w:rPr>
          <w:lang w:val="en-GB"/>
        </w:rPr>
        <w:t xml:space="preserve"> olives</w:t>
      </w:r>
      <w:r>
        <w:rPr>
          <w:lang w:val="en-GB"/>
        </w:rPr>
        <w:t xml:space="preserve">, </w:t>
      </w:r>
      <w:r w:rsidR="00C43ED6">
        <w:rPr>
          <w:lang w:val="en-GB"/>
        </w:rPr>
        <w:t>26S</w:t>
      </w:r>
      <w:r w:rsidR="00F0116B">
        <w:rPr>
          <w:lang w:val="en-GB"/>
        </w:rPr>
        <w:t xml:space="preserve"> </w:t>
      </w:r>
      <w:r w:rsidR="00D373F0">
        <w:rPr>
          <w:lang w:val="en-GB"/>
        </w:rPr>
        <w:t>Illumina sequencing,</w:t>
      </w:r>
      <w:r w:rsidR="00C039F6">
        <w:rPr>
          <w:lang w:val="en-GB"/>
        </w:rPr>
        <w:t xml:space="preserve"> </w:t>
      </w:r>
      <w:r w:rsidR="00C039F6" w:rsidRPr="00D1638F">
        <w:rPr>
          <w:lang w:val="en-US"/>
        </w:rPr>
        <w:t>GC</w:t>
      </w:r>
      <w:r w:rsidR="009D5DC2" w:rsidRPr="00D1638F">
        <w:rPr>
          <w:lang w:val="en-US"/>
        </w:rPr>
        <w:t>/</w:t>
      </w:r>
      <w:r w:rsidR="00C039F6" w:rsidRPr="00D1638F">
        <w:rPr>
          <w:lang w:val="en-US"/>
        </w:rPr>
        <w:t>MS.</w:t>
      </w:r>
    </w:p>
    <w:p w14:paraId="26561F39" w14:textId="77777777" w:rsidR="00677E5D" w:rsidRDefault="00677E5D" w:rsidP="00677E5D">
      <w:pPr>
        <w:pStyle w:val="Titolo1"/>
        <w:spacing w:before="240" w:after="120"/>
        <w:ind w:right="0"/>
        <w:jc w:val="both"/>
        <w:rPr>
          <w:b/>
          <w:bCs/>
          <w:color w:val="000000"/>
          <w:sz w:val="24"/>
          <w:lang w:val="en-GB"/>
        </w:rPr>
      </w:pPr>
      <w:r>
        <w:rPr>
          <w:b/>
          <w:bCs/>
          <w:color w:val="000000"/>
          <w:sz w:val="24"/>
          <w:lang w:val="en-GB"/>
        </w:rPr>
        <w:t>1. Introduction</w:t>
      </w:r>
    </w:p>
    <w:p w14:paraId="3C3313B1" w14:textId="655F0570" w:rsidR="0082255E" w:rsidRDefault="007400BE" w:rsidP="00677E5D">
      <w:pPr>
        <w:jc w:val="both"/>
        <w:rPr>
          <w:lang w:val="en-GB"/>
        </w:rPr>
      </w:pPr>
      <w:r>
        <w:rPr>
          <w:lang w:val="en-GB"/>
        </w:rPr>
        <w:t>According to</w:t>
      </w:r>
      <w:r w:rsidR="00677E5D">
        <w:rPr>
          <w:lang w:val="en-GB"/>
        </w:rPr>
        <w:t xml:space="preserve"> the PhD thesis project </w:t>
      </w:r>
      <w:r w:rsidR="0032623E">
        <w:rPr>
          <w:lang w:val="en-GB"/>
        </w:rPr>
        <w:t xml:space="preserve">previously </w:t>
      </w:r>
      <w:r w:rsidR="00F0116B" w:rsidRPr="00092A38">
        <w:rPr>
          <w:lang w:val="en-GB"/>
        </w:rPr>
        <w:t>described</w:t>
      </w:r>
      <w:r w:rsidR="004861BF" w:rsidRPr="00092A38">
        <w:rPr>
          <w:lang w:val="en-GB"/>
        </w:rPr>
        <w:t xml:space="preserve"> </w:t>
      </w:r>
      <w:r w:rsidR="005F79FF">
        <w:rPr>
          <w:lang w:val="en-GB"/>
        </w:rPr>
        <w:fldChar w:fldCharType="begin" w:fldLock="1"/>
      </w:r>
      <w:r w:rsidR="005F79FF">
        <w:rPr>
          <w:lang w:val="en-GB"/>
        </w:rPr>
        <w:instrText>ADDIN CSL_CITATION {"citationItems":[{"id":"ITEM-1","itemData":{"author":[{"dropping-particle":"","family":"Traina","given":"","non-dropping-particle":"","parse-names":false,"suffix":""}],"container-title":"Proceedings of the 26th Workshop on the Developments in the Italian PhD Research on Food Science, Technology and Biotechnology","id":"ITEM-1","issued":{"date-parts":[["2022"]]},"page":"193–194","title":"Microbiomes in Food Systems","type":"chapter"},"uris":["http://www.mendeley.com/documents/?uuid=32f0469a-618a-4fef-96c9-e8e8a3432e1a"]}],"mendeley":{"formattedCitation":"(Traina, 2022)","plainTextFormattedCitation":"(Traina, 2022)","previouslyFormattedCitation":"(Traina, 2022)"},"properties":{"noteIndex":0},"schema":"https://github.com/citation-style-language/schema/raw/master/csl-citation.json"}</w:instrText>
      </w:r>
      <w:r w:rsidR="005F79FF">
        <w:rPr>
          <w:lang w:val="en-GB"/>
        </w:rPr>
        <w:fldChar w:fldCharType="separate"/>
      </w:r>
      <w:r w:rsidR="005F79FF" w:rsidRPr="005F79FF">
        <w:rPr>
          <w:noProof/>
          <w:lang w:val="en-GB"/>
        </w:rPr>
        <w:t>(Traina, 2022)</w:t>
      </w:r>
      <w:r w:rsidR="005F79FF">
        <w:rPr>
          <w:lang w:val="en-GB"/>
        </w:rPr>
        <w:fldChar w:fldCharType="end"/>
      </w:r>
      <w:r w:rsidR="00F0116B" w:rsidRPr="00092A38">
        <w:rPr>
          <w:lang w:val="en-GB"/>
        </w:rPr>
        <w:t>,</w:t>
      </w:r>
      <w:r w:rsidR="00F0116B">
        <w:rPr>
          <w:lang w:val="en-GB"/>
        </w:rPr>
        <w:t xml:space="preserve"> </w:t>
      </w:r>
      <w:r w:rsidR="00677E5D">
        <w:rPr>
          <w:lang w:val="en-GB"/>
        </w:rPr>
        <w:t xml:space="preserve">this poster reports the main results </w:t>
      </w:r>
      <w:r w:rsidR="00D1638F">
        <w:rPr>
          <w:lang w:val="en-GB"/>
        </w:rPr>
        <w:t xml:space="preserve">of </w:t>
      </w:r>
      <w:r w:rsidR="0032623E">
        <w:rPr>
          <w:lang w:val="en-GB"/>
        </w:rPr>
        <w:t>the following activities:</w:t>
      </w:r>
      <w:r w:rsidR="00677E5D">
        <w:rPr>
          <w:lang w:val="en-GB"/>
        </w:rPr>
        <w:t xml:space="preserve"> </w:t>
      </w:r>
    </w:p>
    <w:p w14:paraId="5C242A84" w14:textId="77777777" w:rsidR="0082255E" w:rsidRDefault="0082255E" w:rsidP="00677E5D">
      <w:pPr>
        <w:jc w:val="both"/>
        <w:rPr>
          <w:lang w:val="en-GB"/>
        </w:rPr>
      </w:pPr>
    </w:p>
    <w:p w14:paraId="6D8E3F8C" w14:textId="5A5C2E0C" w:rsidR="00677E5D" w:rsidRPr="00746B7D" w:rsidRDefault="00677E5D" w:rsidP="00BC010A">
      <w:pPr>
        <w:tabs>
          <w:tab w:val="left" w:pos="567"/>
        </w:tabs>
        <w:ind w:left="1134" w:hanging="567"/>
        <w:jc w:val="both"/>
        <w:rPr>
          <w:lang w:val="en-US"/>
        </w:rPr>
      </w:pPr>
      <w:r>
        <w:rPr>
          <w:lang w:val="en-GB"/>
        </w:rPr>
        <w:t>(</w:t>
      </w:r>
      <w:r w:rsidR="0082255E">
        <w:rPr>
          <w:lang w:val="en-GB"/>
        </w:rPr>
        <w:t>A</w:t>
      </w:r>
      <w:r w:rsidR="00235678">
        <w:rPr>
          <w:lang w:val="en-GB"/>
        </w:rPr>
        <w:t>2</w:t>
      </w:r>
      <w:r>
        <w:rPr>
          <w:lang w:val="en-GB"/>
        </w:rPr>
        <w:t xml:space="preserve">) </w:t>
      </w:r>
      <w:r>
        <w:rPr>
          <w:lang w:val="en-GB"/>
        </w:rPr>
        <w:tab/>
        <w:t xml:space="preserve">the </w:t>
      </w:r>
      <w:r w:rsidR="00FC7FC7">
        <w:rPr>
          <w:lang w:val="en-GB"/>
        </w:rPr>
        <w:t>culture-dependent analysis (microbial viable counts) over a 6-month</w:t>
      </w:r>
      <w:r w:rsidR="00F324F1">
        <w:rPr>
          <w:lang w:val="en-GB"/>
        </w:rPr>
        <w:t>s</w:t>
      </w:r>
      <w:r w:rsidR="00FC7FC7">
        <w:rPr>
          <w:lang w:val="en-GB"/>
        </w:rPr>
        <w:t xml:space="preserve"> fermentation</w:t>
      </w:r>
      <w:r w:rsidR="0032623E">
        <w:rPr>
          <w:lang w:val="en-GB"/>
        </w:rPr>
        <w:t xml:space="preserve"> period with the molecular data concerning the relative abundance of fungal species;</w:t>
      </w:r>
    </w:p>
    <w:p w14:paraId="0528D094" w14:textId="5EABCC33" w:rsidR="00677E5D" w:rsidRDefault="00677E5D" w:rsidP="00BC010A">
      <w:pPr>
        <w:tabs>
          <w:tab w:val="left" w:pos="567"/>
        </w:tabs>
        <w:ind w:left="1134" w:hanging="567"/>
        <w:jc w:val="both"/>
        <w:rPr>
          <w:lang w:val="en-GB"/>
        </w:rPr>
      </w:pPr>
      <w:r>
        <w:rPr>
          <w:lang w:val="en-GB"/>
        </w:rPr>
        <w:t>(</w:t>
      </w:r>
      <w:r w:rsidR="0082255E">
        <w:rPr>
          <w:lang w:val="en-GB"/>
        </w:rPr>
        <w:t>A</w:t>
      </w:r>
      <w:r w:rsidR="00235678">
        <w:rPr>
          <w:lang w:val="en-GB"/>
        </w:rPr>
        <w:t>3</w:t>
      </w:r>
      <w:r>
        <w:rPr>
          <w:lang w:val="en-GB"/>
        </w:rPr>
        <w:t xml:space="preserve">) </w:t>
      </w:r>
      <w:r>
        <w:rPr>
          <w:lang w:val="en-GB"/>
        </w:rPr>
        <w:tab/>
        <w:t xml:space="preserve">the </w:t>
      </w:r>
      <w:r w:rsidR="00FC7FC7">
        <w:rPr>
          <w:lang w:val="en-GB"/>
        </w:rPr>
        <w:t>culture-independent analysis</w:t>
      </w:r>
      <w:r w:rsidR="0089392E">
        <w:rPr>
          <w:lang w:val="en-GB"/>
        </w:rPr>
        <w:t xml:space="preserve"> </w:t>
      </w:r>
      <w:r w:rsidR="000A1D40">
        <w:rPr>
          <w:lang w:val="en-GB"/>
        </w:rPr>
        <w:t xml:space="preserve">of the </w:t>
      </w:r>
      <w:r w:rsidR="00FC7FC7">
        <w:rPr>
          <w:lang w:val="en-GB"/>
        </w:rPr>
        <w:t>total genomic DNA</w:t>
      </w:r>
      <w:r>
        <w:rPr>
          <w:lang w:val="en-GB"/>
        </w:rPr>
        <w:t xml:space="preserve"> </w:t>
      </w:r>
      <w:r w:rsidR="00FC7FC7">
        <w:rPr>
          <w:lang w:val="en-GB"/>
        </w:rPr>
        <w:t xml:space="preserve">(gDNA) </w:t>
      </w:r>
      <w:r w:rsidR="000A1D40">
        <w:rPr>
          <w:lang w:val="en-GB"/>
        </w:rPr>
        <w:t xml:space="preserve">extracted from </w:t>
      </w:r>
      <w:r w:rsidR="00FC7FC7">
        <w:rPr>
          <w:lang w:val="en-GB"/>
        </w:rPr>
        <w:t>brines and olives</w:t>
      </w:r>
      <w:r w:rsidR="00BC010A">
        <w:rPr>
          <w:lang w:val="en-GB"/>
        </w:rPr>
        <w:t>;</w:t>
      </w:r>
      <w:r>
        <w:rPr>
          <w:lang w:val="en-GB"/>
        </w:rPr>
        <w:t xml:space="preserve"> </w:t>
      </w:r>
    </w:p>
    <w:p w14:paraId="3D9BBC28" w14:textId="77777777" w:rsidR="0082255E" w:rsidRPr="0089392E" w:rsidRDefault="0082255E" w:rsidP="0082255E">
      <w:pPr>
        <w:tabs>
          <w:tab w:val="left" w:pos="567"/>
        </w:tabs>
        <w:jc w:val="both"/>
        <w:rPr>
          <w:lang w:val="en-GB"/>
        </w:rPr>
      </w:pPr>
    </w:p>
    <w:p w14:paraId="44A76CCC" w14:textId="02CD2354" w:rsidR="00FC7FC7" w:rsidRPr="00D1638F" w:rsidRDefault="0082255E" w:rsidP="0082255E">
      <w:pPr>
        <w:tabs>
          <w:tab w:val="left" w:pos="567"/>
        </w:tabs>
        <w:jc w:val="both"/>
        <w:rPr>
          <w:lang w:val="en-US"/>
        </w:rPr>
      </w:pPr>
      <w:r w:rsidRPr="00D1638F">
        <w:rPr>
          <w:lang w:val="en-US"/>
        </w:rPr>
        <w:t xml:space="preserve">Additional results that were not included in the previous project </w:t>
      </w:r>
      <w:r w:rsidR="0032623E" w:rsidRPr="00D1638F">
        <w:rPr>
          <w:lang w:val="en-US"/>
        </w:rPr>
        <w:t>concern</w:t>
      </w:r>
      <w:r w:rsidRPr="00D1638F">
        <w:rPr>
          <w:lang w:val="en-US"/>
        </w:rPr>
        <w:t xml:space="preserve"> the determination of </w:t>
      </w:r>
      <w:r w:rsidR="00FC7FC7" w:rsidRPr="00D1638F">
        <w:rPr>
          <w:lang w:val="en-US"/>
        </w:rPr>
        <w:t xml:space="preserve">volatile </w:t>
      </w:r>
      <w:r w:rsidR="00BC010A" w:rsidRPr="00D1638F">
        <w:rPr>
          <w:lang w:val="en-US"/>
        </w:rPr>
        <w:t xml:space="preserve">compounds </w:t>
      </w:r>
      <w:r w:rsidR="0032623E" w:rsidRPr="00D1638F">
        <w:rPr>
          <w:lang w:val="en-US"/>
        </w:rPr>
        <w:t>of both</w:t>
      </w:r>
      <w:r w:rsidR="00BC010A" w:rsidRPr="00D1638F">
        <w:rPr>
          <w:lang w:val="en-US"/>
        </w:rPr>
        <w:t xml:space="preserve"> </w:t>
      </w:r>
      <w:r w:rsidR="00FC7FC7" w:rsidRPr="00D1638F">
        <w:rPr>
          <w:lang w:val="en-US"/>
        </w:rPr>
        <w:t>brine</w:t>
      </w:r>
      <w:r w:rsidR="0032623E" w:rsidRPr="00D1638F">
        <w:rPr>
          <w:lang w:val="en-US"/>
        </w:rPr>
        <w:t>s</w:t>
      </w:r>
      <w:r w:rsidR="00FC7FC7" w:rsidRPr="00D1638F">
        <w:rPr>
          <w:lang w:val="en-US"/>
        </w:rPr>
        <w:t xml:space="preserve"> and olive</w:t>
      </w:r>
      <w:r w:rsidR="0032623E" w:rsidRPr="00D1638F">
        <w:rPr>
          <w:lang w:val="en-US"/>
        </w:rPr>
        <w:t>s</w:t>
      </w:r>
      <w:r w:rsidR="00FC7FC7" w:rsidRPr="00D1638F">
        <w:rPr>
          <w:lang w:val="en-US"/>
        </w:rPr>
        <w:t xml:space="preserve"> </w:t>
      </w:r>
      <w:r w:rsidR="00BC010A" w:rsidRPr="00D1638F">
        <w:rPr>
          <w:lang w:val="en-US"/>
        </w:rPr>
        <w:t>samples</w:t>
      </w:r>
      <w:r w:rsidR="0089392E" w:rsidRPr="00D1638F">
        <w:rPr>
          <w:lang w:val="en-US"/>
        </w:rPr>
        <w:t xml:space="preserve"> for batch 1 and 2.</w:t>
      </w:r>
    </w:p>
    <w:p w14:paraId="09D674D7" w14:textId="77777777" w:rsidR="00677E5D" w:rsidRDefault="00677E5D" w:rsidP="00677E5D">
      <w:pPr>
        <w:pStyle w:val="Titolo1"/>
        <w:spacing w:before="240" w:after="120"/>
        <w:ind w:right="0"/>
        <w:jc w:val="both"/>
        <w:rPr>
          <w:b/>
          <w:bCs/>
          <w:color w:val="000000"/>
          <w:sz w:val="24"/>
          <w:lang w:val="en-GB"/>
        </w:rPr>
      </w:pPr>
      <w:r>
        <w:rPr>
          <w:b/>
          <w:bCs/>
          <w:color w:val="000000"/>
          <w:sz w:val="24"/>
          <w:lang w:val="en-GB"/>
        </w:rPr>
        <w:t>2. Materials and Methods</w:t>
      </w:r>
    </w:p>
    <w:p w14:paraId="766F3214" w14:textId="12FFC61E" w:rsidR="00F117CE" w:rsidRPr="00904C9D" w:rsidRDefault="009B79B0" w:rsidP="00B2551A">
      <w:pPr>
        <w:jc w:val="both"/>
        <w:rPr>
          <w:rFonts w:eastAsiaTheme="minorHAnsi"/>
          <w:noProof/>
          <w:color w:val="000000"/>
          <w:lang w:val="en-US" w:eastAsia="en-US"/>
          <w14:ligatures w14:val="standardContextual"/>
        </w:rPr>
      </w:pPr>
      <w:r w:rsidRPr="009B79B0">
        <w:rPr>
          <w:i/>
          <w:iCs/>
          <w:u w:val="single"/>
          <w:lang w:val="en-GB"/>
        </w:rPr>
        <w:t>Culture-dependent analysis:</w:t>
      </w:r>
      <w:r>
        <w:rPr>
          <w:lang w:val="en-GB"/>
        </w:rPr>
        <w:t xml:space="preserve"> </w:t>
      </w:r>
      <w:r w:rsidR="0089392E" w:rsidRPr="004F1615">
        <w:rPr>
          <w:lang w:val="en-GB"/>
        </w:rPr>
        <w:t>Taggiasca o</w:t>
      </w:r>
      <w:r w:rsidR="006A39B8" w:rsidRPr="004F1615">
        <w:rPr>
          <w:lang w:val="en-GB"/>
        </w:rPr>
        <w:t>lives and brines samples</w:t>
      </w:r>
      <w:r w:rsidR="0089392E" w:rsidRPr="004F1615">
        <w:rPr>
          <w:lang w:val="en-GB"/>
        </w:rPr>
        <w:t xml:space="preserve"> deriving from two separate fermentation vessels were provided by a local company and were </w:t>
      </w:r>
      <w:proofErr w:type="spellStart"/>
      <w:r w:rsidR="0089392E" w:rsidRPr="004F1615">
        <w:rPr>
          <w:lang w:val="en-GB"/>
        </w:rPr>
        <w:t>analyzed</w:t>
      </w:r>
      <w:proofErr w:type="spellEnd"/>
      <w:r w:rsidR="0089392E" w:rsidRPr="004F1615">
        <w:rPr>
          <w:lang w:val="en-GB"/>
        </w:rPr>
        <w:t xml:space="preserve"> </w:t>
      </w:r>
      <w:r w:rsidR="004F1615">
        <w:rPr>
          <w:lang w:val="en-GB"/>
        </w:rPr>
        <w:t xml:space="preserve">in duplicate </w:t>
      </w:r>
      <w:r w:rsidR="0089392E" w:rsidRPr="004F1615">
        <w:rPr>
          <w:lang w:val="en-GB"/>
        </w:rPr>
        <w:t>from time 0 up until the end of the fermentation period (month</w:t>
      </w:r>
      <w:r w:rsidR="00E10014">
        <w:rPr>
          <w:lang w:val="en-GB"/>
        </w:rPr>
        <w:t xml:space="preserve"> 6)</w:t>
      </w:r>
      <w:r w:rsidR="0089392E" w:rsidRPr="004F1615">
        <w:rPr>
          <w:lang w:val="en-GB"/>
        </w:rPr>
        <w:t xml:space="preserve">. </w:t>
      </w:r>
      <w:r w:rsidR="00415C32">
        <w:rPr>
          <w:lang w:val="en-GB"/>
        </w:rPr>
        <w:t>S</w:t>
      </w:r>
      <w:r w:rsidR="0089392E" w:rsidRPr="004F1615">
        <w:rPr>
          <w:lang w:val="en-GB"/>
        </w:rPr>
        <w:t>ampling w</w:t>
      </w:r>
      <w:r w:rsidR="00E10014">
        <w:rPr>
          <w:lang w:val="en-GB"/>
        </w:rPr>
        <w:t>as</w:t>
      </w:r>
      <w:r w:rsidR="0089392E" w:rsidRPr="004F1615">
        <w:rPr>
          <w:lang w:val="en-GB"/>
        </w:rPr>
        <w:t xml:space="preserve"> </w:t>
      </w:r>
      <w:r w:rsidR="00415C32">
        <w:rPr>
          <w:lang w:val="en-GB"/>
        </w:rPr>
        <w:t xml:space="preserve">performed at </w:t>
      </w:r>
      <w:r w:rsidR="0089392E" w:rsidRPr="004F1615">
        <w:rPr>
          <w:lang w:val="en-GB"/>
        </w:rPr>
        <w:t>0, 3, 7, 14, 28, 60, 90, 120, 150</w:t>
      </w:r>
      <w:r w:rsidR="004F1615">
        <w:rPr>
          <w:lang w:val="en-GB"/>
        </w:rPr>
        <w:t xml:space="preserve"> and</w:t>
      </w:r>
      <w:r w:rsidR="0089392E" w:rsidRPr="004F1615">
        <w:rPr>
          <w:lang w:val="en-GB"/>
        </w:rPr>
        <w:t xml:space="preserve"> 180 days</w:t>
      </w:r>
      <w:r w:rsidR="00142637">
        <w:rPr>
          <w:lang w:val="en-GB"/>
        </w:rPr>
        <w:t xml:space="preserve"> and </w:t>
      </w:r>
      <w:r w:rsidR="00E10014">
        <w:rPr>
          <w:lang w:val="en-GB"/>
        </w:rPr>
        <w:t>a total of</w:t>
      </w:r>
      <w:r w:rsidR="00142637">
        <w:rPr>
          <w:lang w:val="en-GB"/>
        </w:rPr>
        <w:t xml:space="preserve"> </w:t>
      </w:r>
      <w:r w:rsidR="00557F91" w:rsidRPr="00D1638F">
        <w:rPr>
          <w:lang w:val="en-GB"/>
        </w:rPr>
        <w:t>373</w:t>
      </w:r>
      <w:r w:rsidR="00F110C8" w:rsidRPr="00557F91">
        <w:rPr>
          <w:color w:val="FF0000"/>
          <w:lang w:val="en-GB"/>
        </w:rPr>
        <w:t xml:space="preserve"> </w:t>
      </w:r>
      <w:r w:rsidR="00F110C8">
        <w:rPr>
          <w:lang w:val="en-GB"/>
        </w:rPr>
        <w:t>yeast</w:t>
      </w:r>
      <w:r w:rsidR="004F1615">
        <w:rPr>
          <w:lang w:val="en-GB"/>
        </w:rPr>
        <w:t xml:space="preserve"> </w:t>
      </w:r>
      <w:r w:rsidR="00F110C8">
        <w:rPr>
          <w:lang w:val="en-GB"/>
        </w:rPr>
        <w:t>colonies</w:t>
      </w:r>
      <w:r w:rsidR="004F1615">
        <w:rPr>
          <w:lang w:val="en-GB"/>
        </w:rPr>
        <w:t xml:space="preserve"> </w:t>
      </w:r>
      <w:r w:rsidR="00F110C8">
        <w:rPr>
          <w:lang w:val="en-GB"/>
        </w:rPr>
        <w:t xml:space="preserve">were isolated and purified on </w:t>
      </w:r>
      <w:r w:rsidR="00184E5B">
        <w:rPr>
          <w:lang w:val="en-GB"/>
        </w:rPr>
        <w:t xml:space="preserve">Malt Extract </w:t>
      </w:r>
      <w:r w:rsidR="000172E3">
        <w:rPr>
          <w:lang w:val="en-GB"/>
        </w:rPr>
        <w:t>agar (</w:t>
      </w:r>
      <w:proofErr w:type="spellStart"/>
      <w:r w:rsidR="000172E3">
        <w:rPr>
          <w:lang w:val="en-GB"/>
        </w:rPr>
        <w:t>Generon</w:t>
      </w:r>
      <w:proofErr w:type="spellEnd"/>
      <w:r w:rsidR="000172E3">
        <w:rPr>
          <w:lang w:val="en-GB"/>
        </w:rPr>
        <w:t>, Modena, Italy)</w:t>
      </w:r>
      <w:r w:rsidR="00184E5B">
        <w:rPr>
          <w:lang w:val="en-GB"/>
        </w:rPr>
        <w:t xml:space="preserve"> added with 0,5% (w/v) tetracycline </w:t>
      </w:r>
      <w:r w:rsidR="00184E5B">
        <w:rPr>
          <w:sz w:val="24"/>
          <w:lang w:val="en-GB"/>
        </w:rPr>
        <w:t>(</w:t>
      </w:r>
      <w:proofErr w:type="spellStart"/>
      <w:r w:rsidR="00184E5B" w:rsidRPr="00184E5B">
        <w:rPr>
          <w:lang w:val="en-GB"/>
        </w:rPr>
        <w:t>Fluka</w:t>
      </w:r>
      <w:proofErr w:type="spellEnd"/>
      <w:r w:rsidR="00184E5B" w:rsidRPr="00184E5B">
        <w:rPr>
          <w:lang w:val="en-GB"/>
        </w:rPr>
        <w:t xml:space="preserve">, </w:t>
      </w:r>
      <w:proofErr w:type="spellStart"/>
      <w:r w:rsidR="00184E5B" w:rsidRPr="00184E5B">
        <w:rPr>
          <w:lang w:val="en-GB"/>
        </w:rPr>
        <w:t>Stainheim</w:t>
      </w:r>
      <w:proofErr w:type="spellEnd"/>
      <w:r w:rsidR="00184E5B" w:rsidRPr="00184E5B">
        <w:rPr>
          <w:lang w:val="en-GB"/>
        </w:rPr>
        <w:t>, Germany)</w:t>
      </w:r>
      <w:r w:rsidR="00F110C8" w:rsidRPr="00184E5B">
        <w:rPr>
          <w:lang w:val="en-GB"/>
        </w:rPr>
        <w:t xml:space="preserve">. </w:t>
      </w:r>
      <w:r w:rsidR="00F110C8" w:rsidRPr="00184E5B">
        <w:rPr>
          <w:lang w:val="en-US"/>
        </w:rPr>
        <w:t xml:space="preserve">For DNA </w:t>
      </w:r>
      <w:r w:rsidR="00DE0AE5" w:rsidRPr="005E7378">
        <w:rPr>
          <w:lang w:val="en-US"/>
        </w:rPr>
        <w:t xml:space="preserve">extraction </w:t>
      </w:r>
      <w:r w:rsidR="00F110C8" w:rsidRPr="005E7378">
        <w:rPr>
          <w:lang w:val="en-US"/>
        </w:rPr>
        <w:t xml:space="preserve">from isolates, 1 mL of a 24 h culture was </w:t>
      </w:r>
      <w:r w:rsidR="00F110C8">
        <w:rPr>
          <w:lang w:val="en-US"/>
        </w:rPr>
        <w:t xml:space="preserve">transferred into 1,5 mL sterile </w:t>
      </w:r>
      <w:r w:rsidR="00FF2DFC">
        <w:rPr>
          <w:lang w:val="en-US"/>
        </w:rPr>
        <w:t xml:space="preserve">microtubes </w:t>
      </w:r>
      <w:r w:rsidR="00F110C8">
        <w:rPr>
          <w:lang w:val="en-US"/>
        </w:rPr>
        <w:t>(</w:t>
      </w:r>
      <w:proofErr w:type="spellStart"/>
      <w:r w:rsidR="00F110C8">
        <w:rPr>
          <w:lang w:val="en-US"/>
        </w:rPr>
        <w:t>Resnova</w:t>
      </w:r>
      <w:proofErr w:type="spellEnd"/>
      <w:r w:rsidR="00F110C8">
        <w:rPr>
          <w:lang w:val="en-US"/>
        </w:rPr>
        <w:t>, Italy)</w:t>
      </w:r>
      <w:r w:rsidR="00FF2DFC">
        <w:rPr>
          <w:lang w:val="en-US"/>
        </w:rPr>
        <w:t>,</w:t>
      </w:r>
      <w:r w:rsidR="00F110C8">
        <w:rPr>
          <w:lang w:val="en-US"/>
        </w:rPr>
        <w:t xml:space="preserve"> filled with silica beads (VWR, Italy)</w:t>
      </w:r>
      <w:r w:rsidR="00FF2DFC">
        <w:rPr>
          <w:lang w:val="en-US"/>
        </w:rPr>
        <w:t>,</w:t>
      </w:r>
      <w:r w:rsidR="00F110C8">
        <w:rPr>
          <w:lang w:val="en-US"/>
        </w:rPr>
        <w:t xml:space="preserve"> and </w:t>
      </w:r>
      <w:r w:rsidR="00FF2DFC">
        <w:rPr>
          <w:lang w:val="en-US"/>
        </w:rPr>
        <w:t xml:space="preserve">it </w:t>
      </w:r>
      <w:r w:rsidR="00F110C8">
        <w:rPr>
          <w:lang w:val="en-US"/>
        </w:rPr>
        <w:t xml:space="preserve">was </w:t>
      </w:r>
      <w:r w:rsidR="00F110C8" w:rsidRPr="005E7378">
        <w:rPr>
          <w:lang w:val="en-US"/>
        </w:rPr>
        <w:t>centrifuged at 13,</w:t>
      </w:r>
      <w:r w:rsidR="00F110C8">
        <w:rPr>
          <w:lang w:val="en-US"/>
        </w:rPr>
        <w:t>0</w:t>
      </w:r>
      <w:r w:rsidR="00F110C8" w:rsidRPr="005E7378">
        <w:rPr>
          <w:lang w:val="en-US"/>
        </w:rPr>
        <w:t>00 x g for 5 min to pellet the cells</w:t>
      </w:r>
      <w:r w:rsidR="00F110C8">
        <w:rPr>
          <w:lang w:val="en-US"/>
        </w:rPr>
        <w:t xml:space="preserve">. DNA extraction was carried out with the </w:t>
      </w:r>
      <w:proofErr w:type="spellStart"/>
      <w:r w:rsidR="00F110C8" w:rsidRPr="004C79C2">
        <w:rPr>
          <w:shd w:val="clear" w:color="auto" w:fill="FFFFFF"/>
          <w:lang w:val="en-US"/>
        </w:rPr>
        <w:t>phenol:chloroform:</w:t>
      </w:r>
      <w:r w:rsidR="00F110C8" w:rsidRPr="004C79C2">
        <w:rPr>
          <w:color w:val="000000"/>
          <w:shd w:val="clear" w:color="auto" w:fill="FFFFFF"/>
          <w:lang w:val="en-US"/>
        </w:rPr>
        <w:t>isoamyl</w:t>
      </w:r>
      <w:proofErr w:type="spellEnd"/>
      <w:r w:rsidR="00F110C8" w:rsidRPr="004C79C2">
        <w:rPr>
          <w:lang w:val="en-US"/>
        </w:rPr>
        <w:t> </w:t>
      </w:r>
      <w:r w:rsidR="00F110C8">
        <w:rPr>
          <w:lang w:val="en-US"/>
        </w:rPr>
        <w:t xml:space="preserve">method according to </w:t>
      </w:r>
      <w:r w:rsidR="00F110C8" w:rsidRPr="00D1638F">
        <w:rPr>
          <w:lang w:val="en-US"/>
        </w:rPr>
        <w:fldChar w:fldCharType="begin" w:fldLock="1"/>
      </w:r>
      <w:r w:rsidR="005F79FF">
        <w:rPr>
          <w:lang w:val="en-US"/>
        </w:rPr>
        <w:instrText>ADDIN CSL_CITATION {"citationItems":[{"id":"ITEM-1","itemData":{"ISSN":"00992240","abstract":"In this study, a polyphasic approach was used to study the ecology of fresh sausages and to characterize populations of lactic acid bacteria (LAB). The microbial profile of fresh sausages was monitored from the production day to the 10th day of storage at 4°C. Samples were collected on days 0, 3, 6, and 10, and culture-dependent and -independent methods of detection and identification were applied. Traditional plating and isolation of LAB strains, which were subsequently identified by molecular methods, and the application of PCR-denaturing gradient gel electrophoresis (DGGE) to DNA and RNA extracted directly from the fresh sausage samples allowed the study in detail of the changes in the bacterial and yeast populations during storage. Brochothrix thermosphacta and Lactobacillus sakei were the main populations present. In particular, B. thermosphacta was present throughout the process, as determined by both DNA and RNA analysis. Other bacterial species, mainly Staphylococcus xylosus, Leuconostoc mesenteroides, and L. curvatus, were detected by DGGE. Moreover, an uncultured bacterium and an uncultured Staphylococcus sp. were present, too. LAB strains isolated at day 0 were identified as Lactococcus lactis subsp. lactis, L. casei, and Enterococcus casseliflavus, and on day 3 a strain of Leuconostoc mesenteroides was identified. The remaining strains isolated belonged to L. sakei. Concerning the yeast ecology, only Debaryomyces hansenii was established in the fresh sausages. Capronia mansonii was initially present, but it was not detected after the first 3 days. At last, L. sakei isolates were characterized by randomly amplified polymorphic DNA PCR and repetitive DNA element PCR. The results obtained underlined how different populations took over at different steps of the process. This is believed to be the result of the selection of the particular population, possibly due to the low storage temperature employed.","author":[{"dropping-particle":"","family":"Cocolin","given":"Luca","non-dropping-particle":"","parse-names":false,"suffix":""},{"dropping-particle":"","family":"Rantsiou","given":"Kalliopi","non-dropping-particle":"","parse-names":false,"suffix":""},{"dropping-particle":"","family":"Iacumin","given":"Lucilla","non-dropping-particle":"","parse-names":false,"suffix":""},{"dropping-particle":"","family":"Urso","given":"Rosalinda","non-dropping-particle":"","parse-names":false,"suffix":""},{"dropping-particle":"","family":"Cantoni","given":"Carlo","non-dropping-particle":"","parse-names":false,"suffix":""},{"dropping-particle":"","family":"Comi","given":"Giuseppe","non-dropping-particle":"","parse-names":false,"suffix":""}],"container-title":"Applied and Environmental Microbiology","id":"ITEM-1","issue":"4","issued":{"date-parts":[["2004"]]},"page":"1883-1894","title":"Study of the Ecology of Fresh Sausages and Characterization of Populations of Lactic Acid Bacteria by Molecular Methods","type":"article-journal","volume":"70"},"uris":["http://www.mendeley.com/documents/?uuid=a850c52f-3017-42e6-9bf0-27b52f551ee2"]}],"mendeley":{"formattedCitation":"(Cocolin et al., 2004)","plainTextFormattedCitation":"(Cocolin et al., 2004)","previouslyFormattedCitation":"(Cocolin et al., 2004)"},"properties":{"noteIndex":0},"schema":"https://github.com/citation-style-language/schema/raw/master/csl-citation.json"}</w:instrText>
      </w:r>
      <w:r w:rsidR="00F110C8" w:rsidRPr="00D1638F">
        <w:rPr>
          <w:lang w:val="en-US"/>
        </w:rPr>
        <w:fldChar w:fldCharType="separate"/>
      </w:r>
      <w:r w:rsidR="005F79FF" w:rsidRPr="005F79FF">
        <w:rPr>
          <w:noProof/>
          <w:lang w:val="en-US"/>
        </w:rPr>
        <w:t>Cocolin et al., 2004</w:t>
      </w:r>
      <w:r w:rsidR="00FF2DFC">
        <w:rPr>
          <w:noProof/>
          <w:lang w:val="en-US"/>
        </w:rPr>
        <w:t>,</w:t>
      </w:r>
      <w:r w:rsidR="00F110C8" w:rsidRPr="00D1638F">
        <w:rPr>
          <w:lang w:val="en-US"/>
        </w:rPr>
        <w:fldChar w:fldCharType="end"/>
      </w:r>
      <w:r w:rsidR="00415C32" w:rsidRPr="00D1638F">
        <w:rPr>
          <w:lang w:val="en-US"/>
        </w:rPr>
        <w:t xml:space="preserve"> and rep-PCR</w:t>
      </w:r>
      <w:r w:rsidR="00FF2DFC">
        <w:rPr>
          <w:lang w:val="en-US"/>
        </w:rPr>
        <w:t xml:space="preserve"> was carried out</w:t>
      </w:r>
      <w:r w:rsidR="00415C32" w:rsidRPr="00D1638F">
        <w:rPr>
          <w:lang w:val="en-US"/>
        </w:rPr>
        <w:t xml:space="preserve"> according to </w:t>
      </w:r>
      <w:r w:rsidR="00415C32" w:rsidRPr="00D1638F">
        <w:rPr>
          <w:lang w:val="en-US"/>
        </w:rPr>
        <w:fldChar w:fldCharType="begin" w:fldLock="1"/>
      </w:r>
      <w:r w:rsidR="005F79FF">
        <w:rPr>
          <w:lang w:val="en-US"/>
        </w:rPr>
        <w:instrText>ADDIN CSL_CITATION {"citationItems":[{"id":"ITEM-1","itemData":{"abstract":"Repetitive sequence-based PCR (rep-PCR) has been recognized as an effective method for bacterial strain typing. Recently, rep-PCR has been commercially adapted to an automated format known as the DiversiLab system to provide a reliable PCR-based typing system for clinical laboratories. We describe the adaptations made to automate rep-PCR and explore the performance and reproducibility of the system as a molecular genotyping tool for bacterial strain typing. The modifications for automation included changes in rep-PCR chemistry and thermal cycling parameters, incorporation of microfluidics-based DNA amplicon fractionation and detection, and Internet-based computer-assisted analysis, reporting, and data storage. The performance and reproducibility of the automated rep-PCR were examined by performing DNA typing and replicate testing with multiple laboratories, personnel, instruments, DNA template concentrations, and culture conditions prior to DNA isolation. Finally, we demonstrated the use of automated rep-PCR for clinical laboratory applications by using isolates from an outbreak of Neisseria meningitidis infections. N. meningitidis outbreak-related strains were distinguished from other isolates. The DiversiLab system is a highly integrated, convenient, and rapid testing platform that may allow clinical laboratories to realize the potential of microbial DNA typing.","author":[{"dropping-particle":"","family":"Versalovic","given":"James","non-dropping-particle":"","parse-names":false,"suffix":""},{"dropping-particle":"","family":"Schneider","given":"Maria","non-dropping-particle":"","parse-names":false,"suffix":""},{"dropping-particle":"","family":"Bruijn","given":"Frans J.","non-dropping-particle":"De","parse-names":false,"suffix":""},{"dropping-particle":"","family":"Lupski","given":"James R.","non-dropping-particle":"","parse-names":false,"suffix":""}],"container-title":"Journal of Clinical Microbiology","id":"ITEM-1","issue":"1","issued":{"date-parts":[["1994"]]},"page":"199-207","title":"Microbial DNA typing by automated repetitive-sequence-based PCR","type":"article-journal","volume":"43"},"uris":["http://www.mendeley.com/documents/?uuid=da8782db-7eb9-4806-b1ce-6ffbb1552d3c"]}],"mendeley":{"formattedCitation":"(Versalovic et al., 1994)","plainTextFormattedCitation":"(Versalovic et al., 1994)","previouslyFormattedCitation":"(Versalovic et al., 1994)"},"properties":{"noteIndex":0},"schema":"https://github.com/citation-style-language/schema/raw/master/csl-citation.json"}</w:instrText>
      </w:r>
      <w:r w:rsidR="00415C32" w:rsidRPr="00D1638F">
        <w:rPr>
          <w:lang w:val="en-US"/>
        </w:rPr>
        <w:fldChar w:fldCharType="separate"/>
      </w:r>
      <w:r w:rsidR="005F79FF" w:rsidRPr="005F79FF">
        <w:rPr>
          <w:noProof/>
          <w:lang w:val="en-US"/>
        </w:rPr>
        <w:t>Versalovic et al., 1994</w:t>
      </w:r>
      <w:r w:rsidR="00FF2DFC">
        <w:rPr>
          <w:noProof/>
          <w:lang w:val="en-US"/>
        </w:rPr>
        <w:t>,</w:t>
      </w:r>
      <w:r w:rsidR="00415C32" w:rsidRPr="00D1638F">
        <w:rPr>
          <w:lang w:val="en-US"/>
        </w:rPr>
        <w:fldChar w:fldCharType="end"/>
      </w:r>
      <w:r w:rsidR="00F117CE">
        <w:rPr>
          <w:lang w:val="en-US"/>
        </w:rPr>
        <w:t xml:space="preserve"> </w:t>
      </w:r>
      <w:r w:rsidR="002C170A">
        <w:rPr>
          <w:lang w:val="en-US"/>
        </w:rPr>
        <w:t xml:space="preserve">with the following modifications: </w:t>
      </w:r>
      <w:r w:rsidR="002C170A" w:rsidRPr="00625F53">
        <w:rPr>
          <w:lang w:val="en-US"/>
        </w:rPr>
        <w:t xml:space="preserve">initial denaturation at 95◦C for </w:t>
      </w:r>
      <w:r w:rsidR="002C170A">
        <w:rPr>
          <w:lang w:val="en-US"/>
        </w:rPr>
        <w:t>1</w:t>
      </w:r>
      <w:r w:rsidR="002C170A" w:rsidRPr="00625F53">
        <w:rPr>
          <w:lang w:val="en-US"/>
        </w:rPr>
        <w:t xml:space="preserve"> min; 30 cycles at 95 </w:t>
      </w:r>
      <w:r w:rsidR="002C170A">
        <w:rPr>
          <w:lang w:val="en-US"/>
        </w:rPr>
        <w:t>°</w:t>
      </w:r>
      <w:r w:rsidR="002C170A" w:rsidRPr="00625F53">
        <w:rPr>
          <w:lang w:val="en-US"/>
        </w:rPr>
        <w:t xml:space="preserve">C for </w:t>
      </w:r>
      <w:r w:rsidR="002C170A">
        <w:rPr>
          <w:lang w:val="en-US"/>
        </w:rPr>
        <w:t>15</w:t>
      </w:r>
      <w:r w:rsidR="002C170A" w:rsidRPr="00625F53">
        <w:rPr>
          <w:lang w:val="en-US"/>
        </w:rPr>
        <w:t xml:space="preserve"> s, </w:t>
      </w:r>
      <w:r w:rsidR="002C170A">
        <w:rPr>
          <w:lang w:val="en-US"/>
        </w:rPr>
        <w:t>55</w:t>
      </w:r>
      <w:r w:rsidR="002C170A" w:rsidRPr="00625F53">
        <w:rPr>
          <w:lang w:val="en-US"/>
        </w:rPr>
        <w:t xml:space="preserve"> </w:t>
      </w:r>
      <w:r w:rsidR="002C170A">
        <w:rPr>
          <w:lang w:val="en-US"/>
        </w:rPr>
        <w:t>°</w:t>
      </w:r>
      <w:r w:rsidR="002C170A" w:rsidRPr="00625F53">
        <w:rPr>
          <w:lang w:val="en-US"/>
        </w:rPr>
        <w:t>C for 1</w:t>
      </w:r>
      <w:r w:rsidR="002C170A">
        <w:rPr>
          <w:lang w:val="en-US"/>
        </w:rPr>
        <w:t>5 s</w:t>
      </w:r>
      <w:r w:rsidR="002C170A" w:rsidRPr="00625F53">
        <w:rPr>
          <w:lang w:val="en-US"/>
        </w:rPr>
        <w:t xml:space="preserve">, and </w:t>
      </w:r>
      <w:r w:rsidR="002C170A">
        <w:rPr>
          <w:lang w:val="en-US"/>
        </w:rPr>
        <w:t>72</w:t>
      </w:r>
      <w:r w:rsidR="002C170A" w:rsidRPr="00625F53">
        <w:rPr>
          <w:lang w:val="en-US"/>
        </w:rPr>
        <w:t xml:space="preserve"> </w:t>
      </w:r>
      <w:r w:rsidR="002C170A">
        <w:rPr>
          <w:lang w:val="en-US"/>
        </w:rPr>
        <w:t>°</w:t>
      </w:r>
      <w:r w:rsidR="002C170A" w:rsidRPr="00625F53">
        <w:rPr>
          <w:lang w:val="en-US"/>
        </w:rPr>
        <w:t xml:space="preserve">C for </w:t>
      </w:r>
      <w:r w:rsidR="002C170A">
        <w:rPr>
          <w:lang w:val="en-US"/>
        </w:rPr>
        <w:t>30</w:t>
      </w:r>
      <w:r w:rsidR="002C170A" w:rsidRPr="00625F53">
        <w:rPr>
          <w:lang w:val="en-US"/>
        </w:rPr>
        <w:t xml:space="preserve"> </w:t>
      </w:r>
      <w:r w:rsidR="002C170A">
        <w:rPr>
          <w:lang w:val="en-US"/>
        </w:rPr>
        <w:t>s</w:t>
      </w:r>
      <w:r w:rsidR="002C170A" w:rsidRPr="00625F53">
        <w:rPr>
          <w:lang w:val="en-US"/>
        </w:rPr>
        <w:t xml:space="preserve">; and a final extension at </w:t>
      </w:r>
      <w:r w:rsidR="002C170A">
        <w:rPr>
          <w:lang w:val="en-US"/>
        </w:rPr>
        <w:t>72 °</w:t>
      </w:r>
      <w:r w:rsidR="002C170A" w:rsidRPr="00625F53">
        <w:rPr>
          <w:lang w:val="en-US"/>
        </w:rPr>
        <w:t xml:space="preserve">C for </w:t>
      </w:r>
      <w:r w:rsidR="002C170A">
        <w:rPr>
          <w:lang w:val="en-US"/>
        </w:rPr>
        <w:t>7</w:t>
      </w:r>
      <w:r w:rsidR="002C170A" w:rsidRPr="00625F53">
        <w:rPr>
          <w:lang w:val="en-US"/>
        </w:rPr>
        <w:t xml:space="preserve"> min.</w:t>
      </w:r>
      <w:r w:rsidR="002C170A">
        <w:rPr>
          <w:lang w:val="en-US"/>
        </w:rPr>
        <w:t xml:space="preserve"> Dendrograms generation w</w:t>
      </w:r>
      <w:r w:rsidR="005934D3">
        <w:rPr>
          <w:lang w:val="en-US"/>
        </w:rPr>
        <w:t>as</w:t>
      </w:r>
      <w:r w:rsidR="002C170A" w:rsidRPr="00625F53">
        <w:rPr>
          <w:lang w:val="en-US"/>
        </w:rPr>
        <w:t xml:space="preserve"> performed with </w:t>
      </w:r>
      <w:proofErr w:type="spellStart"/>
      <w:r w:rsidR="002C170A" w:rsidRPr="00625F53">
        <w:rPr>
          <w:lang w:val="en-US"/>
        </w:rPr>
        <w:t>Bio</w:t>
      </w:r>
      <w:r w:rsidR="00184E5B">
        <w:rPr>
          <w:lang w:val="en-US"/>
        </w:rPr>
        <w:t>N</w:t>
      </w:r>
      <w:r w:rsidR="002C170A" w:rsidRPr="00625F53">
        <w:rPr>
          <w:lang w:val="en-US"/>
        </w:rPr>
        <w:t>umerics</w:t>
      </w:r>
      <w:proofErr w:type="spellEnd"/>
      <w:r w:rsidR="002C170A" w:rsidRPr="00625F53">
        <w:rPr>
          <w:lang w:val="en-US"/>
        </w:rPr>
        <w:t xml:space="preserve"> ver. 6.1 software (Applied </w:t>
      </w:r>
      <w:proofErr w:type="spellStart"/>
      <w:r w:rsidR="002C170A" w:rsidRPr="00625F53">
        <w:rPr>
          <w:lang w:val="en-US"/>
        </w:rPr>
        <w:t>Maths</w:t>
      </w:r>
      <w:proofErr w:type="spellEnd"/>
      <w:r w:rsidR="002C170A" w:rsidRPr="00625F53">
        <w:rPr>
          <w:lang w:val="en-US"/>
        </w:rPr>
        <w:t>, Sint- Martens-</w:t>
      </w:r>
      <w:proofErr w:type="spellStart"/>
      <w:r w:rsidR="002C170A" w:rsidRPr="00625F53">
        <w:rPr>
          <w:lang w:val="en-US"/>
        </w:rPr>
        <w:t>Latem</w:t>
      </w:r>
      <w:proofErr w:type="spellEnd"/>
      <w:r w:rsidR="002C170A" w:rsidRPr="00625F53">
        <w:rPr>
          <w:lang w:val="en-US"/>
        </w:rPr>
        <w:t xml:space="preserve">, Belgium) </w:t>
      </w:r>
      <w:r w:rsidR="002C170A">
        <w:rPr>
          <w:lang w:val="en-US"/>
        </w:rPr>
        <w:t xml:space="preserve">with </w:t>
      </w:r>
      <w:r w:rsidR="002C170A" w:rsidRPr="00625F53">
        <w:rPr>
          <w:lang w:val="en-US"/>
        </w:rPr>
        <w:t xml:space="preserve">the Dice coefficient and unweighted pair group method with arithmetic mean (UPGMA) </w:t>
      </w:r>
      <w:r w:rsidR="002C170A">
        <w:rPr>
          <w:lang w:val="en-US"/>
        </w:rPr>
        <w:t xml:space="preserve">for hierarchical </w:t>
      </w:r>
      <w:r w:rsidR="002C170A" w:rsidRPr="00625F53">
        <w:rPr>
          <w:lang w:val="en-US"/>
        </w:rPr>
        <w:t xml:space="preserve">cluster analysis. Isolates with </w:t>
      </w:r>
      <w:r w:rsidR="00FF2DFC">
        <w:rPr>
          <w:lang w:val="en-US"/>
        </w:rPr>
        <w:t>similarity</w:t>
      </w:r>
      <w:r w:rsidR="00FF2DFC" w:rsidRPr="00625F53">
        <w:rPr>
          <w:lang w:val="en-US"/>
        </w:rPr>
        <w:t xml:space="preserve"> </w:t>
      </w:r>
      <w:r w:rsidR="002C170A" w:rsidRPr="00625F53">
        <w:rPr>
          <w:lang w:val="en-US"/>
        </w:rPr>
        <w:t xml:space="preserve">percentage </w:t>
      </w:r>
      <w:r w:rsidR="002C170A">
        <w:rPr>
          <w:lang w:val="en-US"/>
        </w:rPr>
        <w:t>&gt;</w:t>
      </w:r>
      <w:r w:rsidR="002C170A" w:rsidRPr="00625F53">
        <w:rPr>
          <w:lang w:val="en-US"/>
        </w:rPr>
        <w:t xml:space="preserve"> </w:t>
      </w:r>
      <w:r w:rsidR="002C170A">
        <w:rPr>
          <w:lang w:val="en-US"/>
        </w:rPr>
        <w:t>85</w:t>
      </w:r>
      <w:r w:rsidR="002C170A" w:rsidRPr="00625F53">
        <w:rPr>
          <w:lang w:val="en-US"/>
        </w:rPr>
        <w:t xml:space="preserve"> % were considered to belong to the same cluster</w:t>
      </w:r>
      <w:r w:rsidR="002C170A">
        <w:rPr>
          <w:lang w:val="en-US"/>
        </w:rPr>
        <w:t xml:space="preserve"> and one representative from each group was </w:t>
      </w:r>
      <w:r w:rsidR="00FF2DFC">
        <w:rPr>
          <w:lang w:val="en-US"/>
        </w:rPr>
        <w:t xml:space="preserve">subjected to amplification of the </w:t>
      </w:r>
      <w:r w:rsidR="002C170A">
        <w:rPr>
          <w:lang w:val="en-US"/>
        </w:rPr>
        <w:t>D1/D2</w:t>
      </w:r>
      <w:r w:rsidR="00FF2DFC">
        <w:rPr>
          <w:lang w:val="en-US"/>
        </w:rPr>
        <w:t xml:space="preserve"> loop</w:t>
      </w:r>
      <w:r w:rsidR="002C170A">
        <w:rPr>
          <w:lang w:val="en-US"/>
        </w:rPr>
        <w:t xml:space="preserve"> of 26S </w:t>
      </w:r>
      <w:r w:rsidR="00FF2DFC">
        <w:rPr>
          <w:lang w:val="en-US"/>
        </w:rPr>
        <w:t xml:space="preserve">rRNA </w:t>
      </w:r>
      <w:r w:rsidR="002C170A">
        <w:rPr>
          <w:lang w:val="en-US"/>
        </w:rPr>
        <w:t>gene with primer pairs NL1-NL4</w:t>
      </w:r>
      <w:r w:rsidR="00FF2DFC">
        <w:rPr>
          <w:lang w:val="en-US"/>
        </w:rPr>
        <w:t>,</w:t>
      </w:r>
      <w:r w:rsidR="007B069E">
        <w:rPr>
          <w:lang w:val="en-US"/>
        </w:rPr>
        <w:t xml:space="preserve"> and sequenced (</w:t>
      </w:r>
      <w:r w:rsidR="007B069E" w:rsidRPr="00C461B4">
        <w:rPr>
          <w:color w:val="000000"/>
          <w:shd w:val="clear" w:color="auto" w:fill="FFFFFF"/>
          <w:lang w:val="en-US"/>
        </w:rPr>
        <w:t>GENEWIZ</w:t>
      </w:r>
      <w:r w:rsidR="007B069E">
        <w:rPr>
          <w:lang w:val="en-US"/>
        </w:rPr>
        <w:t xml:space="preserve">, Germany). </w:t>
      </w:r>
      <w:r w:rsidR="00BD4078">
        <w:rPr>
          <w:lang w:val="en-US"/>
        </w:rPr>
        <w:t>The sequence</w:t>
      </w:r>
      <w:r w:rsidR="00765AF9">
        <w:rPr>
          <w:lang w:val="en-US"/>
        </w:rPr>
        <w:t>s</w:t>
      </w:r>
      <w:r w:rsidR="00BD4078">
        <w:rPr>
          <w:lang w:val="en-US"/>
        </w:rPr>
        <w:t xml:space="preserve"> obtained were compared with </w:t>
      </w:r>
      <w:r w:rsidR="005934D3">
        <w:rPr>
          <w:lang w:val="en-US"/>
        </w:rPr>
        <w:t>those on NCBI</w:t>
      </w:r>
      <w:r w:rsidR="007B069E">
        <w:rPr>
          <w:lang w:val="en-US"/>
        </w:rPr>
        <w:t xml:space="preserve"> website</w:t>
      </w:r>
      <w:r w:rsidR="00BD4078">
        <w:rPr>
          <w:lang w:val="en-US"/>
        </w:rPr>
        <w:t>, with Nucleotide BLAST</w:t>
      </w:r>
      <w:r w:rsidR="005934D3">
        <w:rPr>
          <w:lang w:val="en-US"/>
        </w:rPr>
        <w:t xml:space="preserve"> </w:t>
      </w:r>
      <w:r w:rsidR="007B069E">
        <w:rPr>
          <w:lang w:val="en-US"/>
        </w:rPr>
        <w:t xml:space="preserve">search tool. </w:t>
      </w:r>
      <w:r w:rsidRPr="009B79B0">
        <w:rPr>
          <w:i/>
          <w:iCs/>
          <w:u w:val="single"/>
          <w:lang w:val="en-GB"/>
        </w:rPr>
        <w:t>Culture-</w:t>
      </w:r>
      <w:r>
        <w:rPr>
          <w:i/>
          <w:iCs/>
          <w:u w:val="single"/>
          <w:lang w:val="en-GB"/>
        </w:rPr>
        <w:t>in</w:t>
      </w:r>
      <w:r w:rsidRPr="009B79B0">
        <w:rPr>
          <w:i/>
          <w:iCs/>
          <w:u w:val="single"/>
          <w:lang w:val="en-GB"/>
        </w:rPr>
        <w:t>dependent analysis:</w:t>
      </w:r>
      <w:r>
        <w:rPr>
          <w:lang w:val="en-GB"/>
        </w:rPr>
        <w:t xml:space="preserve"> </w:t>
      </w:r>
      <w:r w:rsidR="005934D3">
        <w:rPr>
          <w:lang w:val="en-US"/>
        </w:rPr>
        <w:t xml:space="preserve">Genomic DNA </w:t>
      </w:r>
      <w:r w:rsidR="005934D3" w:rsidRPr="001F39F2">
        <w:rPr>
          <w:lang w:val="en-US"/>
        </w:rPr>
        <w:t xml:space="preserve">was extracted from brines and olives with the </w:t>
      </w:r>
      <w:proofErr w:type="spellStart"/>
      <w:r w:rsidR="00EC3513" w:rsidRPr="001F39F2">
        <w:rPr>
          <w:lang w:val="en-US"/>
        </w:rPr>
        <w:t>MasterPure</w:t>
      </w:r>
      <w:proofErr w:type="spellEnd"/>
      <w:r w:rsidR="00EC3513" w:rsidRPr="001F39F2">
        <w:rPr>
          <w:lang w:val="en-US"/>
        </w:rPr>
        <w:t xml:space="preserve"> complete DNA and RNA purification kit (</w:t>
      </w:r>
      <w:proofErr w:type="spellStart"/>
      <w:r w:rsidR="00EC3513" w:rsidRPr="001F39F2">
        <w:rPr>
          <w:lang w:val="en-US"/>
        </w:rPr>
        <w:t>Epicentre</w:t>
      </w:r>
      <w:proofErr w:type="spellEnd"/>
      <w:r w:rsidR="00EC3513" w:rsidRPr="001F39F2">
        <w:rPr>
          <w:lang w:val="en-US"/>
        </w:rPr>
        <w:t xml:space="preserve">, Madison, WI) and </w:t>
      </w:r>
      <w:r w:rsidR="00FF2DFC">
        <w:rPr>
          <w:lang w:val="en-US"/>
        </w:rPr>
        <w:t xml:space="preserve">it </w:t>
      </w:r>
      <w:r w:rsidR="00EC3513" w:rsidRPr="001F39F2">
        <w:rPr>
          <w:lang w:val="en-US"/>
        </w:rPr>
        <w:t>was used for the amplification of the</w:t>
      </w:r>
      <w:r w:rsidR="001F39F2" w:rsidRPr="001F39F2">
        <w:rPr>
          <w:lang w:val="en-US"/>
        </w:rPr>
        <w:t xml:space="preserve"> D1 domain</w:t>
      </w:r>
      <w:r w:rsidR="00EC3513" w:rsidRPr="001F39F2">
        <w:rPr>
          <w:lang w:val="en-US"/>
        </w:rPr>
        <w:t xml:space="preserve"> of the 26S rRNA</w:t>
      </w:r>
      <w:r w:rsidR="00FF2DFC">
        <w:rPr>
          <w:lang w:val="en-US"/>
        </w:rPr>
        <w:t xml:space="preserve"> gene</w:t>
      </w:r>
      <w:r w:rsidR="001F39F2" w:rsidRPr="001F39F2">
        <w:rPr>
          <w:lang w:val="en-US"/>
        </w:rPr>
        <w:t xml:space="preserve"> with primer pair </w:t>
      </w:r>
      <w:r w:rsidR="001F39F2" w:rsidRPr="001F39F2">
        <w:rPr>
          <w:rFonts w:eastAsiaTheme="minorHAnsi"/>
          <w:lang w:val="en-US" w:eastAsia="en-US"/>
          <w14:ligatures w14:val="standardContextual"/>
        </w:rPr>
        <w:t>NL4R (5′-GGT CCG TGT TTC AAG ACG G-3′)</w:t>
      </w:r>
      <w:r w:rsidR="001F39F2" w:rsidRPr="001F39F2">
        <w:rPr>
          <w:rFonts w:eastAsiaTheme="minorHAnsi"/>
          <w:color w:val="000000"/>
          <w:lang w:val="en-US" w:eastAsia="en-US"/>
          <w14:ligatures w14:val="standardContextual"/>
        </w:rPr>
        <w:t xml:space="preserve"> </w:t>
      </w:r>
      <w:r w:rsidR="001F39F2">
        <w:rPr>
          <w:rFonts w:eastAsiaTheme="minorHAnsi"/>
          <w:color w:val="000000"/>
          <w:lang w:val="en-US" w:eastAsia="en-US"/>
          <w14:ligatures w14:val="standardContextual"/>
        </w:rPr>
        <w:t xml:space="preserve">and </w:t>
      </w:r>
      <w:r w:rsidR="001F39F2" w:rsidRPr="001F39F2">
        <w:rPr>
          <w:rFonts w:eastAsiaTheme="minorHAnsi"/>
          <w:color w:val="000000"/>
          <w:lang w:val="en-US" w:eastAsia="en-US"/>
          <w14:ligatures w14:val="standardContextual"/>
        </w:rPr>
        <w:t>LS2-MF (5′-GAG TCG AGT TGT TTG GGA AT-3′)</w:t>
      </w:r>
      <w:r w:rsidR="001F39F2">
        <w:rPr>
          <w:rFonts w:eastAsiaTheme="minorHAnsi"/>
          <w:color w:val="000000"/>
          <w:lang w:val="en-US" w:eastAsia="en-US"/>
          <w14:ligatures w14:val="standardContextual"/>
        </w:rPr>
        <w:t xml:space="preserve">, as described by </w:t>
      </w:r>
      <w:r w:rsidR="001F39F2" w:rsidRPr="009B79B0">
        <w:rPr>
          <w:rFonts w:eastAsiaTheme="minorHAnsi"/>
          <w:color w:val="000000"/>
          <w:lang w:val="en-US" w:eastAsia="en-US"/>
          <w14:ligatures w14:val="standardContextual"/>
        </w:rPr>
        <w:fldChar w:fldCharType="begin" w:fldLock="1"/>
      </w:r>
      <w:r w:rsidR="005F79FF">
        <w:rPr>
          <w:rFonts w:eastAsiaTheme="minorHAnsi"/>
          <w:color w:val="000000"/>
          <w:lang w:val="en-US" w:eastAsia="en-US"/>
          <w14:ligatures w14:val="standardContextual"/>
        </w:rPr>
        <w:instrText>ADDIN CSL_CITATION {"citationItems":[{"id":"ITEM-1","itemData":{"abstract":"Next-generation sequencing has been used to strengthen knowledge about taxonomic diversity and ecology of fungi within food ecosystems. However, primer amplification and identification bias could edge our understanding into the fungal ecology. The aim of this study is to compare the performance of two primer pairs over two nuclear ribosomal RNA (rRNA) regions of the fungal kingdom, namely the ITS2 and 26S regions. Fermented cocoa beans were employed as biological material and the fungal ecology during fermentation was studied using amplicon-based sequencing tools, making use of a manually curated 26S database constructed in this study, and validated with SILVA's database. To explore potential biases introduced by PCR amplification of fungal communities, a mock community of known composition was prepared and tested. The relative abundances observed for ITS2 suggest that species with longer amplification fragments are underestimated and concurrently species that render shorter amplification fragments are overestimated. However, this correlation between amplicon length and estimation is not valid for all the species analysed. Variability in the amplification lengths contributed to the preferential amplification phenomenon. DNA extracted from twenty fermented cocoa bean samples were used to assess the performance of the two target regions. Overall, the metataxonomic data set recovered similar taxonomic composition and provided consistent results in OTU richness among biological samples. However, 26S region provided higher alpha diversity index and greater fungal rRNA taxonomic depth and robustness results compared with ITS2. Based on the results of this study we suggest the use of the 26S region for targeting fungi. Furthermore, this study showed the efficacy of the manually curated reference database optimized for annotation of mycobiota by using the 26S as a gene target.","author":[{"dropping-particle":"","family":"Mota-Gutierrez","given":"Jatziri","non-dropping-particle":"","parse-names":false,"suffix":""},{"dropping-particle":"","family":"Ferrocino","given":"Ilario","non-dropping-particle":"","parse-names":false,"suffix":""},{"dropping-particle":"","family":"Rantsiou","given":"Kalliopi","non-dropping-particle":"","parse-names":false,"suffix":""},{"dropping-particle":"","family":"Cocolin","given":"Luca","non-dropping-particle":"","parse-names":false,"suffix":""}],"container-title":"International Journal of Food Microbiology","id":"ITEM-1","issue":"October 2018","issued":{"date-parts":[["2019"]]},"page":"132-140","publisher":"Elsevier","title":"Metataxonomic comparison between internal transcribed spacer and 26S ribosomal large subunit (LSU) rDNA gene","type":"article-journal","volume":"290"},"uris":["http://www.mendeley.com/documents/?uuid=fddd34f2-9237-4263-9ba7-010b69957b4d"]}],"mendeley":{"formattedCitation":"(Mota-Gutierrez et al., 2019)","plainTextFormattedCitation":"(Mota-Gutierrez et al., 2019)","previouslyFormattedCitation":"(Mota-Gutierrez et al., 2019)"},"properties":{"noteIndex":0},"schema":"https://github.com/citation-style-language/schema/raw/master/csl-citation.json"}</w:instrText>
      </w:r>
      <w:r w:rsidR="001F39F2" w:rsidRPr="009B79B0">
        <w:rPr>
          <w:rFonts w:eastAsiaTheme="minorHAnsi"/>
          <w:color w:val="000000"/>
          <w:lang w:val="en-US" w:eastAsia="en-US"/>
          <w14:ligatures w14:val="standardContextual"/>
        </w:rPr>
        <w:fldChar w:fldCharType="separate"/>
      </w:r>
      <w:r w:rsidR="005F79FF" w:rsidRPr="005F79FF">
        <w:rPr>
          <w:rFonts w:eastAsiaTheme="minorHAnsi"/>
          <w:noProof/>
          <w:color w:val="000000"/>
          <w:lang w:val="en-US" w:eastAsia="en-US"/>
          <w14:ligatures w14:val="standardContextual"/>
        </w:rPr>
        <w:t>Mota-Gutierrez et al., 2019</w:t>
      </w:r>
      <w:r w:rsidR="001F39F2" w:rsidRPr="009B79B0">
        <w:rPr>
          <w:rFonts w:eastAsiaTheme="minorHAnsi"/>
          <w:color w:val="000000"/>
          <w:lang w:val="en-US" w:eastAsia="en-US"/>
          <w14:ligatures w14:val="standardContextual"/>
        </w:rPr>
        <w:fldChar w:fldCharType="end"/>
      </w:r>
      <w:r w:rsidR="001F39F2" w:rsidRPr="009B79B0">
        <w:rPr>
          <w:rFonts w:eastAsiaTheme="minorHAnsi"/>
          <w:color w:val="000000"/>
          <w:lang w:val="en-US" w:eastAsia="en-US"/>
          <w14:ligatures w14:val="standardContextual"/>
        </w:rPr>
        <w:t>.</w:t>
      </w:r>
      <w:r w:rsidR="001F39F2">
        <w:rPr>
          <w:rFonts w:eastAsiaTheme="minorHAnsi"/>
          <w:color w:val="000000"/>
          <w:lang w:val="en-US" w:eastAsia="en-US"/>
          <w14:ligatures w14:val="standardContextual"/>
        </w:rPr>
        <w:t xml:space="preserve"> </w:t>
      </w:r>
      <w:r w:rsidR="00F117CE">
        <w:rPr>
          <w:rFonts w:eastAsiaTheme="minorHAnsi"/>
          <w:lang w:val="en-US" w:eastAsia="en-US"/>
          <w14:ligatures w14:val="standardContextual"/>
        </w:rPr>
        <w:t xml:space="preserve">For data analysis, </w:t>
      </w:r>
      <w:r w:rsidR="00F117CE" w:rsidRPr="00557F91">
        <w:rPr>
          <w:rFonts w:eastAsiaTheme="minorHAnsi"/>
          <w:lang w:val="en-US" w:eastAsia="en-US"/>
          <w14:ligatures w14:val="standardContextual"/>
        </w:rPr>
        <w:t xml:space="preserve">sequence adapters and primers were trimmed with </w:t>
      </w:r>
      <w:proofErr w:type="spellStart"/>
      <w:r w:rsidR="00F117CE" w:rsidRPr="00557F91">
        <w:rPr>
          <w:rFonts w:eastAsiaTheme="minorHAnsi"/>
          <w:i/>
          <w:iCs/>
          <w:lang w:val="en-US" w:eastAsia="en-US"/>
          <w14:ligatures w14:val="standardContextual"/>
        </w:rPr>
        <w:t>cutadapter</w:t>
      </w:r>
      <w:proofErr w:type="spellEnd"/>
      <w:r w:rsidR="00F117CE" w:rsidRPr="00557F91">
        <w:rPr>
          <w:rFonts w:eastAsiaTheme="minorHAnsi"/>
          <w:lang w:val="en-US" w:eastAsia="en-US"/>
          <w14:ligatures w14:val="standardContextual"/>
        </w:rPr>
        <w:t xml:space="preserve"> and DADA2 algorithm was used to filter raw reads. </w:t>
      </w:r>
      <w:r w:rsidR="00797194" w:rsidRPr="00557F91">
        <w:rPr>
          <w:lang w:val="en-US"/>
        </w:rPr>
        <w:t xml:space="preserve">Classification of reads was performed using the DADA2 v.1.18 pipeline, and </w:t>
      </w:r>
      <w:r w:rsidR="00A03076">
        <w:rPr>
          <w:lang w:val="en-US"/>
        </w:rPr>
        <w:t xml:space="preserve">the </w:t>
      </w:r>
      <w:r w:rsidR="00797194" w:rsidRPr="00557F91">
        <w:rPr>
          <w:rFonts w:eastAsiaTheme="minorHAnsi"/>
          <w:lang w:val="en-US" w:eastAsia="en-US"/>
          <w14:ligatures w14:val="standardContextual"/>
        </w:rPr>
        <w:t xml:space="preserve">Silva database </w:t>
      </w:r>
      <w:r w:rsidR="00A03076">
        <w:rPr>
          <w:rFonts w:eastAsiaTheme="minorHAnsi"/>
          <w:lang w:val="en-US" w:eastAsia="en-US"/>
          <w14:ligatures w14:val="standardContextual"/>
        </w:rPr>
        <w:t xml:space="preserve">was used for </w:t>
      </w:r>
      <w:r w:rsidR="00797194" w:rsidRPr="00557F91">
        <w:rPr>
          <w:rFonts w:eastAsiaTheme="minorHAnsi"/>
          <w:lang w:val="en-US" w:eastAsia="en-US"/>
          <w14:ligatures w14:val="standardContextual"/>
        </w:rPr>
        <w:t>26S taxonomy assignment</w:t>
      </w:r>
      <w:r w:rsidR="00557F91" w:rsidRPr="00557F91">
        <w:rPr>
          <w:rFonts w:eastAsiaTheme="minorHAnsi"/>
          <w:lang w:val="en-US" w:eastAsia="en-US"/>
          <w14:ligatures w14:val="standardContextual"/>
        </w:rPr>
        <w:t>.</w:t>
      </w:r>
      <w:r w:rsidR="00A63424" w:rsidRPr="00557F91">
        <w:rPr>
          <w:rFonts w:eastAsiaTheme="minorHAnsi"/>
          <w:lang w:val="en-US" w:eastAsia="en-US"/>
          <w14:ligatures w14:val="standardContextual"/>
        </w:rPr>
        <w:t xml:space="preserve"> </w:t>
      </w:r>
    </w:p>
    <w:p w14:paraId="4144174E" w14:textId="1922BC0D" w:rsidR="00677E5D" w:rsidRDefault="00677E5D" w:rsidP="00677E5D">
      <w:pPr>
        <w:pStyle w:val="Titolo1"/>
        <w:spacing w:before="240" w:after="120"/>
        <w:ind w:right="0"/>
        <w:jc w:val="both"/>
        <w:rPr>
          <w:b/>
          <w:bCs/>
          <w:color w:val="000000"/>
          <w:sz w:val="24"/>
          <w:lang w:val="en-GB"/>
        </w:rPr>
      </w:pPr>
      <w:r>
        <w:rPr>
          <w:b/>
          <w:bCs/>
          <w:color w:val="000000"/>
          <w:sz w:val="24"/>
          <w:lang w:val="en-GB"/>
        </w:rPr>
        <w:lastRenderedPageBreak/>
        <w:t>3. Results and Discussion</w:t>
      </w:r>
    </w:p>
    <w:p w14:paraId="6B431C35" w14:textId="14D25541" w:rsidR="00B27DD8" w:rsidRDefault="00677E5D" w:rsidP="00F76421">
      <w:pPr>
        <w:pStyle w:val="Titolo2"/>
        <w:jc w:val="both"/>
        <w:rPr>
          <w:b/>
          <w:bCs/>
          <w:sz w:val="20"/>
          <w:lang w:val="en-GB"/>
        </w:rPr>
      </w:pPr>
      <w:r>
        <w:rPr>
          <w:b/>
          <w:bCs/>
          <w:sz w:val="20"/>
          <w:lang w:val="en-GB"/>
        </w:rPr>
        <w:t xml:space="preserve">3.1 </w:t>
      </w:r>
      <w:r w:rsidR="00F0116B">
        <w:rPr>
          <w:b/>
          <w:bCs/>
          <w:sz w:val="20"/>
          <w:lang w:val="en-GB"/>
        </w:rPr>
        <w:t xml:space="preserve">Culture-dependent results: </w:t>
      </w:r>
      <w:r w:rsidR="009314C6">
        <w:rPr>
          <w:b/>
          <w:bCs/>
          <w:sz w:val="20"/>
          <w:lang w:val="en-GB"/>
        </w:rPr>
        <w:t xml:space="preserve">abundance </w:t>
      </w:r>
      <w:r w:rsidR="00F0116B">
        <w:rPr>
          <w:b/>
          <w:bCs/>
          <w:sz w:val="20"/>
          <w:lang w:val="en-GB"/>
        </w:rPr>
        <w:t xml:space="preserve">of </w:t>
      </w:r>
      <w:r w:rsidR="009314C6">
        <w:rPr>
          <w:b/>
          <w:bCs/>
          <w:sz w:val="20"/>
          <w:lang w:val="en-GB"/>
        </w:rPr>
        <w:t>yeast</w:t>
      </w:r>
      <w:r w:rsidR="00F0116B">
        <w:rPr>
          <w:b/>
          <w:bCs/>
          <w:sz w:val="20"/>
          <w:lang w:val="en-GB"/>
        </w:rPr>
        <w:t xml:space="preserve"> species </w:t>
      </w:r>
    </w:p>
    <w:p w14:paraId="6F0625F8" w14:textId="77777777" w:rsidR="007D4EE3" w:rsidRDefault="007D4EE3" w:rsidP="007D4EE3">
      <w:pPr>
        <w:rPr>
          <w:lang w:val="en-GB"/>
        </w:rPr>
      </w:pPr>
    </w:p>
    <w:p w14:paraId="723CC5E2" w14:textId="208060B2" w:rsidR="004C6367" w:rsidRPr="00087570" w:rsidRDefault="007D4EE3" w:rsidP="00E35A12">
      <w:pPr>
        <w:jc w:val="both"/>
        <w:rPr>
          <w:lang w:val="en-GB"/>
        </w:rPr>
      </w:pPr>
      <w:r w:rsidRPr="00AD784E">
        <w:rPr>
          <w:lang w:val="en-GB"/>
        </w:rPr>
        <w:t xml:space="preserve">The </w:t>
      </w:r>
      <w:r w:rsidR="00557F91" w:rsidRPr="00AD784E">
        <w:rPr>
          <w:lang w:val="en-GB"/>
        </w:rPr>
        <w:t xml:space="preserve">most </w:t>
      </w:r>
      <w:r w:rsidRPr="00AD784E">
        <w:rPr>
          <w:lang w:val="en-GB"/>
        </w:rPr>
        <w:t xml:space="preserve">dominant species </w:t>
      </w:r>
      <w:r w:rsidR="00557F91" w:rsidRPr="00AD784E">
        <w:rPr>
          <w:lang w:val="en-GB"/>
        </w:rPr>
        <w:t xml:space="preserve">overall were </w:t>
      </w:r>
      <w:r w:rsidR="00557F91" w:rsidRPr="00AD784E">
        <w:rPr>
          <w:i/>
          <w:iCs/>
          <w:lang w:val="en-GB"/>
        </w:rPr>
        <w:t xml:space="preserve">Candida </w:t>
      </w:r>
      <w:proofErr w:type="spellStart"/>
      <w:r w:rsidR="00557F91" w:rsidRPr="00AD784E">
        <w:rPr>
          <w:i/>
          <w:iCs/>
          <w:lang w:val="en-GB"/>
        </w:rPr>
        <w:t>diddiensae</w:t>
      </w:r>
      <w:proofErr w:type="spellEnd"/>
      <w:r w:rsidR="00557F91" w:rsidRPr="00AD784E">
        <w:rPr>
          <w:i/>
          <w:iCs/>
          <w:lang w:val="en-GB"/>
        </w:rPr>
        <w:t xml:space="preserve"> </w:t>
      </w:r>
      <w:r w:rsidR="00557F91" w:rsidRPr="00AD784E">
        <w:rPr>
          <w:lang w:val="en-GB"/>
        </w:rPr>
        <w:t>(36,02%),</w:t>
      </w:r>
      <w:r w:rsidR="00557F91" w:rsidRPr="00AD784E">
        <w:rPr>
          <w:i/>
          <w:iCs/>
          <w:lang w:val="en-GB"/>
        </w:rPr>
        <w:t xml:space="preserve"> </w:t>
      </w:r>
      <w:proofErr w:type="spellStart"/>
      <w:r w:rsidR="00557F91" w:rsidRPr="00AD784E">
        <w:rPr>
          <w:i/>
          <w:iCs/>
          <w:lang w:val="en-GB"/>
        </w:rPr>
        <w:t>Wickerhamomyces</w:t>
      </w:r>
      <w:proofErr w:type="spellEnd"/>
      <w:r w:rsidR="00557F91" w:rsidRPr="00AD784E">
        <w:rPr>
          <w:i/>
          <w:iCs/>
          <w:lang w:val="en-GB"/>
        </w:rPr>
        <w:t xml:space="preserve"> </w:t>
      </w:r>
      <w:proofErr w:type="spellStart"/>
      <w:r w:rsidR="00557F91" w:rsidRPr="00AD784E">
        <w:rPr>
          <w:i/>
          <w:iCs/>
          <w:lang w:val="en-GB"/>
        </w:rPr>
        <w:t>anomalus</w:t>
      </w:r>
      <w:proofErr w:type="spellEnd"/>
      <w:r w:rsidR="00557F91" w:rsidRPr="00AD784E">
        <w:rPr>
          <w:i/>
          <w:iCs/>
          <w:lang w:val="en-GB"/>
        </w:rPr>
        <w:t xml:space="preserve"> </w:t>
      </w:r>
      <w:r w:rsidR="00557F91" w:rsidRPr="00AD784E">
        <w:rPr>
          <w:lang w:val="en-GB"/>
        </w:rPr>
        <w:t>(29,08%),</w:t>
      </w:r>
      <w:r w:rsidR="00557F91" w:rsidRPr="00AD784E">
        <w:rPr>
          <w:i/>
          <w:iCs/>
          <w:lang w:val="en-GB"/>
        </w:rPr>
        <w:t xml:space="preserve"> </w:t>
      </w:r>
      <w:proofErr w:type="spellStart"/>
      <w:r w:rsidR="00557F91" w:rsidRPr="00AD784E">
        <w:rPr>
          <w:i/>
          <w:iCs/>
          <w:lang w:val="en-GB"/>
        </w:rPr>
        <w:t>Aureobasidium</w:t>
      </w:r>
      <w:proofErr w:type="spellEnd"/>
      <w:r w:rsidR="00557F91" w:rsidRPr="00AD784E">
        <w:rPr>
          <w:i/>
          <w:iCs/>
          <w:lang w:val="en-GB"/>
        </w:rPr>
        <w:t xml:space="preserve"> pullulans </w:t>
      </w:r>
      <w:r w:rsidR="00557F91" w:rsidRPr="00AD784E">
        <w:rPr>
          <w:lang w:val="en-GB"/>
        </w:rPr>
        <w:t>(13,87%) and</w:t>
      </w:r>
      <w:r w:rsidR="00557F91" w:rsidRPr="00AD784E">
        <w:rPr>
          <w:i/>
          <w:iCs/>
          <w:lang w:val="en-GB"/>
        </w:rPr>
        <w:t xml:space="preserve"> Pichia </w:t>
      </w:r>
      <w:proofErr w:type="spellStart"/>
      <w:r w:rsidR="00557F91" w:rsidRPr="00AD784E">
        <w:rPr>
          <w:i/>
          <w:iCs/>
          <w:lang w:val="en-GB"/>
        </w:rPr>
        <w:t>membranifaciens</w:t>
      </w:r>
      <w:proofErr w:type="spellEnd"/>
      <w:r w:rsidR="00557F91" w:rsidRPr="00AD784E">
        <w:rPr>
          <w:i/>
          <w:iCs/>
          <w:lang w:val="en-GB"/>
        </w:rPr>
        <w:t xml:space="preserve"> </w:t>
      </w:r>
      <w:r w:rsidR="00557F91" w:rsidRPr="00AD784E">
        <w:rPr>
          <w:lang w:val="en-GB"/>
        </w:rPr>
        <w:t>(11,19%</w:t>
      </w:r>
      <w:r w:rsidR="00557F91" w:rsidRPr="00AD784E">
        <w:rPr>
          <w:i/>
          <w:iCs/>
          <w:lang w:val="en-GB"/>
        </w:rPr>
        <w:t xml:space="preserve">). </w:t>
      </w:r>
      <w:r w:rsidR="00557F91" w:rsidRPr="00AD784E">
        <w:rPr>
          <w:lang w:val="en-GB"/>
        </w:rPr>
        <w:t>In batch 1 the main species</w:t>
      </w:r>
      <w:r w:rsidR="00AD784E" w:rsidRPr="00AD784E">
        <w:rPr>
          <w:lang w:val="en-GB"/>
        </w:rPr>
        <w:t xml:space="preserve"> </w:t>
      </w:r>
      <w:r w:rsidR="00AD784E">
        <w:rPr>
          <w:lang w:val="en-GB"/>
        </w:rPr>
        <w:t>throughout</w:t>
      </w:r>
      <w:r w:rsidR="00AD784E" w:rsidRPr="00AD784E">
        <w:rPr>
          <w:lang w:val="en-GB"/>
        </w:rPr>
        <w:t xml:space="preserve"> the </w:t>
      </w:r>
      <w:r w:rsidR="00AD784E">
        <w:rPr>
          <w:lang w:val="en-GB"/>
        </w:rPr>
        <w:t>entire process were</w:t>
      </w:r>
      <w:r w:rsidR="00557F91" w:rsidRPr="00AD784E">
        <w:rPr>
          <w:lang w:val="en-GB"/>
        </w:rPr>
        <w:t xml:space="preserve"> </w:t>
      </w:r>
      <w:r w:rsidR="00AD784E">
        <w:rPr>
          <w:i/>
          <w:iCs/>
          <w:lang w:val="en-GB"/>
        </w:rPr>
        <w:t xml:space="preserve">W. </w:t>
      </w:r>
      <w:proofErr w:type="spellStart"/>
      <w:r w:rsidR="00AD784E" w:rsidRPr="00AD784E">
        <w:rPr>
          <w:i/>
          <w:iCs/>
          <w:lang w:val="en-GB"/>
        </w:rPr>
        <w:t>anomalus</w:t>
      </w:r>
      <w:proofErr w:type="spellEnd"/>
      <w:r w:rsidR="00557F91" w:rsidRPr="00AD784E">
        <w:rPr>
          <w:lang w:val="en-GB"/>
        </w:rPr>
        <w:t xml:space="preserve"> (46,</w:t>
      </w:r>
      <w:r w:rsidR="00AD784E" w:rsidRPr="00AD784E">
        <w:rPr>
          <w:lang w:val="en-GB"/>
        </w:rPr>
        <w:t xml:space="preserve">19%), </w:t>
      </w:r>
      <w:r w:rsidR="00AD784E" w:rsidRPr="00AD784E">
        <w:rPr>
          <w:i/>
          <w:iCs/>
          <w:lang w:val="en-GB"/>
        </w:rPr>
        <w:t>C.</w:t>
      </w:r>
      <w:r w:rsidR="00AD784E">
        <w:rPr>
          <w:i/>
          <w:iCs/>
          <w:lang w:val="en-GB"/>
        </w:rPr>
        <w:t xml:space="preserve"> </w:t>
      </w:r>
      <w:proofErr w:type="spellStart"/>
      <w:r w:rsidR="00AD784E" w:rsidRPr="00AD784E">
        <w:rPr>
          <w:i/>
          <w:iCs/>
          <w:lang w:val="en-GB"/>
        </w:rPr>
        <w:t>diddiensae</w:t>
      </w:r>
      <w:proofErr w:type="spellEnd"/>
      <w:r w:rsidR="00AD784E" w:rsidRPr="00AD784E">
        <w:rPr>
          <w:lang w:val="en-GB"/>
        </w:rPr>
        <w:t xml:space="preserve"> (35,24%) and </w:t>
      </w:r>
      <w:r w:rsidR="00557F91" w:rsidRPr="00AD784E">
        <w:rPr>
          <w:i/>
          <w:iCs/>
          <w:lang w:val="en-GB"/>
        </w:rPr>
        <w:t>A.</w:t>
      </w:r>
      <w:r w:rsidR="00AD784E">
        <w:rPr>
          <w:i/>
          <w:iCs/>
          <w:lang w:val="en-GB"/>
        </w:rPr>
        <w:t xml:space="preserve"> </w:t>
      </w:r>
      <w:r w:rsidR="00557F91" w:rsidRPr="00AD784E">
        <w:rPr>
          <w:i/>
          <w:iCs/>
          <w:lang w:val="en-GB"/>
        </w:rPr>
        <w:t>pullulans</w:t>
      </w:r>
      <w:r w:rsidR="00CB359E" w:rsidRPr="00AD784E">
        <w:rPr>
          <w:lang w:val="en-GB"/>
        </w:rPr>
        <w:t xml:space="preserve"> </w:t>
      </w:r>
      <w:r w:rsidR="00AD784E" w:rsidRPr="00AD784E">
        <w:rPr>
          <w:lang w:val="en-GB"/>
        </w:rPr>
        <w:t>(6,67%)</w:t>
      </w:r>
      <w:r w:rsidR="00557F91" w:rsidRPr="00AD784E">
        <w:rPr>
          <w:lang w:val="en-GB"/>
        </w:rPr>
        <w:t>, whereas in batch</w:t>
      </w:r>
      <w:r w:rsidR="00557F91">
        <w:rPr>
          <w:lang w:val="en-GB"/>
        </w:rPr>
        <w:t xml:space="preserve"> 2 </w:t>
      </w:r>
      <w:r w:rsidR="00AD784E">
        <w:rPr>
          <w:lang w:val="en-GB"/>
        </w:rPr>
        <w:t xml:space="preserve">the main representatives were </w:t>
      </w:r>
      <w:r w:rsidR="00AD784E" w:rsidRPr="00AD784E">
        <w:rPr>
          <w:i/>
          <w:iCs/>
          <w:lang w:val="en-GB"/>
        </w:rPr>
        <w:t>C.</w:t>
      </w:r>
      <w:r w:rsidR="00AD784E">
        <w:rPr>
          <w:i/>
          <w:iCs/>
          <w:lang w:val="en-GB"/>
        </w:rPr>
        <w:t xml:space="preserve"> </w:t>
      </w:r>
      <w:proofErr w:type="spellStart"/>
      <w:r w:rsidR="00AD784E" w:rsidRPr="00AD784E">
        <w:rPr>
          <w:i/>
          <w:iCs/>
          <w:lang w:val="en-GB"/>
        </w:rPr>
        <w:t>diddiensae</w:t>
      </w:r>
      <w:proofErr w:type="spellEnd"/>
      <w:r w:rsidR="00AD784E" w:rsidRPr="00AD784E">
        <w:rPr>
          <w:lang w:val="en-GB"/>
        </w:rPr>
        <w:t xml:space="preserve"> (</w:t>
      </w:r>
      <w:r w:rsidR="00AD784E">
        <w:rPr>
          <w:lang w:val="en-GB"/>
        </w:rPr>
        <w:t>33,74</w:t>
      </w:r>
      <w:r w:rsidR="00AD784E" w:rsidRPr="00AD784E">
        <w:rPr>
          <w:lang w:val="en-GB"/>
        </w:rPr>
        <w:t>%)</w:t>
      </w:r>
      <w:r w:rsidR="00AD784E">
        <w:rPr>
          <w:lang w:val="en-GB"/>
        </w:rPr>
        <w:t>,</w:t>
      </w:r>
      <w:r w:rsidR="00AD784E" w:rsidRPr="00AD784E">
        <w:rPr>
          <w:lang w:val="en-GB"/>
        </w:rPr>
        <w:t xml:space="preserve"> </w:t>
      </w:r>
      <w:r w:rsidR="00AD784E" w:rsidRPr="00AD784E">
        <w:rPr>
          <w:i/>
          <w:iCs/>
          <w:lang w:val="en-GB"/>
        </w:rPr>
        <w:t>A.</w:t>
      </w:r>
      <w:r w:rsidR="00AD784E">
        <w:rPr>
          <w:i/>
          <w:iCs/>
          <w:lang w:val="en-GB"/>
        </w:rPr>
        <w:t xml:space="preserve"> </w:t>
      </w:r>
      <w:r w:rsidR="00AD784E" w:rsidRPr="00AD784E">
        <w:rPr>
          <w:i/>
          <w:iCs/>
          <w:lang w:val="en-GB"/>
        </w:rPr>
        <w:t>pullulans</w:t>
      </w:r>
      <w:r w:rsidR="00AD784E" w:rsidRPr="00AD784E">
        <w:rPr>
          <w:lang w:val="en-GB"/>
        </w:rPr>
        <w:t xml:space="preserve"> (</w:t>
      </w:r>
      <w:r w:rsidR="00AD784E">
        <w:rPr>
          <w:lang w:val="en-GB"/>
        </w:rPr>
        <w:t>26,38%</w:t>
      </w:r>
      <w:r w:rsidR="00AD784E" w:rsidRPr="00AD784E">
        <w:rPr>
          <w:lang w:val="en-GB"/>
        </w:rPr>
        <w:t>)</w:t>
      </w:r>
      <w:r w:rsidR="00AD784E">
        <w:rPr>
          <w:lang w:val="en-GB"/>
        </w:rPr>
        <w:t xml:space="preserve"> and </w:t>
      </w:r>
      <w:r w:rsidR="00AD784E" w:rsidRPr="00AD784E">
        <w:rPr>
          <w:i/>
          <w:iCs/>
          <w:lang w:val="en-GB"/>
        </w:rPr>
        <w:t>P.</w:t>
      </w:r>
      <w:r w:rsidR="00AD784E">
        <w:rPr>
          <w:i/>
          <w:iCs/>
          <w:lang w:val="en-GB"/>
        </w:rPr>
        <w:t xml:space="preserve"> </w:t>
      </w:r>
      <w:proofErr w:type="spellStart"/>
      <w:r w:rsidR="00AD784E" w:rsidRPr="00AD784E">
        <w:rPr>
          <w:i/>
          <w:iCs/>
          <w:lang w:val="en-GB"/>
        </w:rPr>
        <w:t>membranifaciens</w:t>
      </w:r>
      <w:proofErr w:type="spellEnd"/>
      <w:r w:rsidR="00AD784E">
        <w:rPr>
          <w:lang w:val="en-GB"/>
        </w:rPr>
        <w:t xml:space="preserve"> (24,54%)</w:t>
      </w:r>
      <w:r w:rsidR="00225195">
        <w:rPr>
          <w:lang w:val="en-GB"/>
        </w:rPr>
        <w:t xml:space="preserve"> </w:t>
      </w:r>
      <w:r w:rsidR="00225195" w:rsidRPr="00AD784E">
        <w:rPr>
          <w:lang w:val="en-GB"/>
        </w:rPr>
        <w:t>(Figure 1)</w:t>
      </w:r>
      <w:r w:rsidR="00225195">
        <w:rPr>
          <w:lang w:val="en-GB"/>
        </w:rPr>
        <w:t>.</w:t>
      </w:r>
    </w:p>
    <w:p w14:paraId="129D27ED" w14:textId="2BD0DB99" w:rsidR="00765AF9" w:rsidRPr="00E35A12" w:rsidRDefault="004C6367" w:rsidP="004C6367">
      <w:pPr>
        <w:pStyle w:val="Didascalia"/>
        <w:keepNext/>
        <w:jc w:val="both"/>
        <w:rPr>
          <w:b/>
          <w:bCs/>
          <w:color w:val="auto"/>
          <w:sz w:val="14"/>
          <w:szCs w:val="14"/>
          <w:lang w:val="en-US"/>
        </w:rPr>
      </w:pPr>
      <w:r>
        <w:rPr>
          <w:noProof/>
          <w:lang w:val="en-US"/>
          <w14:ligatures w14:val="standardContextual"/>
        </w:rPr>
        <w:drawing>
          <wp:anchor distT="0" distB="0" distL="114300" distR="114300" simplePos="0" relativeHeight="251658240" behindDoc="0" locked="0" layoutInCell="1" allowOverlap="1" wp14:anchorId="0D1933D3" wp14:editId="49D17C21">
            <wp:simplePos x="0" y="0"/>
            <wp:positionH relativeFrom="margin">
              <wp:align>left</wp:align>
            </wp:positionH>
            <wp:positionV relativeFrom="paragraph">
              <wp:posOffset>122006</wp:posOffset>
            </wp:positionV>
            <wp:extent cx="4025900" cy="1724660"/>
            <wp:effectExtent l="0" t="0" r="0" b="8890"/>
            <wp:wrapSquare wrapText="bothSides"/>
            <wp:docPr id="577965097" name="Immagine 3" descr="Immagine che contiene testo, schermata, Carattere, Paralle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965097" name="Immagine 3" descr="Immagine che contiene testo, schermata, Carattere, Parallelo&#10;&#10;Descrizione generata automaticamente"/>
                    <pic:cNvPicPr/>
                  </pic:nvPicPr>
                  <pic:blipFill rotWithShape="1">
                    <a:blip r:embed="rId6">
                      <a:extLst>
                        <a:ext uri="{28A0092B-C50C-407E-A947-70E740481C1C}">
                          <a14:useLocalDpi xmlns:a14="http://schemas.microsoft.com/office/drawing/2010/main" val="0"/>
                        </a:ext>
                      </a:extLst>
                    </a:blip>
                    <a:srcRect b="50255"/>
                    <a:stretch/>
                  </pic:blipFill>
                  <pic:spPr bwMode="auto">
                    <a:xfrm>
                      <a:off x="0" y="0"/>
                      <a:ext cx="4044873" cy="17331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5AF9" w:rsidRPr="00E35A12">
        <w:rPr>
          <w:b/>
          <w:bCs/>
          <w:color w:val="auto"/>
          <w:sz w:val="14"/>
          <w:szCs w:val="14"/>
          <w:lang w:val="en-US"/>
        </w:rPr>
        <w:t xml:space="preserve"> </w:t>
      </w:r>
      <w:r>
        <w:rPr>
          <w:b/>
          <w:bCs/>
          <w:color w:val="auto"/>
          <w:sz w:val="14"/>
          <w:szCs w:val="14"/>
          <w:lang w:val="en-US"/>
        </w:rPr>
        <w:t>A</w:t>
      </w:r>
      <w:r w:rsidR="00765AF9" w:rsidRPr="00E35A12">
        <w:rPr>
          <w:b/>
          <w:bCs/>
          <w:color w:val="auto"/>
          <w:sz w:val="14"/>
          <w:szCs w:val="14"/>
          <w:lang w:val="en-US"/>
        </w:rPr>
        <w:t xml:space="preserve">                          </w:t>
      </w:r>
      <w:r w:rsidR="00E35A12">
        <w:rPr>
          <w:b/>
          <w:bCs/>
          <w:color w:val="auto"/>
          <w:sz w:val="14"/>
          <w:szCs w:val="14"/>
          <w:lang w:val="en-US"/>
        </w:rPr>
        <w:t xml:space="preserve">         </w:t>
      </w:r>
      <w:r w:rsidR="00765AF9" w:rsidRPr="00E35A12">
        <w:rPr>
          <w:b/>
          <w:bCs/>
          <w:color w:val="auto"/>
          <w:sz w:val="14"/>
          <w:szCs w:val="14"/>
          <w:lang w:val="en-US"/>
        </w:rPr>
        <w:t xml:space="preserve">                                    </w:t>
      </w:r>
      <w:r w:rsidR="004A63A0" w:rsidRPr="00E35A12">
        <w:rPr>
          <w:b/>
          <w:bCs/>
          <w:color w:val="auto"/>
          <w:sz w:val="14"/>
          <w:szCs w:val="14"/>
          <w:lang w:val="en-US"/>
        </w:rPr>
        <w:t xml:space="preserve">      </w:t>
      </w:r>
      <w:r>
        <w:rPr>
          <w:b/>
          <w:bCs/>
          <w:color w:val="auto"/>
          <w:sz w:val="14"/>
          <w:szCs w:val="14"/>
          <w:lang w:val="en-US"/>
        </w:rPr>
        <w:t xml:space="preserve">          B</w:t>
      </w:r>
    </w:p>
    <w:p w14:paraId="2A39422B" w14:textId="275B2D35" w:rsidR="004C6367" w:rsidRPr="004C6367" w:rsidRDefault="004C6367" w:rsidP="004C6367">
      <w:pPr>
        <w:jc w:val="both"/>
        <w:rPr>
          <w:i/>
          <w:iCs/>
          <w:sz w:val="18"/>
          <w:szCs w:val="18"/>
          <w:lang w:val="en-US"/>
        </w:rPr>
      </w:pPr>
      <w:r w:rsidRPr="004C6367">
        <w:rPr>
          <w:i/>
          <w:iCs/>
          <w:sz w:val="18"/>
          <w:szCs w:val="18"/>
          <w:lang w:val="en-US"/>
        </w:rPr>
        <w:t>Figure</w:t>
      </w:r>
      <w:r>
        <w:rPr>
          <w:i/>
          <w:iCs/>
          <w:sz w:val="18"/>
          <w:szCs w:val="18"/>
          <w:lang w:val="en-US"/>
        </w:rPr>
        <w:t xml:space="preserve"> </w:t>
      </w:r>
      <w:r w:rsidRPr="004C6367">
        <w:rPr>
          <w:i/>
          <w:iCs/>
          <w:sz w:val="18"/>
          <w:szCs w:val="18"/>
        </w:rPr>
        <w:fldChar w:fldCharType="begin"/>
      </w:r>
      <w:r w:rsidRPr="004C6367">
        <w:rPr>
          <w:i/>
          <w:iCs/>
          <w:sz w:val="18"/>
          <w:szCs w:val="18"/>
          <w:lang w:val="en-US"/>
        </w:rPr>
        <w:instrText xml:space="preserve"> SEQ Figure \* ARABIC </w:instrText>
      </w:r>
      <w:r w:rsidRPr="004C6367">
        <w:rPr>
          <w:i/>
          <w:iCs/>
          <w:sz w:val="18"/>
          <w:szCs w:val="18"/>
        </w:rPr>
        <w:fldChar w:fldCharType="separate"/>
      </w:r>
      <w:r>
        <w:rPr>
          <w:i/>
          <w:iCs/>
          <w:noProof/>
          <w:sz w:val="18"/>
          <w:szCs w:val="18"/>
          <w:lang w:val="en-US"/>
        </w:rPr>
        <w:t>1</w:t>
      </w:r>
      <w:r w:rsidRPr="004C6367">
        <w:rPr>
          <w:i/>
          <w:iCs/>
          <w:sz w:val="18"/>
          <w:szCs w:val="18"/>
        </w:rPr>
        <w:fldChar w:fldCharType="end"/>
      </w:r>
      <w:r w:rsidRPr="004C6367">
        <w:rPr>
          <w:i/>
          <w:iCs/>
          <w:sz w:val="18"/>
          <w:szCs w:val="18"/>
          <w:lang w:val="en-US"/>
        </w:rPr>
        <w:t>:Relative abundances (%) of</w:t>
      </w:r>
      <w:r>
        <w:rPr>
          <w:i/>
          <w:iCs/>
          <w:sz w:val="18"/>
          <w:szCs w:val="18"/>
          <w:lang w:val="en-US"/>
        </w:rPr>
        <w:t xml:space="preserve"> </w:t>
      </w:r>
      <w:r w:rsidRPr="004C6367">
        <w:rPr>
          <w:i/>
          <w:iCs/>
          <w:sz w:val="18"/>
          <w:szCs w:val="18"/>
          <w:lang w:val="en-US"/>
        </w:rPr>
        <w:t>yeast species in olives (A) and brines (B)</w:t>
      </w:r>
      <w:r>
        <w:rPr>
          <w:i/>
          <w:iCs/>
          <w:sz w:val="18"/>
          <w:szCs w:val="18"/>
          <w:lang w:val="en-US"/>
        </w:rPr>
        <w:t xml:space="preserve"> </w:t>
      </w:r>
      <w:r w:rsidRPr="004C6367">
        <w:rPr>
          <w:i/>
          <w:iCs/>
          <w:sz w:val="18"/>
          <w:szCs w:val="18"/>
          <w:lang w:val="en-US"/>
        </w:rPr>
        <w:t>samples of batch 1</w:t>
      </w:r>
      <w:r w:rsidR="00D73072">
        <w:rPr>
          <w:i/>
          <w:iCs/>
          <w:sz w:val="18"/>
          <w:szCs w:val="18"/>
          <w:lang w:val="en-US"/>
        </w:rPr>
        <w:t xml:space="preserve"> and olives (C) and brines (D) samples of batch 2</w:t>
      </w:r>
      <w:r w:rsidRPr="004C6367">
        <w:rPr>
          <w:i/>
          <w:iCs/>
          <w:sz w:val="18"/>
          <w:szCs w:val="18"/>
          <w:lang w:val="en-US"/>
        </w:rPr>
        <w:t>. Data of brine at time</w:t>
      </w:r>
      <w:r>
        <w:rPr>
          <w:i/>
          <w:iCs/>
          <w:sz w:val="18"/>
          <w:szCs w:val="18"/>
          <w:lang w:val="en-US"/>
        </w:rPr>
        <w:t xml:space="preserve"> </w:t>
      </w:r>
      <w:r w:rsidRPr="004C6367">
        <w:rPr>
          <w:i/>
          <w:iCs/>
          <w:sz w:val="18"/>
          <w:szCs w:val="18"/>
          <w:lang w:val="en-US"/>
        </w:rPr>
        <w:t>= 3 days is not present because the</w:t>
      </w:r>
      <w:r>
        <w:rPr>
          <w:i/>
          <w:iCs/>
          <w:sz w:val="18"/>
          <w:szCs w:val="18"/>
          <w:lang w:val="en-US"/>
        </w:rPr>
        <w:t xml:space="preserve"> </w:t>
      </w:r>
      <w:r w:rsidRPr="004C6367">
        <w:rPr>
          <w:i/>
          <w:iCs/>
          <w:sz w:val="18"/>
          <w:szCs w:val="18"/>
          <w:lang w:val="en-US"/>
        </w:rPr>
        <w:t>sample w</w:t>
      </w:r>
      <w:r w:rsidR="00D73072">
        <w:rPr>
          <w:i/>
          <w:iCs/>
          <w:sz w:val="18"/>
          <w:szCs w:val="18"/>
          <w:lang w:val="en-US"/>
        </w:rPr>
        <w:t xml:space="preserve">as lost </w:t>
      </w:r>
      <w:r w:rsidRPr="004C6367">
        <w:rPr>
          <w:i/>
          <w:iCs/>
          <w:sz w:val="18"/>
          <w:szCs w:val="18"/>
          <w:lang w:val="en-US"/>
        </w:rPr>
        <w:t>during transportation.</w:t>
      </w:r>
    </w:p>
    <w:p w14:paraId="4F8CF58A" w14:textId="77777777" w:rsidR="00D73072" w:rsidRDefault="00D73072" w:rsidP="006C7402">
      <w:pPr>
        <w:jc w:val="both"/>
        <w:rPr>
          <w:lang w:val="en-US"/>
        </w:rPr>
      </w:pPr>
    </w:p>
    <w:p w14:paraId="53683ABA" w14:textId="33CF3C1F" w:rsidR="00B27DD8" w:rsidRDefault="00D73072" w:rsidP="0076694B">
      <w:pPr>
        <w:jc w:val="both"/>
        <w:rPr>
          <w:lang w:val="en-US"/>
        </w:rPr>
      </w:pPr>
      <w:r>
        <w:rPr>
          <w:noProof/>
          <w:lang w:val="en-US"/>
          <w14:ligatures w14:val="standardContextual"/>
        </w:rPr>
        <w:drawing>
          <wp:anchor distT="0" distB="0" distL="114300" distR="114300" simplePos="0" relativeHeight="251659264" behindDoc="0" locked="0" layoutInCell="1" allowOverlap="1" wp14:anchorId="481E868C" wp14:editId="55BFD271">
            <wp:simplePos x="0" y="0"/>
            <wp:positionH relativeFrom="margin">
              <wp:align>left</wp:align>
            </wp:positionH>
            <wp:positionV relativeFrom="paragraph">
              <wp:posOffset>878537</wp:posOffset>
            </wp:positionV>
            <wp:extent cx="4032885" cy="1777365"/>
            <wp:effectExtent l="0" t="0" r="5715" b="0"/>
            <wp:wrapSquare wrapText="bothSides"/>
            <wp:docPr id="2084859097" name="Immagine 4" descr="Immagine che contiene testo, schermata, Carattere, Paralle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859097" name="Immagine 4" descr="Immagine che contiene testo, schermata, Carattere, Parallelo&#10;&#10;Descrizione generata automaticamente"/>
                    <pic:cNvPicPr/>
                  </pic:nvPicPr>
                  <pic:blipFill rotWithShape="1">
                    <a:blip r:embed="rId6">
                      <a:extLst>
                        <a:ext uri="{28A0092B-C50C-407E-A947-70E740481C1C}">
                          <a14:useLocalDpi xmlns:a14="http://schemas.microsoft.com/office/drawing/2010/main" val="0"/>
                        </a:ext>
                      </a:extLst>
                    </a:blip>
                    <a:srcRect t="49481"/>
                    <a:stretch/>
                  </pic:blipFill>
                  <pic:spPr bwMode="auto">
                    <a:xfrm>
                      <a:off x="0" y="0"/>
                      <a:ext cx="4032885" cy="1777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6D9C866E" wp14:editId="04906CB4">
                <wp:simplePos x="0" y="0"/>
                <wp:positionH relativeFrom="margin">
                  <wp:align>left</wp:align>
                </wp:positionH>
                <wp:positionV relativeFrom="paragraph">
                  <wp:posOffset>754408</wp:posOffset>
                </wp:positionV>
                <wp:extent cx="4058920" cy="92075"/>
                <wp:effectExtent l="0" t="0" r="0" b="3175"/>
                <wp:wrapSquare wrapText="bothSides"/>
                <wp:docPr id="842905187" name="Casella di testo 1"/>
                <wp:cNvGraphicFramePr/>
                <a:graphic xmlns:a="http://schemas.openxmlformats.org/drawingml/2006/main">
                  <a:graphicData uri="http://schemas.microsoft.com/office/word/2010/wordprocessingShape">
                    <wps:wsp>
                      <wps:cNvSpPr txBox="1"/>
                      <wps:spPr>
                        <a:xfrm>
                          <a:off x="0" y="0"/>
                          <a:ext cx="4058920" cy="92075"/>
                        </a:xfrm>
                        <a:prstGeom prst="rect">
                          <a:avLst/>
                        </a:prstGeom>
                        <a:solidFill>
                          <a:prstClr val="white"/>
                        </a:solidFill>
                        <a:ln>
                          <a:noFill/>
                        </a:ln>
                      </wps:spPr>
                      <wps:txbx>
                        <w:txbxContent>
                          <w:p w14:paraId="110D4B83" w14:textId="0919F61E" w:rsidR="004C6367" w:rsidRPr="004C6367" w:rsidRDefault="004C6367" w:rsidP="004C6367">
                            <w:pPr>
                              <w:pStyle w:val="Didascalia"/>
                              <w:rPr>
                                <w:b/>
                                <w:bCs/>
                                <w:noProof/>
                                <w:color w:val="auto"/>
                                <w:sz w:val="14"/>
                                <w:szCs w:val="14"/>
                                <w:lang w:val="en-US"/>
                              </w:rPr>
                            </w:pPr>
                            <w:r w:rsidRPr="004C6367">
                              <w:rPr>
                                <w:b/>
                                <w:bCs/>
                                <w:color w:val="auto"/>
                                <w:sz w:val="14"/>
                                <w:szCs w:val="14"/>
                              </w:rPr>
                              <w:t xml:space="preserve">   C </w:t>
                            </w:r>
                            <w:r>
                              <w:rPr>
                                <w:b/>
                                <w:bCs/>
                                <w:color w:val="auto"/>
                                <w:sz w:val="14"/>
                                <w:szCs w:val="14"/>
                              </w:rPr>
                              <w:t xml:space="preserve">            </w:t>
                            </w:r>
                            <w:r w:rsidRPr="004C6367">
                              <w:rPr>
                                <w:b/>
                                <w:bCs/>
                                <w:color w:val="auto"/>
                                <w:sz w:val="14"/>
                                <w:szCs w:val="14"/>
                              </w:rPr>
                              <w:t xml:space="preserve"> </w:t>
                            </w:r>
                            <w:r>
                              <w:rPr>
                                <w:b/>
                                <w:bCs/>
                                <w:color w:val="auto"/>
                                <w:sz w:val="14"/>
                                <w:szCs w:val="14"/>
                              </w:rPr>
                              <w:t xml:space="preserve">                                                                      </w:t>
                            </w:r>
                            <w:r w:rsidRPr="004C6367">
                              <w:rPr>
                                <w:b/>
                                <w:bCs/>
                                <w:color w:val="auto"/>
                                <w:sz w:val="14"/>
                                <w:szCs w:val="14"/>
                              </w:rPr>
                              <w:t xml:space="preserve"> 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C866E" id="_x0000_t202" coordsize="21600,21600" o:spt="202" path="m,l,21600r21600,l21600,xe">
                <v:stroke joinstyle="miter"/>
                <v:path gradientshapeok="t" o:connecttype="rect"/>
              </v:shapetype>
              <v:shape id="Casella di testo 1" o:spid="_x0000_s1026" type="#_x0000_t202" style="position:absolute;left:0;text-align:left;margin-left:0;margin-top:59.4pt;width:319.6pt;height:7.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" stroked="f">
                <v:textbox inset="0,0,0,0">
                  <w:txbxContent>
                    <w:p w14:paraId="110D4B83" w14:textId="0919F61E" w:rsidR="004C6367" w:rsidRPr="004C6367" w:rsidRDefault="004C6367" w:rsidP="004C6367">
                      <w:pPr>
                        <w:pStyle w:val="Didascalia"/>
                        <w:rPr>
                          <w:b/>
                          <w:bCs/>
                          <w:noProof/>
                          <w:color w:val="auto"/>
                          <w:sz w:val="14"/>
                          <w:szCs w:val="14"/>
                          <w:lang w:val="en-US"/>
                        </w:rPr>
                      </w:pPr>
                      <w:r w:rsidRPr="004C6367">
                        <w:rPr>
                          <w:b/>
                          <w:bCs/>
                          <w:color w:val="auto"/>
                          <w:sz w:val="14"/>
                          <w:szCs w:val="14"/>
                        </w:rPr>
                        <w:t xml:space="preserve">   C </w:t>
                      </w:r>
                      <w:r>
                        <w:rPr>
                          <w:b/>
                          <w:bCs/>
                          <w:color w:val="auto"/>
                          <w:sz w:val="14"/>
                          <w:szCs w:val="14"/>
                        </w:rPr>
                        <w:t xml:space="preserve">            </w:t>
                      </w:r>
                      <w:r w:rsidRPr="004C6367">
                        <w:rPr>
                          <w:b/>
                          <w:bCs/>
                          <w:color w:val="auto"/>
                          <w:sz w:val="14"/>
                          <w:szCs w:val="14"/>
                        </w:rPr>
                        <w:t xml:space="preserve"> </w:t>
                      </w:r>
                      <w:r>
                        <w:rPr>
                          <w:b/>
                          <w:bCs/>
                          <w:color w:val="auto"/>
                          <w:sz w:val="14"/>
                          <w:szCs w:val="14"/>
                        </w:rPr>
                        <w:t xml:space="preserve">                                                                      </w:t>
                      </w:r>
                      <w:r w:rsidRPr="004C6367">
                        <w:rPr>
                          <w:b/>
                          <w:bCs/>
                          <w:color w:val="auto"/>
                          <w:sz w:val="14"/>
                          <w:szCs w:val="14"/>
                        </w:rPr>
                        <w:t xml:space="preserve"> D</w:t>
                      </w:r>
                    </w:p>
                  </w:txbxContent>
                </v:textbox>
                <w10:wrap type="square" anchorx="margin"/>
              </v:shape>
            </w:pict>
          </mc:Fallback>
        </mc:AlternateContent>
      </w:r>
      <w:r w:rsidR="006C7402">
        <w:rPr>
          <w:lang w:val="en-US"/>
        </w:rPr>
        <w:t>Because of the persistence of yeasts throughout the entire fermentation process</w:t>
      </w:r>
      <w:r w:rsidR="004C6367">
        <w:rPr>
          <w:lang w:val="en-US"/>
        </w:rPr>
        <w:t xml:space="preserve"> (</w:t>
      </w:r>
      <w:r w:rsidR="00D14016" w:rsidRPr="00D14016">
        <w:rPr>
          <w:lang w:val="en-US"/>
        </w:rPr>
        <w:t>3,</w:t>
      </w:r>
      <w:r w:rsidR="0076694B">
        <w:rPr>
          <w:lang w:val="en-US"/>
        </w:rPr>
        <w:t>34</w:t>
      </w:r>
      <w:r w:rsidR="00D14016" w:rsidRPr="00D14016">
        <w:rPr>
          <w:lang w:val="en-US"/>
        </w:rPr>
        <w:t xml:space="preserve"> and </w:t>
      </w:r>
      <w:r w:rsidR="0076694B">
        <w:rPr>
          <w:lang w:val="en-US"/>
        </w:rPr>
        <w:t>5</w:t>
      </w:r>
      <w:r w:rsidR="00D14016" w:rsidRPr="00D14016">
        <w:rPr>
          <w:lang w:val="en-US"/>
        </w:rPr>
        <w:t xml:space="preserve"> </w:t>
      </w:r>
      <w:r w:rsidR="00D14016">
        <w:rPr>
          <w:lang w:val="en-US"/>
        </w:rPr>
        <w:t>L</w:t>
      </w:r>
      <w:r w:rsidR="00D14016" w:rsidRPr="00D14016">
        <w:rPr>
          <w:lang w:val="en-US"/>
        </w:rPr>
        <w:t>og</w:t>
      </w:r>
      <w:r w:rsidR="00D14016">
        <w:rPr>
          <w:lang w:val="en-US"/>
        </w:rPr>
        <w:t xml:space="preserve"> </w:t>
      </w:r>
      <w:r w:rsidR="00D14016" w:rsidRPr="00D14016">
        <w:rPr>
          <w:lang w:val="en-US"/>
        </w:rPr>
        <w:t>CFU</w:t>
      </w:r>
      <w:r w:rsidR="00904C9D">
        <w:rPr>
          <w:lang w:val="en-US"/>
        </w:rPr>
        <w:t>/g</w:t>
      </w:r>
      <w:r w:rsidR="00D14016" w:rsidRPr="00D14016">
        <w:rPr>
          <w:lang w:val="en-US"/>
        </w:rPr>
        <w:t xml:space="preserve"> in olives and brines, respectively</w:t>
      </w:r>
      <w:r w:rsidR="0076694B">
        <w:rPr>
          <w:lang w:val="en-US"/>
        </w:rPr>
        <w:t>,</w:t>
      </w:r>
      <w:r w:rsidR="00D14016" w:rsidRPr="00D14016">
        <w:rPr>
          <w:lang w:val="en-US"/>
        </w:rPr>
        <w:t xml:space="preserve"> </w:t>
      </w:r>
      <w:r w:rsidR="00D14016">
        <w:rPr>
          <w:lang w:val="en-US"/>
        </w:rPr>
        <w:t>by the end of fermentation)</w:t>
      </w:r>
      <w:r w:rsidR="006C7402">
        <w:rPr>
          <w:lang w:val="en-US"/>
        </w:rPr>
        <w:t>,</w:t>
      </w:r>
      <w:r w:rsidR="0076694B">
        <w:rPr>
          <w:lang w:val="en-US"/>
        </w:rPr>
        <w:t xml:space="preserve"> </w:t>
      </w:r>
      <w:r w:rsidR="004C6367">
        <w:rPr>
          <w:lang w:val="en-US"/>
        </w:rPr>
        <w:t xml:space="preserve">confirmed </w:t>
      </w:r>
      <w:r w:rsidR="0076694B">
        <w:rPr>
          <w:lang w:val="en-US"/>
        </w:rPr>
        <w:t>by yeasts counts, a</w:t>
      </w:r>
      <w:r w:rsidR="004C6367">
        <w:rPr>
          <w:lang w:val="en-US"/>
        </w:rPr>
        <w:t>nd</w:t>
      </w:r>
      <w:r w:rsidR="0076694B">
        <w:rPr>
          <w:lang w:val="en-US"/>
        </w:rPr>
        <w:t xml:space="preserve"> </w:t>
      </w:r>
      <w:r w:rsidR="004C6367">
        <w:rPr>
          <w:lang w:val="en-US"/>
        </w:rPr>
        <w:t>the absence of lactic</w:t>
      </w:r>
      <w:r w:rsidR="0076694B">
        <w:rPr>
          <w:lang w:val="en-US"/>
        </w:rPr>
        <w:t xml:space="preserve"> </w:t>
      </w:r>
      <w:r w:rsidR="004C6367">
        <w:rPr>
          <w:lang w:val="en-US"/>
        </w:rPr>
        <w:t>acid bacteria colonies</w:t>
      </w:r>
      <w:r w:rsidR="00844E21">
        <w:rPr>
          <w:lang w:val="en-US"/>
        </w:rPr>
        <w:t xml:space="preserve"> on plate</w:t>
      </w:r>
      <w:r w:rsidR="004C6367">
        <w:rPr>
          <w:lang w:val="en-US"/>
        </w:rPr>
        <w:t xml:space="preserve"> </w:t>
      </w:r>
      <w:r w:rsidR="00D1638F" w:rsidRPr="002827A1">
        <w:rPr>
          <w:color w:val="000000" w:themeColor="text1"/>
          <w:lang w:val="en-US"/>
        </w:rPr>
        <w:t>(&lt;1 CFU/g</w:t>
      </w:r>
      <w:r w:rsidR="004C6367">
        <w:rPr>
          <w:lang w:val="en-US"/>
        </w:rPr>
        <w:t xml:space="preserve"> </w:t>
      </w:r>
      <w:r w:rsidR="00D1638F">
        <w:rPr>
          <w:lang w:val="en-US"/>
        </w:rPr>
        <w:t xml:space="preserve">in all sampling times which represents the </w:t>
      </w:r>
      <w:r w:rsidR="004C6367">
        <w:rPr>
          <w:lang w:val="en-US"/>
        </w:rPr>
        <w:t xml:space="preserve">detection limit), </w:t>
      </w:r>
      <w:r w:rsidR="00D1638F">
        <w:rPr>
          <w:lang w:val="en-US"/>
        </w:rPr>
        <w:t>we can assess that this</w:t>
      </w:r>
      <w:r w:rsidR="0076694B">
        <w:rPr>
          <w:lang w:val="en-US"/>
        </w:rPr>
        <w:t xml:space="preserve"> </w:t>
      </w:r>
      <w:r w:rsidR="00FF2DFC">
        <w:rPr>
          <w:lang w:val="en-US"/>
        </w:rPr>
        <w:t xml:space="preserve">spontaneous </w:t>
      </w:r>
      <w:r w:rsidR="004C6367">
        <w:rPr>
          <w:lang w:val="en-US"/>
        </w:rPr>
        <w:t xml:space="preserve">fermentation </w:t>
      </w:r>
      <w:r w:rsidR="0076694B">
        <w:rPr>
          <w:lang w:val="en-US"/>
        </w:rPr>
        <w:t>wa</w:t>
      </w:r>
      <w:r w:rsidR="004C6367">
        <w:rPr>
          <w:lang w:val="en-US"/>
        </w:rPr>
        <w:t>s mainly driven by yeast populations.</w:t>
      </w:r>
      <w:r w:rsidR="00D14016" w:rsidRPr="00D14016">
        <w:rPr>
          <w:noProof/>
          <w:lang w:val="en-US"/>
          <w14:ligatures w14:val="standardContextual"/>
        </w:rPr>
        <w:t xml:space="preserve"> </w:t>
      </w:r>
      <w:r w:rsidR="00D1638F">
        <w:rPr>
          <w:noProof/>
          <w:lang w:val="en-US"/>
          <w14:ligatures w14:val="standardContextual"/>
        </w:rPr>
        <w:t xml:space="preserve">The main species identified were also in agreement with </w:t>
      </w:r>
      <w:r w:rsidR="00B2551A">
        <w:rPr>
          <w:noProof/>
          <w:lang w:val="en-US"/>
          <w14:ligatures w14:val="standardContextual"/>
        </w:rPr>
        <w:fldChar w:fldCharType="begin" w:fldLock="1"/>
      </w:r>
      <w:r w:rsidR="005F79FF">
        <w:rPr>
          <w:noProof/>
          <w:lang w:val="en-US"/>
          <w14:ligatures w14:val="standardContextual"/>
        </w:rPr>
        <w:instrText>ADDIN CSL_CITATION {"citationItems":[{"id":"ITEM-1","itemData":{"author":[{"dropping-particle":"","family":"Bevilacqua","given":"Antonio","non-dropping-particle":"","parse-names":false,"suffix":""},{"dropping-particle":"","family":"Corbo","given":"Maria Rosaria","non-dropping-particle":"","parse-names":false,"suffix":""},{"dropping-particle":"","family":"Sinigaglia","given":"Milena","non-dropping-particle":"","parse-names":false,"suffix":""}],"id":"ITEM-1","issue":"May","issued":{"date-parts":[["2012"]]},"page":"1-9","title":"Selection of yeasts as starter cultures for table olives : a step-by-step procedure","type":"article-journal","volume":"3"},"uris":["http://www.mendeley.com/documents/?uuid=ea8778d4-6bc4-48b6-ae9d-3b9c3644a44b"]}],"mendeley":{"formattedCitation":"(Bevilacqua et al., 2012)","plainTextFormattedCitation":"(Bevilacqua et al., 2012)","previouslyFormattedCitation":"(Bevilacqua et al., 2012)"},"properties":{"noteIndex":0},"schema":"https://github.com/citation-style-language/schema/raw/master/csl-citation.json"}</w:instrText>
      </w:r>
      <w:r w:rsidR="00B2551A">
        <w:rPr>
          <w:noProof/>
          <w:lang w:val="en-US"/>
          <w14:ligatures w14:val="standardContextual"/>
        </w:rPr>
        <w:fldChar w:fldCharType="separate"/>
      </w:r>
      <w:r w:rsidR="005F79FF" w:rsidRPr="005F79FF">
        <w:rPr>
          <w:noProof/>
          <w:lang w:val="en-US"/>
          <w14:ligatures w14:val="standardContextual"/>
        </w:rPr>
        <w:t>(Bevilacqua et al., 2012)</w:t>
      </w:r>
      <w:r w:rsidR="00B2551A">
        <w:rPr>
          <w:noProof/>
          <w:lang w:val="en-US"/>
          <w14:ligatures w14:val="standardContextual"/>
        </w:rPr>
        <w:fldChar w:fldCharType="end"/>
      </w:r>
      <w:r w:rsidR="00B2551A">
        <w:rPr>
          <w:noProof/>
          <w:lang w:val="en-US"/>
          <w14:ligatures w14:val="standardContextual"/>
        </w:rPr>
        <w:t>.</w:t>
      </w:r>
    </w:p>
    <w:p w14:paraId="6B79A8E9" w14:textId="2E25E3AC" w:rsidR="004C6367" w:rsidRDefault="004C6367" w:rsidP="004C6367">
      <w:pPr>
        <w:pStyle w:val="Didascalia"/>
        <w:keepNext/>
        <w:rPr>
          <w:lang w:val="en-US"/>
        </w:rPr>
      </w:pPr>
    </w:p>
    <w:p w14:paraId="389DB512" w14:textId="1946AB0D" w:rsidR="004C6367" w:rsidRDefault="004C6367" w:rsidP="004C6367">
      <w:pPr>
        <w:pStyle w:val="Didascalia"/>
        <w:keepNext/>
        <w:rPr>
          <w:color w:val="auto"/>
          <w:sz w:val="16"/>
          <w:szCs w:val="16"/>
          <w:lang w:val="en-US"/>
        </w:rPr>
      </w:pPr>
      <w:r w:rsidRPr="004C6367">
        <w:rPr>
          <w:color w:val="auto"/>
          <w:sz w:val="16"/>
          <w:szCs w:val="16"/>
          <w:lang w:val="en-US"/>
        </w:rPr>
        <w:t xml:space="preserve"> </w:t>
      </w:r>
    </w:p>
    <w:p w14:paraId="3FF58A15" w14:textId="46F95CB7" w:rsidR="00A63424" w:rsidRPr="004C6367" w:rsidRDefault="00A63424" w:rsidP="004C6367">
      <w:pPr>
        <w:pStyle w:val="Didascalia"/>
        <w:keepNext/>
        <w:rPr>
          <w:color w:val="auto"/>
          <w:sz w:val="16"/>
          <w:szCs w:val="16"/>
          <w:lang w:val="en-US"/>
        </w:rPr>
      </w:pPr>
    </w:p>
    <w:p w14:paraId="2F064123" w14:textId="3FD7C3BD" w:rsidR="00677E5D" w:rsidRDefault="00677E5D" w:rsidP="00677E5D">
      <w:pPr>
        <w:pStyle w:val="Titolo2"/>
        <w:spacing w:before="240" w:after="120"/>
        <w:jc w:val="both"/>
        <w:rPr>
          <w:b/>
          <w:bCs/>
          <w:sz w:val="20"/>
          <w:lang w:val="en-GB"/>
        </w:rPr>
      </w:pPr>
      <w:r w:rsidRPr="00F0116B">
        <w:rPr>
          <w:b/>
          <w:bCs/>
          <w:sz w:val="20"/>
          <w:lang w:val="en-GB"/>
        </w:rPr>
        <w:t xml:space="preserve">3.2 </w:t>
      </w:r>
      <w:r w:rsidR="00F110C8">
        <w:rPr>
          <w:b/>
          <w:bCs/>
          <w:sz w:val="20"/>
          <w:lang w:val="en-GB"/>
        </w:rPr>
        <w:t>Culture-independent analysis</w:t>
      </w:r>
    </w:p>
    <w:p w14:paraId="20346661" w14:textId="6C87E3DD" w:rsidR="00D1638F" w:rsidRDefault="00262925" w:rsidP="008E5587">
      <w:pPr>
        <w:jc w:val="both"/>
        <w:rPr>
          <w:lang w:val="en-GB"/>
        </w:rPr>
      </w:pPr>
      <w:r>
        <w:rPr>
          <w:lang w:val="en-GB"/>
        </w:rPr>
        <w:t xml:space="preserve">26S rRNA </w:t>
      </w:r>
      <w:r w:rsidR="003A6C80">
        <w:rPr>
          <w:lang w:val="en-GB"/>
        </w:rPr>
        <w:t xml:space="preserve">gene </w:t>
      </w:r>
      <w:r>
        <w:rPr>
          <w:lang w:val="en-GB"/>
        </w:rPr>
        <w:t xml:space="preserve">sequencing showed a prevalence of </w:t>
      </w:r>
      <w:proofErr w:type="spellStart"/>
      <w:r w:rsidR="003A6C80" w:rsidRPr="003A6C80">
        <w:rPr>
          <w:i/>
          <w:iCs/>
          <w:lang w:val="en-GB"/>
        </w:rPr>
        <w:t>Aureobasidium</w:t>
      </w:r>
      <w:proofErr w:type="spellEnd"/>
      <w:r w:rsidR="003A6C80">
        <w:rPr>
          <w:lang w:val="en-GB"/>
        </w:rPr>
        <w:t xml:space="preserve"> spp. (45,62%), </w:t>
      </w:r>
      <w:proofErr w:type="spellStart"/>
      <w:r w:rsidR="003A6C80" w:rsidRPr="003A6C80">
        <w:rPr>
          <w:i/>
          <w:iCs/>
          <w:lang w:val="en-GB"/>
        </w:rPr>
        <w:t>C</w:t>
      </w:r>
      <w:r w:rsidR="003A6C80">
        <w:rPr>
          <w:i/>
          <w:iCs/>
          <w:lang w:val="en-GB"/>
        </w:rPr>
        <w:t>iteromyces</w:t>
      </w:r>
      <w:proofErr w:type="spellEnd"/>
      <w:r w:rsidR="003A6C80" w:rsidRPr="003A6C80">
        <w:rPr>
          <w:i/>
          <w:iCs/>
          <w:lang w:val="en-GB"/>
        </w:rPr>
        <w:t xml:space="preserve"> </w:t>
      </w:r>
      <w:proofErr w:type="spellStart"/>
      <w:r w:rsidR="003A6C80" w:rsidRPr="003A6C80">
        <w:rPr>
          <w:i/>
          <w:iCs/>
          <w:lang w:val="en-GB"/>
        </w:rPr>
        <w:t>nyonsensis</w:t>
      </w:r>
      <w:proofErr w:type="spellEnd"/>
      <w:r w:rsidR="003A6C80">
        <w:rPr>
          <w:lang w:val="en-GB"/>
        </w:rPr>
        <w:t xml:space="preserve"> (16,28%) and </w:t>
      </w:r>
      <w:r w:rsidR="003A6C80" w:rsidRPr="003A6C80">
        <w:rPr>
          <w:i/>
          <w:iCs/>
          <w:lang w:val="en-GB"/>
        </w:rPr>
        <w:t xml:space="preserve">W. </w:t>
      </w:r>
      <w:proofErr w:type="spellStart"/>
      <w:r w:rsidR="003A6C80" w:rsidRPr="003A6C80">
        <w:rPr>
          <w:i/>
          <w:iCs/>
          <w:lang w:val="en-GB"/>
        </w:rPr>
        <w:t>anomalus</w:t>
      </w:r>
      <w:proofErr w:type="spellEnd"/>
      <w:r w:rsidR="003A6C80">
        <w:rPr>
          <w:i/>
          <w:iCs/>
          <w:lang w:val="en-GB"/>
        </w:rPr>
        <w:t xml:space="preserve"> </w:t>
      </w:r>
      <w:r w:rsidR="003A6C80" w:rsidRPr="003A6C80">
        <w:rPr>
          <w:lang w:val="en-GB"/>
        </w:rPr>
        <w:t>(13,05%)</w:t>
      </w:r>
      <w:r w:rsidR="003A6C80">
        <w:rPr>
          <w:lang w:val="en-GB"/>
        </w:rPr>
        <w:t>,</w:t>
      </w:r>
      <w:r w:rsidR="003A6C80">
        <w:rPr>
          <w:i/>
          <w:iCs/>
          <w:lang w:val="en-GB"/>
        </w:rPr>
        <w:t xml:space="preserve"> </w:t>
      </w:r>
      <w:r w:rsidR="003A6C80" w:rsidRPr="003A6C80">
        <w:rPr>
          <w:lang w:val="en-GB"/>
        </w:rPr>
        <w:t>overall.</w:t>
      </w:r>
      <w:r w:rsidR="003A6C80">
        <w:rPr>
          <w:lang w:val="en-GB"/>
        </w:rPr>
        <w:t xml:space="preserve"> As for batch 1, the main specie</w:t>
      </w:r>
      <w:r w:rsidR="006A08C6">
        <w:rPr>
          <w:lang w:val="en-GB"/>
        </w:rPr>
        <w:t>s</w:t>
      </w:r>
      <w:r w:rsidR="003A6C80">
        <w:rPr>
          <w:lang w:val="en-GB"/>
        </w:rPr>
        <w:t xml:space="preserve"> found w</w:t>
      </w:r>
      <w:r w:rsidR="006A08C6">
        <w:rPr>
          <w:lang w:val="en-GB"/>
        </w:rPr>
        <w:t>ere</w:t>
      </w:r>
      <w:r w:rsidR="003A6C80">
        <w:rPr>
          <w:lang w:val="en-GB"/>
        </w:rPr>
        <w:t xml:space="preserve"> </w:t>
      </w:r>
      <w:r w:rsidR="003A6C80" w:rsidRPr="003A6C80">
        <w:rPr>
          <w:i/>
          <w:iCs/>
          <w:lang w:val="en-GB"/>
        </w:rPr>
        <w:t>A.</w:t>
      </w:r>
      <w:r w:rsidR="00FF2DFC">
        <w:rPr>
          <w:i/>
          <w:iCs/>
          <w:lang w:val="en-GB"/>
        </w:rPr>
        <w:t xml:space="preserve"> </w:t>
      </w:r>
      <w:r w:rsidR="003A6C80" w:rsidRPr="003A6C80">
        <w:rPr>
          <w:i/>
          <w:iCs/>
          <w:lang w:val="en-GB"/>
        </w:rPr>
        <w:t>pullulans</w:t>
      </w:r>
      <w:r w:rsidR="006A08C6">
        <w:rPr>
          <w:i/>
          <w:iCs/>
          <w:lang w:val="en-GB"/>
        </w:rPr>
        <w:t xml:space="preserve"> </w:t>
      </w:r>
      <w:r w:rsidR="006A08C6" w:rsidRPr="006A08C6">
        <w:rPr>
          <w:lang w:val="en-GB"/>
        </w:rPr>
        <w:t>(35,21%)</w:t>
      </w:r>
      <w:r w:rsidR="003A6C80" w:rsidRPr="003A6C80">
        <w:rPr>
          <w:i/>
          <w:iCs/>
          <w:lang w:val="en-GB"/>
        </w:rPr>
        <w:t xml:space="preserve"> </w:t>
      </w:r>
      <w:r w:rsidR="003A6C80" w:rsidRPr="003A6C80">
        <w:rPr>
          <w:lang w:val="en-GB"/>
        </w:rPr>
        <w:t>and</w:t>
      </w:r>
      <w:r w:rsidR="003A6C80" w:rsidRPr="003A6C80">
        <w:rPr>
          <w:i/>
          <w:iCs/>
          <w:lang w:val="en-GB"/>
        </w:rPr>
        <w:t xml:space="preserve"> W.</w:t>
      </w:r>
      <w:r w:rsidR="00FF2DFC">
        <w:rPr>
          <w:i/>
          <w:iCs/>
          <w:lang w:val="en-GB"/>
        </w:rPr>
        <w:t xml:space="preserve"> </w:t>
      </w:r>
      <w:proofErr w:type="spellStart"/>
      <w:r w:rsidR="003A6C80" w:rsidRPr="003A6C80">
        <w:rPr>
          <w:i/>
          <w:iCs/>
          <w:lang w:val="en-GB"/>
        </w:rPr>
        <w:t>anomalus</w:t>
      </w:r>
      <w:proofErr w:type="spellEnd"/>
      <w:r w:rsidR="006A08C6">
        <w:rPr>
          <w:i/>
          <w:iCs/>
          <w:lang w:val="en-GB"/>
        </w:rPr>
        <w:t xml:space="preserve"> </w:t>
      </w:r>
      <w:r w:rsidR="006A08C6" w:rsidRPr="006A08C6">
        <w:rPr>
          <w:lang w:val="en-GB"/>
        </w:rPr>
        <w:t>(42,99%)</w:t>
      </w:r>
      <w:r w:rsidR="003A6C80" w:rsidRPr="003A6C80">
        <w:rPr>
          <w:i/>
          <w:iCs/>
          <w:lang w:val="en-GB"/>
        </w:rPr>
        <w:t xml:space="preserve"> </w:t>
      </w:r>
      <w:r w:rsidR="006A08C6" w:rsidRPr="006A08C6">
        <w:rPr>
          <w:lang w:val="en-GB"/>
        </w:rPr>
        <w:t xml:space="preserve">in olives and brines, respectively. In batch </w:t>
      </w:r>
      <w:r w:rsidR="006A08C6">
        <w:rPr>
          <w:lang w:val="en-GB"/>
        </w:rPr>
        <w:t xml:space="preserve">2, the main representative species were </w:t>
      </w:r>
      <w:r w:rsidR="006A08C6" w:rsidRPr="006A08C6">
        <w:rPr>
          <w:i/>
          <w:iCs/>
          <w:lang w:val="en-GB"/>
        </w:rPr>
        <w:t>A.</w:t>
      </w:r>
      <w:r w:rsidR="00FF2DFC">
        <w:rPr>
          <w:i/>
          <w:iCs/>
          <w:lang w:val="en-GB"/>
        </w:rPr>
        <w:t xml:space="preserve"> </w:t>
      </w:r>
      <w:r w:rsidR="006A08C6" w:rsidRPr="006A08C6">
        <w:rPr>
          <w:i/>
          <w:iCs/>
          <w:lang w:val="en-GB"/>
        </w:rPr>
        <w:t>pullulans</w:t>
      </w:r>
      <w:r w:rsidR="006A08C6">
        <w:rPr>
          <w:lang w:val="en-GB"/>
        </w:rPr>
        <w:t xml:space="preserve"> (30,84%) and </w:t>
      </w:r>
      <w:r w:rsidR="006A08C6" w:rsidRPr="006A08C6">
        <w:rPr>
          <w:i/>
          <w:iCs/>
          <w:lang w:val="en-GB"/>
        </w:rPr>
        <w:t xml:space="preserve">C. </w:t>
      </w:r>
      <w:proofErr w:type="spellStart"/>
      <w:r w:rsidR="006A08C6" w:rsidRPr="006A08C6">
        <w:rPr>
          <w:i/>
          <w:iCs/>
          <w:lang w:val="en-GB"/>
        </w:rPr>
        <w:t>nyonsensis</w:t>
      </w:r>
      <w:proofErr w:type="spellEnd"/>
      <w:r w:rsidR="006A08C6">
        <w:rPr>
          <w:lang w:val="en-GB"/>
        </w:rPr>
        <w:t xml:space="preserve"> (67,33%) for olives and brines, respectively. </w:t>
      </w:r>
    </w:p>
    <w:p w14:paraId="56963BAE" w14:textId="77777777" w:rsidR="006A08C6" w:rsidRPr="006A08C6" w:rsidRDefault="006A08C6" w:rsidP="008E5587">
      <w:pPr>
        <w:jc w:val="both"/>
        <w:rPr>
          <w:i/>
          <w:iCs/>
          <w:noProof/>
          <w:sz w:val="18"/>
          <w:szCs w:val="18"/>
          <w:lang w:val="en-US"/>
        </w:rPr>
      </w:pPr>
    </w:p>
    <w:p w14:paraId="61171129" w14:textId="77777777" w:rsidR="00EB462B" w:rsidRDefault="00576605" w:rsidP="008E5587">
      <w:pPr>
        <w:jc w:val="both"/>
        <w:rPr>
          <w:lang w:val="en-US"/>
        </w:rPr>
      </w:pPr>
      <w:r>
        <w:rPr>
          <w:lang w:val="en-US"/>
        </w:rPr>
        <w:t>Comparing the two approaches, many differences were found in terms of detected populations in brines and olives.</w:t>
      </w:r>
    </w:p>
    <w:p w14:paraId="2EE787FE" w14:textId="77777777" w:rsidR="00EB462B" w:rsidRDefault="00EB462B" w:rsidP="008E5587">
      <w:pPr>
        <w:jc w:val="both"/>
        <w:rPr>
          <w:lang w:val="en-US"/>
        </w:rPr>
      </w:pPr>
    </w:p>
    <w:p w14:paraId="10ED283A" w14:textId="41B67CDB" w:rsidR="00F63EC4" w:rsidRDefault="0009720F" w:rsidP="008E5587">
      <w:pPr>
        <w:jc w:val="both"/>
        <w:rPr>
          <w:lang w:val="en-US"/>
        </w:rPr>
      </w:pPr>
      <w:r>
        <w:rPr>
          <w:lang w:val="en-US"/>
        </w:rPr>
        <w:t xml:space="preserve">Correlation </w:t>
      </w:r>
      <w:r>
        <w:rPr>
          <w:lang w:val="en-GB"/>
        </w:rPr>
        <w:t>with</w:t>
      </w:r>
      <w:r w:rsidR="00D1638F">
        <w:rPr>
          <w:lang w:val="en-GB"/>
        </w:rPr>
        <w:t xml:space="preserve"> GC/MS </w:t>
      </w:r>
      <w:r>
        <w:rPr>
          <w:lang w:val="en-GB"/>
        </w:rPr>
        <w:t>data</w:t>
      </w:r>
      <w:r w:rsidR="00D1638F">
        <w:rPr>
          <w:lang w:val="en-GB"/>
        </w:rPr>
        <w:t xml:space="preserve"> </w:t>
      </w:r>
      <w:r w:rsidR="00085C8F">
        <w:rPr>
          <w:lang w:val="en-GB"/>
        </w:rPr>
        <w:t xml:space="preserve">showed </w:t>
      </w:r>
      <w:r w:rsidR="008E5587">
        <w:rPr>
          <w:lang w:val="en-GB"/>
        </w:rPr>
        <w:t>that the main ASV fraction,</w:t>
      </w:r>
      <w:r w:rsidR="00085C8F">
        <w:rPr>
          <w:lang w:val="en-GB"/>
        </w:rPr>
        <w:t xml:space="preserve"> </w:t>
      </w:r>
      <w:r w:rsidR="00EB462B" w:rsidRPr="008E5587">
        <w:rPr>
          <w:i/>
          <w:iCs/>
          <w:lang w:val="en-GB"/>
        </w:rPr>
        <w:t>A</w:t>
      </w:r>
      <w:r w:rsidR="00EB462B">
        <w:rPr>
          <w:i/>
          <w:iCs/>
          <w:lang w:val="en-GB"/>
        </w:rPr>
        <w:t>. pullulans</w:t>
      </w:r>
      <w:r w:rsidR="00EB462B">
        <w:rPr>
          <w:lang w:val="en-GB"/>
        </w:rPr>
        <w:t xml:space="preserve"> w</w:t>
      </w:r>
      <w:r w:rsidR="008E5587">
        <w:rPr>
          <w:lang w:val="en-GB"/>
        </w:rPr>
        <w:t>as positively</w:t>
      </w:r>
      <w:r w:rsidR="00EB462B">
        <w:rPr>
          <w:lang w:val="en-GB"/>
        </w:rPr>
        <w:t xml:space="preserve"> correlated </w:t>
      </w:r>
      <w:r w:rsidR="008E5587">
        <w:rPr>
          <w:lang w:val="en-GB"/>
        </w:rPr>
        <w:t>to</w:t>
      </w:r>
      <w:r w:rsidR="00EB462B">
        <w:rPr>
          <w:lang w:val="en-GB"/>
        </w:rPr>
        <w:t xml:space="preserve"> </w:t>
      </w:r>
      <w:r w:rsidR="008E5587">
        <w:rPr>
          <w:lang w:val="en-GB"/>
        </w:rPr>
        <w:t>heptanal, 1-hexanol-2-ethyl and ethanol (</w:t>
      </w:r>
      <w:r w:rsidR="008E5587" w:rsidRPr="008E5587">
        <w:rPr>
          <w:i/>
          <w:iCs/>
          <w:lang w:val="en-GB"/>
        </w:rPr>
        <w:t>P</w:t>
      </w:r>
      <w:r w:rsidR="008E5587">
        <w:rPr>
          <w:lang w:val="en-GB"/>
        </w:rPr>
        <w:t xml:space="preserve"> &lt; 0.05)</w:t>
      </w:r>
      <w:r w:rsidR="00EB462B">
        <w:rPr>
          <w:lang w:val="en-GB"/>
        </w:rPr>
        <w:t xml:space="preserve"> and negatively </w:t>
      </w:r>
      <w:r w:rsidR="008E5587">
        <w:rPr>
          <w:lang w:val="en-GB"/>
        </w:rPr>
        <w:t xml:space="preserve">correlated to 1-decanol-2-hexyl </w:t>
      </w:r>
      <w:r w:rsidR="00EB462B">
        <w:rPr>
          <w:lang w:val="en-GB"/>
        </w:rPr>
        <w:t>in olives</w:t>
      </w:r>
      <w:r w:rsidR="008E5587">
        <w:rPr>
          <w:lang w:val="en-GB"/>
        </w:rPr>
        <w:t xml:space="preserve"> (</w:t>
      </w:r>
      <w:r w:rsidR="008E5587" w:rsidRPr="008E5587">
        <w:rPr>
          <w:i/>
          <w:iCs/>
          <w:lang w:val="en-GB"/>
        </w:rPr>
        <w:t xml:space="preserve">P </w:t>
      </w:r>
      <w:r w:rsidR="008E5587">
        <w:rPr>
          <w:lang w:val="en-GB"/>
        </w:rPr>
        <w:t xml:space="preserve">&lt; 0.05). </w:t>
      </w:r>
    </w:p>
    <w:p w14:paraId="22337A84" w14:textId="77777777" w:rsidR="00677E5D" w:rsidRPr="000A1D40" w:rsidRDefault="00677E5D" w:rsidP="00677E5D">
      <w:pPr>
        <w:pStyle w:val="Titolo1"/>
        <w:spacing w:before="240" w:after="120"/>
        <w:ind w:right="0"/>
        <w:jc w:val="both"/>
        <w:rPr>
          <w:b/>
          <w:bCs/>
          <w:color w:val="000000"/>
          <w:sz w:val="24"/>
          <w:lang w:val="it-IT"/>
        </w:rPr>
      </w:pPr>
      <w:r w:rsidRPr="000A1D40">
        <w:rPr>
          <w:b/>
          <w:bCs/>
          <w:color w:val="000000"/>
          <w:sz w:val="24"/>
          <w:lang w:val="it-IT"/>
        </w:rPr>
        <w:t xml:space="preserve">4. </w:t>
      </w:r>
      <w:proofErr w:type="spellStart"/>
      <w:r w:rsidRPr="000A1D40">
        <w:rPr>
          <w:b/>
          <w:bCs/>
          <w:color w:val="000000"/>
          <w:sz w:val="24"/>
          <w:lang w:val="it-IT"/>
        </w:rPr>
        <w:t>References</w:t>
      </w:r>
      <w:proofErr w:type="spellEnd"/>
    </w:p>
    <w:p w14:paraId="57BA64F2" w14:textId="25566B76" w:rsidR="00A00491" w:rsidRPr="000A1D40" w:rsidRDefault="005F79FF" w:rsidP="00A00491">
      <w:pPr>
        <w:autoSpaceDE w:val="0"/>
        <w:autoSpaceDN w:val="0"/>
        <w:adjustRightInd w:val="0"/>
        <w:ind w:left="480" w:hanging="480"/>
        <w:rPr>
          <w:noProof/>
          <w:szCs w:val="24"/>
          <w:lang w:val="en-US"/>
        </w:rPr>
      </w:pPr>
      <w:r>
        <w:rPr>
          <w:lang w:val="en-GB"/>
        </w:rPr>
        <w:fldChar w:fldCharType="begin" w:fldLock="1"/>
      </w:r>
      <w:r w:rsidRPr="000A1D40">
        <w:instrText xml:space="preserve">ADDIN Mendeley Bibliography CSL_BIBLIOGRAPHY </w:instrText>
      </w:r>
      <w:r>
        <w:rPr>
          <w:lang w:val="en-GB"/>
        </w:rPr>
        <w:fldChar w:fldCharType="separate"/>
      </w:r>
      <w:r w:rsidR="00A00491" w:rsidRPr="00A00491">
        <w:rPr>
          <w:noProof/>
          <w:szCs w:val="24"/>
        </w:rPr>
        <w:t xml:space="preserve">Bevilacqua, A., Corbo, M. R., &amp; Sinigaglia, M. (2012). </w:t>
      </w:r>
      <w:r w:rsidR="00A00491" w:rsidRPr="000A1D40">
        <w:rPr>
          <w:i/>
          <w:iCs/>
          <w:noProof/>
          <w:szCs w:val="24"/>
          <w:lang w:val="en-US"/>
        </w:rPr>
        <w:t>Selection of yeasts as starter cultures for table olives : a step-by-step procedure</w:t>
      </w:r>
      <w:r w:rsidR="00A00491" w:rsidRPr="000A1D40">
        <w:rPr>
          <w:noProof/>
          <w:szCs w:val="24"/>
          <w:lang w:val="en-US"/>
        </w:rPr>
        <w:t xml:space="preserve">. </w:t>
      </w:r>
      <w:r w:rsidR="00A00491" w:rsidRPr="000A1D40">
        <w:rPr>
          <w:i/>
          <w:iCs/>
          <w:noProof/>
          <w:szCs w:val="24"/>
          <w:lang w:val="en-US"/>
        </w:rPr>
        <w:t>3</w:t>
      </w:r>
      <w:r w:rsidR="00A00491" w:rsidRPr="000A1D40">
        <w:rPr>
          <w:noProof/>
          <w:szCs w:val="24"/>
          <w:lang w:val="en-US"/>
        </w:rPr>
        <w:t>(May), 1–9.</w:t>
      </w:r>
    </w:p>
    <w:p w14:paraId="24BF89F5" w14:textId="77777777" w:rsidR="00A00491" w:rsidRPr="000A1D40" w:rsidRDefault="00A00491" w:rsidP="00A00491">
      <w:pPr>
        <w:autoSpaceDE w:val="0"/>
        <w:autoSpaceDN w:val="0"/>
        <w:adjustRightInd w:val="0"/>
        <w:ind w:left="480" w:hanging="480"/>
        <w:rPr>
          <w:noProof/>
          <w:szCs w:val="24"/>
          <w:lang w:val="en-US"/>
        </w:rPr>
      </w:pPr>
      <w:r w:rsidRPr="000A1D40">
        <w:rPr>
          <w:noProof/>
          <w:szCs w:val="24"/>
          <w:lang w:val="en-US"/>
        </w:rPr>
        <w:t xml:space="preserve">Cocolin, L., Rantsiou, K., Iacumin, L., Urso, R., Cantoni, C., &amp; Comi, G. (2004). Study of the Ecology of Fresh Sausages and Characterization of Populations of Lactic Acid Bacteria by Molecular Methods. </w:t>
      </w:r>
      <w:r w:rsidRPr="000A1D40">
        <w:rPr>
          <w:i/>
          <w:iCs/>
          <w:noProof/>
          <w:szCs w:val="24"/>
          <w:lang w:val="en-US"/>
        </w:rPr>
        <w:t>Applied and Environmental Microbiology</w:t>
      </w:r>
      <w:r w:rsidRPr="000A1D40">
        <w:rPr>
          <w:noProof/>
          <w:szCs w:val="24"/>
          <w:lang w:val="en-US"/>
        </w:rPr>
        <w:t xml:space="preserve">, </w:t>
      </w:r>
      <w:r w:rsidRPr="000A1D40">
        <w:rPr>
          <w:i/>
          <w:iCs/>
          <w:noProof/>
          <w:szCs w:val="24"/>
          <w:lang w:val="en-US"/>
        </w:rPr>
        <w:t>70</w:t>
      </w:r>
      <w:r w:rsidRPr="000A1D40">
        <w:rPr>
          <w:noProof/>
          <w:szCs w:val="24"/>
          <w:lang w:val="en-US"/>
        </w:rPr>
        <w:t>(4), 1883–1894.</w:t>
      </w:r>
    </w:p>
    <w:p w14:paraId="631C4103" w14:textId="77777777" w:rsidR="00A00491" w:rsidRPr="000A1D40" w:rsidRDefault="00A00491" w:rsidP="00A00491">
      <w:pPr>
        <w:autoSpaceDE w:val="0"/>
        <w:autoSpaceDN w:val="0"/>
        <w:adjustRightInd w:val="0"/>
        <w:ind w:left="480" w:hanging="480"/>
        <w:rPr>
          <w:noProof/>
          <w:szCs w:val="24"/>
          <w:lang w:val="en-US"/>
        </w:rPr>
      </w:pPr>
      <w:r w:rsidRPr="000A1D40">
        <w:rPr>
          <w:noProof/>
          <w:szCs w:val="24"/>
          <w:lang w:val="en-US"/>
        </w:rPr>
        <w:t xml:space="preserve">Mota-Gutierrez, J., Ferrocino, I., Rantsiou, K., &amp; Cocolin, L. (2019). Metataxonomic comparison between internal transcribed spacer and 26S ribosomal large subunit (LSU) rDNA gene. </w:t>
      </w:r>
      <w:r w:rsidRPr="000A1D40">
        <w:rPr>
          <w:i/>
          <w:iCs/>
          <w:noProof/>
          <w:szCs w:val="24"/>
          <w:lang w:val="en-US"/>
        </w:rPr>
        <w:t>International Journal of Food Microbiology</w:t>
      </w:r>
      <w:r w:rsidRPr="000A1D40">
        <w:rPr>
          <w:noProof/>
          <w:szCs w:val="24"/>
          <w:lang w:val="en-US"/>
        </w:rPr>
        <w:t xml:space="preserve">, </w:t>
      </w:r>
      <w:r w:rsidRPr="000A1D40">
        <w:rPr>
          <w:i/>
          <w:iCs/>
          <w:noProof/>
          <w:szCs w:val="24"/>
          <w:lang w:val="en-US"/>
        </w:rPr>
        <w:t>290</w:t>
      </w:r>
      <w:r w:rsidRPr="000A1D40">
        <w:rPr>
          <w:noProof/>
          <w:szCs w:val="24"/>
          <w:lang w:val="en-US"/>
        </w:rPr>
        <w:t>(October 2018), 132–140.</w:t>
      </w:r>
    </w:p>
    <w:p w14:paraId="4DF6F518" w14:textId="77777777" w:rsidR="00A00491" w:rsidRPr="000A1D40" w:rsidRDefault="00A00491" w:rsidP="00A00491">
      <w:pPr>
        <w:autoSpaceDE w:val="0"/>
        <w:autoSpaceDN w:val="0"/>
        <w:adjustRightInd w:val="0"/>
        <w:ind w:left="480" w:hanging="480"/>
        <w:rPr>
          <w:noProof/>
          <w:szCs w:val="24"/>
          <w:lang w:val="en-US"/>
        </w:rPr>
      </w:pPr>
      <w:r w:rsidRPr="000A1D40">
        <w:rPr>
          <w:noProof/>
          <w:szCs w:val="24"/>
          <w:lang w:val="en-US"/>
        </w:rPr>
        <w:t xml:space="preserve">Traina. (2022). Microbiomes in Food Systems. In </w:t>
      </w:r>
      <w:r w:rsidRPr="000A1D40">
        <w:rPr>
          <w:i/>
          <w:iCs/>
          <w:noProof/>
          <w:szCs w:val="24"/>
          <w:lang w:val="en-US"/>
        </w:rPr>
        <w:t>Proceedings of the 26th Workshop on the Developments in the Italian PhD Research on Food Science, Technology and Biotechnology</w:t>
      </w:r>
      <w:r w:rsidRPr="000A1D40">
        <w:rPr>
          <w:noProof/>
          <w:szCs w:val="24"/>
          <w:lang w:val="en-US"/>
        </w:rPr>
        <w:t xml:space="preserve"> (pp. 193–194).</w:t>
      </w:r>
    </w:p>
    <w:p w14:paraId="16256DDE" w14:textId="77777777" w:rsidR="00A00491" w:rsidRPr="00A00491" w:rsidRDefault="00A00491" w:rsidP="00A00491">
      <w:pPr>
        <w:autoSpaceDE w:val="0"/>
        <w:autoSpaceDN w:val="0"/>
        <w:adjustRightInd w:val="0"/>
        <w:ind w:left="480" w:hanging="480"/>
        <w:rPr>
          <w:noProof/>
        </w:rPr>
      </w:pPr>
      <w:r w:rsidRPr="000A1D40">
        <w:rPr>
          <w:noProof/>
          <w:szCs w:val="24"/>
          <w:lang w:val="en-US"/>
        </w:rPr>
        <w:t xml:space="preserve">Versalovic, J., Schneider, M., De Bruijn, F. J., &amp; Lupski, J. R. (1994). Microbial DNA typing by automated repetitive-sequence-based PCR. </w:t>
      </w:r>
      <w:r w:rsidRPr="00A00491">
        <w:rPr>
          <w:i/>
          <w:iCs/>
          <w:noProof/>
          <w:szCs w:val="24"/>
        </w:rPr>
        <w:t>Journal of Clinical Microbiology</w:t>
      </w:r>
      <w:r w:rsidRPr="00A00491">
        <w:rPr>
          <w:noProof/>
          <w:szCs w:val="24"/>
        </w:rPr>
        <w:t xml:space="preserve">, </w:t>
      </w:r>
      <w:r w:rsidRPr="00A00491">
        <w:rPr>
          <w:i/>
          <w:iCs/>
          <w:noProof/>
          <w:szCs w:val="24"/>
        </w:rPr>
        <w:t>43</w:t>
      </w:r>
      <w:r w:rsidRPr="00A00491">
        <w:rPr>
          <w:noProof/>
          <w:szCs w:val="24"/>
        </w:rPr>
        <w:t>(1), 199–207.</w:t>
      </w:r>
    </w:p>
    <w:p w14:paraId="37D17ED7" w14:textId="4C5CD5C6" w:rsidR="00677E5D" w:rsidRPr="005F79FF" w:rsidRDefault="005F79FF" w:rsidP="008E5587">
      <w:pPr>
        <w:rPr>
          <w:noProof/>
          <w:szCs w:val="24"/>
          <w:lang w:val="en-GB"/>
        </w:rPr>
      </w:pPr>
      <w:r>
        <w:rPr>
          <w:lang w:val="en-GB"/>
        </w:rPr>
        <w:fldChar w:fldCharType="end"/>
      </w:r>
    </w:p>
    <w:sectPr w:rsidR="00677E5D" w:rsidRPr="005F79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E5D"/>
    <w:rsid w:val="000172E3"/>
    <w:rsid w:val="00085C8F"/>
    <w:rsid w:val="00087570"/>
    <w:rsid w:val="00090470"/>
    <w:rsid w:val="00092A38"/>
    <w:rsid w:val="00096018"/>
    <w:rsid w:val="0009720F"/>
    <w:rsid w:val="000A1D40"/>
    <w:rsid w:val="000C3A3D"/>
    <w:rsid w:val="0010093B"/>
    <w:rsid w:val="00142637"/>
    <w:rsid w:val="00172918"/>
    <w:rsid w:val="00184E5B"/>
    <w:rsid w:val="001F39F2"/>
    <w:rsid w:val="00225195"/>
    <w:rsid w:val="00235678"/>
    <w:rsid w:val="00262925"/>
    <w:rsid w:val="00282FB8"/>
    <w:rsid w:val="002C170A"/>
    <w:rsid w:val="0032623E"/>
    <w:rsid w:val="003A1BBE"/>
    <w:rsid w:val="003A6C80"/>
    <w:rsid w:val="003B6CB4"/>
    <w:rsid w:val="003D5EB9"/>
    <w:rsid w:val="003E4D5F"/>
    <w:rsid w:val="003F1CFA"/>
    <w:rsid w:val="00415C32"/>
    <w:rsid w:val="0043417C"/>
    <w:rsid w:val="00453D7B"/>
    <w:rsid w:val="004861BF"/>
    <w:rsid w:val="004A63A0"/>
    <w:rsid w:val="004C1472"/>
    <w:rsid w:val="004C6367"/>
    <w:rsid w:val="004F1615"/>
    <w:rsid w:val="004F1A83"/>
    <w:rsid w:val="005214A7"/>
    <w:rsid w:val="0053407B"/>
    <w:rsid w:val="00557F91"/>
    <w:rsid w:val="00576605"/>
    <w:rsid w:val="005934D3"/>
    <w:rsid w:val="005E6CC3"/>
    <w:rsid w:val="005F07A9"/>
    <w:rsid w:val="005F79FF"/>
    <w:rsid w:val="006265AC"/>
    <w:rsid w:val="00633229"/>
    <w:rsid w:val="00677E5D"/>
    <w:rsid w:val="006A08C6"/>
    <w:rsid w:val="006A39B8"/>
    <w:rsid w:val="006C7402"/>
    <w:rsid w:val="0071552B"/>
    <w:rsid w:val="00732781"/>
    <w:rsid w:val="007400BE"/>
    <w:rsid w:val="00765AF9"/>
    <w:rsid w:val="0076694B"/>
    <w:rsid w:val="00773F8F"/>
    <w:rsid w:val="00797194"/>
    <w:rsid w:val="007B069E"/>
    <w:rsid w:val="007D4EE3"/>
    <w:rsid w:val="007F17BA"/>
    <w:rsid w:val="0082255E"/>
    <w:rsid w:val="008252BD"/>
    <w:rsid w:val="00844E21"/>
    <w:rsid w:val="008653B0"/>
    <w:rsid w:val="00890FFB"/>
    <w:rsid w:val="00892E9A"/>
    <w:rsid w:val="0089392E"/>
    <w:rsid w:val="008A2D65"/>
    <w:rsid w:val="008B3614"/>
    <w:rsid w:val="008E5587"/>
    <w:rsid w:val="00904C9D"/>
    <w:rsid w:val="009314C6"/>
    <w:rsid w:val="009B79B0"/>
    <w:rsid w:val="009D5DC2"/>
    <w:rsid w:val="00A00491"/>
    <w:rsid w:val="00A03076"/>
    <w:rsid w:val="00A31865"/>
    <w:rsid w:val="00A63424"/>
    <w:rsid w:val="00AA088D"/>
    <w:rsid w:val="00AA7522"/>
    <w:rsid w:val="00AD4120"/>
    <w:rsid w:val="00AD784E"/>
    <w:rsid w:val="00B2551A"/>
    <w:rsid w:val="00B25F91"/>
    <w:rsid w:val="00B27DD8"/>
    <w:rsid w:val="00B74112"/>
    <w:rsid w:val="00BC010A"/>
    <w:rsid w:val="00BC3641"/>
    <w:rsid w:val="00BD4078"/>
    <w:rsid w:val="00C039F6"/>
    <w:rsid w:val="00C34274"/>
    <w:rsid w:val="00C43ED6"/>
    <w:rsid w:val="00C77AF7"/>
    <w:rsid w:val="00CB359E"/>
    <w:rsid w:val="00CB3853"/>
    <w:rsid w:val="00CF7E72"/>
    <w:rsid w:val="00D14016"/>
    <w:rsid w:val="00D1638F"/>
    <w:rsid w:val="00D20AD2"/>
    <w:rsid w:val="00D373F0"/>
    <w:rsid w:val="00D57231"/>
    <w:rsid w:val="00D73072"/>
    <w:rsid w:val="00D73230"/>
    <w:rsid w:val="00DE0AE5"/>
    <w:rsid w:val="00DE15A7"/>
    <w:rsid w:val="00E10014"/>
    <w:rsid w:val="00E35A12"/>
    <w:rsid w:val="00E66786"/>
    <w:rsid w:val="00EB462B"/>
    <w:rsid w:val="00EC3513"/>
    <w:rsid w:val="00EC69CF"/>
    <w:rsid w:val="00EE02E0"/>
    <w:rsid w:val="00F0116B"/>
    <w:rsid w:val="00F110C8"/>
    <w:rsid w:val="00F117CE"/>
    <w:rsid w:val="00F324F1"/>
    <w:rsid w:val="00F63EC4"/>
    <w:rsid w:val="00F76421"/>
    <w:rsid w:val="00FB7AED"/>
    <w:rsid w:val="00FC7FC7"/>
    <w:rsid w:val="00FF2D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2A61"/>
  <w15:chartTrackingRefBased/>
  <w15:docId w15:val="{8D29D3FA-6D44-4E9B-8212-03BE5085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7E5D"/>
    <w:pPr>
      <w:widowControl w:val="0"/>
      <w:suppressAutoHyphens/>
      <w:spacing w:after="0" w:line="240" w:lineRule="auto"/>
    </w:pPr>
    <w:rPr>
      <w:rFonts w:ascii="Times New Roman" w:eastAsia="Times New Roman" w:hAnsi="Times New Roman" w:cs="Times New Roman"/>
      <w:kern w:val="0"/>
      <w:sz w:val="20"/>
      <w:szCs w:val="20"/>
      <w:lang w:eastAsia="zh-CN"/>
      <w14:ligatures w14:val="none"/>
    </w:rPr>
  </w:style>
  <w:style w:type="paragraph" w:styleId="Titolo1">
    <w:name w:val="heading 1"/>
    <w:basedOn w:val="Normale"/>
    <w:next w:val="Normale"/>
    <w:link w:val="Titolo1Carattere"/>
    <w:uiPriority w:val="9"/>
    <w:qFormat/>
    <w:rsid w:val="00677E5D"/>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677E5D"/>
    <w:pPr>
      <w:keepNext/>
      <w:outlineLvl w:val="1"/>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77E5D"/>
    <w:rPr>
      <w:rFonts w:ascii="Times New Roman" w:eastAsia="Times New Roman" w:hAnsi="Times New Roman" w:cs="Times New Roman"/>
      <w:color w:val="850C13"/>
      <w:spacing w:val="-2"/>
      <w:kern w:val="0"/>
      <w:sz w:val="52"/>
      <w:szCs w:val="52"/>
      <w:shd w:val="clear" w:color="auto" w:fill="FFFFFF"/>
      <w:lang w:val="en-US" w:eastAsia="zh-CN"/>
      <w14:ligatures w14:val="none"/>
    </w:rPr>
  </w:style>
  <w:style w:type="character" w:customStyle="1" w:styleId="Titolo2Carattere">
    <w:name w:val="Titolo 2 Carattere"/>
    <w:basedOn w:val="Carpredefinitoparagrafo"/>
    <w:link w:val="Titolo2"/>
    <w:uiPriority w:val="9"/>
    <w:rsid w:val="00677E5D"/>
    <w:rPr>
      <w:rFonts w:ascii="Times New Roman" w:eastAsia="Times New Roman" w:hAnsi="Times New Roman" w:cs="Times New Roman"/>
      <w:kern w:val="0"/>
      <w:sz w:val="32"/>
      <w:szCs w:val="20"/>
      <w:lang w:eastAsia="zh-CN"/>
      <w14:ligatures w14:val="none"/>
    </w:rPr>
  </w:style>
  <w:style w:type="paragraph" w:styleId="Titolo">
    <w:name w:val="Title"/>
    <w:basedOn w:val="Normale"/>
    <w:next w:val="Normale"/>
    <w:link w:val="TitoloCarattere"/>
    <w:uiPriority w:val="10"/>
    <w:qFormat/>
    <w:rsid w:val="00677E5D"/>
    <w:pPr>
      <w:widowControl/>
      <w:spacing w:before="72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677E5D"/>
    <w:rPr>
      <w:rFonts w:ascii="Times New Roman" w:eastAsia="Times New Roman" w:hAnsi="Times New Roman" w:cs="Times New Roman"/>
      <w:b/>
      <w:sz w:val="28"/>
      <w:szCs w:val="20"/>
      <w:lang w:val="nl-NL" w:eastAsia="zh-CN"/>
      <w14:ligatures w14:val="none"/>
    </w:rPr>
  </w:style>
  <w:style w:type="paragraph" w:styleId="Intestazione">
    <w:name w:val="header"/>
    <w:basedOn w:val="Normale"/>
    <w:link w:val="IntestazioneCarattere"/>
    <w:rsid w:val="00677E5D"/>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677E5D"/>
    <w:rPr>
      <w:rFonts w:ascii="Times New Roman" w:eastAsia="Times New Roman" w:hAnsi="Times New Roman" w:cs="Times New Roman"/>
      <w:sz w:val="20"/>
      <w:szCs w:val="20"/>
      <w:lang w:val="nl-NL" w:eastAsia="zh-CN"/>
      <w14:ligatures w14:val="none"/>
    </w:rPr>
  </w:style>
  <w:style w:type="character" w:styleId="Collegamentoipertestuale">
    <w:name w:val="Hyperlink"/>
    <w:basedOn w:val="Carpredefinitoparagrafo"/>
    <w:uiPriority w:val="99"/>
    <w:unhideWhenUsed/>
    <w:rsid w:val="00677E5D"/>
    <w:rPr>
      <w:color w:val="0563C1" w:themeColor="hyperlink"/>
      <w:u w:val="single"/>
    </w:rPr>
  </w:style>
  <w:style w:type="character" w:styleId="Menzionenonrisolta">
    <w:name w:val="Unresolved Mention"/>
    <w:basedOn w:val="Carpredefinitoparagrafo"/>
    <w:uiPriority w:val="99"/>
    <w:semiHidden/>
    <w:unhideWhenUsed/>
    <w:rsid w:val="00677E5D"/>
    <w:rPr>
      <w:color w:val="605E5C"/>
      <w:shd w:val="clear" w:color="auto" w:fill="E1DFDD"/>
    </w:rPr>
  </w:style>
  <w:style w:type="paragraph" w:styleId="Didascalia">
    <w:name w:val="caption"/>
    <w:basedOn w:val="Normale"/>
    <w:next w:val="Normale"/>
    <w:uiPriority w:val="35"/>
    <w:unhideWhenUsed/>
    <w:qFormat/>
    <w:rsid w:val="004F1615"/>
    <w:pPr>
      <w:spacing w:after="200"/>
    </w:pPr>
    <w:rPr>
      <w:i/>
      <w:iCs/>
      <w:color w:val="44546A" w:themeColor="text2"/>
      <w:sz w:val="18"/>
      <w:szCs w:val="18"/>
    </w:rPr>
  </w:style>
  <w:style w:type="paragraph" w:styleId="Paragrafoelenco">
    <w:name w:val="List Paragraph"/>
    <w:basedOn w:val="Normale"/>
    <w:uiPriority w:val="34"/>
    <w:qFormat/>
    <w:rsid w:val="00D1638F"/>
    <w:pPr>
      <w:ind w:left="720"/>
      <w:contextualSpacing/>
    </w:pPr>
  </w:style>
  <w:style w:type="paragraph" w:styleId="Revisione">
    <w:name w:val="Revision"/>
    <w:hidden/>
    <w:uiPriority w:val="99"/>
    <w:semiHidden/>
    <w:rsid w:val="000A1D40"/>
    <w:pPr>
      <w:spacing w:after="0" w:line="240" w:lineRule="auto"/>
    </w:pPr>
    <w:rPr>
      <w:rFonts w:ascii="Times New Roman" w:eastAsia="Times New Roman" w:hAnsi="Times New Roman" w:cs="Times New Roman"/>
      <w:kern w:val="0"/>
      <w:sz w:val="20"/>
      <w:szCs w:val="20"/>
      <w:lang w:eastAsia="zh-CN"/>
      <w14:ligatures w14:val="none"/>
    </w:rPr>
  </w:style>
  <w:style w:type="character" w:styleId="Rimandocommento">
    <w:name w:val="annotation reference"/>
    <w:basedOn w:val="Carpredefinitoparagrafo"/>
    <w:uiPriority w:val="99"/>
    <w:semiHidden/>
    <w:unhideWhenUsed/>
    <w:rsid w:val="000A1D40"/>
    <w:rPr>
      <w:sz w:val="16"/>
      <w:szCs w:val="16"/>
    </w:rPr>
  </w:style>
  <w:style w:type="paragraph" w:styleId="Testocommento">
    <w:name w:val="annotation text"/>
    <w:basedOn w:val="Normale"/>
    <w:link w:val="TestocommentoCarattere"/>
    <w:uiPriority w:val="99"/>
    <w:semiHidden/>
    <w:unhideWhenUsed/>
    <w:rsid w:val="000A1D40"/>
  </w:style>
  <w:style w:type="character" w:customStyle="1" w:styleId="TestocommentoCarattere">
    <w:name w:val="Testo commento Carattere"/>
    <w:basedOn w:val="Carpredefinitoparagrafo"/>
    <w:link w:val="Testocommento"/>
    <w:uiPriority w:val="99"/>
    <w:semiHidden/>
    <w:rsid w:val="000A1D40"/>
    <w:rPr>
      <w:rFonts w:ascii="Times New Roman" w:eastAsia="Times New Roman" w:hAnsi="Times New Roman" w:cs="Times New Roman"/>
      <w:kern w:val="0"/>
      <w:sz w:val="20"/>
      <w:szCs w:val="20"/>
      <w:lang w:eastAsia="zh-CN"/>
      <w14:ligatures w14:val="none"/>
    </w:rPr>
  </w:style>
  <w:style w:type="paragraph" w:styleId="Soggettocommento">
    <w:name w:val="annotation subject"/>
    <w:basedOn w:val="Testocommento"/>
    <w:next w:val="Testocommento"/>
    <w:link w:val="SoggettocommentoCarattere"/>
    <w:uiPriority w:val="99"/>
    <w:semiHidden/>
    <w:unhideWhenUsed/>
    <w:rsid w:val="000A1D40"/>
    <w:rPr>
      <w:b/>
      <w:bCs/>
    </w:rPr>
  </w:style>
  <w:style w:type="character" w:customStyle="1" w:styleId="SoggettocommentoCarattere">
    <w:name w:val="Soggetto commento Carattere"/>
    <w:basedOn w:val="TestocommentoCarattere"/>
    <w:link w:val="Soggettocommento"/>
    <w:uiPriority w:val="99"/>
    <w:semiHidden/>
    <w:rsid w:val="000A1D40"/>
    <w:rPr>
      <w:rFonts w:ascii="Times New Roman" w:eastAsia="Times New Roman" w:hAnsi="Times New Roman" w:cs="Times New Roman"/>
      <w:b/>
      <w:bCs/>
      <w:kern w:val="0"/>
      <w:sz w:val="20"/>
      <w:szCs w:val="2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9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hyperlink" Target="mailto:chiara.traina@unit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22029-681E-4EF2-A602-4586149B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2845</Words>
  <Characters>16217</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Traina</dc:creator>
  <cp:keywords/>
  <dc:description/>
  <cp:lastModifiedBy>Chiara Traina</cp:lastModifiedBy>
  <cp:revision>7</cp:revision>
  <dcterms:created xsi:type="dcterms:W3CDTF">2023-06-07T01:44:00Z</dcterms:created>
  <dcterms:modified xsi:type="dcterms:W3CDTF">2023-06-09T07:40:00Z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988c35bc-a363-3b94-ae18-15132ea83a70</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