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F11" w14:textId="77777777" w:rsidR="00A0522A" w:rsidRDefault="00A0522A" w:rsidP="00A0522A">
      <w:pPr>
        <w:spacing w:after="120"/>
        <w:jc w:val="center"/>
        <w:rPr>
          <w:b/>
          <w:kern w:val="2"/>
          <w:sz w:val="28"/>
          <w:szCs w:val="20"/>
          <w:lang w:val="en-GB"/>
        </w:rPr>
      </w:pPr>
      <w:r w:rsidRPr="00A0522A">
        <w:rPr>
          <w:b/>
          <w:kern w:val="2"/>
          <w:sz w:val="28"/>
          <w:szCs w:val="20"/>
          <w:lang w:val="en-GB"/>
        </w:rPr>
        <w:t>Role of closure and oxygen dissolved at bottling on white wine evolution:</w:t>
      </w:r>
    </w:p>
    <w:p w14:paraId="54592FA1" w14:textId="453223F1" w:rsidR="00A0522A" w:rsidRPr="00A0522A" w:rsidRDefault="00A0522A" w:rsidP="00A0522A">
      <w:pPr>
        <w:spacing w:after="120"/>
        <w:jc w:val="center"/>
        <w:rPr>
          <w:b/>
          <w:kern w:val="2"/>
          <w:sz w:val="28"/>
          <w:szCs w:val="20"/>
          <w:lang w:val="en-GB"/>
        </w:rPr>
      </w:pPr>
      <w:r w:rsidRPr="00A0522A">
        <w:rPr>
          <w:b/>
          <w:kern w:val="2"/>
          <w:sz w:val="28"/>
          <w:szCs w:val="20"/>
          <w:lang w:val="en-GB"/>
        </w:rPr>
        <w:t>a multiparametric approach</w:t>
      </w:r>
    </w:p>
    <w:p w14:paraId="21C2B6D2" w14:textId="1742249D" w:rsidR="007D40F9" w:rsidRPr="00A0522A" w:rsidRDefault="00D015A3" w:rsidP="00156728">
      <w:pPr>
        <w:jc w:val="center"/>
        <w:rPr>
          <w:sz w:val="20"/>
          <w:szCs w:val="20"/>
          <w:lang w:val="de-DE"/>
        </w:rPr>
      </w:pPr>
      <w:r w:rsidRPr="00A0522A">
        <w:rPr>
          <w:sz w:val="20"/>
          <w:szCs w:val="20"/>
          <w:lang w:val="de-DE"/>
        </w:rPr>
        <w:t>Topo Angelo</w:t>
      </w:r>
      <w:r w:rsidR="007D40F9" w:rsidRPr="00A0522A">
        <w:rPr>
          <w:sz w:val="20"/>
          <w:szCs w:val="20"/>
          <w:lang w:val="de-DE"/>
        </w:rPr>
        <w:t xml:space="preserve"> (</w:t>
      </w:r>
      <w:r w:rsidRPr="00A0522A">
        <w:rPr>
          <w:sz w:val="20"/>
          <w:szCs w:val="20"/>
          <w:lang w:val="de-DE"/>
        </w:rPr>
        <w:t>topo.angelo</w:t>
      </w:r>
      <w:r w:rsidR="007D40F9" w:rsidRPr="00A0522A">
        <w:rPr>
          <w:sz w:val="20"/>
          <w:szCs w:val="20"/>
          <w:lang w:val="de-DE"/>
        </w:rPr>
        <w:t>@</w:t>
      </w:r>
      <w:r w:rsidRPr="00A0522A">
        <w:rPr>
          <w:sz w:val="20"/>
          <w:szCs w:val="20"/>
          <w:lang w:val="de-DE"/>
        </w:rPr>
        <w:t>spes.uniud.it</w:t>
      </w:r>
      <w:r w:rsidR="007D40F9" w:rsidRPr="00A0522A">
        <w:rPr>
          <w:sz w:val="20"/>
          <w:szCs w:val="20"/>
          <w:lang w:val="de-DE"/>
        </w:rPr>
        <w:t>)</w:t>
      </w:r>
    </w:p>
    <w:p w14:paraId="0FCB6A4E" w14:textId="77777777" w:rsidR="00D015A3" w:rsidRPr="00741880" w:rsidRDefault="00D015A3" w:rsidP="00156728">
      <w:pPr>
        <w:spacing w:line="259" w:lineRule="auto"/>
        <w:ind w:right="-1"/>
        <w:jc w:val="center"/>
        <w:rPr>
          <w:sz w:val="20"/>
          <w:szCs w:val="20"/>
          <w:lang w:val="en-US"/>
        </w:rPr>
      </w:pPr>
      <w:r w:rsidRPr="00741880">
        <w:rPr>
          <w:sz w:val="20"/>
          <w:szCs w:val="20"/>
          <w:lang w:val="en-US"/>
        </w:rPr>
        <w:t>Department of Agricultural, Food, Environmental and Animal Sciences, University of Udine, 33100, Italy</w:t>
      </w:r>
    </w:p>
    <w:p w14:paraId="35C7337F" w14:textId="1587A4D6" w:rsidR="00D015A3" w:rsidRPr="00741880" w:rsidRDefault="00D015A3" w:rsidP="00156728">
      <w:pPr>
        <w:spacing w:line="259" w:lineRule="auto"/>
        <w:ind w:right="-1"/>
        <w:jc w:val="center"/>
        <w:rPr>
          <w:sz w:val="20"/>
          <w:szCs w:val="20"/>
        </w:rPr>
      </w:pPr>
      <w:r w:rsidRPr="00741880">
        <w:rPr>
          <w:sz w:val="20"/>
          <w:szCs w:val="20"/>
        </w:rPr>
        <w:t>Tutor: Prof. Comuzzo Piergiorgio</w:t>
      </w:r>
    </w:p>
    <w:p w14:paraId="2DC1A860" w14:textId="79F865D9" w:rsidR="00266A9A" w:rsidRPr="00741880" w:rsidRDefault="00D015A3" w:rsidP="00156728">
      <w:pPr>
        <w:spacing w:after="204" w:line="259" w:lineRule="auto"/>
        <w:ind w:left="1344" w:right="1338"/>
        <w:jc w:val="center"/>
        <w:rPr>
          <w:sz w:val="20"/>
          <w:szCs w:val="20"/>
        </w:rPr>
      </w:pPr>
      <w:r w:rsidRPr="00741880">
        <w:rPr>
          <w:sz w:val="20"/>
          <w:szCs w:val="20"/>
        </w:rPr>
        <w:t xml:space="preserve">Co-tutor: Prof. </w:t>
      </w:r>
      <w:proofErr w:type="spellStart"/>
      <w:r w:rsidRPr="00741880">
        <w:rPr>
          <w:sz w:val="20"/>
          <w:szCs w:val="20"/>
        </w:rPr>
        <w:t>Battistutta</w:t>
      </w:r>
      <w:proofErr w:type="spellEnd"/>
      <w:r w:rsidRPr="00741880">
        <w:rPr>
          <w:sz w:val="20"/>
          <w:szCs w:val="20"/>
        </w:rPr>
        <w:t xml:space="preserve"> Franco</w:t>
      </w:r>
    </w:p>
    <w:p w14:paraId="4F633AF9" w14:textId="77777777" w:rsidR="00747035" w:rsidRPr="00747035" w:rsidRDefault="00747035" w:rsidP="00747035">
      <w:pPr>
        <w:jc w:val="both"/>
        <w:rPr>
          <w:sz w:val="20"/>
          <w:szCs w:val="20"/>
          <w:lang w:val="en-GB"/>
        </w:rPr>
      </w:pPr>
      <w:r w:rsidRPr="00747035">
        <w:rPr>
          <w:sz w:val="20"/>
          <w:szCs w:val="20"/>
          <w:lang w:val="en-GB"/>
        </w:rPr>
        <w:t>The aim of this PhD project is to study the evolution of a bottled white wine sealed with different closures, characterised by different oxygen transfer rates (OTR). In addition, a recent innovative technology for winemaking, processing with contactor membrane, was used to manage dissolved gases at bottling, in particular oxygen.</w:t>
      </w:r>
    </w:p>
    <w:p w14:paraId="4B8C0A79" w14:textId="6269E60A" w:rsidR="007D40F9" w:rsidRDefault="00A0522A" w:rsidP="007D40F9">
      <w:pPr>
        <w:pStyle w:val="Titolo"/>
        <w:spacing w:before="240" w:line="240" w:lineRule="auto"/>
        <w:rPr>
          <w:sz w:val="24"/>
          <w:lang w:val="it-IT"/>
        </w:rPr>
      </w:pPr>
      <w:r>
        <w:rPr>
          <w:sz w:val="24"/>
          <w:lang w:val="it-IT"/>
        </w:rPr>
        <w:t>Ruolo della chiusura e dell’ossigeno disciolto all’imbottigliamento n</w:t>
      </w:r>
      <w:r w:rsidR="002475D3">
        <w:rPr>
          <w:sz w:val="24"/>
          <w:lang w:val="it-IT"/>
        </w:rPr>
        <w:t>e</w:t>
      </w:r>
      <w:r>
        <w:rPr>
          <w:sz w:val="24"/>
          <w:lang w:val="it-IT"/>
        </w:rPr>
        <w:t xml:space="preserve">ll’evoluzione di vini bianchi: un approccio </w:t>
      </w:r>
      <w:proofErr w:type="spellStart"/>
      <w:r>
        <w:rPr>
          <w:sz w:val="24"/>
          <w:lang w:val="it-IT"/>
        </w:rPr>
        <w:t>multiparametrico</w:t>
      </w:r>
      <w:proofErr w:type="spellEnd"/>
    </w:p>
    <w:p w14:paraId="07FF59D7" w14:textId="6C6BE2DB" w:rsidR="00D015A3" w:rsidRPr="00BC5052" w:rsidRDefault="00D015A3" w:rsidP="007B3D56">
      <w:pPr>
        <w:jc w:val="both"/>
        <w:rPr>
          <w:sz w:val="20"/>
          <w:szCs w:val="20"/>
        </w:rPr>
      </w:pPr>
      <w:r w:rsidRPr="00BC5052">
        <w:rPr>
          <w:sz w:val="20"/>
          <w:szCs w:val="20"/>
        </w:rPr>
        <w:t>Il presente progetto</w:t>
      </w:r>
      <w:r w:rsidR="0012025F" w:rsidRPr="00BC5052">
        <w:rPr>
          <w:sz w:val="20"/>
          <w:szCs w:val="20"/>
        </w:rPr>
        <w:t xml:space="preserve"> di dottorato</w:t>
      </w:r>
      <w:r w:rsidRPr="00BC5052">
        <w:rPr>
          <w:sz w:val="20"/>
          <w:szCs w:val="20"/>
        </w:rPr>
        <w:t xml:space="preserve"> si propone di studi</w:t>
      </w:r>
      <w:r w:rsidR="00860A05" w:rsidRPr="00BC5052">
        <w:rPr>
          <w:sz w:val="20"/>
          <w:szCs w:val="20"/>
        </w:rPr>
        <w:t xml:space="preserve">are </w:t>
      </w:r>
      <w:r w:rsidRPr="00BC5052">
        <w:rPr>
          <w:sz w:val="20"/>
          <w:szCs w:val="20"/>
        </w:rPr>
        <w:t>l'evoluzione di un vino bianco</w:t>
      </w:r>
      <w:r w:rsidR="00747035" w:rsidRPr="00BC5052">
        <w:rPr>
          <w:sz w:val="20"/>
          <w:szCs w:val="20"/>
        </w:rPr>
        <w:t xml:space="preserve"> imbottigliato mediante l’utilizzo di differenti chiusure, caratterizzate principalmente da</w:t>
      </w:r>
      <w:r w:rsidRPr="00BC5052">
        <w:rPr>
          <w:sz w:val="20"/>
          <w:szCs w:val="20"/>
        </w:rPr>
        <w:t xml:space="preserve"> </w:t>
      </w:r>
      <w:r w:rsidR="00860A05" w:rsidRPr="00BC5052">
        <w:rPr>
          <w:sz w:val="20"/>
          <w:szCs w:val="20"/>
        </w:rPr>
        <w:t>diversi</w:t>
      </w:r>
      <w:r w:rsidRPr="00BC5052">
        <w:rPr>
          <w:sz w:val="20"/>
          <w:szCs w:val="20"/>
        </w:rPr>
        <w:t xml:space="preserve"> </w:t>
      </w:r>
      <w:proofErr w:type="spellStart"/>
      <w:r w:rsidRPr="00BC5052">
        <w:rPr>
          <w:i/>
          <w:iCs/>
          <w:sz w:val="20"/>
          <w:szCs w:val="20"/>
        </w:rPr>
        <w:t>oxygen</w:t>
      </w:r>
      <w:proofErr w:type="spellEnd"/>
      <w:r w:rsidRPr="00BC5052">
        <w:rPr>
          <w:i/>
          <w:iCs/>
          <w:sz w:val="20"/>
          <w:szCs w:val="20"/>
        </w:rPr>
        <w:t xml:space="preserve"> transfer rate</w:t>
      </w:r>
      <w:r w:rsidRPr="00BC5052">
        <w:rPr>
          <w:sz w:val="20"/>
          <w:szCs w:val="20"/>
        </w:rPr>
        <w:t xml:space="preserve"> (OTR)</w:t>
      </w:r>
      <w:r w:rsidR="00860A05" w:rsidRPr="00BC5052">
        <w:rPr>
          <w:sz w:val="20"/>
          <w:szCs w:val="20"/>
        </w:rPr>
        <w:t xml:space="preserve">. Inoltre, è stata applicata una recente innovazione nel mondo enologico, la membrana </w:t>
      </w:r>
      <w:proofErr w:type="spellStart"/>
      <w:r w:rsidR="00860A05" w:rsidRPr="00BC5052">
        <w:rPr>
          <w:i/>
          <w:iCs/>
          <w:sz w:val="20"/>
          <w:szCs w:val="20"/>
        </w:rPr>
        <w:t>contactor</w:t>
      </w:r>
      <w:proofErr w:type="spellEnd"/>
      <w:r w:rsidR="00860A05" w:rsidRPr="00BC5052">
        <w:rPr>
          <w:sz w:val="20"/>
          <w:szCs w:val="20"/>
        </w:rPr>
        <w:t>, per</w:t>
      </w:r>
      <w:r w:rsidRPr="00BC5052">
        <w:rPr>
          <w:sz w:val="20"/>
          <w:szCs w:val="20"/>
        </w:rPr>
        <w:t xml:space="preserve"> la gestione</w:t>
      </w:r>
      <w:r w:rsidR="00860A05" w:rsidRPr="00BC5052">
        <w:rPr>
          <w:sz w:val="20"/>
          <w:szCs w:val="20"/>
        </w:rPr>
        <w:t xml:space="preserve"> dei gas disciolti, in particolar modo </w:t>
      </w:r>
      <w:r w:rsidRPr="00BC5052">
        <w:rPr>
          <w:sz w:val="20"/>
          <w:szCs w:val="20"/>
        </w:rPr>
        <w:t>dell’ossigeno disciolt</w:t>
      </w:r>
      <w:r w:rsidR="00747035" w:rsidRPr="00BC5052">
        <w:rPr>
          <w:sz w:val="20"/>
          <w:szCs w:val="20"/>
        </w:rPr>
        <w:t>o</w:t>
      </w:r>
      <w:r w:rsidR="00860A05" w:rsidRPr="00BC5052">
        <w:rPr>
          <w:sz w:val="20"/>
          <w:szCs w:val="20"/>
        </w:rPr>
        <w:t>.</w:t>
      </w:r>
    </w:p>
    <w:p w14:paraId="315F1989" w14:textId="77777777" w:rsidR="00860A05" w:rsidRPr="00BC5052" w:rsidRDefault="00860A05" w:rsidP="007D40F9">
      <w:pPr>
        <w:pStyle w:val="Intestazione"/>
        <w:tabs>
          <w:tab w:val="clear" w:pos="4819"/>
          <w:tab w:val="clear" w:pos="9638"/>
        </w:tabs>
        <w:spacing w:line="240" w:lineRule="auto"/>
        <w:rPr>
          <w:lang w:val="it-IT"/>
        </w:rPr>
      </w:pPr>
    </w:p>
    <w:p w14:paraId="0188BB6A" w14:textId="6070CFB2" w:rsidR="007D40F9" w:rsidRPr="00F2271A" w:rsidRDefault="007D40F9" w:rsidP="007B3D56">
      <w:pPr>
        <w:jc w:val="both"/>
        <w:rPr>
          <w:rFonts w:asciiTheme="majorBidi" w:hAnsiTheme="majorBidi" w:cstheme="majorBidi"/>
          <w:sz w:val="20"/>
          <w:szCs w:val="15"/>
          <w:lang w:val="en-US"/>
        </w:rPr>
      </w:pPr>
      <w:r w:rsidRPr="00F2271A">
        <w:rPr>
          <w:rFonts w:asciiTheme="majorBidi" w:hAnsiTheme="majorBidi" w:cstheme="majorBidi"/>
          <w:b/>
          <w:bCs/>
          <w:sz w:val="20"/>
          <w:szCs w:val="15"/>
          <w:lang w:val="en-GB"/>
        </w:rPr>
        <w:t>Key words</w:t>
      </w:r>
      <w:r w:rsidRPr="00F2271A">
        <w:rPr>
          <w:rFonts w:asciiTheme="majorBidi" w:hAnsiTheme="majorBidi" w:cstheme="majorBidi"/>
          <w:sz w:val="20"/>
          <w:szCs w:val="15"/>
          <w:lang w:val="en-GB"/>
        </w:rPr>
        <w:t>:</w:t>
      </w:r>
      <w:r w:rsidR="00650961">
        <w:rPr>
          <w:rFonts w:asciiTheme="majorBidi" w:hAnsiTheme="majorBidi" w:cstheme="majorBidi"/>
          <w:sz w:val="20"/>
          <w:szCs w:val="15"/>
          <w:lang w:val="en-GB"/>
        </w:rPr>
        <w:t xml:space="preserve"> </w:t>
      </w:r>
      <w:r w:rsidR="00A0522A">
        <w:rPr>
          <w:rFonts w:asciiTheme="majorBidi" w:hAnsiTheme="majorBidi" w:cstheme="majorBidi"/>
          <w:bCs/>
          <w:sz w:val="20"/>
          <w:szCs w:val="15"/>
          <w:lang w:val="en-US"/>
        </w:rPr>
        <w:t>C</w:t>
      </w:r>
      <w:r w:rsidR="00D015A3" w:rsidRPr="00F2271A">
        <w:rPr>
          <w:rFonts w:asciiTheme="majorBidi" w:hAnsiTheme="majorBidi" w:cstheme="majorBidi"/>
          <w:bCs/>
          <w:sz w:val="20"/>
          <w:szCs w:val="15"/>
          <w:lang w:val="en-US"/>
        </w:rPr>
        <w:t>ontactor membrane</w:t>
      </w:r>
      <w:r w:rsidR="00A0522A">
        <w:rPr>
          <w:rFonts w:asciiTheme="majorBidi" w:hAnsiTheme="majorBidi" w:cstheme="majorBidi"/>
          <w:bCs/>
          <w:sz w:val="20"/>
          <w:szCs w:val="15"/>
          <w:lang w:val="en-US"/>
        </w:rPr>
        <w:t>;</w:t>
      </w:r>
      <w:r w:rsidR="00D015A3" w:rsidRPr="00F2271A">
        <w:rPr>
          <w:rFonts w:asciiTheme="majorBidi" w:hAnsiTheme="majorBidi" w:cstheme="majorBidi"/>
          <w:bCs/>
          <w:sz w:val="20"/>
          <w:szCs w:val="15"/>
          <w:lang w:val="en-US"/>
        </w:rPr>
        <w:t xml:space="preserve"> </w:t>
      </w:r>
      <w:r w:rsidR="006312B8" w:rsidRPr="00F2271A">
        <w:rPr>
          <w:rFonts w:asciiTheme="majorBidi" w:hAnsiTheme="majorBidi" w:cstheme="majorBidi"/>
          <w:bCs/>
          <w:sz w:val="20"/>
          <w:szCs w:val="15"/>
          <w:lang w:val="en-US"/>
        </w:rPr>
        <w:t>closure</w:t>
      </w:r>
      <w:r w:rsidR="00A0522A">
        <w:rPr>
          <w:rFonts w:asciiTheme="majorBidi" w:hAnsiTheme="majorBidi" w:cstheme="majorBidi"/>
          <w:bCs/>
          <w:sz w:val="20"/>
          <w:szCs w:val="15"/>
          <w:lang w:val="en-US"/>
        </w:rPr>
        <w:t>;</w:t>
      </w:r>
      <w:r w:rsidR="006312B8" w:rsidRPr="00F2271A">
        <w:rPr>
          <w:rFonts w:asciiTheme="majorBidi" w:hAnsiTheme="majorBidi" w:cstheme="majorBidi"/>
          <w:bCs/>
          <w:sz w:val="20"/>
          <w:szCs w:val="15"/>
          <w:lang w:val="en-US"/>
        </w:rPr>
        <w:t xml:space="preserve"> </w:t>
      </w:r>
      <w:r w:rsidR="00D015A3" w:rsidRPr="00F2271A">
        <w:rPr>
          <w:rFonts w:asciiTheme="majorBidi" w:hAnsiTheme="majorBidi" w:cstheme="majorBidi"/>
          <w:bCs/>
          <w:sz w:val="20"/>
          <w:szCs w:val="15"/>
          <w:lang w:val="en-US"/>
        </w:rPr>
        <w:t>oxidation</w:t>
      </w:r>
      <w:r w:rsidR="00A0522A">
        <w:rPr>
          <w:rFonts w:asciiTheme="majorBidi" w:hAnsiTheme="majorBidi" w:cstheme="majorBidi"/>
          <w:bCs/>
          <w:sz w:val="20"/>
          <w:szCs w:val="15"/>
          <w:lang w:val="en-US"/>
        </w:rPr>
        <w:t>;</w:t>
      </w:r>
      <w:r w:rsidR="006312B8" w:rsidRPr="00F2271A">
        <w:rPr>
          <w:rFonts w:asciiTheme="majorBidi" w:hAnsiTheme="majorBidi" w:cstheme="majorBidi"/>
          <w:bCs/>
          <w:sz w:val="20"/>
          <w:szCs w:val="15"/>
          <w:lang w:val="en-US"/>
        </w:rPr>
        <w:t xml:space="preserve"> aroma</w:t>
      </w:r>
      <w:r w:rsidR="00A0522A">
        <w:rPr>
          <w:rFonts w:asciiTheme="majorBidi" w:hAnsiTheme="majorBidi" w:cstheme="majorBidi"/>
          <w:bCs/>
          <w:sz w:val="20"/>
          <w:szCs w:val="15"/>
          <w:lang w:val="en-US"/>
        </w:rPr>
        <w:t>;</w:t>
      </w:r>
      <w:r w:rsidR="006312B8" w:rsidRPr="00F2271A">
        <w:rPr>
          <w:rFonts w:asciiTheme="majorBidi" w:hAnsiTheme="majorBidi" w:cstheme="majorBidi"/>
          <w:bCs/>
          <w:sz w:val="20"/>
          <w:szCs w:val="15"/>
          <w:lang w:val="en-US"/>
        </w:rPr>
        <w:t xml:space="preserve"> carbonyl compounds</w:t>
      </w:r>
      <w:r w:rsidR="00A0522A">
        <w:rPr>
          <w:rFonts w:asciiTheme="majorBidi" w:hAnsiTheme="majorBidi" w:cstheme="majorBidi"/>
          <w:bCs/>
          <w:sz w:val="20"/>
          <w:szCs w:val="15"/>
          <w:lang w:val="en-US"/>
        </w:rPr>
        <w:t>; cyclic voltammetry</w:t>
      </w:r>
      <w:r w:rsidR="00D015A3" w:rsidRPr="00F2271A">
        <w:rPr>
          <w:rFonts w:asciiTheme="majorBidi" w:hAnsiTheme="majorBidi" w:cstheme="majorBidi"/>
          <w:bCs/>
          <w:sz w:val="20"/>
          <w:szCs w:val="15"/>
          <w:lang w:val="en-US"/>
        </w:rPr>
        <w:t>.</w:t>
      </w:r>
    </w:p>
    <w:p w14:paraId="6D676C87" w14:textId="6BC734CA" w:rsidR="00BA692E" w:rsidRPr="00D640E1" w:rsidRDefault="007D40F9" w:rsidP="00D640E1">
      <w:pPr>
        <w:pStyle w:val="Titolo1"/>
        <w:spacing w:before="240" w:after="120"/>
        <w:ind w:right="0"/>
        <w:jc w:val="both"/>
        <w:rPr>
          <w:b/>
          <w:bCs/>
          <w:color w:val="000000"/>
          <w:sz w:val="24"/>
          <w:lang w:val="en-GB"/>
        </w:rPr>
      </w:pPr>
      <w:r>
        <w:rPr>
          <w:b/>
          <w:bCs/>
          <w:color w:val="000000"/>
          <w:sz w:val="24"/>
          <w:lang w:val="en-GB"/>
        </w:rPr>
        <w:t>1. Introduction</w:t>
      </w:r>
    </w:p>
    <w:p w14:paraId="02BB4B2E" w14:textId="1BEA5968" w:rsidR="00674FBD" w:rsidRPr="00674FBD" w:rsidRDefault="00674FBD" w:rsidP="00674FBD">
      <w:pPr>
        <w:tabs>
          <w:tab w:val="left" w:pos="567"/>
        </w:tabs>
        <w:jc w:val="both"/>
        <w:rPr>
          <w:sz w:val="20"/>
          <w:szCs w:val="20"/>
          <w:lang w:val="en-GB"/>
        </w:rPr>
      </w:pPr>
      <w:r w:rsidRPr="00674FBD">
        <w:rPr>
          <w:sz w:val="20"/>
          <w:szCs w:val="20"/>
          <w:lang w:val="en-GB"/>
        </w:rPr>
        <w:t xml:space="preserve">The evolution of a bottled white wine is influenced by various parameters mainly related to the characteristics of the wine </w:t>
      </w:r>
      <w:r w:rsidRPr="00674FBD">
        <w:rPr>
          <w:sz w:val="20"/>
          <w:szCs w:val="20"/>
          <w:lang w:val="en-GB"/>
        </w:rPr>
        <w:fldChar w:fldCharType="begin" w:fldLock="1"/>
      </w:r>
      <w:r w:rsidR="0073686F">
        <w:rPr>
          <w:sz w:val="20"/>
          <w:szCs w:val="20"/>
          <w:lang w:val="en-GB"/>
        </w:rPr>
        <w:instrText>ADDIN CSL_CITATION {"citationItems":[{"id":"ITEM-1","itemData":{"DOI":"10.1016/j.foodchem.2014.07.028","ISSN":"18737072","PMID":"25172689","abstract":"Different winemaking products (ascorbic acid, glutathione, yeast lees and a yeast autolysate) were tested in comparison with sulphur dioxide, concerning radical scavenging activity (measured by DPPH assay), oxygen consumption capacity and ability to reduce wine colour and predisposition to browning. Trials were performed in white wines and model solution. SO2 was the most active in reducing wine colour development. Fresh lees and ascorbic acid were very effective in oxygen and free radical scavenging, but they both induced browning during wine storage, the former, by releasing phenolic compounds. Glutathione was also able to scavenge DPPH in wine, but less effective against oxygen, and it induced browning during storage. Surprisingly, the yeast derivative preparation was the treatment that behave more similarly to sulphiting; it was very active in scavenging DPPH, and, even without modifying oxygen consumption rate, it protected quite well wine colour over an 8 months storage time. © 2014 Elsevier Ltd. All rights reserved.","author":[{"dropping-particle":"","family":"Comuzzo","given":"Piergiorgio","non-dropping-particle":"","parse-names":false,"suffix":""},{"dropping-particle":"","family":"Battistutta","given":"Franco","non-dropping-particle":"","parse-names":false,"suffix":""},{"dropping-particle":"","family":"Vendrame","given":"Marco","non-dropping-particle":"","parse-names":false,"suffix":""},{"dropping-particle":"","family":"Páez","given":"Mariana Silvina","non-dropping-particle":"","parse-names":false,"suffix":""},{"dropping-particle":"","family":"Luisi","given":"Graziano","non-dropping-particle":"","parse-names":false,"suffix":""},{"dropping-particle":"","family":"Zironi","given":"Roberto","non-dropping-particle":"","parse-names":false,"suffix":""}],"container-title":"Food Chemistry","id":"ITEM-1","issued":{"date-parts":[["2015"]]},"page":"107-114","publisher":"Elsevier Ltd","title":"Antioxidant properties of different products and additives in white wine","type":"article-journal","volume":"168"},"uris":["http://www.mendeley.com/documents/?uuid=56e50662-6baf-4706-8957-4aea06104225"]},{"id":"ITEM-2","itemData":{"DOI":"10.1002/jsfa.8397","ISSN":"10970010","PMID":"28436036","abstract":"BACKGROUND: The antioxidant capacity of an inactive dry yeast preparation (YD) was investigated by conventional analytical methods (spectrophotometry, high-performance liquid chromatography) as well as by cyclic voltammetry in a (+)-catechin model wine and compared with that of some of the most common antioxidants found in wine: sulfur dioxide, ascorbic acid and glutathione. RESULTS: Sulfur dioxide was the highest-performing substance in protecting (+)-catechin against browning, followed by ascorbic acid and the YD preparation. Sulfites were the only antioxidant whose activity was clearly detectable in the model wines after 29 days of storage. Voltammetric studies demonstrated that the antioxidant capacity of the products tested was connected to their intrinsic characteristics and their molar concentrations (catechin/antioxidant molar ratio). CONCLUSION: The YD preparation displayed a certain ability to protect polyphenols against browning. The antioxidant activity of YDs towards (+)-catechin appeared to be based on different mechanisms with respect to that of the other products tested: the insoluble portion of these preparations (cell wall residues) might have a non-negligible role, even if the ability of YDs to release compounds able to suppress oxidation cannot be rejected. Direct comparison of the different antioxidants led to interesting indications concerning their mechanism of action in wine-like solution, depending on their concentration and intrinsic characteristics. © 2017 Society of Chemical Industry.","author":[{"dropping-particle":"","family":"Comuzzo","given":"Piergiorgio","non-dropping-particle":"","parse-names":false,"suffix":""},{"dropping-particle":"","family":"Toniolo","given":"Rosanna","non-dropping-particle":"","parse-names":false,"suffix":""},{"dropping-particle":"","family":"Battistutta","given":"Franco","non-dropping-particle":"","parse-names":false,"suffix":""},{"dropping-particle":"","family":"Lizee","given":"Marion","non-dropping-particle":"","parse-names":false,"suffix":""},{"dropping-particle":"","family":"Svigelj","given":"Rossella","non-dropping-particle":"","parse-names":false,"suffix":""},{"dropping-particle":"","family":"Zironi","given":"Roberto","non-dropping-particle":"","parse-names":false,"suffix":""}],"container-title":"Journal of the Science of Food and Agriculture","id":"ITEM-2","issue":"15","issued":{"date-parts":[["2017"]]},"page":"5158-5167","title":"Oxidative behavior of (+)-catechin in the presence of inactive dry yeasts: a comparison with sulfur dioxide, ascorbic acid and glutathione","type":"article-journal","volume":"97"},"uris":["http://www.mendeley.com/documents/?uuid=2f605f8e-7635-4465-88bb-8dbd3e0ca96e"]},{"id":"ITEM-3","itemData":{"DOI":"10.1016/j.foodchem.2008.07.083","ISSN":"03088146","abstract":"Polyphenol content, antioxidant activity, reducing power, colour and changes during storage over nine months in bottles and after accelerated browning were studied in selected Hellenic varietal white wines. The following phenolic compounds were identified in the wines: Caftaric, coutaric, fertaric, ferulic, caffeic, p-coumaric and gallic acids, (+)-catechin and (-)-epicatechin. The results showed that the contents of most of the phenols diminished with time, with the exception of caffeic, ferulic and p-coumaric acids. Antioxidant activity increased with storage whereas reducing power remained significantly unaffected. Accelerated browning did not significantly alter the concentrations of tartaric acid esters but it increased the concentrations of the hydroxycinnamic and gallic acids. (+)-Catechin concentration was not affected while (-)-epicatechin decreased. Antioxidant activity did not show any significant change but reducing power was reduced after the end of the browning test. As for the absorbance at 420 nm, it remained unchanged during storage, but it was significantly increased after accelerated browning. © 2008 Elsevier Ltd. All rights reserved.","author":[{"dropping-particle":"","family":"Kallithraka","given":"S.","non-dropping-particle":"","parse-names":false,"suffix":""},{"dropping-particle":"","family":"Salacha","given":"M. I.","non-dropping-particle":"","parse-names":false,"suffix":""},{"dropping-particle":"","family":"Tzourou","given":"I.","non-dropping-particle":"","parse-names":false,"suffix":""}],"container-title":"Food Chemistry","id":"ITEM-3","issue":"2","issued":{"date-parts":[["2009"]]},"page":"500-505","publisher":"Elsevier Ltd","title":"Changes in phenolic composition and antioxidant activity of white wine during bottle storage: Accelerated browning test versus bottle storage","type":"article-journal","volume":"113"},"uris":["http://www.mendeley.com/documents/?uuid=6496cd3f-4d35-4664-9414-a89780ad2458"]},{"id":"ITEM-4","itemData":{"DOI":"10.1016/j.tifs.2021.04.013","ISSN":"09242244","abstract":"Background: The light-dependent reactions involving riboflavin (RF) and methionine (Met) as substrates are responsible for the light-struck taste (LST). This fault is associated to cabbage-like odours due to the formation of methanethiol and dimethyl disulfide impacting negatively on the sensory properties of white wine. The reaction can occur for a relatively short period of time in white wine bottled in clear glass under both natural and artificial lights. Scope and approach: This review aimed to point out the aspects related to the mechanisms of light-dependent reactions and the oenological strategies applicable to counteract the appearance of this detrimental fault. Key findings and conclusions: LST can be prevented through the proper choice of the fermenting yeast, the addition of certain adjuvants being able to remove RF, and additives with a protective effect, such as hydrolysable tannins. As the use of these oenological tools plays an important role in limiting the detrimental change, they represent the strategies applicable in productive approaches. In this context, the more recent findings are summarized also to update the knowledge about the complex reaction mechanisms allowing to overcome the formation of this fault and supporting the wine industry.","author":[{"dropping-particle":"","family":"Fracassetti","given":"D.","non-dropping-particle":"","parse-names":false,"suffix":""},{"dropping-particle":"","family":"Canito","given":"A.","non-dropping-particle":"Di","parse-names":false,"suffix":""},{"dropping-particle":"","family":"Bodon","given":"R.","non-dropping-particle":"","parse-names":false,"suffix":""},{"dropping-particle":"","family":"Messina","given":"N.","non-dropping-particle":"","parse-names":false,"suffix":""},{"dropping-particle":"","family":"Vigentini","given":"I.","non-dropping-particle":"","parse-names":false,"suffix":""},{"dropping-particle":"","family":"Foschino","given":"R.","non-dropping-particle":"","parse-names":false,"suffix":""},{"dropping-particle":"","family":"Tirelli","given":"A.","non-dropping-particle":"","parse-names":false,"suffix":""}],"container-title":"Trends in Food Science and Technology","id":"ITEM-4","issued":{"date-parts":[["2021"]]},"page":"547-558","publisher":"Elsevier Ltd","title":"Light-struck taste in white wine: Reaction mechanisms, preventive strategies and future perspectives to preserve wine quality","type":"article-journal","volume":"112"},"uris":["http://www.mendeley.com/documents/?uuid=0d44dd33-1912-4247-99ce-7ad68841b1a2"]}],"mendeley":{"formattedCitation":"(Piergiorgio Comuzzo et al. 2015; 2017; Kallithraka, Salacha, and Tzourou 2009; Fracassetti et al. 2021)","plainTextFormattedCitation":"(Piergiorgio Comuzzo et al. 2015; 2017; Kallithraka, Salacha, and Tzourou 2009; Fracassetti et al. 2021)","previouslyFormattedCitation":"(Piergiorgio Comuzzo et al. 2015; 2017; Kallithraka, Salacha, and Tzourou 2009; Fracassetti et al. 2021)"},"properties":{"noteIndex":0},"schema":"https://github.com/citation-style-language/schema/raw/master/csl-citation.json"}</w:instrText>
      </w:r>
      <w:r w:rsidRPr="00674FBD">
        <w:rPr>
          <w:sz w:val="20"/>
          <w:szCs w:val="20"/>
          <w:lang w:val="en-GB"/>
        </w:rPr>
        <w:fldChar w:fldCharType="separate"/>
      </w:r>
      <w:r w:rsidR="0073686F" w:rsidRPr="0073686F">
        <w:rPr>
          <w:noProof/>
          <w:sz w:val="20"/>
          <w:szCs w:val="20"/>
          <w:lang w:val="en-GB"/>
        </w:rPr>
        <w:t xml:space="preserve">(Comuzzo </w:t>
      </w:r>
      <w:r w:rsidR="009D1D45" w:rsidRPr="009D1D45">
        <w:rPr>
          <w:i/>
          <w:iCs/>
          <w:noProof/>
          <w:sz w:val="20"/>
          <w:szCs w:val="20"/>
          <w:lang w:val="en-GB"/>
        </w:rPr>
        <w:t>et al.</w:t>
      </w:r>
      <w:r w:rsidR="0073686F" w:rsidRPr="0073686F">
        <w:rPr>
          <w:noProof/>
          <w:sz w:val="20"/>
          <w:szCs w:val="20"/>
          <w:lang w:val="en-GB"/>
        </w:rPr>
        <w:t xml:space="preserve"> 2015; 2017; Kallithraka</w:t>
      </w:r>
      <w:r w:rsidR="009D1D45">
        <w:rPr>
          <w:noProof/>
          <w:sz w:val="20"/>
          <w:szCs w:val="20"/>
          <w:lang w:val="en-GB"/>
        </w:rPr>
        <w:t xml:space="preserve"> </w:t>
      </w:r>
      <w:r w:rsidR="009D1D45" w:rsidRPr="009D1D45">
        <w:rPr>
          <w:i/>
          <w:iCs/>
          <w:noProof/>
          <w:sz w:val="20"/>
          <w:szCs w:val="20"/>
          <w:lang w:val="en-GB"/>
        </w:rPr>
        <w:t>et al.</w:t>
      </w:r>
      <w:r w:rsidR="0073686F" w:rsidRPr="0073686F">
        <w:rPr>
          <w:noProof/>
          <w:sz w:val="20"/>
          <w:szCs w:val="20"/>
          <w:lang w:val="en-GB"/>
        </w:rPr>
        <w:t xml:space="preserve"> 2009; Fracassetti </w:t>
      </w:r>
      <w:r w:rsidR="009D1D45" w:rsidRPr="009D1D45">
        <w:rPr>
          <w:i/>
          <w:iCs/>
          <w:noProof/>
          <w:sz w:val="20"/>
          <w:szCs w:val="20"/>
          <w:lang w:val="en-GB"/>
        </w:rPr>
        <w:t>et al.</w:t>
      </w:r>
      <w:r w:rsidR="0073686F" w:rsidRPr="0073686F">
        <w:rPr>
          <w:noProof/>
          <w:sz w:val="20"/>
          <w:szCs w:val="20"/>
          <w:lang w:val="en-GB"/>
        </w:rPr>
        <w:t xml:space="preserve"> 2021)</w:t>
      </w:r>
      <w:r w:rsidRPr="00674FBD">
        <w:rPr>
          <w:sz w:val="20"/>
          <w:szCs w:val="20"/>
          <w:lang w:val="en-GB"/>
        </w:rPr>
        <w:fldChar w:fldCharType="end"/>
      </w:r>
      <w:r w:rsidRPr="00674FBD">
        <w:rPr>
          <w:sz w:val="20"/>
          <w:szCs w:val="20"/>
          <w:lang w:val="en-GB"/>
        </w:rPr>
        <w:t xml:space="preserve">, but especially by the packaging (bottle and closure) </w:t>
      </w:r>
      <w:r w:rsidRPr="00674FBD">
        <w:rPr>
          <w:sz w:val="20"/>
          <w:szCs w:val="20"/>
          <w:lang w:val="en-GB"/>
        </w:rPr>
        <w:fldChar w:fldCharType="begin" w:fldLock="1"/>
      </w:r>
      <w:r w:rsidRPr="00674FBD">
        <w:rPr>
          <w:sz w:val="20"/>
          <w:szCs w:val="20"/>
          <w:lang w:val="en-GB"/>
        </w:rPr>
        <w:instrText>ADDIN CSL_CITATION {"citationItems":[{"id":"ITEM-1","itemData":{"DOI":"10.3390/molecules27185881","ISSN":"14203049","PMID":"36144619","abstract":"A Napa Valley Sauvignon blanc wine was bottled with 200 each of a natural cork, a screw cap, and a synthetic cork. As browning is an index for wine oxidation, we assessed the brown color of each bottle with a spectrophotometer over 30 months. A random-effects regression model for longitudinal data on all bottles and closure groups found a browning growth trajectory for each closure group. Changes in the wine’s browning behavior at 18 months and 30 months showed that the browning of the wine bottles appeared to slow down later in the storage period, especially for natural corks. The between-bottle variation was the highest for the natural cork. At 30 months, we separated the bottles by the extent of browning and samples were pulled from the high, mid, and low levels of browning levels for each closure. The degree of browning is inversely correlated with free SO2 levels ranging from 5 to 12 mg/L. However, a Quantitative Descriptive Analysis (QDA™) sensory panel could not detect any difference in their aroma and flavor profile between closure types regardless of browning level. Even low levels of free SO2 retain protection against strong oxidation aromas, and visual browning detected by spectrophotometer seemed to precede oxidative aroma and flavor changes of the aging Sauvignon blanc.","author":[{"dropping-particle":"","family":"Cantu","given":"A.","non-dropping-particle":"","parse-names":false,"suffix":""},{"dropping-particle":"","family":"Guernsey","given":"J.","non-dropping-particle":"","parse-names":false,"suffix":""},{"dropping-particle":"","family":"Anderson","given":"M.","non-dropping-particle":"","parse-names":false,"suffix":""},{"dropping-particle":"","family":"Blozis","given":"S.","non-dropping-particle":"","parse-names":false,"suffix":""},{"dropping-particle":"","family":"Bleibaum","given":"R.","non-dropping-particle":"","parse-names":false,"suffix":""},{"dropping-particle":"","family":"Cyrot","given":"D.","non-dropping-particle":"","parse-names":false,"suffix":""},{"dropping-particle":"","family":"Waterhouse","given":"A. L.","non-dropping-particle":"","parse-names":false,"suffix":""}],"container-title":"Molecules","id":"ITEM-1","issue":"5881","issued":{"date-parts":[["2022"]]},"title":"Wine Closure Performance of Three Common Closure Types: Chemical and Sensory Impact on a Sauvignon Blanc Wine","type":"article-journal","volume":"27"},"uris":["http://www.mendeley.com/documents/?uuid=1f913c19-2426-4276-a853-cfe58b8a9455"]},{"id":"ITEM-2","itemData":{"DOI":"10.1007/s10853-015-9669-6","abstract":"Data related to the comparison of the mechanical properties of the different stoppers used in the wine industry are scarce. This study aims at comparing the effect of hydration (from 0 to 100 % relative humidity at 25 °C) on the mechanical properties of four widely used types of stoppers: natural corks, agglomerated corks, technical stoppers and synthetic (co-extruded) stoppers. For both natural and agglomerated corks, the Young’s modulus was significantly and similarly affected by hydration, with a constant plateau value up to 50 % relative humidity (RH) and a mean value around 22 and 14 MPa, respectively. For higher RH, the increase in water content leads to a decrease in the material rigidity (Young’s modulus &lt;10 MPa), which is attributed to water clusters formation between polymer chains. Technical stoppers revealed a similar profile, but with a much smaller impact of the water content and with overall lower Young’s moduli values, around 5 MPa, throughout the RH range. The stiffness of synthetic closures was not affected by hydration, in agreement with the hydrophobic behavior of polyethylene. Differential scanning calorimetry and dynamic mechanical thermal analysis allowed us to identify a glass transition temperature (Tg) in cork (around 0 °C), and another one in agglomerated cork and technical stoppers (close to −45 °C, corresponding to additives). All together, for the first time the data highlight the comparative mechanical properties of such materials of the wine industry, and the progressive loss of the “cork-like” behavior of cork composites when other components are mixed with cork.","author":[{"dropping-particle":"","family":"Lagorce-Tachon","given":"A.","non-dropping-particle":"","parse-names":false,"suffix":""},{"dropping-particle":"","family":"Karbowiak","given":"T.","non-dropping-particle":"","parse-names":false,"suffix":""},{"dropping-particle":"","family":"Champion","given":"D.","non-dropping-particle":"","parse-names":false,"suffix":""},{"dropping-particle":"","family":"Gougeon","given":"R. D.","non-dropping-particle":"","parse-names":false,"suffix":""},{"dropping-particle":"","family":"Bellat","given":"J. P.","non-dropping-particle":"","parse-names":false,"suffix":""}],"container-title":"Journal of Materials Science","id":"ITEM-2","issue":"9","issued":{"date-parts":[["2016"]]},"page":"4227-4237","title":"How does hydration affect the mechanical properties of wine stoppers?","type":"article-journal","volume":"51"},"uris":["http://www.mendeley.com/documents/?uuid=78d6f48f-8d91-4fec-9377-220eab313eb0"]},{"id":"ITEM-3","itemData":{"DOI":"10.1016/j.tifs.2018.05.021","ISSN":"09242244","abstract":"Background: Gas transfer, and especially oxygen, through wine closures has been studied since the 90's. It started with the problem of premature oxidation in wine. To that purpose, different techniques, issued from food packaging and wine analysis, have been developed to measure gas permeation through wine stoppers. Scope and approach: The objectives of this review is, first, to briefly remind the basic knowledge of gas transfer through materials and applied to wine stoppers. Then, after a short survey about the techniques of measurement, a compilation of all currently available permeation data has been done using the international system of units (when conversion was possible). This finally allowed to establish a critical appraisal between the different methods and closures. Key findings and conclusions: Although relying on different principles, with different accuracy (and respective pros and cons), all methods are well suited to investigate gas transfer through closures. The manometric method appears as the most versatile one, allowing to study all gases with various sample geometry. Whatever the method used, it appears that the technical stoppers are the lowest permeable ones to gas transfer, followed by screwcaps, natural corks and synthetic stoppers. Finally, it is worthy to note that the diffusion coefficient, as an intrinsic parameter, is the most relevant parameter to characterize the gas barrier properties of wine stoppers.","author":[{"dropping-particle":"","family":"Crouvisier-Urion","given":"Kevin","non-dropping-particle":"","parse-names":false,"suffix":""},{"dropping-particle":"","family":"Bellat","given":"Jean Pierre","non-dropping-particle":"","parse-names":false,"suffix":""},{"dropping-particle":"","family":"Gougeon","given":"Régis D.","non-dropping-particle":"","parse-names":false,"suffix":""},{"dropping-particle":"","family":"Karbowiak","given":"Thomas","non-dropping-particle":"","parse-names":false,"suffix":""}],"container-title":"Trends in Food Science and Technology","id":"ITEM-3","issue":"May","issued":{"date-parts":[["2018"]]},"page":"255-269","publisher":"Elsevier","title":"Gas transfer through wine closures: A critical review","type":"article-journal","volume":"78"},"uris":["http://www.mendeley.com/documents/?uuid=b0c308e6-7e80-47ba-9d12-eacad43d8890"]}],"mendeley":{"formattedCitation":"(Cantu et al. 2022; Lagorce-Tachon et al. 2016; Crouvisier-Urion et al. 2018)","plainTextFormattedCitation":"(Cantu et al. 2022; Lagorce-Tachon et al. 2016; Crouvisier-Urion et al. 2018)","previouslyFormattedCitation":"(Cantu et al. 2022; Lagorce-Tachon et al. 2016; Crouvisier-Urion et al. 2018)"},"properties":{"noteIndex":0},"schema":"https://github.com/citation-style-language/schema/raw/master/csl-citation.json"}</w:instrText>
      </w:r>
      <w:r w:rsidRPr="00674FBD">
        <w:rPr>
          <w:sz w:val="20"/>
          <w:szCs w:val="20"/>
          <w:lang w:val="en-GB"/>
        </w:rPr>
        <w:fldChar w:fldCharType="separate"/>
      </w:r>
      <w:r w:rsidRPr="00674FBD">
        <w:rPr>
          <w:noProof/>
          <w:sz w:val="20"/>
          <w:szCs w:val="20"/>
          <w:lang w:val="en-GB"/>
        </w:rPr>
        <w:t xml:space="preserve">(Cantu </w:t>
      </w:r>
      <w:r w:rsidRPr="009D1D45">
        <w:rPr>
          <w:i/>
          <w:iCs/>
          <w:noProof/>
          <w:sz w:val="20"/>
          <w:szCs w:val="20"/>
          <w:lang w:val="en-GB"/>
        </w:rPr>
        <w:t>et al.</w:t>
      </w:r>
      <w:r w:rsidRPr="00674FBD">
        <w:rPr>
          <w:noProof/>
          <w:sz w:val="20"/>
          <w:szCs w:val="20"/>
          <w:lang w:val="en-GB"/>
        </w:rPr>
        <w:t xml:space="preserve"> 2022; Lagorce-Tachon </w:t>
      </w:r>
      <w:r w:rsidRPr="009D1D45">
        <w:rPr>
          <w:i/>
          <w:iCs/>
          <w:noProof/>
          <w:sz w:val="20"/>
          <w:szCs w:val="20"/>
          <w:lang w:val="en-GB"/>
        </w:rPr>
        <w:t>et al.</w:t>
      </w:r>
      <w:r w:rsidRPr="00674FBD">
        <w:rPr>
          <w:noProof/>
          <w:sz w:val="20"/>
          <w:szCs w:val="20"/>
          <w:lang w:val="en-GB"/>
        </w:rPr>
        <w:t xml:space="preserve"> 2016; Crouvisier-Urion </w:t>
      </w:r>
      <w:r w:rsidRPr="009D1D45">
        <w:rPr>
          <w:i/>
          <w:iCs/>
          <w:noProof/>
          <w:sz w:val="20"/>
          <w:szCs w:val="20"/>
          <w:lang w:val="en-GB"/>
        </w:rPr>
        <w:t>et al.</w:t>
      </w:r>
      <w:r w:rsidRPr="00674FBD">
        <w:rPr>
          <w:noProof/>
          <w:sz w:val="20"/>
          <w:szCs w:val="20"/>
          <w:lang w:val="en-GB"/>
        </w:rPr>
        <w:t xml:space="preserve"> 2018)</w:t>
      </w:r>
      <w:r w:rsidRPr="00674FBD">
        <w:rPr>
          <w:sz w:val="20"/>
          <w:szCs w:val="20"/>
          <w:lang w:val="en-GB"/>
        </w:rPr>
        <w:fldChar w:fldCharType="end"/>
      </w:r>
      <w:r w:rsidRPr="00674FBD">
        <w:rPr>
          <w:sz w:val="20"/>
          <w:szCs w:val="20"/>
          <w:lang w:val="en-GB"/>
        </w:rPr>
        <w:t xml:space="preserve"> and storage conditions </w:t>
      </w:r>
      <w:r w:rsidRPr="00674FBD">
        <w:rPr>
          <w:sz w:val="20"/>
          <w:szCs w:val="20"/>
          <w:lang w:val="en-GB"/>
        </w:rPr>
        <w:fldChar w:fldCharType="begin" w:fldLock="1"/>
      </w:r>
      <w:r w:rsidRPr="00674FBD">
        <w:rPr>
          <w:sz w:val="20"/>
          <w:szCs w:val="20"/>
          <w:lang w:val="en-GB"/>
        </w:rPr>
        <w:instrText>ADDIN CSL_CITATION {"citationItems":[{"id":"ITEM-1","itemData":{"DOI":"10.1007/s00217-013-2019-5","ISSN":"14382377","abstract":"The aim of this study was to characterize Goethe white wines, produced in the region around Urussanga, Santa Catarina State, Brazil, in terms of their organic acids and polyphenols content, browning index, and in vitro antioxidant activity and to evaluate the evolution of these wines during bottle storage under two distinct conditions. The wines were analyzed utilizing spectrophotometry and liquid chromatography. In relation to the phenolic compounds investigated, trans-caftaric acid was the major component in all samples, ranging from 42.63 to 52.31 mg L-1, followed by catechin (18.90 to 28.09 mg L-1) and epicatechin (2.68 to 4.35 mg L-1). Samples with higher levels of total polyphenols also had higher antioxidant activity. The antioxidant activity, total polyphenols content, and browning index increased with storage. Quercetin showed the strongest correlation (R = 0.84) with antioxidant activity before and after bottle aging. Samples kept at room temperature with light exposure presented greater degradation of phenolic compounds and lower browning index values than the samples stored under controlled conditions. Principal components analysis (PCA) separated the samples according to storage conditions and wine samples. The results clearly verified that the factors light, temperature, and bottle position affected significantly the chemical composition of white wines. © 2013 Springer-Verlag Berlin Heidelberg.","author":[{"dropping-particle":"","family":"Ferreira-Lima","given":"Nayla E.","non-dropping-particle":"","parse-names":false,"suffix":""},{"dropping-particle":"","family":"Burin","given":"Vívian Maria","non-dropping-particle":"","parse-names":false,"suffix":""},{"dropping-particle":"","family":"Bordignon-Luiz","given":"Marilde T.","non-dropping-particle":"","parse-names":false,"suffix":""}],"container-title":"European Food Research and Technology","id":"ITEM-1","issue":"4","issued":{"date-parts":[["2013"]]},"page":"509-520","title":"Characterization of Goethe white wines: Influence of different storage conditions on the wine evolution during bottle aging","type":"article-journal","volume":"237"},"uris":["http://www.mendeley.com/documents/?uuid=9ec2123d-e688-4528-b2ed-f503d3a68a3e"]},{"id":"ITEM-2","itemData":{"DOI":"10.1111/j.1365-2621.2002.tb10292.x","ISSN":"00221147","abstract":"Sealing system and bottle storage position effects on the evolution of white and red wines were analyzed. The sealing systems were natural-cork stopper, colmated-cork stopper, agglomerated-cork stopper, polyurethane-powdered-cork (PPC) stopper, plastic stopper, and metal screw-top. Chemical analysis and sensory analysis showed that wine is better preserved when the bottles are kept horizontally. The sealing systems that allowed the most suitable evolution were the natural-cork stopper, the colmated-cork stopper, and the PPC stopper. The agglomerated cork produced faster wine oxidation when the bottles were kept vertically. The plastic cork and the screw-top allowed oxidation in the wine more quickly than the other systems.","author":[{"dropping-particle":"","family":"Mas","given":"A.","non-dropping-particle":"","parse-names":false,"suffix":""},{"dropping-particle":"","family":"Puig","given":"J.","non-dropping-particle":"","parse-names":false,"suffix":""},{"dropping-particle":"","family":"Lladoa","given":"N.","non-dropping-particle":"","parse-names":false,"suffix":""},{"dropping-particle":"","family":"Zamora","given":"F.","non-dropping-particle":"","parse-names":false,"suffix":""}],"container-title":"Journal of Food Science","id":"ITEM-2","issue":"4","issued":{"date-parts":[["2002"]]},"page":"1374-1378","title":"Sealing and storage position effects on wine evolution","type":"article-journal","volume":"67"},"uris":["http://www.mendeley.com/documents/?uuid=8fa4d263-30ee-4b8a-ac10-14b857ca9411"]},{"id":"ITEM-3","itemData":{"DOI":"10.1016/j.foodres.2019.108515","ISSN":"18737145","PMID":"31554095","abstract":"Volatile compound composition contributes to the aroma profile of wine and is susceptible to change due to oxidation which may occur during storage and transportation, especially at high temperatures. Changes in sensory attributes may also occur, altering the sensory profile of wine. Classical univariate analysis only looks at the deviations for one factor at a time and may overlook the overall effect of treatments. In this study, changes in South African Sauvignon Blanc and Chenin Blanc wine sensory profile, volatile and antioxidant-related parameters resulting from storage under different temperatures (room temperature, 15 °C and 25 °C) and durations (0, 3 and 9 months) were investigated using a multivariate approach. Bottled, unwooded wines of both cultivars from six wineries were used. As expected, the chemical evolution of the wines was characterised by increases in absorbance at 420 nm (browning), colour density and hue with prolonged storage at high temperatures. To be able to compare the evolution of the sample sets regardless of the initial (T0/control) wine profile and composition, multivariate regression analysis in the form of regression vector (RV) coefficients were used to assess the correlations in the sensory and chemical changes relative to the control in each set. Using Pivot©Profile for the first time in this type of stability assessment and applying a new algorithm for data handling in addition to the classical one, this study showed that prolonged exposure to higher temperatures resulted in the change from fruity to toasted aroma attributes.","author":[{"dropping-particle":"","family":"Mafata","given":"Mpho","non-dropping-particle":"","parse-names":false,"suffix":""},{"dropping-particle":"","family":"Brand","given":"Jeanne","non-dropping-particle":"","parse-names":false,"suffix":""},{"dropping-particle":"","family":"Panzeri","given":"Valeria","non-dropping-particle":"","parse-names":false,"suffix":""},{"dropping-particle":"","family":"Kidd","given":"Martin","non-dropping-particle":"","parse-names":false,"suffix":""},{"dropping-particle":"","family":"Buica","given":"Astrid","non-dropping-particle":"","parse-names":false,"suffix":""}],"container-title":"Food Research International","id":"ITEM-3","issue":"June","issued":{"date-parts":[["2019"]]},"page":"108515","publisher":"Elsevier","title":"A multivariate approach to evaluating the chemical and sensorial evolution of South African Sauvignon Blanc and Chenin Blanc wines under different bottle storage conditions","type":"article-journal","volume":"125"},"uris":["http://www.mendeley.com/documents/?uuid=08fe44b1-56ed-492e-b58e-5ab5d74657e1"]},{"id":"ITEM-4","itemData":{"DOI":"10.1016/j.foodchem.2011.12.019","ISSN":"03088146","abstract":"The impact of moderate oxygen exposure on the post bottling evolution of two Grenache rosé wines has been investigated. Different oxygen transfer rate (OTR) conditions were ensured by using synthetic closures with controlled oxygen permeability and storage under controlled atmosphere. Phenolic composition was determined, at bottling (T0) and after 10 months of ageing (T10), by reverse-phase HPLC-DAD-MS analysis, performed directly on the wines and after phloroglucinolysis for proanthocyanidins. Colour was evaluated by UV-vis spectrophotometry and tristimulus colourimetry. Descriptive sensory analysis was carried out by a trained panel. Correlations were established between sensory analysis and colour, polyphenolic and enological measurements. At bottling, major phenolic compounds, in both rosé wines, were hydroxycinnamic acids, followed by anthocyanins and lower amounts of flavanols. After 10 months of ageing, a loss of sulphites, native anthocyanins and flavanyl-anthocyanin adducts, an accumulation of phenyl-pyranoanthocyanins, and an increase of the colour intensity were observed. All these changes were enhanced under higher OTR conditions, especially in the wine containing initially higher levels of phenolic compounds. The higher OTR wines were also perceived as more floral and fruity and less animal than those stored under lower oxygen exposure, in agreement with previous observations on red Grenache wines. © 2011 Elsevier Ltd. All rights reserved.","author":[{"dropping-particle":"","family":"Wirth","given":"J.","non-dropping-particle":"","parse-names":false,"suffix":""},{"dropping-particle":"","family":"Caillé","given":"S.","non-dropping-particle":"","parse-names":false,"suffix":""},{"dropping-particle":"","family":"Souquet","given":"J. M.","non-dropping-particle":"","parse-names":false,"suffix":""},{"dropping-particle":"","family":"Samson","given":"A.","non-dropping-particle":"","parse-names":false,"suffix":""},{"dropping-particle":"","family":"Dieval","given":"J. B.","non-dropping-particle":"","parse-names":false,"suffix":""},{"dropping-particle":"","family":"Vidal","given":"S.","non-dropping-particle":"","parse-names":false,"suffix":""},{"dropping-particle":"","family":"Fulcrand","given":"H.","non-dropping-particle":"","parse-names":false,"suffix":""},{"dropping-particle":"","family":"Cheynier","given":"V.","non-dropping-particle":"","parse-names":false,"suffix":""}],"container-title":"Food Chemistry","id":"ITEM-4","issue":"4","issued":{"date-parts":[["2012"]]},"page":"1861-1871","publisher":"Elsevier Ltd","title":"Impact of post-bottling oxygen exposure on the sensory characteristics and phenolic composition of Grenache rosé wines","type":"article-journal","volume":"132"},"uris":["http://www.mendeley.com/documents/?uuid=3ff13d30-dc65-4e3c-9676-42f04c00a3cd"]}],"mendeley":{"formattedCitation":"(Ferreira-Lima, Burin, and Bordignon-Luiz 2013; Mas et al. 2002; Mafata et al. 2019; Wirth et al. 2012)","plainTextFormattedCitation":"(Ferreira-Lima, Burin, and Bordignon-Luiz 2013; Mas et al. 2002; Mafata et al. 2019; Wirth et al. 2012)","previouslyFormattedCitation":"(Ferreira-Lima, Burin, and Bordignon-Luiz 2013; Mas et al. 2002; Mafata et al. 2019; Wirth et al. 2012)"},"properties":{"noteIndex":0},"schema":"https://github.com/citation-style-language/schema/raw/master/csl-citation.json"}</w:instrText>
      </w:r>
      <w:r w:rsidRPr="00674FBD">
        <w:rPr>
          <w:sz w:val="20"/>
          <w:szCs w:val="20"/>
          <w:lang w:val="en-GB"/>
        </w:rPr>
        <w:fldChar w:fldCharType="separate"/>
      </w:r>
      <w:r w:rsidRPr="00674FBD">
        <w:rPr>
          <w:noProof/>
          <w:sz w:val="20"/>
          <w:szCs w:val="20"/>
          <w:lang w:val="en-GB"/>
        </w:rPr>
        <w:t>(Ferreira-Lima</w:t>
      </w:r>
      <w:r w:rsidR="009D1D45">
        <w:rPr>
          <w:noProof/>
          <w:sz w:val="20"/>
          <w:szCs w:val="20"/>
          <w:lang w:val="en-GB"/>
        </w:rPr>
        <w:t xml:space="preserve"> </w:t>
      </w:r>
      <w:r w:rsidR="009D1D45" w:rsidRPr="009D1D45">
        <w:rPr>
          <w:i/>
          <w:iCs/>
          <w:noProof/>
          <w:sz w:val="20"/>
          <w:szCs w:val="20"/>
          <w:lang w:val="en-GB"/>
        </w:rPr>
        <w:t>et al.</w:t>
      </w:r>
      <w:r w:rsidRPr="00674FBD">
        <w:rPr>
          <w:noProof/>
          <w:sz w:val="20"/>
          <w:szCs w:val="20"/>
          <w:lang w:val="en-GB"/>
        </w:rPr>
        <w:t xml:space="preserve"> 2013; Mas </w:t>
      </w:r>
      <w:r w:rsidRPr="009D1D45">
        <w:rPr>
          <w:i/>
          <w:iCs/>
          <w:noProof/>
          <w:sz w:val="20"/>
          <w:szCs w:val="20"/>
          <w:lang w:val="en-GB"/>
        </w:rPr>
        <w:t>et al.</w:t>
      </w:r>
      <w:r w:rsidRPr="00674FBD">
        <w:rPr>
          <w:noProof/>
          <w:sz w:val="20"/>
          <w:szCs w:val="20"/>
          <w:lang w:val="en-GB"/>
        </w:rPr>
        <w:t xml:space="preserve"> 2002; Mafata </w:t>
      </w:r>
      <w:r w:rsidRPr="009D1D45">
        <w:rPr>
          <w:i/>
          <w:iCs/>
          <w:noProof/>
          <w:sz w:val="20"/>
          <w:szCs w:val="20"/>
          <w:lang w:val="en-GB"/>
        </w:rPr>
        <w:t>et al.</w:t>
      </w:r>
      <w:r w:rsidRPr="00674FBD">
        <w:rPr>
          <w:noProof/>
          <w:sz w:val="20"/>
          <w:szCs w:val="20"/>
          <w:lang w:val="en-GB"/>
        </w:rPr>
        <w:t xml:space="preserve"> 2019; Wirth </w:t>
      </w:r>
      <w:r w:rsidRPr="009D1D45">
        <w:rPr>
          <w:i/>
          <w:iCs/>
          <w:noProof/>
          <w:sz w:val="20"/>
          <w:szCs w:val="20"/>
          <w:lang w:val="en-GB"/>
        </w:rPr>
        <w:t>et al.</w:t>
      </w:r>
      <w:r w:rsidRPr="00674FBD">
        <w:rPr>
          <w:noProof/>
          <w:sz w:val="20"/>
          <w:szCs w:val="20"/>
          <w:lang w:val="en-GB"/>
        </w:rPr>
        <w:t xml:space="preserve"> 2012)</w:t>
      </w:r>
      <w:r w:rsidRPr="00674FBD">
        <w:rPr>
          <w:sz w:val="20"/>
          <w:szCs w:val="20"/>
          <w:lang w:val="en-GB"/>
        </w:rPr>
        <w:fldChar w:fldCharType="end"/>
      </w:r>
      <w:r w:rsidRPr="00674FBD">
        <w:rPr>
          <w:sz w:val="20"/>
          <w:szCs w:val="20"/>
          <w:lang w:val="en-GB"/>
        </w:rPr>
        <w:t>.</w:t>
      </w:r>
    </w:p>
    <w:p w14:paraId="663FDD54" w14:textId="7B11ADC7" w:rsidR="00674FBD" w:rsidRPr="00674FBD" w:rsidRDefault="00674FBD" w:rsidP="00674FBD">
      <w:pPr>
        <w:tabs>
          <w:tab w:val="left" w:pos="567"/>
        </w:tabs>
        <w:jc w:val="both"/>
        <w:rPr>
          <w:sz w:val="20"/>
          <w:szCs w:val="20"/>
          <w:lang w:val="en-GB"/>
        </w:rPr>
      </w:pPr>
      <w:r w:rsidRPr="00674FBD">
        <w:rPr>
          <w:sz w:val="20"/>
          <w:szCs w:val="20"/>
          <w:lang w:val="en-GB"/>
        </w:rPr>
        <w:t xml:space="preserve">The International Organisation of vine (OIV) has authorised the use of contactor membranes (OIV-OENO 499-2013), which allow the management of dissolved gases </w:t>
      </w:r>
      <w:r w:rsidRPr="00674FBD">
        <w:rPr>
          <w:sz w:val="20"/>
          <w:szCs w:val="20"/>
          <w:lang w:val="en-GB"/>
        </w:rPr>
        <w:fldChar w:fldCharType="begin" w:fldLock="1"/>
      </w:r>
      <w:r w:rsidRPr="00674FBD">
        <w:rPr>
          <w:sz w:val="20"/>
          <w:szCs w:val="20"/>
          <w:lang w:val="en-GB"/>
        </w:rPr>
        <w:instrText>ADDIN CSL_CITATION {"citationItems":[{"id":"ITEM-1","itemData":{"DOI":"10.1051/bioconf/20191502037","abstract":"Over the last decade, several distinct research groups tested possible uses of membrane contactors for the wine industry, notably for the management of dissolved gases in wines, adjustment of the CO 2 concentration while reducing the O 2 concentration at the same time. Other experiments were done with partial alcohol reduction and addition of N 2 to wines. The contactor's heart is its Liqui-Cel ™ membrane where the two separate circuits meet. The membrane's hydrophobic characteristics allows a liquid to get in contact with a gas, without dispersing into it. The directions that these gases take through the membrane depend on their partial pressure differences within the two circuits. However, other factors need to be considered to determine exact exchange rates for each target gas. The present article describes the new membrane contactor prototype that was co-developed by the University of applied Sciences and Arts, Viticulture and Enology at Changins, Switzerland, and the School of Engineering and Architecture at Fribourg, Switzerland. The prototype was designed for small scale operations. Flow rates, temperatures and internal pressures can be instantly measured and graphically visualized. Also, O 2 concentrations are measured inside the liquid. CO 2 concentrations in the liquid can be measured with a device that is connected to the liquid circuit through a bypass after the membranes. Während mehr als zehn Jahren testeten verschiedene Forschungsgruppen Einsatzmöglichkeiten von Membran-Kontaktoren für die Weinindustrie. Im Besonderen wurde die genaue Einstellung von gelösten Gasen im Wein untersucht, z. B. die Anpassung der CO 2 -Konzentration und gleichzeitige Reduzierung der O 2 -Konzentration. Teilweise Alkoholreduktion und Zugabe von N 2 zum Wein sind weitere Möglichkeiten. Das Herzstück des Kontaktors ist seine Liqui-Cel ™ -Membran, wo sich zwei getrennte Kreisläufe treffen. Die wasserabstossenden Eigenschaften der Membran ermöglichen es einer Flüssigkeit, mit einem Gas in Kontakt zu treten, ohne sich darin zu verteilen. Die Richtung, die diese Gase durch die Membran nehmen, hängt von ihren unterschiedlichen Partialdrücken innerhalb der beiden Kreisläufe ab. Es müssen jedoch noch andere Faktoren berücksichtigt werden, um den genauen Austausch für jedes Gas zu ermitteln. Dieser Artikel beschreibt den neuen Prototyp eines Membran-Kontaktors, der von den Fachhochschulen für Weinbau und Önologie in Changins, Schweiz, und für Technik und Architektur in F…","author":[{"dropping-particle":"","family":"Schonenberger","given":"P.","non-dropping-particle":"","parse-names":false,"suffix":""},{"dropping-particle":"","family":"Ducruet","given":"J.","non-dropping-particle":"","parse-names":false,"suffix":""},{"dropping-particle":"","family":"Pernet","given":"A.","non-dropping-particle":"","parse-names":false,"suffix":""},{"dropping-particle":"","family":"Marsan","given":"F.","non-dropping-particle":"","parse-names":false,"suffix":""},{"dropping-particle":"","family":"Bach","given":"B.","non-dropping-particle":"","parse-names":false,"suffix":""},{"dropping-particle":"","family":"Passeraub","given":"P.","non-dropping-particle":"","parse-names":false,"suffix":""},{"dropping-particle":"","family":"Zufferey","given":"D.","non-dropping-particle":"","parse-names":false,"suffix":""},{"dropping-particle":"","family":"Vorlet","given":"O.","non-dropping-particle":"","parse-names":false,"suffix":""}],"container-title":"BIO Web of Conferences","id":"ITEM-1","issued":{"date-parts":[["2019"]]},"title":"Automatization of membrane contactors and applications for the management of dissolved gases in wines","type":"paper-conference","volume":"15"},"uris":["http://www.mendeley.com/documents/?uuid=8c16bcc0-faeb-442d-8084-b03a88bab2f4"]}],"mendeley":{"formattedCitation":"(Schonenberger et al. 2019)","plainTextFormattedCitation":"(Schonenberger et al. 2019)","previouslyFormattedCitation":"(Schonenberger et al. 2019)"},"properties":{"noteIndex":0},"schema":"https://github.com/citation-style-language/schema/raw/master/csl-citation.json"}</w:instrText>
      </w:r>
      <w:r w:rsidRPr="00674FBD">
        <w:rPr>
          <w:sz w:val="20"/>
          <w:szCs w:val="20"/>
          <w:lang w:val="en-GB"/>
        </w:rPr>
        <w:fldChar w:fldCharType="separate"/>
      </w:r>
      <w:r w:rsidRPr="00674FBD">
        <w:rPr>
          <w:noProof/>
          <w:sz w:val="20"/>
          <w:szCs w:val="20"/>
          <w:lang w:val="en-GB"/>
        </w:rPr>
        <w:t xml:space="preserve">(Schonenberger </w:t>
      </w:r>
      <w:r w:rsidR="00612B25" w:rsidRPr="009D1D45">
        <w:rPr>
          <w:i/>
          <w:iCs/>
          <w:noProof/>
          <w:sz w:val="20"/>
          <w:szCs w:val="20"/>
          <w:lang w:val="en-GB"/>
        </w:rPr>
        <w:t>et al.</w:t>
      </w:r>
      <w:r w:rsidRPr="00674FBD">
        <w:rPr>
          <w:noProof/>
          <w:sz w:val="20"/>
          <w:szCs w:val="20"/>
          <w:lang w:val="en-GB"/>
        </w:rPr>
        <w:t xml:space="preserve"> 2019)</w:t>
      </w:r>
      <w:r w:rsidRPr="00674FBD">
        <w:rPr>
          <w:sz w:val="20"/>
          <w:szCs w:val="20"/>
          <w:lang w:val="en-GB"/>
        </w:rPr>
        <w:fldChar w:fldCharType="end"/>
      </w:r>
      <w:r w:rsidRPr="00674FBD">
        <w:rPr>
          <w:sz w:val="20"/>
          <w:szCs w:val="20"/>
          <w:lang w:val="en-GB"/>
        </w:rPr>
        <w:t xml:space="preserve">. This technique allows to reduce oxygen levels to concentrations below 0.2 mg/L </w:t>
      </w:r>
      <w:r w:rsidRPr="00674FBD">
        <w:rPr>
          <w:sz w:val="20"/>
          <w:szCs w:val="20"/>
          <w:lang w:val="en-GB"/>
        </w:rPr>
        <w:fldChar w:fldCharType="begin" w:fldLock="1"/>
      </w:r>
      <w:r w:rsidRPr="00674FBD">
        <w:rPr>
          <w:sz w:val="20"/>
          <w:szCs w:val="20"/>
          <w:lang w:val="en-GB"/>
        </w:rPr>
        <w:instrText>ADDIN CSL_CITATION {"citationItems":[{"id":"ITEM-1","itemData":{"abstract":"Dissolved gases management : Membrane contactor is a new technology which allows implementing liquid-liquid, liquid-gas or liquid-gas-liquid separations. The main component of the system is a hydrophobic porous membrane system. Only gaseous molecules with low molecular weight like O2 and CO2 can pass through the barrier. The system can be installed before the bottling line or in the winery in order to adjust the gas concentration of wine before storage in bulk or bottling. INRA UEPR (France) carried out a first series of tests on an INOXPA WineBrane® 2500 pilot unit. The results obtained show that it's possible to deoxygenize and adjust CO2 in only one passage on the unit (contrary to the technique by gas sparger porous diffuser), thanks to several operating processes which use the vacuum and/or an inert gas flow (VACUUM, COMBO and STRIP). A de oxygenation (final dissolved oxygen content &lt;= 0.2 mg/L) of a white and a red wine (comparison with porous diffuser for gas) didn't affect the higher alcohols. Only some esters underwent significant quantitative losses. However, a jury of 19 judges could not make the difference between the wines before and after de oxygenation. Alcohol management : Wines with very high alcoholic content sink in the acceptance of the consumers. Nevertheless, full maturity grapes lead more and more often to wines which are too rich in alcohol. A way for reducing of alcohol is by dialysis - here carried out with the WineBrane®. In our attempts we have wine passed over the WineBrane® by countercurrent against water. Here the selective exchange takes place via the membrane. Because of the membrane selectivity it is guaranteed, that mostly alcohol goes over into the water. The rate of alcohol reduction is controlled by the processing time and the parameters temperature and volumes per hour. Analytic and sensory results are introduced.","author":[{"dropping-particle":"","family":"Schmidt","given":"Oliver","non-dropping-particle":"","parse-names":false,"suffix":""},{"dropping-particle":"","family":"Vidal","given":"Jean-Claude","non-dropping-particle":"","parse-names":false,"suffix":""},{"dropping-particle":"","family":"Waidelich","given":"Günter","non-dropping-particle":"","parse-names":false,"suffix":""}],"container-title":"International IVIF Congress 2010 - Intervitis Interfructa 2010","id":"ITEM-1","issued":{"date-parts":[["2010"]]},"language":"English","title":"New approach by membrane contactor to manage dissolved gases in wine and to reduce alcohol content of wine","type":"paper-conference"},"uris":["http://www.mendeley.com/documents/?uuid=36741f05-e285-44b2-940a-1d4c8c45e90e"]}],"mendeley":{"formattedCitation":"(Schmidt, Vidal, and Waidelich 2010)","plainTextFormattedCitation":"(Schmidt, Vidal, and Waidelich 2010)","previouslyFormattedCitation":"(Schmidt, Vidal, and Waidelich 2010)"},"properties":{"noteIndex":0},"schema":"https://github.com/citation-style-language/schema/raw/master/csl-citation.json"}</w:instrText>
      </w:r>
      <w:r w:rsidRPr="00674FBD">
        <w:rPr>
          <w:sz w:val="20"/>
          <w:szCs w:val="20"/>
          <w:lang w:val="en-GB"/>
        </w:rPr>
        <w:fldChar w:fldCharType="separate"/>
      </w:r>
      <w:r w:rsidRPr="00674FBD">
        <w:rPr>
          <w:noProof/>
          <w:sz w:val="20"/>
          <w:szCs w:val="20"/>
          <w:lang w:val="en-GB"/>
        </w:rPr>
        <w:t>(Schmidt</w:t>
      </w:r>
      <w:r w:rsidR="00612B25">
        <w:rPr>
          <w:noProof/>
          <w:sz w:val="20"/>
          <w:szCs w:val="20"/>
          <w:lang w:val="en-GB"/>
        </w:rPr>
        <w:t xml:space="preserve"> </w:t>
      </w:r>
      <w:r w:rsidR="00612B25" w:rsidRPr="009D1D45">
        <w:rPr>
          <w:i/>
          <w:iCs/>
          <w:noProof/>
          <w:sz w:val="20"/>
          <w:szCs w:val="20"/>
          <w:lang w:val="en-GB"/>
        </w:rPr>
        <w:t>et al.</w:t>
      </w:r>
      <w:r w:rsidRPr="00674FBD">
        <w:rPr>
          <w:noProof/>
          <w:sz w:val="20"/>
          <w:szCs w:val="20"/>
          <w:lang w:val="en-GB"/>
        </w:rPr>
        <w:t xml:space="preserve"> 2010)</w:t>
      </w:r>
      <w:r w:rsidRPr="00674FBD">
        <w:rPr>
          <w:sz w:val="20"/>
          <w:szCs w:val="20"/>
          <w:lang w:val="en-GB"/>
        </w:rPr>
        <w:fldChar w:fldCharType="end"/>
      </w:r>
      <w:r w:rsidRPr="00674FBD">
        <w:rPr>
          <w:sz w:val="20"/>
          <w:szCs w:val="20"/>
          <w:lang w:val="en-GB"/>
        </w:rPr>
        <w:t>. Contactors, potentially have a strong impact on evolution kinetics, while preserving the sensory and chemical characteristics of the wine.</w:t>
      </w:r>
    </w:p>
    <w:p w14:paraId="3B1AD382" w14:textId="138B4EDF" w:rsidR="00674FBD" w:rsidRPr="00674FBD" w:rsidRDefault="00674FBD" w:rsidP="00674FBD">
      <w:pPr>
        <w:tabs>
          <w:tab w:val="left" w:pos="567"/>
        </w:tabs>
        <w:jc w:val="both"/>
        <w:rPr>
          <w:sz w:val="20"/>
          <w:szCs w:val="20"/>
          <w:lang w:val="en-GB"/>
        </w:rPr>
      </w:pPr>
      <w:r w:rsidRPr="00674FBD">
        <w:rPr>
          <w:sz w:val="20"/>
          <w:szCs w:val="20"/>
          <w:lang w:val="en-GB"/>
        </w:rPr>
        <w:t xml:space="preserve">In particular, the use of contactor membranes during the bottling phase would reduce the amount of dissolved oxygen, compensating the intense oxygenation related, for example, to filtration, which may contribute significantly to the amounts of oxygen dissolved at bottling </w:t>
      </w:r>
      <w:r w:rsidRPr="00674FBD">
        <w:rPr>
          <w:sz w:val="20"/>
          <w:szCs w:val="20"/>
          <w:lang w:val="en-GB"/>
        </w:rPr>
        <w:fldChar w:fldCharType="begin" w:fldLock="1"/>
      </w:r>
      <w:r w:rsidRPr="00674FBD">
        <w:rPr>
          <w:sz w:val="20"/>
          <w:szCs w:val="20"/>
          <w:lang w:val="en-GB"/>
        </w:rPr>
        <w:instrText>ADDIN CSL_CITATION {"citationItems":[{"id":"ITEM-1","itemData":{"DOI":"10.1111/ajgw.12199","ISSN":"17550238","abstract":"It is generally acknowledged that oxygen can have both a positive and a negative impact on a wine's chemical composition and sensory attributes. During the production process, from the initial harvesting of grapes to maturation in bottle, there are numerous points at which oxygen can be introduced, either inadvertently or intentionally. The impact of oxygen on fermentative performance, as well as during maturation, has been the subject of extensive research, both during winery operations and in the final package. Recent studies have highlighted the impact of oxygen on wine chemistry during early parts of the winemaking process. This review will discuss the effect of oxygen introduction at various points, from harvest to completion of fermentation, of wine chemical composition. In reviewing the opportunities to modulate wine chemistry and stylistic outcomes through the control of oxygen exposure, the review will highlight critical knowledge gaps in the underlying science behind some processes that are common within the wine industry.","author":[{"dropping-particle":"","family":"Day","given":"M. P.","non-dropping-particle":"","parse-names":false,"suffix":""},{"dropping-particle":"","family":"Schmidt","given":"S. A.","non-dropping-particle":"","parse-names":false,"suffix":""},{"dropping-particle":"","family":"Smith","given":"P. A.","non-dropping-particle":"","parse-names":false,"suffix":""},{"dropping-particle":"","family":"Wilkes","given":"E. N.","non-dropping-particle":"","parse-names":false,"suffix":""}],"container-title":"Australian Journal of Grape and Wine Research","id":"ITEM-1","issued":{"date-parts":[["2015"]]},"page":"693-704","title":"Use and impact of oxygen during winemaking","type":"article-journal","volume":"21"},"uris":["http://www.mendeley.com/documents/?uuid=0b934167-21a8-431f-9ee5-809324978ce9"]}],"mendeley":{"formattedCitation":"(Day et al. 2015)","plainTextFormattedCitation":"(Day et al. 2015)","previouslyFormattedCitation":"(Day et al. 2015)"},"properties":{"noteIndex":0},"schema":"https://github.com/citation-style-language/schema/raw/master/csl-citation.json"}</w:instrText>
      </w:r>
      <w:r w:rsidRPr="00674FBD">
        <w:rPr>
          <w:sz w:val="20"/>
          <w:szCs w:val="20"/>
          <w:lang w:val="en-GB"/>
        </w:rPr>
        <w:fldChar w:fldCharType="separate"/>
      </w:r>
      <w:r w:rsidRPr="00674FBD">
        <w:rPr>
          <w:noProof/>
          <w:sz w:val="20"/>
          <w:szCs w:val="20"/>
          <w:lang w:val="en-GB"/>
        </w:rPr>
        <w:t xml:space="preserve">(Day </w:t>
      </w:r>
      <w:r w:rsidR="00612B25" w:rsidRPr="009D1D45">
        <w:rPr>
          <w:i/>
          <w:iCs/>
          <w:noProof/>
          <w:sz w:val="20"/>
          <w:szCs w:val="20"/>
          <w:lang w:val="en-GB"/>
        </w:rPr>
        <w:t>et al.</w:t>
      </w:r>
      <w:r w:rsidRPr="00674FBD">
        <w:rPr>
          <w:noProof/>
          <w:sz w:val="20"/>
          <w:szCs w:val="20"/>
          <w:lang w:val="en-GB"/>
        </w:rPr>
        <w:t xml:space="preserve"> 2015)</w:t>
      </w:r>
      <w:r w:rsidRPr="00674FBD">
        <w:rPr>
          <w:sz w:val="20"/>
          <w:szCs w:val="20"/>
          <w:lang w:val="en-GB"/>
        </w:rPr>
        <w:fldChar w:fldCharType="end"/>
      </w:r>
      <w:r w:rsidRPr="00674FBD">
        <w:rPr>
          <w:sz w:val="20"/>
          <w:szCs w:val="20"/>
          <w:lang w:val="en-GB"/>
        </w:rPr>
        <w:t>.</w:t>
      </w:r>
    </w:p>
    <w:p w14:paraId="0F30F39A" w14:textId="42109DF5" w:rsidR="00674FBD" w:rsidRPr="00674FBD" w:rsidRDefault="00674FBD" w:rsidP="00674FBD">
      <w:pPr>
        <w:tabs>
          <w:tab w:val="left" w:pos="567"/>
        </w:tabs>
        <w:jc w:val="both"/>
        <w:rPr>
          <w:sz w:val="20"/>
          <w:szCs w:val="20"/>
          <w:lang w:val="en-GB"/>
        </w:rPr>
      </w:pPr>
      <w:r w:rsidRPr="00674FBD">
        <w:rPr>
          <w:sz w:val="20"/>
          <w:szCs w:val="20"/>
          <w:lang w:val="en-GB"/>
        </w:rPr>
        <w:t xml:space="preserve">The management of oxygen in bottle is a critical factor, regulated by the performance of the closures </w:t>
      </w:r>
      <w:r w:rsidRPr="00674FBD">
        <w:rPr>
          <w:sz w:val="20"/>
          <w:szCs w:val="20"/>
          <w:lang w:val="en-GB"/>
        </w:rPr>
        <w:fldChar w:fldCharType="begin" w:fldLock="1"/>
      </w:r>
      <w:r w:rsidRPr="00674FBD">
        <w:rPr>
          <w:sz w:val="20"/>
          <w:szCs w:val="20"/>
          <w:lang w:val="en-GB"/>
        </w:rPr>
        <w:instrText>ADDIN CSL_CITATION {"citationItems":[{"id":"ITEM-1","itemData":{"DOI":"10.1007/s00217-011-1603-9","ISSN":"14382377","abstract":"Closures have an important influence on wine quality during ageing in bottle. The increasing diversity of wine stoppers and their effect in wine development after bottling has been a subject of intense research. This review focuses on the impact of closures on wine quality during bottle storage. Studies dealing with the effectiveness of closures in protecting wine quality during storage and research conducted in order to determine the impact of closures on wine organoleptic properties are discussed. Several types of closures are described and, more particularly, differences in their permeability leading to variable levels of oxygen in the bottle, the role of closures on the removal and/or addition of undesirable compounds from/to wine are critically reviewed. © 2011 Springer-Verlag.","author":[{"dropping-particle":"","family":"Silva","given":"Maria A.","non-dropping-particle":"","parse-names":false,"suffix":""},{"dropping-particle":"","family":"Julien","given":"Michel","non-dropping-particle":"","parse-names":false,"suffix":""},{"dropping-particle":"","family":"Jourdes","given":"Michael","non-dropping-particle":"","parse-names":false,"suffix":""},{"dropping-particle":"","family":"Teissedre","given":"Pierre Louis","non-dropping-particle":"","parse-names":false,"suffix":""}],"container-title":"European Food Research and Technology","id":"ITEM-1","issue":"6","issued":{"date-parts":[["2011"]]},"page":"905-914","title":"Impact of closures on wine post-bottling development: A review","type":"article-journal","volume":"233"},"uris":["http://www.mendeley.com/documents/?uuid=2c12a158-a6d3-4bdf-b9bd-12ff08ce42a1"]},{"id":"ITEM-2","itemData":{"author":[{"dropping-particle":"","family":"Skouroumounis","given":"G.K.","non-dropping-particle":"","parse-names":false,"suffix":""},{"dropping-particle":"","family":"Kwiatkowski","given":"M.J.","non-dropping-particle":"","parse-names":false,"suffix":""},{"dropping-particle":"","family":"Francis","given":"I.L.","non-dropping-particle":"","parse-names":false,"suffix":""},{"dropping-particle":"","family":"Oakey","given":"H.","non-dropping-particle":"","parse-names":false,"suffix":""},{"dropping-particle":"","family":"Capone","given":"D.L.","non-dropping-particle":"","parse-names":false,"suffix":""},{"dropping-particle":"","family":"Duncan","given":"B.","non-dropping-particle":"","parse-names":false,"suffix":""},{"dropping-particle":"","family":"Sefton","given":"M.A.","non-dropping-particle":"","parse-names":false,"suffix":""},{"dropping-particle":"","family":"Waters","given":"E.J.","non-dropping-particle":"","parse-names":false,"suffix":""}],"container-title":"Australian Journal of Grape and Wine Research.","id":"ITEM-2","issued":{"date-parts":[["2005"]]},"page":"369-377","title":"The impact of closure type and storage conditions on the composition, colour and flavour properties of the Riesling and a wooded Chardonnay wine during five years' storage","type":"article-journal","volume":"11"},"uris":["http://www.mendeley.com/documents/?uuid=102fcb32-051b-48d5-9b81-018e2900825f"]},{"id":"ITEM-3","itemData":{"DOI":"10.1111/j.1755-0238.2001.tb00196.x","ISSN":"1322-7130","abstract":"A Semillon wine was bottled using 14 different closures: a screw-cap type, two grades of conventional natural cork, two 'technical cork' closures (natural cork with a synthetic component), and 9 closures manufactured from synthetic polymer material. Closure performance was evaluated for physical aspects (e.g. extraction force and energy, change in closure diameter, and ease of closure reinsertion), and for wine composition and sensory properties. Wine under the screw cap closure retained the greatest concentration of sulfur dioxide (SO2) and ascorbic acid and had the slowest rate of browning. For other closures the trend of SO2 loss relative to the screw cap closure was apparent from an early stage of testing, and was most evident in the group of synthetic closures, intermediate in the conventional corks, and least evident in the technical cork closures. The loss of SO2 was in general highly correlated with an increase in wine browning (OD420) and the concentration of SO2 in the wine at six months was a strong predictor of future browning in the wine, particularly after eighteen months. Neither the concentration of dissolved oxygen at bottling (0,6-3.1 mg/L), nor the physical closure measures were predictors of future browning. For several closures upright storage tended to accelerate loss of SO2 from the wine, but in many cases this effect was marginal. The closures differed widely in regard to physical characteristics, and in general synthetic corks appeared least 'consumer-friendly' in terms of extraction forces, energies, and ease of closure re-insertion, but there was a trend for natural cork closures to exhibit larger variability in physical characteristics than technical cork and synthetic closures. Sensory analysis indicated large differences in wine flavour properties, with closures which tended to result in the best retention of free SO2 having wine sensory scores for 'citrus' that were generally high whilst scores for the attributes 'developed'/'oxidised' were low. The situation was reversed for wine under closures that performed poorly in the retention of free SO2. It was found that below a critical level of free SO2 remaining in the wine, closures exhibited substantially higher 'oxidised' aroma. Whilst trichloroanisole-type (TCA) taint was a noticeable problem for some cork and technical cork closures, any plastic-type taint appeared not to be a problem with most synthetic closures.","author":[{"dropping-particle":"","family":"Godden","given":"Peter","non-dropping-particle":"","parse-names":false,"suffix":""},{"dropping-particle":"","family":"Francis","given":"Leigh","non-dropping-particle":"","parse-names":false,"suffix":""},{"dropping-particle":"","family":"Field","given":"John","non-dropping-particle":"","parse-names":false,"suffix":""},{"dropping-particle":"","family":"Gishen","given":"Mark","non-dropping-particle":"","parse-names":false,"suffix":""},{"dropping-particle":"","family":"Coulter","given":"Adrian","non-dropping-particle":"","parse-names":false,"suffix":""},{"dropping-particle":"","family":"Valente","given":"Peter","non-dropping-particle":"","parse-names":false,"suffix":""},{"dropping-particle":"","family":"Høj","given":"Peter","non-dropping-particle":"","parse-names":false,"suffix":""},{"dropping-particle":"","family":"Robinson","given":"Ella","non-dropping-particle":"","parse-names":false,"suffix":""}],"container-title":"Australian Journal of Grape and Wine Research","id":"ITEM-3","issue":"2","issued":{"date-parts":[["2001"]]},"page":"64-105","title":"Wine bottle closures: Physical characteristics and effect on composition and sensory properties of a Semillon wine I. Performance up to 20 months post-bottling","type":"article-journal","volume":"7"},"uris":["http://www.mendeley.com/documents/?uuid=c5635fb3-722d-486a-bbf9-0e2e3cf22c2b"]}],"mendeley":{"formattedCitation":"(Silva et al. 2011; Skouroumounis et al. 2005; Godden et al. 2001)","plainTextFormattedCitation":"(Silva et al. 2011; Skouroumounis et al. 2005; Godden et al. 2001)","previouslyFormattedCitation":"(Silva et al. 2011; Skouroumounis et al. 2005; Godden et al. 2001)"},"properties":{"noteIndex":0},"schema":"https://github.com/citation-style-language/schema/raw/master/csl-citation.json"}</w:instrText>
      </w:r>
      <w:r w:rsidRPr="00674FBD">
        <w:rPr>
          <w:sz w:val="20"/>
          <w:szCs w:val="20"/>
          <w:lang w:val="en-GB"/>
        </w:rPr>
        <w:fldChar w:fldCharType="separate"/>
      </w:r>
      <w:r w:rsidRPr="00674FBD">
        <w:rPr>
          <w:noProof/>
          <w:sz w:val="20"/>
          <w:szCs w:val="20"/>
          <w:lang w:val="en-GB"/>
        </w:rPr>
        <w:t xml:space="preserve">(Silva </w:t>
      </w:r>
      <w:r w:rsidR="00612B25" w:rsidRPr="009D1D45">
        <w:rPr>
          <w:i/>
          <w:iCs/>
          <w:noProof/>
          <w:sz w:val="20"/>
          <w:szCs w:val="20"/>
          <w:lang w:val="en-GB"/>
        </w:rPr>
        <w:t>et al.</w:t>
      </w:r>
      <w:r w:rsidRPr="00674FBD">
        <w:rPr>
          <w:noProof/>
          <w:sz w:val="20"/>
          <w:szCs w:val="20"/>
          <w:lang w:val="en-GB"/>
        </w:rPr>
        <w:t xml:space="preserve"> 2011; Skouroumounis </w:t>
      </w:r>
      <w:r w:rsidR="00612B25" w:rsidRPr="009D1D45">
        <w:rPr>
          <w:i/>
          <w:iCs/>
          <w:noProof/>
          <w:sz w:val="20"/>
          <w:szCs w:val="20"/>
          <w:lang w:val="en-GB"/>
        </w:rPr>
        <w:t>et al.</w:t>
      </w:r>
      <w:r w:rsidRPr="00674FBD">
        <w:rPr>
          <w:noProof/>
          <w:sz w:val="20"/>
          <w:szCs w:val="20"/>
          <w:lang w:val="en-GB"/>
        </w:rPr>
        <w:t xml:space="preserve"> 2005; Godden </w:t>
      </w:r>
      <w:r w:rsidR="00612B25" w:rsidRPr="009D1D45">
        <w:rPr>
          <w:i/>
          <w:iCs/>
          <w:noProof/>
          <w:sz w:val="20"/>
          <w:szCs w:val="20"/>
          <w:lang w:val="en-GB"/>
        </w:rPr>
        <w:t>et al.</w:t>
      </w:r>
      <w:r w:rsidRPr="00674FBD">
        <w:rPr>
          <w:noProof/>
          <w:sz w:val="20"/>
          <w:szCs w:val="20"/>
          <w:lang w:val="en-GB"/>
        </w:rPr>
        <w:t xml:space="preserve"> 2001)</w:t>
      </w:r>
      <w:r w:rsidRPr="00674FBD">
        <w:rPr>
          <w:sz w:val="20"/>
          <w:szCs w:val="20"/>
          <w:lang w:val="en-GB"/>
        </w:rPr>
        <w:fldChar w:fldCharType="end"/>
      </w:r>
      <w:r w:rsidRPr="00674FBD">
        <w:rPr>
          <w:sz w:val="20"/>
          <w:szCs w:val="20"/>
          <w:lang w:val="en-GB"/>
        </w:rPr>
        <w:t>. It is essential to carry out adequate maintenance of the bottling machine and, above all, to select a suitable closure with the appropriate oxygen transfer rate (OTR), for fulfilling a given winemaking project and producing wines with a good stability towards evolution.</w:t>
      </w:r>
    </w:p>
    <w:p w14:paraId="63FE1876" w14:textId="77777777" w:rsidR="00674FBD" w:rsidRPr="00674FBD" w:rsidRDefault="00674FBD" w:rsidP="00674FBD">
      <w:pPr>
        <w:tabs>
          <w:tab w:val="left" w:pos="567"/>
        </w:tabs>
        <w:jc w:val="both"/>
        <w:rPr>
          <w:sz w:val="20"/>
          <w:szCs w:val="20"/>
          <w:lang w:val="en-GB"/>
        </w:rPr>
      </w:pPr>
      <w:r w:rsidRPr="00674FBD">
        <w:rPr>
          <w:sz w:val="20"/>
          <w:szCs w:val="20"/>
          <w:lang w:val="en-GB"/>
        </w:rPr>
        <w:t>Finally, in recent years, several research groups have studied new and faster analyses to determine the shelf-life of bottled white wine</w:t>
      </w:r>
      <w:r w:rsidRPr="008B779D">
        <w:rPr>
          <w:sz w:val="20"/>
          <w:szCs w:val="20"/>
          <w:lang w:val="en-GB"/>
        </w:rPr>
        <w:t xml:space="preserve">. </w:t>
      </w:r>
      <w:proofErr w:type="gramStart"/>
      <w:r w:rsidRPr="008B779D">
        <w:rPr>
          <w:sz w:val="20"/>
          <w:szCs w:val="20"/>
          <w:lang w:val="en-GB"/>
        </w:rPr>
        <w:t>In particular, cyclic</w:t>
      </w:r>
      <w:proofErr w:type="gramEnd"/>
      <w:r w:rsidRPr="008B779D">
        <w:rPr>
          <w:sz w:val="20"/>
          <w:szCs w:val="20"/>
          <w:lang w:val="en-GB"/>
        </w:rPr>
        <w:t xml:space="preserve"> voltammetry is a new technic in enology that can be useful in combination with different statistical approaches, to achieve this goal.</w:t>
      </w:r>
    </w:p>
    <w:p w14:paraId="7E00293D" w14:textId="24C34FD9" w:rsidR="00D91591" w:rsidRPr="007F0DA8" w:rsidRDefault="00D91591" w:rsidP="007F0DA8">
      <w:pPr>
        <w:pStyle w:val="Titolo1"/>
        <w:tabs>
          <w:tab w:val="left" w:pos="567"/>
        </w:tabs>
        <w:spacing w:before="240" w:after="120"/>
        <w:ind w:right="0"/>
        <w:jc w:val="both"/>
        <w:rPr>
          <w:b/>
          <w:bCs/>
          <w:color w:val="000000"/>
          <w:sz w:val="24"/>
          <w:lang w:val="en-GB"/>
        </w:rPr>
      </w:pPr>
      <w:r>
        <w:rPr>
          <w:b/>
          <w:bCs/>
          <w:color w:val="000000"/>
          <w:sz w:val="24"/>
          <w:lang w:val="en-GB"/>
        </w:rPr>
        <w:t>2</w:t>
      </w:r>
      <w:r w:rsidR="007D40F9">
        <w:rPr>
          <w:b/>
          <w:bCs/>
          <w:color w:val="000000"/>
          <w:sz w:val="24"/>
          <w:lang w:val="en-GB"/>
        </w:rPr>
        <w:t>. Materials and Methods</w:t>
      </w:r>
    </w:p>
    <w:p w14:paraId="6177F221" w14:textId="00BA168F" w:rsidR="00D91591" w:rsidRDefault="00D91591" w:rsidP="00335D82">
      <w:pPr>
        <w:pStyle w:val="Titolo2"/>
        <w:rPr>
          <w:b/>
          <w:bCs/>
          <w:sz w:val="20"/>
          <w:lang w:val="en-GB"/>
        </w:rPr>
      </w:pPr>
      <w:r w:rsidRPr="00335D82">
        <w:rPr>
          <w:b/>
          <w:bCs/>
          <w:sz w:val="20"/>
          <w:lang w:val="en-GB"/>
        </w:rPr>
        <w:t>2.1 Sample Preparation</w:t>
      </w:r>
    </w:p>
    <w:p w14:paraId="19FB9E99" w14:textId="77777777" w:rsidR="00674FBD" w:rsidRPr="00674FBD" w:rsidRDefault="00674FBD" w:rsidP="00674FBD">
      <w:pPr>
        <w:jc w:val="both"/>
        <w:rPr>
          <w:sz w:val="20"/>
          <w:szCs w:val="20"/>
          <w:lang w:val="en-GB"/>
        </w:rPr>
      </w:pPr>
      <w:r w:rsidRPr="00674FBD">
        <w:rPr>
          <w:sz w:val="20"/>
          <w:szCs w:val="20"/>
          <w:lang w:val="en-GB"/>
        </w:rPr>
        <w:t xml:space="preserve">A Pinot Gris, vintage 2021, DOC </w:t>
      </w:r>
      <w:proofErr w:type="spellStart"/>
      <w:r w:rsidRPr="00674FBD">
        <w:rPr>
          <w:sz w:val="20"/>
          <w:szCs w:val="20"/>
          <w:lang w:val="en-GB"/>
        </w:rPr>
        <w:t>delle</w:t>
      </w:r>
      <w:proofErr w:type="spellEnd"/>
      <w:r w:rsidRPr="00674FBD">
        <w:rPr>
          <w:sz w:val="20"/>
          <w:szCs w:val="20"/>
          <w:lang w:val="en-GB"/>
        </w:rPr>
        <w:t xml:space="preserve"> </w:t>
      </w:r>
      <w:proofErr w:type="spellStart"/>
      <w:r w:rsidRPr="00674FBD">
        <w:rPr>
          <w:sz w:val="20"/>
          <w:szCs w:val="20"/>
          <w:lang w:val="en-GB"/>
        </w:rPr>
        <w:t>Venezie</w:t>
      </w:r>
      <w:proofErr w:type="spellEnd"/>
      <w:r w:rsidRPr="00674FBD">
        <w:rPr>
          <w:sz w:val="20"/>
          <w:szCs w:val="20"/>
          <w:lang w:val="en-GB"/>
        </w:rPr>
        <w:t xml:space="preserve">, was selected for this research project. The wine was bottled at winery scale, using a GAI 3005 TOP integrated bottling machine (for technical cork closures), and a GAI 4292 corker (for screw caps) (GAI </w:t>
      </w:r>
      <w:proofErr w:type="spellStart"/>
      <w:r w:rsidRPr="00674FBD">
        <w:rPr>
          <w:sz w:val="20"/>
          <w:szCs w:val="20"/>
          <w:lang w:val="en-GB"/>
        </w:rPr>
        <w:t>Macchine</w:t>
      </w:r>
      <w:proofErr w:type="spellEnd"/>
      <w:r w:rsidRPr="00674FBD">
        <w:rPr>
          <w:sz w:val="20"/>
          <w:szCs w:val="20"/>
          <w:lang w:val="en-GB"/>
        </w:rPr>
        <w:t xml:space="preserve"> </w:t>
      </w:r>
      <w:proofErr w:type="spellStart"/>
      <w:r w:rsidRPr="00674FBD">
        <w:rPr>
          <w:sz w:val="20"/>
          <w:szCs w:val="20"/>
          <w:lang w:val="en-GB"/>
        </w:rPr>
        <w:t>Imbottigliatrici</w:t>
      </w:r>
      <w:proofErr w:type="spellEnd"/>
      <w:r w:rsidRPr="00674FBD">
        <w:rPr>
          <w:sz w:val="20"/>
          <w:szCs w:val="20"/>
          <w:lang w:val="en-GB"/>
        </w:rPr>
        <w:t xml:space="preserve"> Spa, </w:t>
      </w:r>
      <w:proofErr w:type="spellStart"/>
      <w:r w:rsidRPr="00674FBD">
        <w:rPr>
          <w:sz w:val="20"/>
          <w:szCs w:val="20"/>
          <w:lang w:val="en-GB"/>
        </w:rPr>
        <w:t>Ceresole</w:t>
      </w:r>
      <w:proofErr w:type="spellEnd"/>
      <w:r w:rsidRPr="00674FBD">
        <w:rPr>
          <w:sz w:val="20"/>
          <w:szCs w:val="20"/>
          <w:lang w:val="en-GB"/>
        </w:rPr>
        <w:t xml:space="preserve"> Alba, Italy). The wine was bottled in standard Bordeaux bottles, clear white, with a nominal volume of 750 mL at 20°C, with a BVS standard neck for the screwcaps.</w:t>
      </w:r>
    </w:p>
    <w:p w14:paraId="65001E6F" w14:textId="77777777" w:rsidR="00674FBD" w:rsidRPr="00674FBD" w:rsidRDefault="00674FBD" w:rsidP="00674FBD">
      <w:pPr>
        <w:jc w:val="both"/>
        <w:rPr>
          <w:sz w:val="20"/>
          <w:szCs w:val="20"/>
          <w:lang w:val="en-GB"/>
        </w:rPr>
      </w:pPr>
      <w:r w:rsidRPr="00674FBD">
        <w:rPr>
          <w:sz w:val="20"/>
          <w:szCs w:val="20"/>
          <w:lang w:val="en-GB"/>
        </w:rPr>
        <w:t>Concerning oxygen management, two different treatments were applied to the wine: a control (no treatment) and a contactor membrane processing by using a Mastermind Remove equipment (</w:t>
      </w:r>
      <w:proofErr w:type="spellStart"/>
      <w:r w:rsidRPr="00674FBD">
        <w:rPr>
          <w:sz w:val="20"/>
          <w:szCs w:val="20"/>
          <w:lang w:val="en-GB"/>
        </w:rPr>
        <w:t>Ju.Cla.S</w:t>
      </w:r>
      <w:proofErr w:type="spellEnd"/>
      <w:r w:rsidRPr="00674FBD">
        <w:rPr>
          <w:sz w:val="20"/>
          <w:szCs w:val="20"/>
          <w:lang w:val="en-GB"/>
        </w:rPr>
        <w:t xml:space="preserve">. </w:t>
      </w:r>
      <w:proofErr w:type="spellStart"/>
      <w:r w:rsidRPr="00674FBD">
        <w:rPr>
          <w:sz w:val="20"/>
          <w:szCs w:val="20"/>
          <w:lang w:val="en-GB"/>
        </w:rPr>
        <w:t>S.r.l</w:t>
      </w:r>
      <w:proofErr w:type="spellEnd"/>
      <w:r w:rsidRPr="00674FBD">
        <w:rPr>
          <w:sz w:val="20"/>
          <w:szCs w:val="20"/>
          <w:lang w:val="en-GB"/>
        </w:rPr>
        <w:t xml:space="preserve">., </w:t>
      </w:r>
      <w:proofErr w:type="spellStart"/>
      <w:r w:rsidRPr="00674FBD">
        <w:rPr>
          <w:sz w:val="20"/>
          <w:szCs w:val="20"/>
          <w:lang w:val="en-GB"/>
        </w:rPr>
        <w:t>Pescantina</w:t>
      </w:r>
      <w:proofErr w:type="spellEnd"/>
      <w:r w:rsidRPr="00674FBD">
        <w:rPr>
          <w:sz w:val="20"/>
          <w:szCs w:val="20"/>
          <w:lang w:val="en-GB"/>
        </w:rPr>
        <w:t>, Italy). Membrane had a nominal porosity of 0.05 µm and a MWCO &lt; 50. The CO</w:t>
      </w:r>
      <w:r w:rsidRPr="00650961">
        <w:rPr>
          <w:sz w:val="20"/>
          <w:szCs w:val="20"/>
          <w:vertAlign w:val="subscript"/>
          <w:lang w:val="en-GB"/>
        </w:rPr>
        <w:t>2</w:t>
      </w:r>
      <w:r w:rsidRPr="00674FBD">
        <w:rPr>
          <w:sz w:val="20"/>
          <w:szCs w:val="20"/>
          <w:lang w:val="en-GB"/>
        </w:rPr>
        <w:t xml:space="preserve"> concentration after the treatments was 1.5 g/L and 0.9 g/L respectively and the O</w:t>
      </w:r>
      <w:r w:rsidRPr="00650961">
        <w:rPr>
          <w:sz w:val="20"/>
          <w:szCs w:val="20"/>
          <w:vertAlign w:val="subscript"/>
          <w:lang w:val="en-GB"/>
        </w:rPr>
        <w:t>2</w:t>
      </w:r>
      <w:r w:rsidRPr="00674FBD">
        <w:rPr>
          <w:sz w:val="20"/>
          <w:szCs w:val="20"/>
          <w:lang w:val="en-GB"/>
        </w:rPr>
        <w:t xml:space="preserve"> concentration was 1.2 mg/L in Control and 0.3 mg/L in membrane processed wine.</w:t>
      </w:r>
    </w:p>
    <w:p w14:paraId="509C73C5" w14:textId="77777777" w:rsidR="00674FBD" w:rsidRPr="00674FBD" w:rsidRDefault="00674FBD" w:rsidP="00674FBD">
      <w:pPr>
        <w:jc w:val="both"/>
        <w:rPr>
          <w:sz w:val="20"/>
          <w:szCs w:val="20"/>
          <w:lang w:val="en-GB"/>
        </w:rPr>
      </w:pPr>
      <w:r w:rsidRPr="00674FBD">
        <w:rPr>
          <w:sz w:val="20"/>
          <w:szCs w:val="20"/>
          <w:lang w:val="en-GB"/>
        </w:rPr>
        <w:t xml:space="preserve">Four different closures were used for sealing the bottles: an agglomerated cork and three different screwcaps, one with a </w:t>
      </w:r>
      <w:proofErr w:type="spellStart"/>
      <w:r w:rsidRPr="00674FBD">
        <w:rPr>
          <w:sz w:val="20"/>
          <w:szCs w:val="20"/>
          <w:lang w:val="en-GB"/>
        </w:rPr>
        <w:t>Saranex</w:t>
      </w:r>
      <w:proofErr w:type="spellEnd"/>
      <w:r w:rsidRPr="00652556">
        <w:rPr>
          <w:sz w:val="20"/>
          <w:szCs w:val="20"/>
          <w:vertAlign w:val="superscript"/>
          <w:lang w:val="en-GB"/>
        </w:rPr>
        <w:t>®</w:t>
      </w:r>
      <w:r w:rsidRPr="00674FBD">
        <w:rPr>
          <w:sz w:val="20"/>
          <w:szCs w:val="20"/>
          <w:lang w:val="en-GB"/>
        </w:rPr>
        <w:t xml:space="preserve"> liner, and two alternative liners named “M” and “Z”, characterized by a lower OTR. Table 1 summarizes all the trials. Samples were stored at 20°C ±5°C and 70% ±10% relative humidity until analysis, carried out after three and eleven months.</w:t>
      </w:r>
    </w:p>
    <w:p w14:paraId="6BDAF645" w14:textId="77777777" w:rsidR="00F06970" w:rsidRPr="00674FBD" w:rsidRDefault="00F06970">
      <w:pPr>
        <w:rPr>
          <w:sz w:val="20"/>
          <w:szCs w:val="20"/>
          <w:lang w:val="en-GB"/>
        </w:rPr>
      </w:pPr>
      <w:r w:rsidRPr="00674FBD">
        <w:rPr>
          <w:sz w:val="20"/>
          <w:szCs w:val="20"/>
          <w:lang w:val="en-GB"/>
        </w:rPr>
        <w:br w:type="page"/>
      </w:r>
    </w:p>
    <w:p w14:paraId="2B6DF2BB" w14:textId="4D64BB61" w:rsidR="007F0DA8" w:rsidRPr="00F2271A" w:rsidRDefault="00BE05D2" w:rsidP="00494AE6">
      <w:pPr>
        <w:tabs>
          <w:tab w:val="left" w:pos="851"/>
        </w:tabs>
        <w:spacing w:before="300" w:after="120"/>
        <w:jc w:val="both"/>
        <w:rPr>
          <w:rFonts w:asciiTheme="majorBidi" w:hAnsiTheme="majorBidi" w:cstheme="majorBidi"/>
          <w:i/>
          <w:iCs/>
          <w:sz w:val="18"/>
          <w:szCs w:val="18"/>
          <w:lang w:val="en-GB"/>
        </w:rPr>
      </w:pPr>
      <w:r w:rsidRPr="00F2271A">
        <w:rPr>
          <w:rFonts w:asciiTheme="majorBidi" w:hAnsiTheme="majorBidi" w:cstheme="majorBidi"/>
          <w:b/>
          <w:iCs/>
          <w:sz w:val="18"/>
          <w:szCs w:val="18"/>
          <w:lang w:val="en-GB"/>
        </w:rPr>
        <w:lastRenderedPageBreak/>
        <w:t xml:space="preserve">Table 1 </w:t>
      </w:r>
      <w:r w:rsidRPr="00F2271A">
        <w:rPr>
          <w:rFonts w:asciiTheme="majorBidi" w:hAnsiTheme="majorBidi" w:cstheme="majorBidi"/>
          <w:b/>
          <w:iCs/>
          <w:sz w:val="18"/>
          <w:szCs w:val="18"/>
          <w:lang w:val="en-GB"/>
        </w:rPr>
        <w:tab/>
      </w:r>
      <w:r w:rsidR="00741880">
        <w:rPr>
          <w:rFonts w:asciiTheme="majorBidi" w:hAnsiTheme="majorBidi" w:cstheme="majorBidi"/>
          <w:i/>
          <w:iCs/>
          <w:sz w:val="18"/>
          <w:szCs w:val="18"/>
          <w:lang w:val="en-GB"/>
        </w:rPr>
        <w:t>C</w:t>
      </w:r>
      <w:r w:rsidR="007F0DA8" w:rsidRPr="00F2271A">
        <w:rPr>
          <w:rFonts w:asciiTheme="majorBidi" w:hAnsiTheme="majorBidi" w:cstheme="majorBidi"/>
          <w:i/>
          <w:iCs/>
          <w:sz w:val="18"/>
          <w:szCs w:val="18"/>
          <w:lang w:val="en-GB"/>
        </w:rPr>
        <w:t xml:space="preserve">odes used for </w:t>
      </w:r>
      <w:r w:rsidR="00741880">
        <w:rPr>
          <w:rFonts w:asciiTheme="majorBidi" w:hAnsiTheme="majorBidi" w:cstheme="majorBidi"/>
          <w:i/>
          <w:iCs/>
          <w:sz w:val="18"/>
          <w:szCs w:val="18"/>
          <w:lang w:val="en-GB"/>
        </w:rPr>
        <w:t xml:space="preserve">the different closures </w:t>
      </w:r>
      <w:r w:rsidR="007F0DA8" w:rsidRPr="00F2271A">
        <w:rPr>
          <w:rFonts w:asciiTheme="majorBidi" w:hAnsiTheme="majorBidi" w:cstheme="majorBidi"/>
          <w:i/>
          <w:iCs/>
          <w:sz w:val="18"/>
          <w:szCs w:val="18"/>
          <w:lang w:val="en-GB"/>
        </w:rPr>
        <w:t xml:space="preserve">and estimated oxygen transfer </w:t>
      </w:r>
      <w:r w:rsidR="00DF50B0" w:rsidRPr="00F2271A">
        <w:rPr>
          <w:rFonts w:asciiTheme="majorBidi" w:hAnsiTheme="majorBidi" w:cstheme="majorBidi"/>
          <w:i/>
          <w:iCs/>
          <w:sz w:val="18"/>
          <w:szCs w:val="18"/>
          <w:lang w:val="en-GB"/>
        </w:rPr>
        <w:t>rate.</w:t>
      </w:r>
    </w:p>
    <w:tbl>
      <w:tblPr>
        <w:tblW w:w="3480" w:type="dxa"/>
        <w:tblCellMar>
          <w:left w:w="70" w:type="dxa"/>
          <w:right w:w="70" w:type="dxa"/>
        </w:tblCellMar>
        <w:tblLook w:val="04A0" w:firstRow="1" w:lastRow="0" w:firstColumn="1" w:lastColumn="0" w:noHBand="0" w:noVBand="1"/>
      </w:tblPr>
      <w:tblGrid>
        <w:gridCol w:w="1280"/>
        <w:gridCol w:w="1100"/>
        <w:gridCol w:w="1100"/>
      </w:tblGrid>
      <w:tr w:rsidR="00741880" w:rsidRPr="00652556" w14:paraId="44A12BD8" w14:textId="77777777" w:rsidTr="00741880">
        <w:trPr>
          <w:trHeight w:val="20"/>
        </w:trPr>
        <w:tc>
          <w:tcPr>
            <w:tcW w:w="1280" w:type="dxa"/>
            <w:tcBorders>
              <w:left w:val="nil"/>
              <w:bottom w:val="single" w:sz="8" w:space="0" w:color="auto"/>
              <w:right w:val="nil"/>
            </w:tcBorders>
            <w:shd w:val="clear" w:color="000000" w:fill="FFFFFF"/>
            <w:noWrap/>
            <w:vAlign w:val="center"/>
            <w:hideMark/>
          </w:tcPr>
          <w:p w14:paraId="69C5430B" w14:textId="77777777" w:rsidR="00741880" w:rsidRPr="00652556" w:rsidRDefault="00741880">
            <w:pPr>
              <w:jc w:val="center"/>
              <w:rPr>
                <w:color w:val="000000"/>
                <w:sz w:val="18"/>
                <w:szCs w:val="18"/>
                <w:lang w:val="en-GB"/>
              </w:rPr>
            </w:pPr>
            <w:r w:rsidRPr="00652556">
              <w:rPr>
                <w:color w:val="000000"/>
                <w:sz w:val="18"/>
                <w:szCs w:val="18"/>
                <w:lang w:val="en-GB"/>
              </w:rPr>
              <w:t>Sample code</w:t>
            </w:r>
          </w:p>
        </w:tc>
        <w:tc>
          <w:tcPr>
            <w:tcW w:w="1100" w:type="dxa"/>
            <w:tcBorders>
              <w:left w:val="nil"/>
              <w:bottom w:val="single" w:sz="8" w:space="0" w:color="auto"/>
              <w:right w:val="nil"/>
            </w:tcBorders>
            <w:shd w:val="clear" w:color="000000" w:fill="FFFFFF"/>
            <w:noWrap/>
            <w:vAlign w:val="center"/>
            <w:hideMark/>
          </w:tcPr>
          <w:p w14:paraId="4FA9F0AF" w14:textId="77777777" w:rsidR="00741880" w:rsidRPr="00652556" w:rsidRDefault="00741880">
            <w:pPr>
              <w:jc w:val="center"/>
              <w:rPr>
                <w:color w:val="000000"/>
                <w:sz w:val="18"/>
                <w:szCs w:val="18"/>
                <w:lang w:val="en-GB"/>
              </w:rPr>
            </w:pPr>
            <w:r w:rsidRPr="00652556">
              <w:rPr>
                <w:color w:val="000000"/>
                <w:sz w:val="18"/>
                <w:szCs w:val="18"/>
                <w:lang w:val="en-GB"/>
              </w:rPr>
              <w:t>Closure</w:t>
            </w:r>
          </w:p>
        </w:tc>
        <w:tc>
          <w:tcPr>
            <w:tcW w:w="1100" w:type="dxa"/>
            <w:tcBorders>
              <w:left w:val="nil"/>
              <w:bottom w:val="single" w:sz="8" w:space="0" w:color="auto"/>
              <w:right w:val="nil"/>
            </w:tcBorders>
            <w:shd w:val="clear" w:color="000000" w:fill="FFFFFF"/>
            <w:vAlign w:val="center"/>
            <w:hideMark/>
          </w:tcPr>
          <w:p w14:paraId="5A58ED2D" w14:textId="77777777" w:rsidR="00741880" w:rsidRPr="00652556" w:rsidRDefault="00741880">
            <w:pPr>
              <w:jc w:val="center"/>
              <w:rPr>
                <w:color w:val="000000"/>
                <w:sz w:val="18"/>
                <w:szCs w:val="18"/>
                <w:lang w:val="en-GB"/>
              </w:rPr>
            </w:pPr>
            <w:r w:rsidRPr="00652556">
              <w:rPr>
                <w:color w:val="000000"/>
                <w:sz w:val="18"/>
                <w:szCs w:val="18"/>
                <w:lang w:val="en-GB"/>
              </w:rPr>
              <w:t>Theoretical OTR</w:t>
            </w:r>
          </w:p>
        </w:tc>
      </w:tr>
      <w:tr w:rsidR="00741880" w:rsidRPr="00652556" w14:paraId="605E58A5" w14:textId="77777777" w:rsidTr="00741880">
        <w:trPr>
          <w:trHeight w:val="20"/>
        </w:trPr>
        <w:tc>
          <w:tcPr>
            <w:tcW w:w="1280" w:type="dxa"/>
            <w:tcBorders>
              <w:top w:val="nil"/>
              <w:left w:val="nil"/>
              <w:bottom w:val="nil"/>
              <w:right w:val="nil"/>
            </w:tcBorders>
            <w:shd w:val="clear" w:color="000000" w:fill="FFFFFF"/>
            <w:noWrap/>
            <w:vAlign w:val="center"/>
            <w:hideMark/>
          </w:tcPr>
          <w:p w14:paraId="761BD86E" w14:textId="5B5BF900" w:rsidR="00741880" w:rsidRPr="00652556" w:rsidRDefault="00741880">
            <w:pPr>
              <w:jc w:val="center"/>
              <w:rPr>
                <w:color w:val="000000"/>
                <w:sz w:val="18"/>
                <w:szCs w:val="18"/>
                <w:lang w:val="en-GB"/>
              </w:rPr>
            </w:pPr>
            <w:r>
              <w:rPr>
                <w:color w:val="000000"/>
                <w:sz w:val="18"/>
                <w:szCs w:val="18"/>
                <w:lang w:val="en-GB"/>
              </w:rPr>
              <w:t>SUG</w:t>
            </w:r>
          </w:p>
        </w:tc>
        <w:tc>
          <w:tcPr>
            <w:tcW w:w="1100" w:type="dxa"/>
            <w:tcBorders>
              <w:top w:val="nil"/>
              <w:left w:val="nil"/>
              <w:bottom w:val="nil"/>
              <w:right w:val="nil"/>
            </w:tcBorders>
            <w:shd w:val="clear" w:color="000000" w:fill="FFFFFF"/>
            <w:noWrap/>
            <w:vAlign w:val="center"/>
            <w:hideMark/>
          </w:tcPr>
          <w:p w14:paraId="254AE16F" w14:textId="77777777" w:rsidR="00741880" w:rsidRPr="00652556" w:rsidRDefault="00741880">
            <w:pPr>
              <w:jc w:val="center"/>
              <w:rPr>
                <w:color w:val="000000"/>
                <w:sz w:val="18"/>
                <w:szCs w:val="18"/>
                <w:lang w:val="en-GB"/>
              </w:rPr>
            </w:pPr>
            <w:r w:rsidRPr="00652556">
              <w:rPr>
                <w:color w:val="000000"/>
                <w:sz w:val="18"/>
                <w:szCs w:val="18"/>
                <w:lang w:val="en-GB"/>
              </w:rPr>
              <w:t>Cork</w:t>
            </w:r>
          </w:p>
        </w:tc>
        <w:tc>
          <w:tcPr>
            <w:tcW w:w="1100" w:type="dxa"/>
            <w:tcBorders>
              <w:top w:val="nil"/>
              <w:left w:val="nil"/>
              <w:bottom w:val="nil"/>
              <w:right w:val="nil"/>
            </w:tcBorders>
            <w:shd w:val="clear" w:color="000000" w:fill="FFFFFF"/>
            <w:vAlign w:val="center"/>
            <w:hideMark/>
          </w:tcPr>
          <w:p w14:paraId="4086BB0E" w14:textId="776172F4" w:rsidR="00741880" w:rsidRPr="00741880" w:rsidRDefault="00741880" w:rsidP="00741880">
            <w:pPr>
              <w:jc w:val="center"/>
              <w:rPr>
                <w:i/>
                <w:color w:val="000000"/>
                <w:sz w:val="18"/>
                <w:szCs w:val="18"/>
                <w:vertAlign w:val="superscript"/>
                <w:lang w:val="en-GB"/>
              </w:rPr>
            </w:pPr>
            <w:r w:rsidRPr="00652556">
              <w:rPr>
                <w:color w:val="000000"/>
                <w:sz w:val="18"/>
                <w:szCs w:val="18"/>
                <w:lang w:val="en-GB"/>
              </w:rPr>
              <w:t> </w:t>
            </w:r>
            <w:r>
              <w:rPr>
                <w:i/>
                <w:color w:val="000000"/>
                <w:sz w:val="18"/>
                <w:szCs w:val="18"/>
                <w:lang w:val="en-GB"/>
              </w:rPr>
              <w:t>n.k.</w:t>
            </w:r>
            <w:r>
              <w:rPr>
                <w:i/>
                <w:color w:val="000000"/>
                <w:sz w:val="18"/>
                <w:szCs w:val="18"/>
                <w:vertAlign w:val="superscript"/>
                <w:lang w:val="en-GB"/>
              </w:rPr>
              <w:t>1</w:t>
            </w:r>
          </w:p>
        </w:tc>
      </w:tr>
      <w:tr w:rsidR="00741880" w:rsidRPr="00652556" w14:paraId="6CE1C5F6" w14:textId="77777777" w:rsidTr="00741880">
        <w:trPr>
          <w:trHeight w:val="20"/>
        </w:trPr>
        <w:tc>
          <w:tcPr>
            <w:tcW w:w="1280" w:type="dxa"/>
            <w:tcBorders>
              <w:top w:val="nil"/>
              <w:left w:val="nil"/>
              <w:bottom w:val="nil"/>
              <w:right w:val="nil"/>
            </w:tcBorders>
            <w:shd w:val="clear" w:color="000000" w:fill="FFFFFF"/>
            <w:noWrap/>
            <w:vAlign w:val="center"/>
            <w:hideMark/>
          </w:tcPr>
          <w:p w14:paraId="5EFC5882" w14:textId="0113C19A" w:rsidR="00741880" w:rsidRPr="00652556" w:rsidRDefault="00741880" w:rsidP="00741880">
            <w:pPr>
              <w:jc w:val="center"/>
              <w:rPr>
                <w:color w:val="000000"/>
                <w:sz w:val="18"/>
                <w:szCs w:val="18"/>
                <w:lang w:val="en-GB"/>
              </w:rPr>
            </w:pPr>
            <w:r>
              <w:rPr>
                <w:color w:val="000000"/>
                <w:sz w:val="18"/>
                <w:szCs w:val="18"/>
                <w:lang w:val="en-GB"/>
              </w:rPr>
              <w:t>SAR</w:t>
            </w:r>
          </w:p>
        </w:tc>
        <w:tc>
          <w:tcPr>
            <w:tcW w:w="1100" w:type="dxa"/>
            <w:tcBorders>
              <w:top w:val="nil"/>
              <w:left w:val="nil"/>
              <w:bottom w:val="nil"/>
              <w:right w:val="nil"/>
            </w:tcBorders>
            <w:shd w:val="clear" w:color="000000" w:fill="FFFFFF"/>
            <w:noWrap/>
            <w:vAlign w:val="center"/>
            <w:hideMark/>
          </w:tcPr>
          <w:p w14:paraId="11DC65B8" w14:textId="70FE8BC5" w:rsidR="00741880" w:rsidRPr="00652556" w:rsidRDefault="00741880">
            <w:pPr>
              <w:jc w:val="center"/>
              <w:rPr>
                <w:color w:val="000000"/>
                <w:sz w:val="18"/>
                <w:szCs w:val="18"/>
                <w:lang w:val="en-GB"/>
              </w:rPr>
            </w:pPr>
            <w:proofErr w:type="spellStart"/>
            <w:r w:rsidRPr="00652556">
              <w:rPr>
                <w:color w:val="000000"/>
                <w:sz w:val="18"/>
                <w:szCs w:val="18"/>
                <w:lang w:val="en-GB"/>
              </w:rPr>
              <w:t>Saranex</w:t>
            </w:r>
            <w:proofErr w:type="spellEnd"/>
            <w:r w:rsidRPr="00652556">
              <w:rPr>
                <w:sz w:val="20"/>
                <w:szCs w:val="20"/>
                <w:vertAlign w:val="superscript"/>
                <w:lang w:val="en-GB"/>
              </w:rPr>
              <w:t>®</w:t>
            </w:r>
          </w:p>
        </w:tc>
        <w:tc>
          <w:tcPr>
            <w:tcW w:w="1100" w:type="dxa"/>
            <w:tcBorders>
              <w:top w:val="nil"/>
              <w:left w:val="nil"/>
              <w:bottom w:val="nil"/>
              <w:right w:val="nil"/>
            </w:tcBorders>
            <w:shd w:val="clear" w:color="000000" w:fill="FFFFFF"/>
            <w:vAlign w:val="center"/>
            <w:hideMark/>
          </w:tcPr>
          <w:p w14:paraId="0DDFB241" w14:textId="77777777" w:rsidR="00741880" w:rsidRPr="00652556" w:rsidRDefault="00741880">
            <w:pPr>
              <w:jc w:val="center"/>
              <w:rPr>
                <w:color w:val="000000"/>
                <w:sz w:val="18"/>
                <w:szCs w:val="18"/>
                <w:lang w:val="en-GB"/>
              </w:rPr>
            </w:pPr>
            <w:r w:rsidRPr="00652556">
              <w:rPr>
                <w:color w:val="000000"/>
                <w:sz w:val="18"/>
                <w:szCs w:val="18"/>
                <w:lang w:val="en-GB"/>
              </w:rPr>
              <w:t>+++</w:t>
            </w:r>
          </w:p>
        </w:tc>
      </w:tr>
      <w:tr w:rsidR="00741880" w:rsidRPr="00652556" w14:paraId="23D1F20C" w14:textId="77777777" w:rsidTr="00741880">
        <w:trPr>
          <w:trHeight w:val="20"/>
        </w:trPr>
        <w:tc>
          <w:tcPr>
            <w:tcW w:w="1280" w:type="dxa"/>
            <w:tcBorders>
              <w:top w:val="nil"/>
              <w:left w:val="nil"/>
              <w:right w:val="nil"/>
            </w:tcBorders>
            <w:shd w:val="clear" w:color="000000" w:fill="FFFFFF"/>
            <w:noWrap/>
            <w:vAlign w:val="center"/>
            <w:hideMark/>
          </w:tcPr>
          <w:p w14:paraId="2C32BE73" w14:textId="4D09289B" w:rsidR="00741880" w:rsidRPr="00652556" w:rsidRDefault="00741880" w:rsidP="00741880">
            <w:pPr>
              <w:jc w:val="center"/>
              <w:rPr>
                <w:color w:val="000000"/>
                <w:sz w:val="18"/>
                <w:szCs w:val="18"/>
                <w:lang w:val="en-GB"/>
              </w:rPr>
            </w:pPr>
            <w:r w:rsidRPr="00652556">
              <w:rPr>
                <w:color w:val="000000"/>
                <w:sz w:val="18"/>
                <w:szCs w:val="18"/>
                <w:lang w:val="en-GB"/>
              </w:rPr>
              <w:t>LIN_M</w:t>
            </w:r>
          </w:p>
        </w:tc>
        <w:tc>
          <w:tcPr>
            <w:tcW w:w="1100" w:type="dxa"/>
            <w:tcBorders>
              <w:top w:val="nil"/>
              <w:left w:val="nil"/>
              <w:right w:val="nil"/>
            </w:tcBorders>
            <w:shd w:val="clear" w:color="000000" w:fill="FFFFFF"/>
            <w:noWrap/>
            <w:vAlign w:val="center"/>
            <w:hideMark/>
          </w:tcPr>
          <w:p w14:paraId="31C0FFAB" w14:textId="77777777" w:rsidR="00741880" w:rsidRPr="00652556" w:rsidRDefault="00741880">
            <w:pPr>
              <w:jc w:val="center"/>
              <w:rPr>
                <w:color w:val="000000"/>
                <w:sz w:val="18"/>
                <w:szCs w:val="18"/>
                <w:lang w:val="en-GB"/>
              </w:rPr>
            </w:pPr>
            <w:r w:rsidRPr="00652556">
              <w:rPr>
                <w:color w:val="000000"/>
                <w:sz w:val="18"/>
                <w:szCs w:val="18"/>
                <w:lang w:val="en-GB"/>
              </w:rPr>
              <w:t>Liner "M"</w:t>
            </w:r>
          </w:p>
        </w:tc>
        <w:tc>
          <w:tcPr>
            <w:tcW w:w="1100" w:type="dxa"/>
            <w:tcBorders>
              <w:top w:val="nil"/>
              <w:left w:val="nil"/>
              <w:right w:val="nil"/>
            </w:tcBorders>
            <w:shd w:val="clear" w:color="000000" w:fill="FFFFFF"/>
            <w:vAlign w:val="center"/>
            <w:hideMark/>
          </w:tcPr>
          <w:p w14:paraId="7C2098B5" w14:textId="77777777" w:rsidR="00741880" w:rsidRPr="00652556" w:rsidRDefault="00741880">
            <w:pPr>
              <w:jc w:val="center"/>
              <w:rPr>
                <w:color w:val="000000"/>
                <w:sz w:val="18"/>
                <w:szCs w:val="18"/>
                <w:lang w:val="en-GB"/>
              </w:rPr>
            </w:pPr>
            <w:r w:rsidRPr="00652556">
              <w:rPr>
                <w:color w:val="000000"/>
                <w:sz w:val="18"/>
                <w:szCs w:val="18"/>
                <w:lang w:val="en-GB"/>
              </w:rPr>
              <w:t>++</w:t>
            </w:r>
          </w:p>
        </w:tc>
      </w:tr>
      <w:tr w:rsidR="00741880" w:rsidRPr="00652556" w14:paraId="4C28BF31" w14:textId="77777777" w:rsidTr="00741880">
        <w:trPr>
          <w:trHeight w:val="20"/>
        </w:trPr>
        <w:tc>
          <w:tcPr>
            <w:tcW w:w="1280" w:type="dxa"/>
            <w:tcBorders>
              <w:top w:val="nil"/>
              <w:left w:val="nil"/>
              <w:bottom w:val="single" w:sz="4" w:space="0" w:color="auto"/>
              <w:right w:val="nil"/>
            </w:tcBorders>
            <w:shd w:val="clear" w:color="000000" w:fill="FFFFFF"/>
            <w:noWrap/>
            <w:vAlign w:val="center"/>
            <w:hideMark/>
          </w:tcPr>
          <w:p w14:paraId="29761661" w14:textId="580EE482" w:rsidR="00741880" w:rsidRPr="00652556" w:rsidRDefault="00741880" w:rsidP="00741880">
            <w:pPr>
              <w:jc w:val="center"/>
              <w:rPr>
                <w:color w:val="000000"/>
                <w:sz w:val="18"/>
                <w:szCs w:val="18"/>
                <w:lang w:val="en-GB"/>
              </w:rPr>
            </w:pPr>
            <w:r>
              <w:rPr>
                <w:color w:val="000000"/>
                <w:sz w:val="18"/>
                <w:szCs w:val="18"/>
                <w:lang w:val="en-GB"/>
              </w:rPr>
              <w:t>LIN_Z</w:t>
            </w:r>
          </w:p>
        </w:tc>
        <w:tc>
          <w:tcPr>
            <w:tcW w:w="1100" w:type="dxa"/>
            <w:tcBorders>
              <w:top w:val="nil"/>
              <w:left w:val="nil"/>
              <w:bottom w:val="single" w:sz="4" w:space="0" w:color="auto"/>
              <w:right w:val="nil"/>
            </w:tcBorders>
            <w:shd w:val="clear" w:color="000000" w:fill="FFFFFF"/>
            <w:noWrap/>
            <w:vAlign w:val="center"/>
            <w:hideMark/>
          </w:tcPr>
          <w:p w14:paraId="32455564" w14:textId="77777777" w:rsidR="00741880" w:rsidRPr="00652556" w:rsidRDefault="00741880">
            <w:pPr>
              <w:jc w:val="center"/>
              <w:rPr>
                <w:color w:val="000000"/>
                <w:sz w:val="18"/>
                <w:szCs w:val="18"/>
                <w:lang w:val="en-GB"/>
              </w:rPr>
            </w:pPr>
            <w:r w:rsidRPr="00652556">
              <w:rPr>
                <w:color w:val="000000"/>
                <w:sz w:val="18"/>
                <w:szCs w:val="18"/>
                <w:lang w:val="en-GB"/>
              </w:rPr>
              <w:t>Liner "Z"</w:t>
            </w:r>
          </w:p>
        </w:tc>
        <w:tc>
          <w:tcPr>
            <w:tcW w:w="1100" w:type="dxa"/>
            <w:tcBorders>
              <w:top w:val="nil"/>
              <w:left w:val="nil"/>
              <w:bottom w:val="single" w:sz="4" w:space="0" w:color="auto"/>
              <w:right w:val="nil"/>
            </w:tcBorders>
            <w:shd w:val="clear" w:color="000000" w:fill="FFFFFF"/>
            <w:vAlign w:val="center"/>
            <w:hideMark/>
          </w:tcPr>
          <w:p w14:paraId="25FD02A3" w14:textId="77777777" w:rsidR="00741880" w:rsidRPr="00652556" w:rsidRDefault="00741880">
            <w:pPr>
              <w:jc w:val="center"/>
              <w:rPr>
                <w:color w:val="000000"/>
                <w:sz w:val="18"/>
                <w:szCs w:val="18"/>
                <w:lang w:val="en-GB"/>
              </w:rPr>
            </w:pPr>
            <w:r w:rsidRPr="00652556">
              <w:rPr>
                <w:color w:val="000000"/>
                <w:sz w:val="18"/>
                <w:szCs w:val="18"/>
                <w:lang w:val="en-GB"/>
              </w:rPr>
              <w:t>+</w:t>
            </w:r>
          </w:p>
        </w:tc>
      </w:tr>
    </w:tbl>
    <w:p w14:paraId="1BD0A61E" w14:textId="28087EF9" w:rsidR="00652556" w:rsidRPr="00741880" w:rsidRDefault="00741880" w:rsidP="00CE1C8B">
      <w:pPr>
        <w:pStyle w:val="MDPI31text"/>
        <w:ind w:left="0" w:firstLine="0"/>
        <w:rPr>
          <w:rFonts w:ascii="Times New Roman" w:hAnsi="Times New Roman"/>
          <w:bCs/>
          <w:i/>
          <w:snapToGrid/>
          <w:color w:val="auto"/>
          <w:sz w:val="16"/>
          <w:szCs w:val="16"/>
          <w:lang w:val="en-GB" w:eastAsia="zh-CN" w:bidi="ar-SA"/>
        </w:rPr>
      </w:pPr>
      <w:r w:rsidRPr="00741880">
        <w:rPr>
          <w:rFonts w:ascii="Times New Roman" w:hAnsi="Times New Roman"/>
          <w:bCs/>
          <w:i/>
          <w:snapToGrid/>
          <w:color w:val="auto"/>
          <w:sz w:val="16"/>
          <w:szCs w:val="16"/>
          <w:vertAlign w:val="superscript"/>
          <w:lang w:val="en-GB" w:eastAsia="zh-CN" w:bidi="ar-SA"/>
        </w:rPr>
        <w:t>1</w:t>
      </w:r>
      <w:r w:rsidRPr="00741880">
        <w:rPr>
          <w:rFonts w:ascii="Times New Roman" w:hAnsi="Times New Roman"/>
          <w:bCs/>
          <w:i/>
          <w:snapToGrid/>
          <w:color w:val="auto"/>
          <w:sz w:val="16"/>
          <w:szCs w:val="16"/>
          <w:lang w:val="en-GB" w:eastAsia="zh-CN" w:bidi="ar-SA"/>
        </w:rPr>
        <w:t xml:space="preserve"> </w:t>
      </w:r>
      <w:proofErr w:type="spellStart"/>
      <w:r w:rsidRPr="00741880">
        <w:rPr>
          <w:rFonts w:ascii="Times New Roman" w:hAnsi="Times New Roman"/>
          <w:bCs/>
          <w:i/>
          <w:snapToGrid/>
          <w:color w:val="auto"/>
          <w:sz w:val="16"/>
          <w:szCs w:val="16"/>
          <w:lang w:val="en-GB" w:eastAsia="zh-CN" w:bidi="ar-SA"/>
        </w:rPr>
        <w:t>n.k.</w:t>
      </w:r>
      <w:proofErr w:type="spellEnd"/>
      <w:r>
        <w:rPr>
          <w:rFonts w:ascii="Times New Roman" w:hAnsi="Times New Roman"/>
          <w:bCs/>
          <w:i/>
          <w:snapToGrid/>
          <w:color w:val="auto"/>
          <w:sz w:val="16"/>
          <w:szCs w:val="16"/>
          <w:lang w:val="en-GB" w:eastAsia="zh-CN" w:bidi="ar-SA"/>
        </w:rPr>
        <w:t>:</w:t>
      </w:r>
      <w:r w:rsidRPr="00741880">
        <w:rPr>
          <w:rFonts w:ascii="Times New Roman" w:hAnsi="Times New Roman"/>
          <w:bCs/>
          <w:i/>
          <w:snapToGrid/>
          <w:color w:val="auto"/>
          <w:sz w:val="16"/>
          <w:szCs w:val="16"/>
          <w:lang w:val="en-GB" w:eastAsia="zh-CN" w:bidi="ar-SA"/>
        </w:rPr>
        <w:t xml:space="preserve"> not </w:t>
      </w:r>
      <w:proofErr w:type="gramStart"/>
      <w:r w:rsidRPr="00741880">
        <w:rPr>
          <w:rFonts w:ascii="Times New Roman" w:hAnsi="Times New Roman"/>
          <w:bCs/>
          <w:i/>
          <w:snapToGrid/>
          <w:color w:val="auto"/>
          <w:sz w:val="16"/>
          <w:szCs w:val="16"/>
          <w:lang w:val="en-GB" w:eastAsia="zh-CN" w:bidi="ar-SA"/>
        </w:rPr>
        <w:t>known</w:t>
      </w:r>
      <w:proofErr w:type="gramEnd"/>
    </w:p>
    <w:p w14:paraId="10CB12C6" w14:textId="77777777" w:rsidR="00741880" w:rsidRDefault="00741880" w:rsidP="00CE1C8B">
      <w:pPr>
        <w:pStyle w:val="MDPI31text"/>
        <w:ind w:left="0" w:firstLine="0"/>
        <w:rPr>
          <w:rFonts w:ascii="Times New Roman" w:hAnsi="Times New Roman"/>
          <w:b/>
          <w:bCs/>
          <w:snapToGrid/>
          <w:color w:val="auto"/>
          <w:szCs w:val="20"/>
          <w:lang w:val="en-GB" w:eastAsia="zh-CN" w:bidi="ar-SA"/>
        </w:rPr>
      </w:pPr>
    </w:p>
    <w:p w14:paraId="48B8DD5E" w14:textId="3901F995" w:rsidR="00CE1C8B" w:rsidRPr="00AF478B" w:rsidRDefault="00CE1C8B" w:rsidP="00CE1C8B">
      <w:pPr>
        <w:pStyle w:val="MDPI31text"/>
        <w:ind w:left="0" w:firstLine="0"/>
        <w:rPr>
          <w:rFonts w:ascii="Times New Roman" w:hAnsi="Times New Roman"/>
          <w:b/>
          <w:bCs/>
          <w:snapToGrid/>
          <w:color w:val="auto"/>
          <w:szCs w:val="20"/>
          <w:lang w:val="en-GB" w:eastAsia="zh-CN" w:bidi="ar-SA"/>
        </w:rPr>
      </w:pPr>
      <w:r w:rsidRPr="00AF478B">
        <w:rPr>
          <w:rFonts w:ascii="Times New Roman" w:hAnsi="Times New Roman"/>
          <w:b/>
          <w:bCs/>
          <w:snapToGrid/>
          <w:color w:val="auto"/>
          <w:szCs w:val="20"/>
          <w:lang w:val="en-GB" w:eastAsia="zh-CN" w:bidi="ar-SA"/>
        </w:rPr>
        <w:t xml:space="preserve">2.2 </w:t>
      </w:r>
      <w:r>
        <w:rPr>
          <w:rFonts w:ascii="Times New Roman" w:hAnsi="Times New Roman"/>
          <w:b/>
          <w:bCs/>
          <w:snapToGrid/>
          <w:color w:val="auto"/>
          <w:szCs w:val="20"/>
          <w:lang w:val="en-GB" w:eastAsia="zh-CN" w:bidi="ar-SA"/>
        </w:rPr>
        <w:t xml:space="preserve">Oxygen </w:t>
      </w:r>
      <w:proofErr w:type="gramStart"/>
      <w:r>
        <w:rPr>
          <w:rFonts w:ascii="Times New Roman" w:hAnsi="Times New Roman"/>
          <w:b/>
          <w:bCs/>
          <w:snapToGrid/>
          <w:color w:val="auto"/>
          <w:szCs w:val="20"/>
          <w:lang w:val="en-GB" w:eastAsia="zh-CN" w:bidi="ar-SA"/>
        </w:rPr>
        <w:t>dissolved</w:t>
      </w:r>
      <w:proofErr w:type="gramEnd"/>
    </w:p>
    <w:p w14:paraId="6B622C77" w14:textId="560C8CF7" w:rsidR="00CE1C8B" w:rsidRDefault="0073686F" w:rsidP="00D91591">
      <w:pPr>
        <w:pStyle w:val="MDPI31text"/>
        <w:ind w:left="0" w:firstLine="0"/>
        <w:rPr>
          <w:rFonts w:ascii="Times New Roman" w:hAnsi="Times New Roman"/>
          <w:snapToGrid/>
          <w:color w:val="auto"/>
          <w:szCs w:val="20"/>
          <w:lang w:val="en-GB" w:eastAsia="zh-CN" w:bidi="ar-SA"/>
        </w:rPr>
      </w:pPr>
      <w:r w:rsidRPr="00741880">
        <w:rPr>
          <w:rFonts w:ascii="Times New Roman" w:hAnsi="Times New Roman"/>
          <w:snapToGrid/>
          <w:color w:val="auto"/>
          <w:szCs w:val="20"/>
          <w:lang w:val="en-GB" w:eastAsia="zh-CN" w:bidi="ar-SA"/>
        </w:rPr>
        <w:t>The oxygen dissolved in bottle</w:t>
      </w:r>
      <w:r w:rsidR="00741880" w:rsidRPr="00741880">
        <w:rPr>
          <w:rFonts w:ascii="Times New Roman" w:hAnsi="Times New Roman"/>
          <w:snapToGrid/>
          <w:color w:val="auto"/>
          <w:szCs w:val="20"/>
          <w:lang w:val="en-GB" w:eastAsia="zh-CN" w:bidi="ar-SA"/>
        </w:rPr>
        <w:t>s</w:t>
      </w:r>
      <w:r w:rsidRPr="00741880">
        <w:rPr>
          <w:rFonts w:ascii="Times New Roman" w:hAnsi="Times New Roman"/>
          <w:snapToGrid/>
          <w:color w:val="auto"/>
          <w:szCs w:val="20"/>
          <w:lang w:val="en-GB" w:eastAsia="zh-CN" w:bidi="ar-SA"/>
        </w:rPr>
        <w:t xml:space="preserve"> was measured </w:t>
      </w:r>
      <w:r w:rsidR="00741880" w:rsidRPr="00741880">
        <w:rPr>
          <w:rFonts w:ascii="Times New Roman" w:hAnsi="Times New Roman"/>
          <w:snapToGrid/>
          <w:color w:val="auto"/>
          <w:szCs w:val="20"/>
          <w:lang w:val="en-GB" w:eastAsia="zh-CN" w:bidi="ar-SA"/>
        </w:rPr>
        <w:t xml:space="preserve">as described </w:t>
      </w:r>
      <w:r w:rsidRPr="00741880">
        <w:rPr>
          <w:rFonts w:ascii="Times New Roman" w:hAnsi="Times New Roman"/>
          <w:snapToGrid/>
          <w:color w:val="auto"/>
          <w:szCs w:val="20"/>
          <w:lang w:val="en-GB" w:eastAsia="zh-CN" w:bidi="ar-SA"/>
        </w:rPr>
        <w:t xml:space="preserve">by </w:t>
      </w:r>
      <w:r w:rsidRPr="00741880">
        <w:rPr>
          <w:rFonts w:ascii="Times New Roman" w:hAnsi="Times New Roman"/>
          <w:snapToGrid/>
          <w:color w:val="auto"/>
          <w:szCs w:val="20"/>
          <w:lang w:val="en-GB" w:eastAsia="zh-CN" w:bidi="ar-SA"/>
        </w:rPr>
        <w:fldChar w:fldCharType="begin" w:fldLock="1"/>
      </w:r>
      <w:r w:rsidRPr="00741880">
        <w:rPr>
          <w:rFonts w:ascii="Times New Roman" w:hAnsi="Times New Roman"/>
          <w:snapToGrid/>
          <w:color w:val="auto"/>
          <w:szCs w:val="20"/>
          <w:lang w:val="en-GB" w:eastAsia="zh-CN" w:bidi="ar-SA"/>
        </w:rPr>
        <w:instrText>ADDIN CSL_CITATION {"citationItems":[{"id":"ITEM-1","itemData":{"DOI":"10.1002/jsfa.8397","ISSN":"10970010","PMID":"28436036","abstract":"BACKGROUND: The antioxidant capacity of an inactive dry yeast preparation (YD) was investigated by conventional analytical methods (spectrophotometry, high-performance liquid chromatography) as well as by cyclic voltammetry in a (+)-catechin model wine and compared with that of some of the most common antioxidants found in wine: sulfur dioxide, ascorbic acid and glutathione. RESULTS: Sulfur dioxide was the highest-performing substance in protecting (+)-catechin against browning, followed by ascorbic acid and the YD preparation. Sulfites were the only antioxidant whose activity was clearly detectable in the model wines after 29 days of storage. Voltammetric studies demonstrated that the antioxidant capacity of the products tested was connected to their intrinsic characteristics and their molar concentrations (catechin/antioxidant molar ratio). CONCLUSION: The YD preparation displayed a certain ability to protect polyphenols against browning. The antioxidant activity of YDs towards (+)-catechin appeared to be based on different mechanisms with respect to that of the other products tested: the insoluble portion of these preparations (cell wall residues) might have a non-negligible role, even if the ability of YDs to release compounds able to suppress oxidation cannot be rejected. Direct comparison of the different antioxidants led to interesting indications concerning their mechanism of action in wine-like solution, depending on their concentration and intrinsic characteristics. © 2017 Society of Chemical Industry.","author":[{"dropping-particle":"","family":"Comuzzo","given":"P.","non-dropping-particle":"","parse-names":false,"suffix":""},{"dropping-particle":"","family":"Toniolo","given":"R.","non-dropping-particle":"","parse-names":false,"suffix":""},{"dropping-particle":"","family":"Battistutta","given":"F.","non-dropping-particle":"","parse-names":false,"suffix":""},{"dropping-particle":"","family":"Lizee","given":"M.","non-dropping-particle":"","parse-names":false,"suffix":""},{"dropping-particle":"","family":"Svigelj","given":"R.","non-dropping-particle":"","parse-names":false,"suffix":""},{"dropping-particle":"","family":"Zironi","given":"R.","non-dropping-particle":"","parse-names":false,"suffix":""}],"container-title":"Journal of the Science of Food and Agriculture","id":"ITEM-1","issue":"15","issued":{"date-parts":[["2017"]]},"page":"5158-5167","title":"Oxidative behavior of (+)-catechin in the presence of inactive dry yeasts: a comparison with sulfur dioxide, ascorbic acid and glutathione","type":"article-journal","volume":"97"},"uris":["http://www.mendeley.com/documents/?uuid=3db6265d-e67d-48ab-9067-20dab6ba1cb4"]}],"mendeley":{"formattedCitation":"(P. Comuzzo et al. 2017)","manualFormatting":"Comuzzo et al. (2017)","plainTextFormattedCitation":"(P. Comuzzo et al. 2017)","previouslyFormattedCitation":"(P. Comuzzo et al. 2017)"},"properties":{"noteIndex":0},"schema":"https://github.com/citation-style-language/schema/raw/master/csl-citation.json"}</w:instrText>
      </w:r>
      <w:r w:rsidRPr="00741880">
        <w:rPr>
          <w:rFonts w:ascii="Times New Roman" w:hAnsi="Times New Roman"/>
          <w:snapToGrid/>
          <w:color w:val="auto"/>
          <w:szCs w:val="20"/>
          <w:lang w:val="en-GB" w:eastAsia="zh-CN" w:bidi="ar-SA"/>
        </w:rPr>
        <w:fldChar w:fldCharType="separate"/>
      </w:r>
      <w:r w:rsidRPr="00741880">
        <w:rPr>
          <w:rFonts w:ascii="Times New Roman" w:hAnsi="Times New Roman"/>
          <w:noProof/>
          <w:snapToGrid/>
          <w:color w:val="auto"/>
          <w:szCs w:val="20"/>
          <w:lang w:val="en-GB" w:eastAsia="zh-CN" w:bidi="ar-SA"/>
        </w:rPr>
        <w:t>Comuzzo et al. (2017)</w:t>
      </w:r>
      <w:r w:rsidRPr="00741880">
        <w:rPr>
          <w:rFonts w:ascii="Times New Roman" w:hAnsi="Times New Roman"/>
          <w:snapToGrid/>
          <w:color w:val="auto"/>
          <w:szCs w:val="20"/>
          <w:lang w:val="en-GB" w:eastAsia="zh-CN" w:bidi="ar-SA"/>
        </w:rPr>
        <w:fldChar w:fldCharType="end"/>
      </w:r>
      <w:r w:rsidRPr="00741880">
        <w:rPr>
          <w:rFonts w:ascii="Times New Roman" w:hAnsi="Times New Roman"/>
          <w:snapToGrid/>
          <w:color w:val="auto"/>
          <w:szCs w:val="20"/>
          <w:lang w:val="en-GB" w:eastAsia="zh-CN" w:bidi="ar-SA"/>
        </w:rPr>
        <w:t>.</w:t>
      </w:r>
    </w:p>
    <w:p w14:paraId="2D77D0DB" w14:textId="77777777" w:rsidR="00CE1C8B" w:rsidRPr="00D91591" w:rsidRDefault="00CE1C8B" w:rsidP="00D91591">
      <w:pPr>
        <w:pStyle w:val="MDPI31text"/>
        <w:ind w:left="0" w:firstLine="0"/>
        <w:rPr>
          <w:rFonts w:ascii="Times New Roman" w:hAnsi="Times New Roman"/>
          <w:snapToGrid/>
          <w:color w:val="auto"/>
          <w:szCs w:val="20"/>
          <w:lang w:val="en-GB" w:eastAsia="zh-CN" w:bidi="ar-SA"/>
        </w:rPr>
      </w:pPr>
    </w:p>
    <w:p w14:paraId="6322195F" w14:textId="0D9BA55C" w:rsidR="00D91591" w:rsidRPr="00AF478B" w:rsidRDefault="00D91591" w:rsidP="00D91591">
      <w:pPr>
        <w:pStyle w:val="MDPI31text"/>
        <w:ind w:left="0" w:firstLine="0"/>
        <w:rPr>
          <w:rFonts w:ascii="Times New Roman" w:hAnsi="Times New Roman"/>
          <w:b/>
          <w:bCs/>
          <w:snapToGrid/>
          <w:color w:val="auto"/>
          <w:szCs w:val="20"/>
          <w:lang w:val="en-GB" w:eastAsia="zh-CN" w:bidi="ar-SA"/>
        </w:rPr>
      </w:pPr>
      <w:r w:rsidRPr="00AF478B">
        <w:rPr>
          <w:rFonts w:ascii="Times New Roman" w:hAnsi="Times New Roman"/>
          <w:b/>
          <w:bCs/>
          <w:snapToGrid/>
          <w:color w:val="auto"/>
          <w:szCs w:val="20"/>
          <w:lang w:val="en-GB" w:eastAsia="zh-CN" w:bidi="ar-SA"/>
        </w:rPr>
        <w:t>2.</w:t>
      </w:r>
      <w:r w:rsidR="00A0522A">
        <w:rPr>
          <w:rFonts w:ascii="Times New Roman" w:hAnsi="Times New Roman"/>
          <w:b/>
          <w:bCs/>
          <w:snapToGrid/>
          <w:color w:val="auto"/>
          <w:szCs w:val="20"/>
          <w:lang w:val="en-GB" w:eastAsia="zh-CN" w:bidi="ar-SA"/>
        </w:rPr>
        <w:t>3</w:t>
      </w:r>
      <w:r w:rsidRPr="00AF478B">
        <w:rPr>
          <w:rFonts w:ascii="Times New Roman" w:hAnsi="Times New Roman"/>
          <w:b/>
          <w:bCs/>
          <w:snapToGrid/>
          <w:color w:val="auto"/>
          <w:szCs w:val="20"/>
          <w:lang w:val="en-GB" w:eastAsia="zh-CN" w:bidi="ar-SA"/>
        </w:rPr>
        <w:t xml:space="preserve"> Determination of Volatile Compounds</w:t>
      </w:r>
    </w:p>
    <w:p w14:paraId="6CC8EF57" w14:textId="77777777" w:rsidR="00CE1C8B" w:rsidRPr="000F5CE3" w:rsidRDefault="00CE1C8B" w:rsidP="00CE1C8B">
      <w:pPr>
        <w:pStyle w:val="MDPI31text"/>
        <w:ind w:left="0" w:firstLine="0"/>
        <w:rPr>
          <w:rFonts w:asciiTheme="majorBidi" w:hAnsiTheme="majorBidi" w:cstheme="majorBidi"/>
          <w:snapToGrid/>
          <w:color w:val="auto"/>
          <w:szCs w:val="20"/>
          <w:lang w:val="en-GB" w:eastAsia="zh-CN" w:bidi="ar-SA"/>
        </w:rPr>
      </w:pPr>
      <w:r w:rsidRPr="000F5CE3">
        <w:rPr>
          <w:rFonts w:asciiTheme="majorBidi" w:hAnsiTheme="majorBidi" w:cstheme="majorBidi"/>
          <w:snapToGrid/>
          <w:color w:val="auto"/>
          <w:szCs w:val="20"/>
          <w:lang w:val="en-GB" w:eastAsia="zh-CN" w:bidi="ar-SA"/>
        </w:rPr>
        <w:t xml:space="preserve">Volatile compounds were analysed by HS-SPME-GC-MS, using GC2030 Nexis gas chromatograph (Shimadzu, Kyoto, Japan) coupled with a QP2020NX mass spectrometer and an </w:t>
      </w:r>
      <w:r w:rsidRPr="000F5CE3">
        <w:rPr>
          <w:rFonts w:asciiTheme="majorBidi" w:hAnsiTheme="majorBidi" w:cstheme="majorBidi"/>
          <w:color w:val="000000" w:themeColor="text1"/>
        </w:rPr>
        <w:t xml:space="preserve">HT2800T </w:t>
      </w:r>
      <w:r w:rsidRPr="000F5CE3">
        <w:rPr>
          <w:rFonts w:asciiTheme="majorBidi" w:hAnsiTheme="majorBidi" w:cstheme="majorBidi"/>
          <w:snapToGrid/>
          <w:color w:val="auto"/>
          <w:szCs w:val="20"/>
          <w:lang w:val="en-GB" w:eastAsia="zh-CN" w:bidi="ar-SA"/>
        </w:rPr>
        <w:t>autosampler</w:t>
      </w:r>
      <w:r w:rsidRPr="000F5CE3">
        <w:rPr>
          <w:rFonts w:asciiTheme="majorBidi" w:hAnsiTheme="majorBidi" w:cstheme="majorBidi"/>
          <w:color w:val="000000" w:themeColor="text1"/>
        </w:rPr>
        <w:t xml:space="preserve"> (HTA </w:t>
      </w:r>
      <w:proofErr w:type="spellStart"/>
      <w:r w:rsidRPr="000F5CE3">
        <w:rPr>
          <w:rFonts w:asciiTheme="majorBidi" w:hAnsiTheme="majorBidi" w:cstheme="majorBidi"/>
          <w:color w:val="000000" w:themeColor="text1"/>
        </w:rPr>
        <w:t>S.r.l</w:t>
      </w:r>
      <w:proofErr w:type="spellEnd"/>
      <w:r w:rsidRPr="000F5CE3">
        <w:rPr>
          <w:rFonts w:asciiTheme="majorBidi" w:hAnsiTheme="majorBidi" w:cstheme="majorBidi"/>
          <w:color w:val="000000" w:themeColor="text1"/>
        </w:rPr>
        <w:t>., Brescia, Ital</w:t>
      </w:r>
      <w:r>
        <w:rPr>
          <w:rFonts w:asciiTheme="majorBidi" w:hAnsiTheme="majorBidi" w:cstheme="majorBidi"/>
          <w:color w:val="000000" w:themeColor="text1"/>
        </w:rPr>
        <w:t>y</w:t>
      </w:r>
      <w:r w:rsidRPr="000F5CE3">
        <w:rPr>
          <w:rFonts w:asciiTheme="majorBidi" w:hAnsiTheme="majorBidi" w:cstheme="majorBidi"/>
          <w:color w:val="000000" w:themeColor="text1"/>
        </w:rPr>
        <w:t>)</w:t>
      </w:r>
      <w:r w:rsidRPr="000F5CE3">
        <w:rPr>
          <w:rFonts w:asciiTheme="majorBidi" w:hAnsiTheme="majorBidi" w:cstheme="majorBidi"/>
          <w:snapToGrid/>
          <w:color w:val="auto"/>
          <w:szCs w:val="20"/>
          <w:lang w:val="en-GB" w:eastAsia="zh-CN" w:bidi="ar-SA"/>
        </w:rPr>
        <w:t>. A divinylbenzene/</w:t>
      </w:r>
      <w:proofErr w:type="spellStart"/>
      <w:r w:rsidRPr="000F5CE3">
        <w:rPr>
          <w:rFonts w:asciiTheme="majorBidi" w:hAnsiTheme="majorBidi" w:cstheme="majorBidi"/>
          <w:snapToGrid/>
          <w:color w:val="auto"/>
          <w:szCs w:val="20"/>
          <w:lang w:val="en-GB" w:eastAsia="zh-CN" w:bidi="ar-SA"/>
        </w:rPr>
        <w:t>carboxen</w:t>
      </w:r>
      <w:proofErr w:type="spellEnd"/>
      <w:r w:rsidRPr="000F5CE3">
        <w:rPr>
          <w:rFonts w:asciiTheme="majorBidi" w:hAnsiTheme="majorBidi" w:cstheme="majorBidi"/>
          <w:snapToGrid/>
          <w:color w:val="auto"/>
          <w:szCs w:val="20"/>
          <w:lang w:val="en-GB" w:eastAsia="zh-CN" w:bidi="ar-SA"/>
        </w:rPr>
        <w:t xml:space="preserve">/polydimethylsiloxane (DVB-CAR-PDMS, 50/30 </w:t>
      </w:r>
      <w:r w:rsidRPr="000F5CE3">
        <w:rPr>
          <w:rFonts w:asciiTheme="majorBidi" w:hAnsiTheme="majorBidi" w:cstheme="majorBidi"/>
          <w:snapToGrid/>
          <w:color w:val="auto"/>
          <w:szCs w:val="20"/>
          <w:lang w:val="en-GB" w:eastAsia="zh-CN" w:bidi="ar-SA"/>
        </w:rPr>
        <w:sym w:font="Symbol" w:char="F06D"/>
      </w:r>
      <w:r w:rsidRPr="000F5CE3">
        <w:rPr>
          <w:rFonts w:asciiTheme="majorBidi" w:hAnsiTheme="majorBidi" w:cstheme="majorBidi"/>
          <w:snapToGrid/>
          <w:color w:val="auto"/>
          <w:szCs w:val="20"/>
          <w:lang w:val="en-GB" w:eastAsia="zh-CN" w:bidi="ar-SA"/>
        </w:rPr>
        <w:t xml:space="preserve">m x 2 cm) </w:t>
      </w:r>
      <w:proofErr w:type="spellStart"/>
      <w:r w:rsidRPr="000F5CE3">
        <w:rPr>
          <w:rFonts w:asciiTheme="majorBidi" w:hAnsiTheme="majorBidi" w:cstheme="majorBidi"/>
          <w:snapToGrid/>
          <w:color w:val="auto"/>
          <w:szCs w:val="20"/>
          <w:lang w:val="en-GB" w:eastAsia="zh-CN" w:bidi="ar-SA"/>
        </w:rPr>
        <w:t>fiber</w:t>
      </w:r>
      <w:proofErr w:type="spellEnd"/>
      <w:r w:rsidRPr="000F5CE3">
        <w:rPr>
          <w:rFonts w:asciiTheme="majorBidi" w:hAnsiTheme="majorBidi" w:cstheme="majorBidi"/>
          <w:snapToGrid/>
          <w:color w:val="auto"/>
          <w:szCs w:val="20"/>
          <w:lang w:val="en-GB" w:eastAsia="zh-CN" w:bidi="ar-SA"/>
        </w:rPr>
        <w:t xml:space="preserve"> (</w:t>
      </w:r>
      <w:proofErr w:type="spellStart"/>
      <w:r w:rsidRPr="000F5CE3">
        <w:rPr>
          <w:rFonts w:asciiTheme="majorBidi" w:hAnsiTheme="majorBidi" w:cstheme="majorBidi"/>
          <w:snapToGrid/>
          <w:color w:val="auto"/>
          <w:szCs w:val="20"/>
          <w:lang w:val="en-GB" w:eastAsia="zh-CN" w:bidi="ar-SA"/>
        </w:rPr>
        <w:t>Supelco</w:t>
      </w:r>
      <w:proofErr w:type="spellEnd"/>
      <w:r w:rsidRPr="000F5CE3">
        <w:rPr>
          <w:rFonts w:asciiTheme="majorBidi" w:hAnsiTheme="majorBidi" w:cstheme="majorBidi"/>
          <w:snapToGrid/>
          <w:color w:val="auto"/>
          <w:szCs w:val="20"/>
          <w:lang w:val="en-GB" w:eastAsia="zh-CN" w:bidi="ar-SA"/>
        </w:rPr>
        <w:t xml:space="preserve">, Bellefonte, PA, USA) was used for SPME. Column was a DB-Wax 30 m x 0.25 mm </w:t>
      </w:r>
      <w:proofErr w:type="spellStart"/>
      <w:r w:rsidRPr="000F5CE3">
        <w:rPr>
          <w:rFonts w:asciiTheme="majorBidi" w:hAnsiTheme="majorBidi" w:cstheme="majorBidi"/>
          <w:snapToGrid/>
          <w:color w:val="auto"/>
          <w:szCs w:val="20"/>
          <w:lang w:val="en-GB" w:eastAsia="zh-CN" w:bidi="ar-SA"/>
        </w:rPr>
        <w:t>i.d.</w:t>
      </w:r>
      <w:proofErr w:type="spellEnd"/>
      <w:r w:rsidRPr="000F5CE3">
        <w:rPr>
          <w:rFonts w:asciiTheme="majorBidi" w:hAnsiTheme="majorBidi" w:cstheme="majorBidi"/>
          <w:snapToGrid/>
          <w:color w:val="auto"/>
          <w:szCs w:val="20"/>
          <w:lang w:val="en-GB" w:eastAsia="zh-CN" w:bidi="ar-SA"/>
        </w:rPr>
        <w:t xml:space="preserve"> x 0.25 </w:t>
      </w:r>
      <w:r w:rsidRPr="000F5CE3">
        <w:rPr>
          <w:rFonts w:asciiTheme="majorBidi" w:hAnsiTheme="majorBidi" w:cstheme="majorBidi"/>
          <w:snapToGrid/>
          <w:color w:val="auto"/>
          <w:szCs w:val="20"/>
          <w:lang w:val="en-GB" w:eastAsia="zh-CN" w:bidi="ar-SA"/>
        </w:rPr>
        <w:sym w:font="Symbol" w:char="F06D"/>
      </w:r>
      <w:r w:rsidRPr="000F5CE3">
        <w:rPr>
          <w:rFonts w:asciiTheme="majorBidi" w:hAnsiTheme="majorBidi" w:cstheme="majorBidi"/>
          <w:snapToGrid/>
          <w:color w:val="auto"/>
          <w:szCs w:val="20"/>
          <w:lang w:val="en-GB" w:eastAsia="zh-CN" w:bidi="ar-SA"/>
        </w:rPr>
        <w:t>m (Agilent Technologies, Santa Clara, CA, USA) and the carrier gas was helium at a flow rate of 35 cm/s.</w:t>
      </w:r>
    </w:p>
    <w:p w14:paraId="0C70DFFF" w14:textId="77777777" w:rsidR="00BC74AC" w:rsidRDefault="00CE1C8B" w:rsidP="00BC74AC">
      <w:pPr>
        <w:pStyle w:val="MDPI31text"/>
        <w:ind w:left="0" w:firstLine="0"/>
        <w:rPr>
          <w:rFonts w:asciiTheme="majorBidi" w:hAnsiTheme="majorBidi" w:cstheme="majorBidi"/>
          <w:snapToGrid/>
          <w:color w:val="auto"/>
          <w:szCs w:val="20"/>
          <w:lang w:val="en-GB" w:eastAsia="zh-CN" w:bidi="ar-SA"/>
        </w:rPr>
      </w:pPr>
      <w:r w:rsidRPr="000F5CE3">
        <w:rPr>
          <w:rFonts w:asciiTheme="majorBidi" w:hAnsiTheme="majorBidi" w:cstheme="majorBidi"/>
          <w:snapToGrid/>
          <w:color w:val="auto"/>
          <w:szCs w:val="20"/>
          <w:lang w:val="en-GB" w:eastAsia="zh-CN" w:bidi="ar-SA"/>
        </w:rPr>
        <w:t xml:space="preserve">Ten millilitres of samples were added to 3 g of NaCl in 20 mL glass vials and immediately sealed. Ethyl heptanoate (Sigma-Aldrich, St. Louis, MO, USA) was used as internal standard at 2.17 mg/L. The analysis was carried out setting the following conditions: incubation for 15 minutes at 40 °C, under stirring (500 rpm 5 seconds on and 2 seconds off), microextraction for 15 minutes, desorption for 5 minutes of the </w:t>
      </w:r>
      <w:proofErr w:type="spellStart"/>
      <w:r w:rsidRPr="000F5CE3">
        <w:rPr>
          <w:rFonts w:asciiTheme="majorBidi" w:hAnsiTheme="majorBidi" w:cstheme="majorBidi"/>
          <w:snapToGrid/>
          <w:color w:val="auto"/>
          <w:szCs w:val="20"/>
          <w:lang w:val="en-GB" w:eastAsia="zh-CN" w:bidi="ar-SA"/>
        </w:rPr>
        <w:t>fiber</w:t>
      </w:r>
      <w:proofErr w:type="spellEnd"/>
      <w:r w:rsidRPr="000F5CE3">
        <w:rPr>
          <w:rFonts w:asciiTheme="majorBidi" w:hAnsiTheme="majorBidi" w:cstheme="majorBidi"/>
          <w:snapToGrid/>
          <w:color w:val="auto"/>
          <w:szCs w:val="20"/>
          <w:lang w:val="en-GB" w:eastAsia="zh-CN" w:bidi="ar-SA"/>
        </w:rPr>
        <w:t xml:space="preserve"> into the injector, in splitless mode. The initial oven temperature was 40 °C held for 5 minutes; then it was ramped at 4 °C/min up to 240 °C, held for 15 minutes. For the qualitative analysis, mass spectra were acquired at 70 eV and compared with those reported in the NIST 20 mass spectra library. Moreover, linear retention indices were calculated, using </w:t>
      </w:r>
      <w:r w:rsidRPr="000F5CE3">
        <w:rPr>
          <w:rFonts w:asciiTheme="majorBidi" w:hAnsiTheme="majorBidi" w:cstheme="majorBidi"/>
          <w:i/>
          <w:snapToGrid/>
          <w:color w:val="auto"/>
          <w:szCs w:val="20"/>
          <w:lang w:val="en-GB" w:eastAsia="zh-CN" w:bidi="ar-SA"/>
        </w:rPr>
        <w:t>n</w:t>
      </w:r>
      <w:r w:rsidRPr="000F5CE3">
        <w:rPr>
          <w:rFonts w:asciiTheme="majorBidi" w:hAnsiTheme="majorBidi" w:cstheme="majorBidi"/>
          <w:snapToGrid/>
          <w:color w:val="auto"/>
          <w:szCs w:val="20"/>
          <w:lang w:val="en-GB" w:eastAsia="zh-CN" w:bidi="ar-SA"/>
        </w:rPr>
        <w:t>-alkanes (C</w:t>
      </w:r>
      <w:r w:rsidRPr="000F5CE3">
        <w:rPr>
          <w:rFonts w:asciiTheme="majorBidi" w:hAnsiTheme="majorBidi" w:cstheme="majorBidi"/>
          <w:snapToGrid/>
          <w:color w:val="auto"/>
          <w:szCs w:val="20"/>
          <w:vertAlign w:val="subscript"/>
          <w:lang w:val="en-GB" w:eastAsia="zh-CN" w:bidi="ar-SA"/>
        </w:rPr>
        <w:t>7</w:t>
      </w:r>
      <w:r w:rsidRPr="000F5CE3">
        <w:rPr>
          <w:rFonts w:asciiTheme="majorBidi" w:hAnsiTheme="majorBidi" w:cstheme="majorBidi"/>
          <w:snapToGrid/>
          <w:color w:val="auto"/>
          <w:szCs w:val="20"/>
          <w:lang w:val="en-GB" w:eastAsia="zh-CN" w:bidi="ar-SA"/>
        </w:rPr>
        <w:t>-C</w:t>
      </w:r>
      <w:r w:rsidRPr="000F5CE3">
        <w:rPr>
          <w:rFonts w:asciiTheme="majorBidi" w:hAnsiTheme="majorBidi" w:cstheme="majorBidi"/>
          <w:snapToGrid/>
          <w:color w:val="auto"/>
          <w:szCs w:val="20"/>
          <w:vertAlign w:val="subscript"/>
          <w:lang w:val="en-GB" w:eastAsia="zh-CN" w:bidi="ar-SA"/>
        </w:rPr>
        <w:t>30</w:t>
      </w:r>
      <w:r w:rsidRPr="000F5CE3">
        <w:rPr>
          <w:rFonts w:asciiTheme="majorBidi" w:hAnsiTheme="majorBidi" w:cstheme="majorBidi"/>
          <w:snapToGrid/>
          <w:color w:val="auto"/>
          <w:szCs w:val="20"/>
          <w:lang w:val="en-GB" w:eastAsia="zh-CN" w:bidi="ar-SA"/>
        </w:rPr>
        <w:t xml:space="preserve">) (Sigma-Aldrich, St. Louis, MO, USA), and compared with those found in literature. Finally, for some of the detected </w:t>
      </w:r>
      <w:proofErr w:type="gramStart"/>
      <w:r w:rsidRPr="000F5CE3">
        <w:rPr>
          <w:rFonts w:asciiTheme="majorBidi" w:hAnsiTheme="majorBidi" w:cstheme="majorBidi"/>
          <w:snapToGrid/>
          <w:color w:val="auto"/>
          <w:szCs w:val="20"/>
          <w:lang w:val="en-GB" w:eastAsia="zh-CN" w:bidi="ar-SA"/>
        </w:rPr>
        <w:t>compounds</w:t>
      </w:r>
      <w:proofErr w:type="gramEnd"/>
      <w:r w:rsidRPr="000F5CE3">
        <w:rPr>
          <w:rFonts w:asciiTheme="majorBidi" w:hAnsiTheme="majorBidi" w:cstheme="majorBidi"/>
          <w:snapToGrid/>
          <w:color w:val="auto"/>
          <w:szCs w:val="20"/>
          <w:lang w:val="en-GB" w:eastAsia="zh-CN" w:bidi="ar-SA"/>
        </w:rPr>
        <w:t xml:space="preserve"> identification was confirmed by comparison with commercial standards. Semi-quantitative analysis was carried out by the internal standard method.</w:t>
      </w:r>
    </w:p>
    <w:p w14:paraId="64D19B7F" w14:textId="1FCD2AC3" w:rsidR="00CE1C8B" w:rsidRPr="00BC74AC" w:rsidRDefault="00CE1C8B" w:rsidP="00BC74AC">
      <w:pPr>
        <w:pStyle w:val="MDPI31text"/>
        <w:ind w:left="0" w:firstLine="0"/>
        <w:rPr>
          <w:rFonts w:asciiTheme="majorBidi" w:hAnsiTheme="majorBidi" w:cstheme="majorBidi"/>
          <w:szCs w:val="20"/>
          <w:lang w:val="en-GB"/>
        </w:rPr>
      </w:pPr>
      <w:r w:rsidRPr="00BC74AC">
        <w:rPr>
          <w:rFonts w:asciiTheme="majorBidi" w:hAnsiTheme="majorBidi" w:cstheme="majorBidi"/>
          <w:lang w:val="en-GB"/>
        </w:rPr>
        <w:t xml:space="preserve">For carbonyl compounds, the method proposed by </w:t>
      </w:r>
      <w:r w:rsidRPr="00BC74AC">
        <w:rPr>
          <w:rFonts w:asciiTheme="majorBidi" w:hAnsiTheme="majorBidi" w:cstheme="majorBidi"/>
          <w:lang w:val="en-GB"/>
        </w:rPr>
        <w:fldChar w:fldCharType="begin" w:fldLock="1"/>
      </w:r>
      <w:r w:rsidRPr="00BC74AC">
        <w:rPr>
          <w:rFonts w:asciiTheme="majorBidi" w:hAnsiTheme="majorBidi" w:cstheme="majorBidi"/>
          <w:lang w:val="en-GB"/>
        </w:rPr>
        <w:instrText>ADDIN CSL_CITATION {"citationItems":[{"id":"ITEM-1","itemData":{"DOI":"10.1016/j.foodchem.2018.07.093","ISSN":"18737072","PMID":"30174081","abstract":"A method based on headspace solid-phase microextraction (HS-SPME) coupled to gas chromatography-triple quadrupole/mass spectrometry detection (GC-TQ/MS) with a prior derivatization step with O-(2,3,4,5,6-pentafluorobenzyl)hydroxylamine hydrochloride (PFBHA) was developed to quantify carbonyl compounds in different categories of Port wines. Optimal extraction conditions were obtained incubating 2 ml of wine with 2.3 g/l of PFBHA for 10 min and extracted during 20 min at 32 °C. The method was validated for 38 carbonyl compounds (alkanals, alkenals, Strecker aldehydes, dialdehydes, ketones and furan aldehydes) with regard to linearity, repeatability, inter and intra-day precision and accuracy, showing that the method is suitable for the determination of carbonyl compounds in wines. Tawny wines with ‘indication of age’ (10–40 years old) presented the highest levels of some carbonyl compounds, such as propanal, pentanal, hexanal, Strecker aldehydes, diacetyl, methyl glyoxal, 3-pentanone and 2-furfural, whereas Ruby wines were characterized by the highest amounts of some unidentified compounds.","author":[{"dropping-particle":"","family":"Moreira","given":"Nathalie","non-dropping-particle":"","parse-names":false,"suffix":""},{"dropping-particle":"","family":"Araújo","given":"Ana Margarida","non-dropping-particle":"","parse-names":false,"suffix":""},{"dropping-particle":"","family":"Rogerson","given":"Frank","non-dropping-particle":"","parse-names":false,"suffix":""},{"dropping-particle":"","family":"Vasconcelos","given":"Isabel","non-dropping-particle":"","parse-names":false,"suffix":""},{"dropping-particle":"De","family":"Freitas","given":"Victor","non-dropping-particle":"","parse-names":false,"suffix":""},{"dropping-particle":"de","family":"Pinho","given":"Paula Guedes","non-dropping-particle":"","parse-names":false,"suffix":""}],"container-title":"Food Chemistry","id":"ITEM-1","issued":{"date-parts":[["2019"]]},"page":"518-526","publisher":"Elsevier","title":"Development and optimization of a HS-SPME-GC-MS methodology to quantify volatile carbonyl compounds in Port wines","type":"article-journal","volume":"270"},"uris":["http://www.mendeley.com/documents/?uuid=50d434d5-5b31-466d-9d67-e599c54cd433"]}],"mendeley":{"formattedCitation":"(Moreira et al. 2019)","manualFormatting":"Moreira et al. (2019)","plainTextFormattedCitation":"(Moreira et al. 2019)","previouslyFormattedCitation":"(Moreira et al. 2019)"},"properties":{"noteIndex":0},"schema":"https://github.com/citation-style-language/schema/raw/master/csl-citation.json"}</w:instrText>
      </w:r>
      <w:r w:rsidRPr="00BC74AC">
        <w:rPr>
          <w:rFonts w:asciiTheme="majorBidi" w:hAnsiTheme="majorBidi" w:cstheme="majorBidi"/>
          <w:lang w:val="en-GB"/>
        </w:rPr>
        <w:fldChar w:fldCharType="separate"/>
      </w:r>
      <w:r w:rsidRPr="00BC74AC">
        <w:rPr>
          <w:rFonts w:asciiTheme="majorBidi" w:hAnsiTheme="majorBidi" w:cstheme="majorBidi"/>
          <w:noProof/>
          <w:lang w:val="en-GB"/>
        </w:rPr>
        <w:t xml:space="preserve">Moreira </w:t>
      </w:r>
      <w:r w:rsidR="00612B25" w:rsidRPr="009D1D45">
        <w:rPr>
          <w:i/>
          <w:iCs/>
          <w:noProof/>
          <w:szCs w:val="20"/>
          <w:lang w:val="en-GB"/>
        </w:rPr>
        <w:t>et al.</w:t>
      </w:r>
      <w:r w:rsidRPr="00BC74AC">
        <w:rPr>
          <w:rFonts w:asciiTheme="majorBidi" w:hAnsiTheme="majorBidi" w:cstheme="majorBidi"/>
          <w:noProof/>
          <w:lang w:val="en-GB"/>
        </w:rPr>
        <w:t xml:space="preserve"> (2019)</w:t>
      </w:r>
      <w:r w:rsidRPr="00BC74AC">
        <w:rPr>
          <w:rFonts w:asciiTheme="majorBidi" w:hAnsiTheme="majorBidi" w:cstheme="majorBidi"/>
          <w:lang w:val="en-GB"/>
        </w:rPr>
        <w:fldChar w:fldCharType="end"/>
      </w:r>
      <w:r w:rsidRPr="00BC74AC">
        <w:rPr>
          <w:rFonts w:asciiTheme="majorBidi" w:hAnsiTheme="majorBidi" w:cstheme="majorBidi"/>
          <w:lang w:val="en-GB"/>
        </w:rPr>
        <w:t xml:space="preserve">, based on </w:t>
      </w:r>
      <w:r w:rsidRPr="00BC74AC">
        <w:rPr>
          <w:rFonts w:asciiTheme="majorBidi" w:hAnsiTheme="majorBidi" w:cstheme="majorBidi"/>
          <w:i/>
          <w:lang w:val="en-GB"/>
        </w:rPr>
        <w:t>O</w:t>
      </w:r>
      <w:r w:rsidRPr="00BC74AC">
        <w:rPr>
          <w:rFonts w:asciiTheme="majorBidi" w:hAnsiTheme="majorBidi" w:cstheme="majorBidi"/>
          <w:lang w:val="en-GB"/>
        </w:rPr>
        <w:t xml:space="preserve">-(2,3,4,5,6-pentafluorobenzyl)hydroxylamine hydrochloride (PFBHA) derivatisation, was used with some modifications. Internal standard was </w:t>
      </w:r>
      <w:r w:rsidRPr="00BC74AC">
        <w:rPr>
          <w:rFonts w:asciiTheme="majorBidi" w:hAnsiTheme="majorBidi" w:cstheme="majorBidi"/>
          <w:i/>
          <w:lang w:val="en-GB"/>
        </w:rPr>
        <w:t>p</w:t>
      </w:r>
      <w:r w:rsidRPr="00BC74AC">
        <w:rPr>
          <w:rFonts w:asciiTheme="majorBidi" w:hAnsiTheme="majorBidi" w:cstheme="majorBidi"/>
          <w:lang w:val="en-GB"/>
        </w:rPr>
        <w:t>-</w:t>
      </w:r>
      <w:proofErr w:type="spellStart"/>
      <w:r w:rsidRPr="00BC74AC">
        <w:rPr>
          <w:rFonts w:asciiTheme="majorBidi" w:hAnsiTheme="majorBidi" w:cstheme="majorBidi"/>
          <w:lang w:val="en-GB"/>
        </w:rPr>
        <w:t>fluorobenzaldehyde</w:t>
      </w:r>
      <w:proofErr w:type="spellEnd"/>
      <w:r w:rsidRPr="00BC74AC">
        <w:rPr>
          <w:rFonts w:asciiTheme="majorBidi" w:hAnsiTheme="majorBidi" w:cstheme="majorBidi"/>
          <w:lang w:val="en-GB"/>
        </w:rPr>
        <w:t xml:space="preserve"> at 0.64 mg/L in wine (Sigma-Aldrich, St. Louis, MO, USA). </w:t>
      </w:r>
      <w:r w:rsidRPr="00BC74AC">
        <w:rPr>
          <w:rFonts w:asciiTheme="majorBidi" w:hAnsiTheme="majorBidi" w:cstheme="majorBidi"/>
          <w:szCs w:val="20"/>
          <w:lang w:val="en-GB"/>
        </w:rPr>
        <w:t>Chromatographic conditions were as above, while microextraction was held for 45 min.</w:t>
      </w:r>
    </w:p>
    <w:p w14:paraId="7449959D" w14:textId="6ABEDBB4" w:rsidR="003B5142" w:rsidRPr="00F2271A" w:rsidRDefault="003B5142" w:rsidP="003B5142">
      <w:pPr>
        <w:tabs>
          <w:tab w:val="left" w:pos="851"/>
        </w:tabs>
        <w:spacing w:before="300" w:after="120"/>
        <w:jc w:val="both"/>
        <w:rPr>
          <w:rFonts w:asciiTheme="majorBidi" w:hAnsiTheme="majorBidi" w:cstheme="majorBidi"/>
          <w:i/>
          <w:iCs/>
          <w:sz w:val="18"/>
          <w:szCs w:val="18"/>
          <w:lang w:val="en-GB"/>
        </w:rPr>
      </w:pPr>
      <w:r w:rsidRPr="00F2271A">
        <w:rPr>
          <w:rFonts w:asciiTheme="majorBidi" w:hAnsiTheme="majorBidi" w:cstheme="majorBidi"/>
          <w:b/>
          <w:iCs/>
          <w:sz w:val="18"/>
          <w:szCs w:val="18"/>
          <w:lang w:val="en-GB"/>
        </w:rPr>
        <w:t xml:space="preserve">Table 2 </w:t>
      </w:r>
      <w:r w:rsidRPr="00F2271A">
        <w:rPr>
          <w:rFonts w:asciiTheme="majorBidi" w:hAnsiTheme="majorBidi" w:cstheme="majorBidi"/>
          <w:b/>
          <w:iCs/>
          <w:sz w:val="18"/>
          <w:szCs w:val="18"/>
          <w:lang w:val="en-GB"/>
        </w:rPr>
        <w:tab/>
      </w:r>
      <w:r w:rsidRPr="00F2271A">
        <w:rPr>
          <w:rFonts w:asciiTheme="majorBidi" w:hAnsiTheme="majorBidi" w:cstheme="majorBidi"/>
          <w:bCs/>
          <w:i/>
          <w:iCs/>
          <w:color w:val="000000"/>
          <w:sz w:val="18"/>
          <w:szCs w:val="18"/>
          <w:lang w:val="en-GB"/>
        </w:rPr>
        <w:t xml:space="preserve">Composition of </w:t>
      </w:r>
      <w:r w:rsidR="00BC4167">
        <w:rPr>
          <w:rFonts w:asciiTheme="majorBidi" w:hAnsiTheme="majorBidi" w:cstheme="majorBidi"/>
          <w:bCs/>
          <w:i/>
          <w:iCs/>
          <w:color w:val="000000"/>
          <w:sz w:val="18"/>
          <w:szCs w:val="18"/>
          <w:lang w:val="en-GB"/>
        </w:rPr>
        <w:t xml:space="preserve">the chemical classes in which </w:t>
      </w:r>
      <w:r w:rsidRPr="00F2271A">
        <w:rPr>
          <w:rFonts w:asciiTheme="majorBidi" w:hAnsiTheme="majorBidi" w:cstheme="majorBidi"/>
          <w:bCs/>
          <w:i/>
          <w:iCs/>
          <w:color w:val="000000"/>
          <w:sz w:val="18"/>
          <w:szCs w:val="18"/>
          <w:lang w:val="en-GB"/>
        </w:rPr>
        <w:t xml:space="preserve">volatile </w:t>
      </w:r>
      <w:r w:rsidR="00BC4167">
        <w:rPr>
          <w:rFonts w:asciiTheme="majorBidi" w:hAnsiTheme="majorBidi" w:cstheme="majorBidi"/>
          <w:bCs/>
          <w:i/>
          <w:iCs/>
          <w:color w:val="000000"/>
          <w:sz w:val="18"/>
          <w:szCs w:val="18"/>
          <w:lang w:val="en-GB"/>
        </w:rPr>
        <w:t>compounds were grouped</w:t>
      </w:r>
      <w:r w:rsidR="00C04B84">
        <w:rPr>
          <w:rFonts w:asciiTheme="majorBidi" w:hAnsiTheme="majorBidi" w:cstheme="majorBidi"/>
          <w:bCs/>
          <w:i/>
          <w:iCs/>
          <w:color w:val="000000"/>
          <w:sz w:val="18"/>
          <w:szCs w:val="18"/>
          <w:lang w:val="en-GB"/>
        </w:rPr>
        <w:t>.</w:t>
      </w:r>
    </w:p>
    <w:tbl>
      <w:tblPr>
        <w:tblW w:w="9499" w:type="dxa"/>
        <w:jc w:val="center"/>
        <w:tblLayout w:type="fixed"/>
        <w:tblCellMar>
          <w:left w:w="70" w:type="dxa"/>
          <w:right w:w="70" w:type="dxa"/>
        </w:tblCellMar>
        <w:tblLook w:val="04A0" w:firstRow="1" w:lastRow="0" w:firstColumn="1" w:lastColumn="0" w:noHBand="0" w:noVBand="1"/>
      </w:tblPr>
      <w:tblGrid>
        <w:gridCol w:w="1418"/>
        <w:gridCol w:w="1701"/>
        <w:gridCol w:w="2126"/>
        <w:gridCol w:w="1276"/>
        <w:gridCol w:w="1418"/>
        <w:gridCol w:w="1560"/>
      </w:tblGrid>
      <w:tr w:rsidR="003B5142" w:rsidRPr="003B5142" w14:paraId="7B70754A" w14:textId="77777777" w:rsidTr="003B5142">
        <w:trPr>
          <w:trHeight w:val="20"/>
          <w:jc w:val="center"/>
        </w:trPr>
        <w:tc>
          <w:tcPr>
            <w:tcW w:w="1418" w:type="dxa"/>
            <w:tcBorders>
              <w:top w:val="nil"/>
              <w:left w:val="nil"/>
              <w:bottom w:val="single" w:sz="8" w:space="0" w:color="auto"/>
              <w:right w:val="nil"/>
            </w:tcBorders>
            <w:shd w:val="clear" w:color="000000" w:fill="FFFFFF"/>
            <w:noWrap/>
            <w:vAlign w:val="center"/>
            <w:hideMark/>
          </w:tcPr>
          <w:p w14:paraId="045551F9"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Ethyl esters</w:t>
            </w:r>
          </w:p>
        </w:tc>
        <w:tc>
          <w:tcPr>
            <w:tcW w:w="1701" w:type="dxa"/>
            <w:tcBorders>
              <w:top w:val="nil"/>
              <w:left w:val="nil"/>
              <w:bottom w:val="single" w:sz="8" w:space="0" w:color="auto"/>
              <w:right w:val="nil"/>
            </w:tcBorders>
            <w:shd w:val="clear" w:color="000000" w:fill="FFFFFF"/>
            <w:noWrap/>
            <w:vAlign w:val="center"/>
            <w:hideMark/>
          </w:tcPr>
          <w:p w14:paraId="5836634B"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Acetic esters</w:t>
            </w:r>
          </w:p>
        </w:tc>
        <w:tc>
          <w:tcPr>
            <w:tcW w:w="2126" w:type="dxa"/>
            <w:tcBorders>
              <w:top w:val="nil"/>
              <w:left w:val="nil"/>
              <w:bottom w:val="single" w:sz="8" w:space="0" w:color="auto"/>
              <w:right w:val="nil"/>
            </w:tcBorders>
            <w:shd w:val="clear" w:color="000000" w:fill="FFFFFF"/>
            <w:noWrap/>
            <w:vAlign w:val="center"/>
            <w:hideMark/>
          </w:tcPr>
          <w:p w14:paraId="398C2A09"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Other esters</w:t>
            </w:r>
          </w:p>
        </w:tc>
        <w:tc>
          <w:tcPr>
            <w:tcW w:w="1276" w:type="dxa"/>
            <w:tcBorders>
              <w:top w:val="nil"/>
              <w:left w:val="nil"/>
              <w:bottom w:val="single" w:sz="8" w:space="0" w:color="auto"/>
              <w:right w:val="nil"/>
            </w:tcBorders>
            <w:shd w:val="clear" w:color="000000" w:fill="FFFFFF"/>
            <w:noWrap/>
            <w:vAlign w:val="center"/>
            <w:hideMark/>
          </w:tcPr>
          <w:p w14:paraId="5135636D"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Ageing markers</w:t>
            </w:r>
          </w:p>
        </w:tc>
        <w:tc>
          <w:tcPr>
            <w:tcW w:w="1418" w:type="dxa"/>
            <w:tcBorders>
              <w:top w:val="nil"/>
              <w:left w:val="nil"/>
              <w:bottom w:val="single" w:sz="8" w:space="0" w:color="auto"/>
              <w:right w:val="nil"/>
            </w:tcBorders>
            <w:shd w:val="clear" w:color="000000" w:fill="FFFFFF"/>
            <w:noWrap/>
            <w:vAlign w:val="center"/>
            <w:hideMark/>
          </w:tcPr>
          <w:p w14:paraId="0834235E"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Alcohols</w:t>
            </w:r>
          </w:p>
        </w:tc>
        <w:tc>
          <w:tcPr>
            <w:tcW w:w="1560" w:type="dxa"/>
            <w:tcBorders>
              <w:top w:val="nil"/>
              <w:left w:val="nil"/>
              <w:bottom w:val="single" w:sz="8" w:space="0" w:color="auto"/>
              <w:right w:val="nil"/>
            </w:tcBorders>
            <w:shd w:val="clear" w:color="000000" w:fill="FFFFFF"/>
            <w:noWrap/>
            <w:vAlign w:val="center"/>
            <w:hideMark/>
          </w:tcPr>
          <w:p w14:paraId="533D8DA9"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Acids</w:t>
            </w:r>
          </w:p>
        </w:tc>
      </w:tr>
      <w:tr w:rsidR="003B5142" w:rsidRPr="003B5142" w14:paraId="1B6A1CC8" w14:textId="77777777" w:rsidTr="003B5142">
        <w:trPr>
          <w:trHeight w:val="20"/>
          <w:jc w:val="center"/>
        </w:trPr>
        <w:tc>
          <w:tcPr>
            <w:tcW w:w="1418" w:type="dxa"/>
            <w:tcBorders>
              <w:top w:val="nil"/>
              <w:left w:val="nil"/>
              <w:bottom w:val="nil"/>
              <w:right w:val="nil"/>
            </w:tcBorders>
            <w:shd w:val="clear" w:color="000000" w:fill="FFFFFF"/>
            <w:noWrap/>
            <w:vAlign w:val="center"/>
            <w:hideMark/>
          </w:tcPr>
          <w:p w14:paraId="2450A37A"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Ethyl butanoate  </w:t>
            </w:r>
          </w:p>
        </w:tc>
        <w:tc>
          <w:tcPr>
            <w:tcW w:w="1701" w:type="dxa"/>
            <w:tcBorders>
              <w:top w:val="nil"/>
              <w:left w:val="nil"/>
              <w:bottom w:val="nil"/>
              <w:right w:val="nil"/>
            </w:tcBorders>
            <w:shd w:val="clear" w:color="000000" w:fill="FFFFFF"/>
            <w:noWrap/>
            <w:vAlign w:val="center"/>
            <w:hideMark/>
          </w:tcPr>
          <w:p w14:paraId="449C4215"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3-methyl-1-butanol acetate</w:t>
            </w:r>
          </w:p>
        </w:tc>
        <w:tc>
          <w:tcPr>
            <w:tcW w:w="2126" w:type="dxa"/>
            <w:tcBorders>
              <w:top w:val="nil"/>
              <w:left w:val="nil"/>
              <w:bottom w:val="nil"/>
              <w:right w:val="nil"/>
            </w:tcBorders>
            <w:shd w:val="clear" w:color="000000" w:fill="FFFFFF"/>
            <w:noWrap/>
            <w:vAlign w:val="center"/>
            <w:hideMark/>
          </w:tcPr>
          <w:p w14:paraId="399FF366"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Isopentyl hexanoate</w:t>
            </w:r>
          </w:p>
        </w:tc>
        <w:tc>
          <w:tcPr>
            <w:tcW w:w="1276" w:type="dxa"/>
            <w:tcBorders>
              <w:top w:val="nil"/>
              <w:left w:val="nil"/>
              <w:bottom w:val="nil"/>
              <w:right w:val="nil"/>
            </w:tcBorders>
            <w:shd w:val="clear" w:color="000000" w:fill="FFFFFF"/>
            <w:noWrap/>
            <w:vAlign w:val="center"/>
            <w:hideMark/>
          </w:tcPr>
          <w:p w14:paraId="48496CBE"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Diethyl succinate</w:t>
            </w:r>
          </w:p>
        </w:tc>
        <w:tc>
          <w:tcPr>
            <w:tcW w:w="1418" w:type="dxa"/>
            <w:tcBorders>
              <w:top w:val="nil"/>
              <w:left w:val="nil"/>
              <w:bottom w:val="nil"/>
              <w:right w:val="nil"/>
            </w:tcBorders>
            <w:shd w:val="clear" w:color="000000" w:fill="FFFFFF"/>
            <w:noWrap/>
            <w:vAlign w:val="center"/>
            <w:hideMark/>
          </w:tcPr>
          <w:p w14:paraId="43DD82F3"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2-methyl-1-Propanol</w:t>
            </w:r>
          </w:p>
        </w:tc>
        <w:tc>
          <w:tcPr>
            <w:tcW w:w="1560" w:type="dxa"/>
            <w:tcBorders>
              <w:top w:val="nil"/>
              <w:left w:val="nil"/>
              <w:bottom w:val="nil"/>
              <w:right w:val="nil"/>
            </w:tcBorders>
            <w:shd w:val="clear" w:color="000000" w:fill="FFFFFF"/>
            <w:noWrap/>
            <w:vAlign w:val="center"/>
            <w:hideMark/>
          </w:tcPr>
          <w:p w14:paraId="23F57A86"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2-methyl-propanoic acid</w:t>
            </w:r>
          </w:p>
        </w:tc>
      </w:tr>
      <w:tr w:rsidR="003B5142" w:rsidRPr="003B5142" w14:paraId="16DB4F00" w14:textId="77777777" w:rsidTr="003B5142">
        <w:trPr>
          <w:trHeight w:val="20"/>
          <w:jc w:val="center"/>
        </w:trPr>
        <w:tc>
          <w:tcPr>
            <w:tcW w:w="1418" w:type="dxa"/>
            <w:tcBorders>
              <w:top w:val="nil"/>
              <w:left w:val="nil"/>
              <w:bottom w:val="nil"/>
              <w:right w:val="nil"/>
            </w:tcBorders>
            <w:shd w:val="clear" w:color="000000" w:fill="FFFFFF"/>
            <w:noWrap/>
            <w:vAlign w:val="center"/>
            <w:hideMark/>
          </w:tcPr>
          <w:p w14:paraId="50DEDDAD"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Ethyl hexanoate</w:t>
            </w:r>
          </w:p>
        </w:tc>
        <w:tc>
          <w:tcPr>
            <w:tcW w:w="1701" w:type="dxa"/>
            <w:tcBorders>
              <w:top w:val="nil"/>
              <w:left w:val="nil"/>
              <w:bottom w:val="nil"/>
              <w:right w:val="nil"/>
            </w:tcBorders>
            <w:shd w:val="clear" w:color="000000" w:fill="FFFFFF"/>
            <w:noWrap/>
            <w:vAlign w:val="center"/>
            <w:hideMark/>
          </w:tcPr>
          <w:p w14:paraId="10EB1875"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Hexyl acetate</w:t>
            </w:r>
          </w:p>
        </w:tc>
        <w:tc>
          <w:tcPr>
            <w:tcW w:w="2126" w:type="dxa"/>
            <w:tcBorders>
              <w:top w:val="nil"/>
              <w:left w:val="nil"/>
              <w:bottom w:val="nil"/>
              <w:right w:val="nil"/>
            </w:tcBorders>
            <w:shd w:val="clear" w:color="000000" w:fill="FFFFFF"/>
            <w:noWrap/>
            <w:vAlign w:val="center"/>
            <w:hideMark/>
          </w:tcPr>
          <w:p w14:paraId="2615F57B"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Propyl octanoate</w:t>
            </w:r>
          </w:p>
        </w:tc>
        <w:tc>
          <w:tcPr>
            <w:tcW w:w="1276" w:type="dxa"/>
            <w:tcBorders>
              <w:top w:val="nil"/>
              <w:left w:val="nil"/>
              <w:bottom w:val="nil"/>
              <w:right w:val="nil"/>
            </w:tcBorders>
            <w:shd w:val="clear" w:color="000000" w:fill="FFFFFF"/>
            <w:noWrap/>
            <w:vAlign w:val="center"/>
            <w:hideMark/>
          </w:tcPr>
          <w:p w14:paraId="33773345"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Ethyl 9-decenoate</w:t>
            </w:r>
          </w:p>
        </w:tc>
        <w:tc>
          <w:tcPr>
            <w:tcW w:w="1418" w:type="dxa"/>
            <w:tcBorders>
              <w:top w:val="nil"/>
              <w:left w:val="nil"/>
              <w:bottom w:val="nil"/>
              <w:right w:val="nil"/>
            </w:tcBorders>
            <w:shd w:val="clear" w:color="000000" w:fill="FFFFFF"/>
            <w:noWrap/>
            <w:vAlign w:val="center"/>
            <w:hideMark/>
          </w:tcPr>
          <w:p w14:paraId="7EF6B1C2"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3-methyl-1-butanol</w:t>
            </w:r>
          </w:p>
        </w:tc>
        <w:tc>
          <w:tcPr>
            <w:tcW w:w="1560" w:type="dxa"/>
            <w:tcBorders>
              <w:top w:val="nil"/>
              <w:left w:val="nil"/>
              <w:bottom w:val="nil"/>
              <w:right w:val="nil"/>
            </w:tcBorders>
            <w:shd w:val="clear" w:color="000000" w:fill="FFFFFF"/>
            <w:noWrap/>
            <w:vAlign w:val="center"/>
            <w:hideMark/>
          </w:tcPr>
          <w:p w14:paraId="590E5B8E"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Butanoic acid</w:t>
            </w:r>
          </w:p>
        </w:tc>
      </w:tr>
      <w:tr w:rsidR="003B5142" w:rsidRPr="003B5142" w14:paraId="30F93958" w14:textId="77777777" w:rsidTr="003B5142">
        <w:trPr>
          <w:trHeight w:val="20"/>
          <w:jc w:val="center"/>
        </w:trPr>
        <w:tc>
          <w:tcPr>
            <w:tcW w:w="1418" w:type="dxa"/>
            <w:tcBorders>
              <w:top w:val="nil"/>
              <w:left w:val="nil"/>
              <w:bottom w:val="nil"/>
              <w:right w:val="nil"/>
            </w:tcBorders>
            <w:shd w:val="clear" w:color="000000" w:fill="FFFFFF"/>
            <w:noWrap/>
            <w:vAlign w:val="center"/>
            <w:hideMark/>
          </w:tcPr>
          <w:p w14:paraId="76726280"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Ethyl octanoate</w:t>
            </w:r>
          </w:p>
        </w:tc>
        <w:tc>
          <w:tcPr>
            <w:tcW w:w="1701" w:type="dxa"/>
            <w:tcBorders>
              <w:top w:val="nil"/>
              <w:left w:val="nil"/>
              <w:bottom w:val="nil"/>
              <w:right w:val="nil"/>
            </w:tcBorders>
            <w:shd w:val="clear" w:color="000000" w:fill="FFFFFF"/>
            <w:noWrap/>
            <w:vAlign w:val="center"/>
            <w:hideMark/>
          </w:tcPr>
          <w:p w14:paraId="1D39CED9"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2-phenylethyl acetate</w:t>
            </w:r>
          </w:p>
        </w:tc>
        <w:tc>
          <w:tcPr>
            <w:tcW w:w="2126" w:type="dxa"/>
            <w:tcBorders>
              <w:top w:val="nil"/>
              <w:left w:val="nil"/>
              <w:bottom w:val="nil"/>
              <w:right w:val="nil"/>
            </w:tcBorders>
            <w:shd w:val="clear" w:color="000000" w:fill="FFFFFF"/>
            <w:noWrap/>
            <w:vAlign w:val="center"/>
            <w:hideMark/>
          </w:tcPr>
          <w:p w14:paraId="4DC12888"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Caprylic acid, isobutyl ester</w:t>
            </w:r>
          </w:p>
        </w:tc>
        <w:tc>
          <w:tcPr>
            <w:tcW w:w="1276" w:type="dxa"/>
            <w:tcBorders>
              <w:top w:val="nil"/>
              <w:left w:val="nil"/>
              <w:bottom w:val="nil"/>
              <w:right w:val="nil"/>
            </w:tcBorders>
            <w:shd w:val="clear" w:color="000000" w:fill="FFFFFF"/>
            <w:noWrap/>
            <w:vAlign w:val="center"/>
            <w:hideMark/>
          </w:tcPr>
          <w:p w14:paraId="063CD11C"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c>
          <w:tcPr>
            <w:tcW w:w="1418" w:type="dxa"/>
            <w:tcBorders>
              <w:top w:val="nil"/>
              <w:left w:val="nil"/>
              <w:bottom w:val="nil"/>
              <w:right w:val="nil"/>
            </w:tcBorders>
            <w:shd w:val="clear" w:color="000000" w:fill="FFFFFF"/>
            <w:noWrap/>
            <w:vAlign w:val="center"/>
            <w:hideMark/>
          </w:tcPr>
          <w:p w14:paraId="662EE1A2"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1-Hexanol</w:t>
            </w:r>
          </w:p>
        </w:tc>
        <w:tc>
          <w:tcPr>
            <w:tcW w:w="1560" w:type="dxa"/>
            <w:tcBorders>
              <w:top w:val="nil"/>
              <w:left w:val="nil"/>
              <w:bottom w:val="nil"/>
              <w:right w:val="nil"/>
            </w:tcBorders>
            <w:shd w:val="clear" w:color="000000" w:fill="FFFFFF"/>
            <w:noWrap/>
            <w:vAlign w:val="center"/>
            <w:hideMark/>
          </w:tcPr>
          <w:p w14:paraId="2F92E21D"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Hexanoic acid</w:t>
            </w:r>
          </w:p>
        </w:tc>
      </w:tr>
      <w:tr w:rsidR="003B5142" w:rsidRPr="003B5142" w14:paraId="63677ED0" w14:textId="77777777" w:rsidTr="003B5142">
        <w:trPr>
          <w:trHeight w:val="20"/>
          <w:jc w:val="center"/>
        </w:trPr>
        <w:tc>
          <w:tcPr>
            <w:tcW w:w="1418" w:type="dxa"/>
            <w:tcBorders>
              <w:top w:val="nil"/>
              <w:left w:val="nil"/>
              <w:bottom w:val="nil"/>
              <w:right w:val="nil"/>
            </w:tcBorders>
            <w:shd w:val="clear" w:color="000000" w:fill="FFFFFF"/>
            <w:noWrap/>
            <w:vAlign w:val="center"/>
            <w:hideMark/>
          </w:tcPr>
          <w:p w14:paraId="6419B165"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Ethyl decanoate</w:t>
            </w:r>
          </w:p>
        </w:tc>
        <w:tc>
          <w:tcPr>
            <w:tcW w:w="1701" w:type="dxa"/>
            <w:tcBorders>
              <w:top w:val="nil"/>
              <w:left w:val="nil"/>
              <w:bottom w:val="nil"/>
              <w:right w:val="nil"/>
            </w:tcBorders>
            <w:shd w:val="clear" w:color="000000" w:fill="FFFFFF"/>
            <w:noWrap/>
            <w:vAlign w:val="center"/>
            <w:hideMark/>
          </w:tcPr>
          <w:p w14:paraId="48B75405"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c>
          <w:tcPr>
            <w:tcW w:w="2126" w:type="dxa"/>
            <w:tcBorders>
              <w:top w:val="nil"/>
              <w:left w:val="nil"/>
              <w:bottom w:val="nil"/>
              <w:right w:val="nil"/>
            </w:tcBorders>
            <w:shd w:val="clear" w:color="000000" w:fill="FFFFFF"/>
            <w:noWrap/>
            <w:vAlign w:val="center"/>
            <w:hideMark/>
          </w:tcPr>
          <w:p w14:paraId="3C1F25F9"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Octanoic acid, 3-methylbutyl ester</w:t>
            </w:r>
          </w:p>
        </w:tc>
        <w:tc>
          <w:tcPr>
            <w:tcW w:w="1276" w:type="dxa"/>
            <w:tcBorders>
              <w:top w:val="nil"/>
              <w:left w:val="nil"/>
              <w:bottom w:val="nil"/>
              <w:right w:val="nil"/>
            </w:tcBorders>
            <w:shd w:val="clear" w:color="000000" w:fill="FFFFFF"/>
            <w:noWrap/>
            <w:vAlign w:val="center"/>
            <w:hideMark/>
          </w:tcPr>
          <w:p w14:paraId="1200995A"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c>
          <w:tcPr>
            <w:tcW w:w="1418" w:type="dxa"/>
            <w:tcBorders>
              <w:top w:val="nil"/>
              <w:left w:val="nil"/>
              <w:bottom w:val="nil"/>
              <w:right w:val="nil"/>
            </w:tcBorders>
            <w:shd w:val="clear" w:color="000000" w:fill="FFFFFF"/>
            <w:noWrap/>
            <w:vAlign w:val="center"/>
            <w:hideMark/>
          </w:tcPr>
          <w:p w14:paraId="3C07C7A5"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1-Octanol</w:t>
            </w:r>
          </w:p>
        </w:tc>
        <w:tc>
          <w:tcPr>
            <w:tcW w:w="1560" w:type="dxa"/>
            <w:tcBorders>
              <w:top w:val="nil"/>
              <w:left w:val="nil"/>
              <w:bottom w:val="nil"/>
              <w:right w:val="nil"/>
            </w:tcBorders>
            <w:shd w:val="clear" w:color="000000" w:fill="FFFFFF"/>
            <w:noWrap/>
            <w:vAlign w:val="center"/>
            <w:hideMark/>
          </w:tcPr>
          <w:p w14:paraId="1182D664"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Octanoic acid</w:t>
            </w:r>
          </w:p>
        </w:tc>
      </w:tr>
      <w:tr w:rsidR="003B5142" w:rsidRPr="003B5142" w14:paraId="63816720" w14:textId="77777777" w:rsidTr="003B5142">
        <w:trPr>
          <w:trHeight w:val="20"/>
          <w:jc w:val="center"/>
        </w:trPr>
        <w:tc>
          <w:tcPr>
            <w:tcW w:w="1418" w:type="dxa"/>
            <w:tcBorders>
              <w:top w:val="nil"/>
              <w:left w:val="nil"/>
              <w:bottom w:val="nil"/>
              <w:right w:val="nil"/>
            </w:tcBorders>
            <w:shd w:val="clear" w:color="000000" w:fill="FFFFFF"/>
            <w:noWrap/>
            <w:vAlign w:val="center"/>
            <w:hideMark/>
          </w:tcPr>
          <w:p w14:paraId="1478CC27"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xml:space="preserve">Ethyl </w:t>
            </w:r>
            <w:proofErr w:type="spellStart"/>
            <w:r w:rsidRPr="0004799F">
              <w:rPr>
                <w:color w:val="000000"/>
                <w:sz w:val="14"/>
                <w:szCs w:val="14"/>
                <w:lang w:val="en-GB"/>
              </w:rPr>
              <w:t>dodecanoate</w:t>
            </w:r>
            <w:proofErr w:type="spellEnd"/>
          </w:p>
        </w:tc>
        <w:tc>
          <w:tcPr>
            <w:tcW w:w="1701" w:type="dxa"/>
            <w:tcBorders>
              <w:top w:val="nil"/>
              <w:left w:val="nil"/>
              <w:bottom w:val="nil"/>
              <w:right w:val="nil"/>
            </w:tcBorders>
            <w:shd w:val="clear" w:color="000000" w:fill="FFFFFF"/>
            <w:noWrap/>
            <w:vAlign w:val="center"/>
            <w:hideMark/>
          </w:tcPr>
          <w:p w14:paraId="793CBECB"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c>
          <w:tcPr>
            <w:tcW w:w="2126" w:type="dxa"/>
            <w:tcBorders>
              <w:top w:val="nil"/>
              <w:left w:val="nil"/>
              <w:bottom w:val="nil"/>
              <w:right w:val="nil"/>
            </w:tcBorders>
            <w:shd w:val="clear" w:color="000000" w:fill="FFFFFF"/>
            <w:noWrap/>
            <w:vAlign w:val="center"/>
            <w:hideMark/>
          </w:tcPr>
          <w:p w14:paraId="2A706EA7"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c>
          <w:tcPr>
            <w:tcW w:w="1276" w:type="dxa"/>
            <w:tcBorders>
              <w:top w:val="nil"/>
              <w:left w:val="nil"/>
              <w:bottom w:val="nil"/>
              <w:right w:val="nil"/>
            </w:tcBorders>
            <w:shd w:val="clear" w:color="000000" w:fill="FFFFFF"/>
            <w:noWrap/>
            <w:vAlign w:val="center"/>
            <w:hideMark/>
          </w:tcPr>
          <w:p w14:paraId="3651CEB7"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c>
          <w:tcPr>
            <w:tcW w:w="1418" w:type="dxa"/>
            <w:tcBorders>
              <w:top w:val="nil"/>
              <w:left w:val="nil"/>
              <w:bottom w:val="nil"/>
              <w:right w:val="nil"/>
            </w:tcBorders>
            <w:shd w:val="clear" w:color="000000" w:fill="FFFFFF"/>
            <w:noWrap/>
            <w:vAlign w:val="center"/>
            <w:hideMark/>
          </w:tcPr>
          <w:p w14:paraId="7B741858"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1-Decanol</w:t>
            </w:r>
          </w:p>
        </w:tc>
        <w:tc>
          <w:tcPr>
            <w:tcW w:w="1560" w:type="dxa"/>
            <w:tcBorders>
              <w:top w:val="nil"/>
              <w:left w:val="nil"/>
              <w:bottom w:val="nil"/>
              <w:right w:val="nil"/>
            </w:tcBorders>
            <w:shd w:val="clear" w:color="000000" w:fill="FFFFFF"/>
            <w:noWrap/>
            <w:vAlign w:val="center"/>
            <w:hideMark/>
          </w:tcPr>
          <w:p w14:paraId="2FD6EE51"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Decanoic acid</w:t>
            </w:r>
          </w:p>
        </w:tc>
      </w:tr>
      <w:tr w:rsidR="003B5142" w:rsidRPr="003B5142" w14:paraId="02D607D0" w14:textId="77777777" w:rsidTr="003B5142">
        <w:trPr>
          <w:trHeight w:val="20"/>
          <w:jc w:val="center"/>
        </w:trPr>
        <w:tc>
          <w:tcPr>
            <w:tcW w:w="1418" w:type="dxa"/>
            <w:tcBorders>
              <w:top w:val="nil"/>
              <w:left w:val="nil"/>
              <w:bottom w:val="nil"/>
              <w:right w:val="nil"/>
            </w:tcBorders>
            <w:shd w:val="clear" w:color="000000" w:fill="FFFFFF"/>
            <w:noWrap/>
            <w:vAlign w:val="center"/>
            <w:hideMark/>
          </w:tcPr>
          <w:p w14:paraId="765E1E53"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xml:space="preserve">Ethyl </w:t>
            </w:r>
            <w:proofErr w:type="spellStart"/>
            <w:r w:rsidRPr="0004799F">
              <w:rPr>
                <w:color w:val="000000"/>
                <w:sz w:val="14"/>
                <w:szCs w:val="14"/>
                <w:lang w:val="en-GB"/>
              </w:rPr>
              <w:t>tetradecanoate</w:t>
            </w:r>
            <w:proofErr w:type="spellEnd"/>
          </w:p>
        </w:tc>
        <w:tc>
          <w:tcPr>
            <w:tcW w:w="1701" w:type="dxa"/>
            <w:tcBorders>
              <w:top w:val="nil"/>
              <w:left w:val="nil"/>
              <w:bottom w:val="nil"/>
              <w:right w:val="nil"/>
            </w:tcBorders>
            <w:shd w:val="clear" w:color="000000" w:fill="FFFFFF"/>
            <w:noWrap/>
            <w:vAlign w:val="center"/>
            <w:hideMark/>
          </w:tcPr>
          <w:p w14:paraId="13BE3EFB"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c>
          <w:tcPr>
            <w:tcW w:w="2126" w:type="dxa"/>
            <w:tcBorders>
              <w:top w:val="nil"/>
              <w:left w:val="nil"/>
              <w:bottom w:val="nil"/>
              <w:right w:val="nil"/>
            </w:tcBorders>
            <w:shd w:val="clear" w:color="000000" w:fill="FFFFFF"/>
            <w:noWrap/>
            <w:vAlign w:val="center"/>
            <w:hideMark/>
          </w:tcPr>
          <w:p w14:paraId="0482DB29"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c>
          <w:tcPr>
            <w:tcW w:w="1276" w:type="dxa"/>
            <w:tcBorders>
              <w:top w:val="nil"/>
              <w:left w:val="nil"/>
              <w:bottom w:val="nil"/>
              <w:right w:val="nil"/>
            </w:tcBorders>
            <w:shd w:val="clear" w:color="000000" w:fill="FFFFFF"/>
            <w:noWrap/>
            <w:vAlign w:val="center"/>
            <w:hideMark/>
          </w:tcPr>
          <w:p w14:paraId="2B1E5B4F"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c>
          <w:tcPr>
            <w:tcW w:w="1418" w:type="dxa"/>
            <w:tcBorders>
              <w:top w:val="nil"/>
              <w:left w:val="nil"/>
              <w:bottom w:val="nil"/>
              <w:right w:val="nil"/>
            </w:tcBorders>
            <w:shd w:val="clear" w:color="000000" w:fill="FFFFFF"/>
            <w:noWrap/>
            <w:vAlign w:val="center"/>
            <w:hideMark/>
          </w:tcPr>
          <w:p w14:paraId="46A1AE01"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2-phenylethanol</w:t>
            </w:r>
          </w:p>
        </w:tc>
        <w:tc>
          <w:tcPr>
            <w:tcW w:w="1560" w:type="dxa"/>
            <w:tcBorders>
              <w:top w:val="nil"/>
              <w:left w:val="nil"/>
              <w:bottom w:val="nil"/>
              <w:right w:val="nil"/>
            </w:tcBorders>
            <w:shd w:val="clear" w:color="000000" w:fill="FFFFFF"/>
            <w:noWrap/>
            <w:vAlign w:val="center"/>
            <w:hideMark/>
          </w:tcPr>
          <w:p w14:paraId="439D4111"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r>
      <w:tr w:rsidR="003B5142" w:rsidRPr="003B5142" w14:paraId="008C3A0B" w14:textId="77777777" w:rsidTr="003B5142">
        <w:trPr>
          <w:trHeight w:val="20"/>
          <w:jc w:val="center"/>
        </w:trPr>
        <w:tc>
          <w:tcPr>
            <w:tcW w:w="1418" w:type="dxa"/>
            <w:tcBorders>
              <w:top w:val="nil"/>
              <w:left w:val="nil"/>
              <w:bottom w:val="single" w:sz="8" w:space="0" w:color="auto"/>
              <w:right w:val="nil"/>
            </w:tcBorders>
            <w:shd w:val="clear" w:color="000000" w:fill="FFFFFF"/>
            <w:noWrap/>
            <w:vAlign w:val="center"/>
            <w:hideMark/>
          </w:tcPr>
          <w:p w14:paraId="67F679D9"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xml:space="preserve">Ethyl </w:t>
            </w:r>
            <w:proofErr w:type="spellStart"/>
            <w:r w:rsidRPr="0004799F">
              <w:rPr>
                <w:color w:val="000000"/>
                <w:sz w:val="14"/>
                <w:szCs w:val="14"/>
                <w:lang w:val="en-GB"/>
              </w:rPr>
              <w:t>hexadecanoate</w:t>
            </w:r>
            <w:proofErr w:type="spellEnd"/>
          </w:p>
        </w:tc>
        <w:tc>
          <w:tcPr>
            <w:tcW w:w="1701" w:type="dxa"/>
            <w:tcBorders>
              <w:top w:val="nil"/>
              <w:left w:val="nil"/>
              <w:bottom w:val="single" w:sz="8" w:space="0" w:color="auto"/>
              <w:right w:val="nil"/>
            </w:tcBorders>
            <w:shd w:val="clear" w:color="000000" w:fill="FFFFFF"/>
            <w:noWrap/>
            <w:vAlign w:val="center"/>
            <w:hideMark/>
          </w:tcPr>
          <w:p w14:paraId="75AD5804"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c>
          <w:tcPr>
            <w:tcW w:w="2126" w:type="dxa"/>
            <w:tcBorders>
              <w:top w:val="nil"/>
              <w:left w:val="nil"/>
              <w:bottom w:val="single" w:sz="8" w:space="0" w:color="auto"/>
              <w:right w:val="nil"/>
            </w:tcBorders>
            <w:shd w:val="clear" w:color="000000" w:fill="FFFFFF"/>
            <w:noWrap/>
            <w:vAlign w:val="center"/>
            <w:hideMark/>
          </w:tcPr>
          <w:p w14:paraId="16168EA9"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c>
          <w:tcPr>
            <w:tcW w:w="1276" w:type="dxa"/>
            <w:tcBorders>
              <w:top w:val="nil"/>
              <w:left w:val="nil"/>
              <w:bottom w:val="single" w:sz="8" w:space="0" w:color="auto"/>
              <w:right w:val="nil"/>
            </w:tcBorders>
            <w:shd w:val="clear" w:color="000000" w:fill="FFFFFF"/>
            <w:noWrap/>
            <w:vAlign w:val="center"/>
            <w:hideMark/>
          </w:tcPr>
          <w:p w14:paraId="7A6BB0F3"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c>
          <w:tcPr>
            <w:tcW w:w="1418" w:type="dxa"/>
            <w:tcBorders>
              <w:top w:val="nil"/>
              <w:left w:val="nil"/>
              <w:bottom w:val="single" w:sz="8" w:space="0" w:color="auto"/>
              <w:right w:val="nil"/>
            </w:tcBorders>
            <w:shd w:val="clear" w:color="000000" w:fill="FFFFFF"/>
            <w:noWrap/>
            <w:vAlign w:val="center"/>
            <w:hideMark/>
          </w:tcPr>
          <w:p w14:paraId="10704607"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c>
          <w:tcPr>
            <w:tcW w:w="1560" w:type="dxa"/>
            <w:tcBorders>
              <w:top w:val="nil"/>
              <w:left w:val="nil"/>
              <w:bottom w:val="single" w:sz="8" w:space="0" w:color="auto"/>
              <w:right w:val="nil"/>
            </w:tcBorders>
            <w:shd w:val="clear" w:color="000000" w:fill="FFFFFF"/>
            <w:noWrap/>
            <w:vAlign w:val="center"/>
            <w:hideMark/>
          </w:tcPr>
          <w:p w14:paraId="3E3B35D0" w14:textId="77777777" w:rsidR="0004799F" w:rsidRPr="0004799F" w:rsidRDefault="0004799F" w:rsidP="0004799F">
            <w:pPr>
              <w:spacing w:line="60" w:lineRule="atLeast"/>
              <w:jc w:val="center"/>
              <w:rPr>
                <w:color w:val="000000"/>
                <w:sz w:val="14"/>
                <w:szCs w:val="14"/>
                <w:lang w:val="en-GB"/>
              </w:rPr>
            </w:pPr>
            <w:r w:rsidRPr="0004799F">
              <w:rPr>
                <w:color w:val="000000"/>
                <w:sz w:val="14"/>
                <w:szCs w:val="14"/>
                <w:lang w:val="en-GB"/>
              </w:rPr>
              <w:t> </w:t>
            </w:r>
          </w:p>
        </w:tc>
      </w:tr>
    </w:tbl>
    <w:p w14:paraId="6494780B" w14:textId="77777777" w:rsidR="00D91591" w:rsidRPr="004E5A00" w:rsidRDefault="00D91591" w:rsidP="007B3D56">
      <w:pPr>
        <w:jc w:val="both"/>
        <w:rPr>
          <w:rFonts w:asciiTheme="majorBidi" w:hAnsiTheme="majorBidi" w:cstheme="majorBidi"/>
          <w:szCs w:val="20"/>
          <w:highlight w:val="red"/>
          <w:lang w:val="en-GB"/>
        </w:rPr>
      </w:pPr>
    </w:p>
    <w:p w14:paraId="2ECC5E70" w14:textId="18C5597E" w:rsidR="00CE1C8B" w:rsidRPr="00AF478B" w:rsidRDefault="00CE1C8B" w:rsidP="00CE1C8B">
      <w:pPr>
        <w:pStyle w:val="MDPI31text"/>
        <w:ind w:left="0" w:firstLine="0"/>
        <w:rPr>
          <w:rFonts w:ascii="Times New Roman" w:hAnsi="Times New Roman"/>
          <w:b/>
          <w:bCs/>
          <w:snapToGrid/>
          <w:color w:val="auto"/>
          <w:szCs w:val="20"/>
          <w:lang w:val="en-GB" w:eastAsia="zh-CN" w:bidi="ar-SA"/>
        </w:rPr>
      </w:pPr>
      <w:r w:rsidRPr="00AF478B">
        <w:rPr>
          <w:rFonts w:ascii="Times New Roman" w:hAnsi="Times New Roman"/>
          <w:b/>
          <w:bCs/>
          <w:snapToGrid/>
          <w:color w:val="auto"/>
          <w:szCs w:val="20"/>
          <w:lang w:val="en-GB" w:eastAsia="zh-CN" w:bidi="ar-SA"/>
        </w:rPr>
        <w:t>2.</w:t>
      </w:r>
      <w:r w:rsidR="00A0522A">
        <w:rPr>
          <w:rFonts w:ascii="Times New Roman" w:hAnsi="Times New Roman"/>
          <w:b/>
          <w:bCs/>
          <w:snapToGrid/>
          <w:color w:val="auto"/>
          <w:szCs w:val="20"/>
          <w:lang w:val="en-GB" w:eastAsia="zh-CN" w:bidi="ar-SA"/>
        </w:rPr>
        <w:t>4</w:t>
      </w:r>
      <w:r w:rsidRPr="00AF478B">
        <w:rPr>
          <w:rFonts w:ascii="Times New Roman" w:hAnsi="Times New Roman"/>
          <w:b/>
          <w:bCs/>
          <w:snapToGrid/>
          <w:color w:val="auto"/>
          <w:szCs w:val="20"/>
          <w:lang w:val="en-GB" w:eastAsia="zh-CN" w:bidi="ar-SA"/>
        </w:rPr>
        <w:t xml:space="preserve"> </w:t>
      </w:r>
      <w:r>
        <w:rPr>
          <w:rFonts w:ascii="Times New Roman" w:hAnsi="Times New Roman"/>
          <w:b/>
          <w:bCs/>
          <w:snapToGrid/>
          <w:color w:val="auto"/>
          <w:szCs w:val="20"/>
          <w:lang w:val="en-GB" w:eastAsia="zh-CN" w:bidi="ar-SA"/>
        </w:rPr>
        <w:t>Cyclic voltammetry</w:t>
      </w:r>
    </w:p>
    <w:p w14:paraId="2F268AFF" w14:textId="1BC23B7B" w:rsidR="00CE1C8B" w:rsidRPr="0073686F" w:rsidRDefault="0073686F" w:rsidP="00D91591">
      <w:pPr>
        <w:pStyle w:val="MDPI31text"/>
        <w:ind w:left="0" w:firstLine="0"/>
        <w:rPr>
          <w:rFonts w:ascii="Times New Roman" w:hAnsi="Times New Roman"/>
          <w:snapToGrid/>
          <w:color w:val="auto"/>
          <w:szCs w:val="20"/>
          <w:lang w:val="en-GB" w:eastAsia="zh-CN" w:bidi="ar-SA"/>
        </w:rPr>
      </w:pPr>
      <w:r w:rsidRPr="008B779D">
        <w:rPr>
          <w:rFonts w:ascii="Times New Roman" w:hAnsi="Times New Roman"/>
          <w:snapToGrid/>
          <w:color w:val="auto"/>
          <w:szCs w:val="20"/>
          <w:lang w:val="en-GB" w:eastAsia="zh-CN" w:bidi="ar-SA"/>
        </w:rPr>
        <w:t xml:space="preserve">Cyclic voltammetry was performed by the setup proposed by </w:t>
      </w:r>
      <w:r w:rsidRPr="008B779D">
        <w:rPr>
          <w:rFonts w:ascii="Times New Roman" w:hAnsi="Times New Roman"/>
          <w:snapToGrid/>
          <w:color w:val="auto"/>
          <w:szCs w:val="20"/>
          <w:lang w:val="en-GB" w:eastAsia="zh-CN" w:bidi="ar-SA"/>
        </w:rPr>
        <w:fldChar w:fldCharType="begin" w:fldLock="1"/>
      </w:r>
      <w:r w:rsidRPr="008B779D">
        <w:rPr>
          <w:rFonts w:ascii="Times New Roman" w:hAnsi="Times New Roman"/>
          <w:snapToGrid/>
          <w:color w:val="auto"/>
          <w:szCs w:val="20"/>
          <w:lang w:val="en-GB" w:eastAsia="zh-CN" w:bidi="ar-SA"/>
        </w:rPr>
        <w:instrText>ADDIN CSL_CITATION {"citationItems":[{"id":"ITEM-1","itemData":{"DOI":"10.1002/jsfa.8397","ISSN":"10970010","PMID":"28436036","abstract":"BACKGROUND: The antioxidant capacity of an inactive dry yeast preparation (YD) was investigated by conventional analytical methods (spectrophotometry, high-performance liquid chromatography) as well as by cyclic voltammetry in a (+)-catechin model wine and compared with that of some of the most common antioxidants found in wine: sulfur dioxide, ascorbic acid and glutathione. RESULTS: Sulfur dioxide was the highest-performing substance in protecting (+)-catechin against browning, followed by ascorbic acid and the YD preparation. Sulfites were the only antioxidant whose activity was clearly detectable in the model wines after 29 days of storage. Voltammetric studies demonstrated that the antioxidant capacity of the products tested was connected to their intrinsic characteristics and their molar concentrations (catechin/antioxidant molar ratio). CONCLUSION: The YD preparation displayed a certain ability to protect polyphenols against browning. The antioxidant activity of YDs towards (+)-catechin appeared to be based on different mechanisms with respect to that of the other products tested: the insoluble portion of these preparations (cell wall residues) might have a non-negligible role, even if the ability of YDs to release compounds able to suppress oxidation cannot be rejected. Direct comparison of the different antioxidants led to interesting indications concerning their mechanism of action in wine-like solution, depending on their concentration and intrinsic characteristics. © 2017 Society of Chemical Industry.","author":[{"dropping-particle":"","family":"Comuzzo","given":"P.","non-dropping-particle":"","parse-names":false,"suffix":""},{"dropping-particle":"","family":"Toniolo","given":"R.","non-dropping-particle":"","parse-names":false,"suffix":""},{"dropping-particle":"","family":"Battistutta","given":"F.","non-dropping-particle":"","parse-names":false,"suffix":""},{"dropping-particle":"","family":"Lizee","given":"M.","non-dropping-particle":"","parse-names":false,"suffix":""},{"dropping-particle":"","family":"Svigelj","given":"R.","non-dropping-particle":"","parse-names":false,"suffix":""},{"dropping-particle":"","family":"Zironi","given":"R.","non-dropping-particle":"","parse-names":false,"suffix":""}],"container-title":"Journal of the Science of Food and Agriculture","id":"ITEM-1","issue":"15","issued":{"date-parts":[["2017"]]},"page":"5158-5167","title":"Oxidative behavior of (+)-catechin in the presence of inactive dry yeasts: a comparison with sulfur dioxide, ascorbic acid and glutathione","type":"article-journal","volume":"97"},"uris":["http://www.mendeley.com/documents/?uuid=3db6265d-e67d-48ab-9067-20dab6ba1cb4"]}],"mendeley":{"formattedCitation":"(P. Comuzzo et al. 2017)","manualFormatting":"Comuzzo et al. (2017)","plainTextFormattedCitation":"(P. Comuzzo et al. 2017)"},"properties":{"noteIndex":0},"schema":"https://github.com/citation-style-language/schema/raw/master/csl-citation.json"}</w:instrText>
      </w:r>
      <w:r w:rsidRPr="008B779D">
        <w:rPr>
          <w:rFonts w:ascii="Times New Roman" w:hAnsi="Times New Roman"/>
          <w:snapToGrid/>
          <w:color w:val="auto"/>
          <w:szCs w:val="20"/>
          <w:lang w:val="en-GB" w:eastAsia="zh-CN" w:bidi="ar-SA"/>
        </w:rPr>
        <w:fldChar w:fldCharType="separate"/>
      </w:r>
      <w:r w:rsidRPr="008B779D">
        <w:rPr>
          <w:rFonts w:ascii="Times New Roman" w:hAnsi="Times New Roman"/>
          <w:snapToGrid/>
          <w:color w:val="auto"/>
          <w:szCs w:val="20"/>
          <w:lang w:val="en-GB" w:eastAsia="zh-CN" w:bidi="ar-SA"/>
        </w:rPr>
        <w:t>Comuzzo et al. (2017)</w:t>
      </w:r>
      <w:r w:rsidRPr="008B779D">
        <w:rPr>
          <w:rFonts w:ascii="Times New Roman" w:hAnsi="Times New Roman"/>
          <w:snapToGrid/>
          <w:color w:val="auto"/>
          <w:szCs w:val="20"/>
          <w:lang w:val="en-GB" w:eastAsia="zh-CN" w:bidi="ar-SA"/>
        </w:rPr>
        <w:fldChar w:fldCharType="end"/>
      </w:r>
      <w:r w:rsidRPr="008B779D">
        <w:rPr>
          <w:rFonts w:ascii="Times New Roman" w:hAnsi="Times New Roman"/>
          <w:snapToGrid/>
          <w:color w:val="auto"/>
          <w:szCs w:val="20"/>
          <w:lang w:val="en-GB" w:eastAsia="zh-CN" w:bidi="ar-SA"/>
        </w:rPr>
        <w:t xml:space="preserve">, with a modification. For the electrochemical analysis, screen-printed Metrohm 110 was used (Metrohm Italiana </w:t>
      </w:r>
      <w:proofErr w:type="spellStart"/>
      <w:r w:rsidRPr="008B779D">
        <w:rPr>
          <w:rFonts w:ascii="Times New Roman" w:hAnsi="Times New Roman"/>
          <w:snapToGrid/>
          <w:color w:val="auto"/>
          <w:szCs w:val="20"/>
          <w:lang w:val="en-GB" w:eastAsia="zh-CN" w:bidi="ar-SA"/>
        </w:rPr>
        <w:t>Srl</w:t>
      </w:r>
      <w:proofErr w:type="spellEnd"/>
      <w:r w:rsidRPr="008B779D">
        <w:rPr>
          <w:rFonts w:ascii="Times New Roman" w:hAnsi="Times New Roman"/>
          <w:snapToGrid/>
          <w:color w:val="auto"/>
          <w:szCs w:val="20"/>
          <w:lang w:val="en-GB" w:eastAsia="zh-CN" w:bidi="ar-SA"/>
        </w:rPr>
        <w:t xml:space="preserve">, </w:t>
      </w:r>
      <w:proofErr w:type="spellStart"/>
      <w:r w:rsidRPr="008B779D">
        <w:rPr>
          <w:rFonts w:ascii="Times New Roman" w:hAnsi="Times New Roman"/>
          <w:snapToGrid/>
          <w:color w:val="auto"/>
          <w:szCs w:val="20"/>
          <w:lang w:val="en-GB" w:eastAsia="zh-CN" w:bidi="ar-SA"/>
        </w:rPr>
        <w:t>Origgio</w:t>
      </w:r>
      <w:proofErr w:type="spellEnd"/>
      <w:r w:rsidRPr="008B779D">
        <w:rPr>
          <w:rFonts w:ascii="Times New Roman" w:hAnsi="Times New Roman"/>
          <w:snapToGrid/>
          <w:color w:val="auto"/>
          <w:szCs w:val="20"/>
          <w:lang w:val="en-GB" w:eastAsia="zh-CN" w:bidi="ar-SA"/>
        </w:rPr>
        <w:t>, Italy).</w:t>
      </w:r>
    </w:p>
    <w:p w14:paraId="7DE5DE5F" w14:textId="77777777" w:rsidR="00CE1C8B" w:rsidRDefault="00CE1C8B" w:rsidP="00D91591">
      <w:pPr>
        <w:pStyle w:val="MDPI31text"/>
        <w:ind w:left="0" w:firstLine="0"/>
        <w:rPr>
          <w:rFonts w:ascii="Times New Roman" w:hAnsi="Times New Roman"/>
          <w:b/>
          <w:bCs/>
          <w:snapToGrid/>
          <w:color w:val="auto"/>
          <w:szCs w:val="20"/>
          <w:lang w:val="en-GB" w:eastAsia="zh-CN" w:bidi="ar-SA"/>
        </w:rPr>
      </w:pPr>
    </w:p>
    <w:p w14:paraId="5A089839" w14:textId="3332C0F7" w:rsidR="00D91591" w:rsidRPr="00AF478B" w:rsidRDefault="00D91591" w:rsidP="00D91591">
      <w:pPr>
        <w:pStyle w:val="MDPI31text"/>
        <w:ind w:left="0" w:firstLine="0"/>
        <w:rPr>
          <w:rFonts w:ascii="Times New Roman" w:hAnsi="Times New Roman"/>
          <w:b/>
          <w:bCs/>
          <w:snapToGrid/>
          <w:color w:val="auto"/>
          <w:szCs w:val="20"/>
          <w:lang w:val="en-GB" w:eastAsia="zh-CN" w:bidi="ar-SA"/>
        </w:rPr>
      </w:pPr>
      <w:r w:rsidRPr="00AF478B">
        <w:rPr>
          <w:rFonts w:ascii="Times New Roman" w:hAnsi="Times New Roman"/>
          <w:b/>
          <w:bCs/>
          <w:snapToGrid/>
          <w:color w:val="auto"/>
          <w:szCs w:val="20"/>
          <w:lang w:val="en-GB" w:eastAsia="zh-CN" w:bidi="ar-SA"/>
        </w:rPr>
        <w:t>2.</w:t>
      </w:r>
      <w:r w:rsidR="00A0522A">
        <w:rPr>
          <w:rFonts w:ascii="Times New Roman" w:hAnsi="Times New Roman"/>
          <w:b/>
          <w:bCs/>
          <w:snapToGrid/>
          <w:color w:val="auto"/>
          <w:szCs w:val="20"/>
          <w:lang w:val="en-GB" w:eastAsia="zh-CN" w:bidi="ar-SA"/>
        </w:rPr>
        <w:t>5</w:t>
      </w:r>
      <w:r w:rsidRPr="00AF478B">
        <w:rPr>
          <w:rFonts w:ascii="Times New Roman" w:hAnsi="Times New Roman"/>
          <w:b/>
          <w:bCs/>
          <w:snapToGrid/>
          <w:color w:val="auto"/>
          <w:szCs w:val="20"/>
          <w:lang w:val="en-GB" w:eastAsia="zh-CN" w:bidi="ar-SA"/>
        </w:rPr>
        <w:t xml:space="preserve"> Statistical Analysis</w:t>
      </w:r>
    </w:p>
    <w:p w14:paraId="62525E6B" w14:textId="505887F4" w:rsidR="00D91591" w:rsidRPr="006F4110" w:rsidRDefault="00D91591" w:rsidP="006F4110">
      <w:pPr>
        <w:pStyle w:val="MDPI31text"/>
        <w:ind w:left="0" w:firstLine="0"/>
        <w:rPr>
          <w:rFonts w:ascii="Times New Roman" w:hAnsi="Times New Roman"/>
          <w:snapToGrid/>
          <w:color w:val="auto"/>
          <w:szCs w:val="20"/>
          <w:lang w:val="en-GB" w:eastAsia="zh-CN" w:bidi="ar-SA"/>
        </w:rPr>
      </w:pPr>
      <w:r w:rsidRPr="00AF478B">
        <w:rPr>
          <w:rFonts w:ascii="Times New Roman" w:hAnsi="Times New Roman"/>
          <w:snapToGrid/>
          <w:color w:val="auto"/>
          <w:szCs w:val="20"/>
          <w:lang w:val="en-GB" w:eastAsia="zh-CN" w:bidi="ar-SA"/>
        </w:rPr>
        <w:t xml:space="preserve">Statistical analysis was performed with software </w:t>
      </w:r>
      <w:proofErr w:type="spellStart"/>
      <w:r w:rsidRPr="00AF478B">
        <w:rPr>
          <w:rFonts w:ascii="Times New Roman" w:hAnsi="Times New Roman"/>
          <w:snapToGrid/>
          <w:color w:val="auto"/>
          <w:szCs w:val="20"/>
          <w:lang w:val="en-GB" w:eastAsia="zh-CN" w:bidi="ar-SA"/>
        </w:rPr>
        <w:t>Statistica</w:t>
      </w:r>
      <w:proofErr w:type="spellEnd"/>
      <w:r w:rsidRPr="00AF478B">
        <w:rPr>
          <w:rFonts w:ascii="Times New Roman" w:hAnsi="Times New Roman"/>
          <w:snapToGrid/>
          <w:color w:val="auto"/>
          <w:szCs w:val="20"/>
          <w:lang w:val="en-GB" w:eastAsia="zh-CN" w:bidi="ar-SA"/>
        </w:rPr>
        <w:t xml:space="preserve"> 8 (</w:t>
      </w:r>
      <w:proofErr w:type="spellStart"/>
      <w:r w:rsidRPr="00AF478B">
        <w:rPr>
          <w:rFonts w:ascii="Times New Roman" w:hAnsi="Times New Roman"/>
          <w:snapToGrid/>
          <w:color w:val="auto"/>
          <w:szCs w:val="20"/>
          <w:lang w:val="en-GB" w:eastAsia="zh-CN" w:bidi="ar-SA"/>
        </w:rPr>
        <w:t>Statsoft</w:t>
      </w:r>
      <w:proofErr w:type="spellEnd"/>
      <w:r w:rsidRPr="00AF478B">
        <w:rPr>
          <w:rFonts w:ascii="Times New Roman" w:hAnsi="Times New Roman"/>
          <w:snapToGrid/>
          <w:color w:val="auto"/>
          <w:szCs w:val="20"/>
          <w:lang w:val="en-GB" w:eastAsia="zh-CN" w:bidi="ar-SA"/>
        </w:rPr>
        <w:t xml:space="preserve"> Inc., Tulsa, OK, USA)</w:t>
      </w:r>
      <w:r w:rsidR="008E3FA9" w:rsidRPr="00AF478B">
        <w:rPr>
          <w:rFonts w:ascii="Times New Roman" w:hAnsi="Times New Roman"/>
          <w:snapToGrid/>
          <w:color w:val="auto"/>
          <w:szCs w:val="20"/>
          <w:lang w:val="en-GB" w:eastAsia="zh-CN" w:bidi="ar-SA"/>
        </w:rPr>
        <w:t xml:space="preserve"> to obtain s</w:t>
      </w:r>
      <w:r w:rsidRPr="00AF478B">
        <w:rPr>
          <w:rFonts w:ascii="Times New Roman" w:hAnsi="Times New Roman"/>
          <w:snapToGrid/>
          <w:color w:val="auto"/>
          <w:szCs w:val="20"/>
          <w:lang w:val="en-GB" w:eastAsia="zh-CN" w:bidi="ar-SA"/>
        </w:rPr>
        <w:t>tatistical significance using a two-way ANOVA followed by Tukey's post-hoc test</w:t>
      </w:r>
      <w:r w:rsidR="008E3FA9" w:rsidRPr="00AF478B">
        <w:rPr>
          <w:rFonts w:ascii="Times New Roman" w:hAnsi="Times New Roman"/>
          <w:snapToGrid/>
          <w:color w:val="auto"/>
          <w:szCs w:val="20"/>
          <w:lang w:val="en-GB" w:eastAsia="zh-CN" w:bidi="ar-SA"/>
        </w:rPr>
        <w:t>; R 4.2.1 (</w:t>
      </w:r>
      <w:r w:rsidR="00AF478B" w:rsidRPr="00AF478B">
        <w:rPr>
          <w:rFonts w:ascii="Times New Roman" w:hAnsi="Times New Roman"/>
          <w:snapToGrid/>
          <w:color w:val="auto"/>
          <w:szCs w:val="20"/>
          <w:lang w:val="en-GB" w:eastAsia="zh-CN" w:bidi="ar-SA"/>
        </w:rPr>
        <w:t>R Development Core Team</w:t>
      </w:r>
      <w:r w:rsidR="008E3FA9" w:rsidRPr="00AF478B">
        <w:rPr>
          <w:rFonts w:ascii="Times New Roman" w:hAnsi="Times New Roman"/>
          <w:snapToGrid/>
          <w:color w:val="auto"/>
          <w:szCs w:val="20"/>
          <w:lang w:val="en-GB" w:eastAsia="zh-CN" w:bidi="ar-SA"/>
        </w:rPr>
        <w:t>)</w:t>
      </w:r>
      <w:r w:rsidRPr="00AF478B">
        <w:rPr>
          <w:rFonts w:ascii="Times New Roman" w:hAnsi="Times New Roman"/>
          <w:snapToGrid/>
          <w:color w:val="auto"/>
          <w:szCs w:val="20"/>
          <w:lang w:val="en-GB" w:eastAsia="zh-CN" w:bidi="ar-SA"/>
        </w:rPr>
        <w:t xml:space="preserve"> </w:t>
      </w:r>
      <w:r w:rsidR="00BB4127">
        <w:rPr>
          <w:rFonts w:ascii="Times New Roman" w:hAnsi="Times New Roman"/>
          <w:snapToGrid/>
          <w:color w:val="auto"/>
          <w:szCs w:val="20"/>
          <w:lang w:val="en-GB" w:eastAsia="zh-CN" w:bidi="ar-SA"/>
        </w:rPr>
        <w:t xml:space="preserve">to </w:t>
      </w:r>
      <w:r w:rsidR="00DB75AF">
        <w:rPr>
          <w:rFonts w:ascii="Times New Roman" w:hAnsi="Times New Roman"/>
          <w:snapToGrid/>
          <w:color w:val="auto"/>
          <w:szCs w:val="20"/>
          <w:lang w:val="en-GB" w:eastAsia="zh-CN" w:bidi="ar-SA"/>
        </w:rPr>
        <w:t>perform</w:t>
      </w:r>
      <w:r w:rsidR="00BB4127">
        <w:rPr>
          <w:rFonts w:ascii="Times New Roman" w:hAnsi="Times New Roman"/>
          <w:snapToGrid/>
          <w:color w:val="auto"/>
          <w:szCs w:val="20"/>
          <w:lang w:val="en-GB" w:eastAsia="zh-CN" w:bidi="ar-SA"/>
        </w:rPr>
        <w:t xml:space="preserve"> the P</w:t>
      </w:r>
      <w:r w:rsidRPr="00AF478B">
        <w:rPr>
          <w:rFonts w:ascii="Times New Roman" w:hAnsi="Times New Roman"/>
          <w:snapToGrid/>
          <w:color w:val="auto"/>
          <w:szCs w:val="20"/>
          <w:lang w:val="en-GB" w:eastAsia="zh-CN" w:bidi="ar-SA"/>
        </w:rPr>
        <w:t xml:space="preserve">rincipal </w:t>
      </w:r>
      <w:r w:rsidR="00BB4127">
        <w:rPr>
          <w:rFonts w:ascii="Times New Roman" w:hAnsi="Times New Roman"/>
          <w:snapToGrid/>
          <w:color w:val="auto"/>
          <w:szCs w:val="20"/>
          <w:lang w:val="en-GB" w:eastAsia="zh-CN" w:bidi="ar-SA"/>
        </w:rPr>
        <w:t>C</w:t>
      </w:r>
      <w:r w:rsidRPr="00AF478B">
        <w:rPr>
          <w:rFonts w:ascii="Times New Roman" w:hAnsi="Times New Roman"/>
          <w:snapToGrid/>
          <w:color w:val="auto"/>
          <w:szCs w:val="20"/>
          <w:lang w:val="en-GB" w:eastAsia="zh-CN" w:bidi="ar-SA"/>
        </w:rPr>
        <w:t xml:space="preserve">omponent </w:t>
      </w:r>
      <w:r w:rsidR="00BB4127">
        <w:rPr>
          <w:rFonts w:ascii="Times New Roman" w:hAnsi="Times New Roman"/>
          <w:snapToGrid/>
          <w:color w:val="auto"/>
          <w:szCs w:val="20"/>
          <w:lang w:val="en-GB" w:eastAsia="zh-CN" w:bidi="ar-SA"/>
        </w:rPr>
        <w:t>A</w:t>
      </w:r>
      <w:r w:rsidRPr="00AF478B">
        <w:rPr>
          <w:rFonts w:ascii="Times New Roman" w:hAnsi="Times New Roman"/>
          <w:snapToGrid/>
          <w:color w:val="auto"/>
          <w:szCs w:val="20"/>
          <w:lang w:val="en-GB" w:eastAsia="zh-CN" w:bidi="ar-SA"/>
        </w:rPr>
        <w:t>nalysis (PCA)</w:t>
      </w:r>
      <w:r w:rsidR="00BB4127">
        <w:rPr>
          <w:rFonts w:ascii="Times New Roman" w:hAnsi="Times New Roman"/>
          <w:snapToGrid/>
          <w:color w:val="auto"/>
          <w:szCs w:val="20"/>
          <w:lang w:val="en-GB" w:eastAsia="zh-CN" w:bidi="ar-SA"/>
        </w:rPr>
        <w:t>.</w:t>
      </w:r>
    </w:p>
    <w:p w14:paraId="5837B98F" w14:textId="234E706E" w:rsidR="007D40F9" w:rsidRPr="00186B23" w:rsidRDefault="00E27B67" w:rsidP="007D40F9">
      <w:pPr>
        <w:pStyle w:val="Titolo1"/>
        <w:tabs>
          <w:tab w:val="left" w:pos="567"/>
        </w:tabs>
        <w:spacing w:before="240" w:after="120"/>
        <w:ind w:right="0"/>
        <w:jc w:val="both"/>
        <w:rPr>
          <w:b/>
          <w:bCs/>
          <w:color w:val="000000"/>
          <w:sz w:val="24"/>
          <w:lang w:val="en-GB"/>
        </w:rPr>
      </w:pPr>
      <w:r w:rsidRPr="00186B23">
        <w:rPr>
          <w:b/>
          <w:bCs/>
          <w:color w:val="000000"/>
          <w:sz w:val="24"/>
          <w:lang w:val="en-GB"/>
        </w:rPr>
        <w:t>3</w:t>
      </w:r>
      <w:r w:rsidR="007D40F9" w:rsidRPr="00186B23">
        <w:rPr>
          <w:b/>
          <w:bCs/>
          <w:color w:val="000000"/>
          <w:sz w:val="24"/>
          <w:lang w:val="en-GB"/>
        </w:rPr>
        <w:t>. Results and Discussion</w:t>
      </w:r>
    </w:p>
    <w:p w14:paraId="6CD69297" w14:textId="7EC051C6" w:rsidR="007D40F9" w:rsidRPr="00F2271A" w:rsidRDefault="00E27B67" w:rsidP="00F2271A">
      <w:pPr>
        <w:pStyle w:val="MDPI31text"/>
        <w:ind w:left="0" w:firstLine="0"/>
        <w:rPr>
          <w:rFonts w:ascii="Times New Roman" w:hAnsi="Times New Roman"/>
          <w:b/>
          <w:bCs/>
          <w:snapToGrid/>
          <w:color w:val="auto"/>
          <w:szCs w:val="20"/>
          <w:lang w:val="en-GB" w:eastAsia="zh-CN" w:bidi="ar-SA"/>
        </w:rPr>
      </w:pPr>
      <w:r w:rsidRPr="00F2271A">
        <w:rPr>
          <w:rFonts w:ascii="Times New Roman" w:hAnsi="Times New Roman"/>
          <w:b/>
          <w:bCs/>
          <w:snapToGrid/>
          <w:color w:val="auto"/>
          <w:szCs w:val="20"/>
          <w:lang w:val="en-GB" w:eastAsia="zh-CN" w:bidi="ar-SA"/>
        </w:rPr>
        <w:t>3</w:t>
      </w:r>
      <w:r w:rsidR="007D40F9" w:rsidRPr="00F2271A">
        <w:rPr>
          <w:rFonts w:ascii="Times New Roman" w:hAnsi="Times New Roman"/>
          <w:b/>
          <w:bCs/>
          <w:snapToGrid/>
          <w:color w:val="auto"/>
          <w:szCs w:val="20"/>
          <w:lang w:val="en-GB" w:eastAsia="zh-CN" w:bidi="ar-SA"/>
        </w:rPr>
        <w:t xml:space="preserve">.1 </w:t>
      </w:r>
      <w:r w:rsidR="00724837" w:rsidRPr="00F2271A">
        <w:rPr>
          <w:rFonts w:ascii="Times New Roman" w:hAnsi="Times New Roman"/>
          <w:b/>
          <w:bCs/>
          <w:snapToGrid/>
          <w:color w:val="auto"/>
          <w:szCs w:val="20"/>
          <w:lang w:val="en-GB" w:eastAsia="zh-CN" w:bidi="ar-SA"/>
        </w:rPr>
        <w:t>Dissolved oxygen</w:t>
      </w:r>
    </w:p>
    <w:p w14:paraId="26C86399" w14:textId="21E6672B" w:rsidR="001E0851" w:rsidRDefault="00E6525C" w:rsidP="001E0851">
      <w:pPr>
        <w:tabs>
          <w:tab w:val="left" w:pos="567"/>
          <w:tab w:val="left" w:pos="7371"/>
        </w:tabs>
        <w:jc w:val="both"/>
        <w:rPr>
          <w:rFonts w:asciiTheme="majorBidi" w:hAnsiTheme="majorBidi" w:cstheme="majorBidi"/>
          <w:sz w:val="20"/>
          <w:szCs w:val="15"/>
          <w:lang w:val="en-US"/>
        </w:rPr>
      </w:pPr>
      <w:r w:rsidRPr="00AA4AAE">
        <w:rPr>
          <w:rFonts w:asciiTheme="majorBidi" w:hAnsiTheme="majorBidi" w:cstheme="majorBidi"/>
          <w:sz w:val="20"/>
          <w:szCs w:val="15"/>
          <w:lang w:val="en-US"/>
        </w:rPr>
        <w:t xml:space="preserve">Dissolved oxygen was measured three days after bottling </w:t>
      </w:r>
      <w:proofErr w:type="gramStart"/>
      <w:r w:rsidRPr="00AA4AAE">
        <w:rPr>
          <w:rFonts w:asciiTheme="majorBidi" w:hAnsiTheme="majorBidi" w:cstheme="majorBidi"/>
          <w:sz w:val="20"/>
          <w:szCs w:val="15"/>
          <w:lang w:val="en-US"/>
        </w:rPr>
        <w:t>in order to</w:t>
      </w:r>
      <w:proofErr w:type="gramEnd"/>
      <w:r w:rsidRPr="00AA4AAE">
        <w:rPr>
          <w:rFonts w:asciiTheme="majorBidi" w:hAnsiTheme="majorBidi" w:cstheme="majorBidi"/>
          <w:sz w:val="20"/>
          <w:szCs w:val="15"/>
          <w:lang w:val="en-US"/>
        </w:rPr>
        <w:t xml:space="preserve"> </w:t>
      </w:r>
      <w:r w:rsidR="001E0851">
        <w:rPr>
          <w:rFonts w:asciiTheme="majorBidi" w:hAnsiTheme="majorBidi" w:cstheme="majorBidi"/>
          <w:sz w:val="20"/>
          <w:szCs w:val="15"/>
          <w:lang w:val="en-US"/>
        </w:rPr>
        <w:t xml:space="preserve">allow the equilibration </w:t>
      </w:r>
      <w:r w:rsidRPr="00AA4AAE">
        <w:rPr>
          <w:rFonts w:asciiTheme="majorBidi" w:hAnsiTheme="majorBidi" w:cstheme="majorBidi"/>
          <w:sz w:val="20"/>
          <w:szCs w:val="15"/>
          <w:lang w:val="en-US"/>
        </w:rPr>
        <w:t xml:space="preserve">of the </w:t>
      </w:r>
      <w:r w:rsidR="001E0851">
        <w:rPr>
          <w:rFonts w:asciiTheme="majorBidi" w:hAnsiTheme="majorBidi" w:cstheme="majorBidi"/>
          <w:sz w:val="20"/>
          <w:szCs w:val="15"/>
          <w:lang w:val="en-US"/>
        </w:rPr>
        <w:t>wines and repeated every two months</w:t>
      </w:r>
      <w:r w:rsidRPr="00AA4AAE">
        <w:rPr>
          <w:rFonts w:asciiTheme="majorBidi" w:hAnsiTheme="majorBidi" w:cstheme="majorBidi"/>
          <w:sz w:val="20"/>
          <w:szCs w:val="15"/>
          <w:lang w:val="en-US"/>
        </w:rPr>
        <w:t>.</w:t>
      </w:r>
    </w:p>
    <w:p w14:paraId="04CC2D17" w14:textId="51A8C788" w:rsidR="00272F98" w:rsidRPr="00AA4AAE" w:rsidRDefault="00E6525C" w:rsidP="001E0851">
      <w:pPr>
        <w:tabs>
          <w:tab w:val="left" w:pos="567"/>
          <w:tab w:val="left" w:pos="7371"/>
        </w:tabs>
        <w:jc w:val="both"/>
        <w:rPr>
          <w:rFonts w:asciiTheme="majorBidi" w:hAnsiTheme="majorBidi" w:cstheme="majorBidi"/>
          <w:sz w:val="20"/>
          <w:szCs w:val="15"/>
          <w:highlight w:val="red"/>
          <w:lang w:val="en-US"/>
        </w:rPr>
      </w:pPr>
      <w:r w:rsidRPr="00AA4AAE">
        <w:rPr>
          <w:rFonts w:asciiTheme="majorBidi" w:hAnsiTheme="majorBidi" w:cstheme="majorBidi"/>
          <w:sz w:val="20"/>
          <w:szCs w:val="15"/>
          <w:lang w:val="en-US"/>
        </w:rPr>
        <w:t xml:space="preserve">The first measurement showed a significant difference between </w:t>
      </w:r>
      <w:r w:rsidR="001E0851">
        <w:rPr>
          <w:rFonts w:asciiTheme="majorBidi" w:hAnsiTheme="majorBidi" w:cstheme="majorBidi"/>
          <w:sz w:val="20"/>
          <w:szCs w:val="15"/>
          <w:lang w:val="en-US"/>
        </w:rPr>
        <w:t xml:space="preserve">membrane processed </w:t>
      </w:r>
      <w:r w:rsidRPr="00AA4AAE">
        <w:rPr>
          <w:rFonts w:asciiTheme="majorBidi" w:hAnsiTheme="majorBidi" w:cstheme="majorBidi"/>
          <w:sz w:val="20"/>
          <w:szCs w:val="15"/>
          <w:lang w:val="en-US"/>
        </w:rPr>
        <w:t>and control</w:t>
      </w:r>
      <w:r w:rsidR="001E0851">
        <w:rPr>
          <w:rFonts w:asciiTheme="majorBidi" w:hAnsiTheme="majorBidi" w:cstheme="majorBidi"/>
          <w:sz w:val="20"/>
          <w:szCs w:val="15"/>
          <w:lang w:val="en-US"/>
        </w:rPr>
        <w:t xml:space="preserve"> samples</w:t>
      </w:r>
      <w:r w:rsidRPr="00AA4AAE">
        <w:rPr>
          <w:rFonts w:asciiTheme="majorBidi" w:hAnsiTheme="majorBidi" w:cstheme="majorBidi"/>
          <w:sz w:val="20"/>
          <w:szCs w:val="15"/>
          <w:lang w:val="en-US"/>
        </w:rPr>
        <w:t xml:space="preserve">, except for the </w:t>
      </w:r>
      <w:r w:rsidR="001E0851">
        <w:rPr>
          <w:rFonts w:asciiTheme="majorBidi" w:hAnsiTheme="majorBidi" w:cstheme="majorBidi"/>
          <w:sz w:val="20"/>
          <w:szCs w:val="15"/>
          <w:lang w:val="en-US"/>
        </w:rPr>
        <w:t xml:space="preserve">wines sealed with technical cork </w:t>
      </w:r>
      <w:r w:rsidRPr="00AA4AAE">
        <w:rPr>
          <w:rFonts w:asciiTheme="majorBidi" w:hAnsiTheme="majorBidi" w:cstheme="majorBidi"/>
          <w:sz w:val="20"/>
          <w:szCs w:val="15"/>
          <w:lang w:val="en-US"/>
        </w:rPr>
        <w:t xml:space="preserve">(Figure 1). </w:t>
      </w:r>
      <w:r w:rsidR="001E0851">
        <w:rPr>
          <w:rFonts w:asciiTheme="majorBidi" w:hAnsiTheme="majorBidi" w:cstheme="majorBidi"/>
          <w:sz w:val="20"/>
          <w:szCs w:val="15"/>
          <w:lang w:val="en-US"/>
        </w:rPr>
        <w:t>In the following</w:t>
      </w:r>
      <w:r w:rsidRPr="00AA4AAE">
        <w:rPr>
          <w:rFonts w:asciiTheme="majorBidi" w:hAnsiTheme="majorBidi" w:cstheme="majorBidi"/>
          <w:sz w:val="20"/>
          <w:szCs w:val="15"/>
          <w:lang w:val="en-US"/>
        </w:rPr>
        <w:t xml:space="preserve"> 95 days, the samples closed with screwcaps showed a </w:t>
      </w:r>
      <w:r w:rsidR="001E0851">
        <w:rPr>
          <w:rFonts w:asciiTheme="majorBidi" w:hAnsiTheme="majorBidi" w:cstheme="majorBidi"/>
          <w:sz w:val="20"/>
          <w:szCs w:val="15"/>
          <w:lang w:val="en-US"/>
        </w:rPr>
        <w:t xml:space="preserve">slower </w:t>
      </w:r>
      <w:r w:rsidRPr="00AA4AAE">
        <w:rPr>
          <w:rFonts w:asciiTheme="majorBidi" w:hAnsiTheme="majorBidi" w:cstheme="majorBidi"/>
          <w:sz w:val="20"/>
          <w:szCs w:val="15"/>
          <w:lang w:val="en-US"/>
        </w:rPr>
        <w:t xml:space="preserve">oxygen consumption with respect to </w:t>
      </w:r>
      <w:r w:rsidR="00FC0C37">
        <w:rPr>
          <w:rFonts w:asciiTheme="majorBidi" w:hAnsiTheme="majorBidi" w:cstheme="majorBidi"/>
          <w:sz w:val="20"/>
          <w:szCs w:val="15"/>
          <w:lang w:val="en-US"/>
        </w:rPr>
        <w:t xml:space="preserve">those </w:t>
      </w:r>
      <w:r w:rsidRPr="00AA4AAE">
        <w:rPr>
          <w:rFonts w:asciiTheme="majorBidi" w:hAnsiTheme="majorBidi" w:cstheme="majorBidi"/>
          <w:sz w:val="20"/>
          <w:szCs w:val="15"/>
          <w:lang w:val="en-US"/>
        </w:rPr>
        <w:t xml:space="preserve">closed with cork. From </w:t>
      </w:r>
      <w:r w:rsidR="00FC0C37">
        <w:rPr>
          <w:rFonts w:asciiTheme="majorBidi" w:hAnsiTheme="majorBidi" w:cstheme="majorBidi"/>
          <w:sz w:val="20"/>
          <w:szCs w:val="15"/>
          <w:lang w:val="en-US"/>
        </w:rPr>
        <w:t xml:space="preserve">day </w:t>
      </w:r>
      <w:r w:rsidRPr="00AA4AAE">
        <w:rPr>
          <w:rFonts w:asciiTheme="majorBidi" w:hAnsiTheme="majorBidi" w:cstheme="majorBidi"/>
          <w:sz w:val="20"/>
          <w:szCs w:val="15"/>
          <w:lang w:val="en-US"/>
        </w:rPr>
        <w:t>144 to 424</w:t>
      </w:r>
      <w:r w:rsidR="00FC0C37">
        <w:rPr>
          <w:rFonts w:asciiTheme="majorBidi" w:hAnsiTheme="majorBidi" w:cstheme="majorBidi"/>
          <w:sz w:val="20"/>
          <w:szCs w:val="15"/>
          <w:lang w:val="en-US"/>
        </w:rPr>
        <w:t>,</w:t>
      </w:r>
      <w:r w:rsidRPr="00AA4AAE">
        <w:rPr>
          <w:rFonts w:asciiTheme="majorBidi" w:hAnsiTheme="majorBidi" w:cstheme="majorBidi"/>
          <w:sz w:val="20"/>
          <w:szCs w:val="15"/>
          <w:lang w:val="en-US"/>
        </w:rPr>
        <w:t xml:space="preserve"> </w:t>
      </w:r>
      <w:r w:rsidR="00FC0C37" w:rsidRPr="00AA4AAE">
        <w:rPr>
          <w:rFonts w:asciiTheme="majorBidi" w:hAnsiTheme="majorBidi" w:cstheme="majorBidi"/>
          <w:sz w:val="20"/>
          <w:szCs w:val="15"/>
          <w:lang w:val="en-US"/>
        </w:rPr>
        <w:t>oxygen</w:t>
      </w:r>
      <w:r w:rsidR="00FC0C37">
        <w:rPr>
          <w:rFonts w:asciiTheme="majorBidi" w:hAnsiTheme="majorBidi" w:cstheme="majorBidi"/>
          <w:sz w:val="20"/>
          <w:szCs w:val="15"/>
          <w:lang w:val="en-US"/>
        </w:rPr>
        <w:t xml:space="preserve"> </w:t>
      </w:r>
      <w:r w:rsidR="00FC0C37" w:rsidRPr="00AA4AAE">
        <w:rPr>
          <w:rFonts w:asciiTheme="majorBidi" w:hAnsiTheme="majorBidi" w:cstheme="majorBidi"/>
          <w:sz w:val="20"/>
          <w:szCs w:val="15"/>
          <w:lang w:val="en-US"/>
        </w:rPr>
        <w:t xml:space="preserve">concentration </w:t>
      </w:r>
      <w:r w:rsidRPr="00AA4AAE">
        <w:rPr>
          <w:rFonts w:asciiTheme="majorBidi" w:hAnsiTheme="majorBidi" w:cstheme="majorBidi"/>
          <w:sz w:val="20"/>
          <w:szCs w:val="15"/>
          <w:lang w:val="en-US"/>
        </w:rPr>
        <w:t xml:space="preserve">reached a stability and screwcap </w:t>
      </w:r>
      <w:r w:rsidR="00FC0C37">
        <w:rPr>
          <w:rFonts w:asciiTheme="majorBidi" w:hAnsiTheme="majorBidi" w:cstheme="majorBidi"/>
          <w:sz w:val="20"/>
          <w:szCs w:val="15"/>
          <w:lang w:val="en-US"/>
        </w:rPr>
        <w:t>had</w:t>
      </w:r>
      <w:r w:rsidRPr="00AA4AAE">
        <w:rPr>
          <w:rFonts w:asciiTheme="majorBidi" w:hAnsiTheme="majorBidi" w:cstheme="majorBidi"/>
          <w:sz w:val="20"/>
          <w:szCs w:val="15"/>
          <w:lang w:val="en-US"/>
        </w:rPr>
        <w:t xml:space="preserve"> lower level</w:t>
      </w:r>
      <w:r w:rsidR="00FC0C37">
        <w:rPr>
          <w:rFonts w:asciiTheme="majorBidi" w:hAnsiTheme="majorBidi" w:cstheme="majorBidi"/>
          <w:sz w:val="20"/>
          <w:szCs w:val="15"/>
          <w:lang w:val="en-US"/>
        </w:rPr>
        <w:t>s with</w:t>
      </w:r>
      <w:r w:rsidRPr="00AA4AAE">
        <w:rPr>
          <w:rFonts w:asciiTheme="majorBidi" w:hAnsiTheme="majorBidi" w:cstheme="majorBidi"/>
          <w:sz w:val="20"/>
          <w:szCs w:val="15"/>
          <w:lang w:val="en-US"/>
        </w:rPr>
        <w:t xml:space="preserve"> respect </w:t>
      </w:r>
      <w:r w:rsidR="00FC0C37">
        <w:rPr>
          <w:rFonts w:asciiTheme="majorBidi" w:hAnsiTheme="majorBidi" w:cstheme="majorBidi"/>
          <w:sz w:val="20"/>
          <w:szCs w:val="15"/>
          <w:lang w:val="en-US"/>
        </w:rPr>
        <w:t xml:space="preserve">to </w:t>
      </w:r>
      <w:r w:rsidRPr="00AA4AAE">
        <w:rPr>
          <w:rFonts w:asciiTheme="majorBidi" w:hAnsiTheme="majorBidi" w:cstheme="majorBidi"/>
          <w:sz w:val="20"/>
          <w:szCs w:val="15"/>
          <w:lang w:val="en-US"/>
        </w:rPr>
        <w:t>cork closure</w:t>
      </w:r>
      <w:r w:rsidR="00FC0C37">
        <w:rPr>
          <w:rFonts w:asciiTheme="majorBidi" w:hAnsiTheme="majorBidi" w:cstheme="majorBidi"/>
          <w:sz w:val="20"/>
          <w:szCs w:val="15"/>
          <w:lang w:val="en-US"/>
        </w:rPr>
        <w:t>s, with similar behavior, probably due to</w:t>
      </w:r>
      <w:r w:rsidRPr="00AA4AAE">
        <w:rPr>
          <w:rFonts w:asciiTheme="majorBidi" w:hAnsiTheme="majorBidi" w:cstheme="majorBidi"/>
          <w:sz w:val="20"/>
          <w:szCs w:val="15"/>
          <w:lang w:val="en-US"/>
        </w:rPr>
        <w:t xml:space="preserve"> </w:t>
      </w:r>
      <w:r w:rsidR="00FC0C37">
        <w:rPr>
          <w:rFonts w:asciiTheme="majorBidi" w:hAnsiTheme="majorBidi" w:cstheme="majorBidi"/>
          <w:sz w:val="20"/>
          <w:szCs w:val="15"/>
          <w:lang w:val="en-US"/>
        </w:rPr>
        <w:t>their lower OTR</w:t>
      </w:r>
      <w:r w:rsidRPr="00AA4AAE">
        <w:rPr>
          <w:rFonts w:asciiTheme="majorBidi" w:hAnsiTheme="majorBidi" w:cstheme="majorBidi"/>
          <w:sz w:val="20"/>
          <w:szCs w:val="15"/>
          <w:lang w:val="en-US"/>
        </w:rPr>
        <w:t>.</w:t>
      </w:r>
    </w:p>
    <w:p w14:paraId="22858637" w14:textId="5E03DDE0" w:rsidR="00BC74AC" w:rsidRPr="00BC74AC" w:rsidRDefault="00BC74AC" w:rsidP="00BC74AC">
      <w:pPr>
        <w:jc w:val="both"/>
        <w:rPr>
          <w:noProof/>
          <w:lang w:val="en-US"/>
        </w:rPr>
      </w:pPr>
      <w:r>
        <w:rPr>
          <w:noProof/>
        </w:rPr>
        <w:lastRenderedPageBreak/>
        <mc:AlternateContent>
          <mc:Choice Requires="wps">
            <w:drawing>
              <wp:anchor distT="0" distB="0" distL="114300" distR="114300" simplePos="0" relativeHeight="251659264" behindDoc="0" locked="0" layoutInCell="1" allowOverlap="1" wp14:anchorId="08073C03" wp14:editId="3E2D336B">
                <wp:simplePos x="0" y="0"/>
                <wp:positionH relativeFrom="column">
                  <wp:posOffset>2438171</wp:posOffset>
                </wp:positionH>
                <wp:positionV relativeFrom="paragraph">
                  <wp:posOffset>113154</wp:posOffset>
                </wp:positionV>
                <wp:extent cx="236682" cy="248227"/>
                <wp:effectExtent l="0" t="0" r="5080" b="6350"/>
                <wp:wrapNone/>
                <wp:docPr id="3" name="Rettangolo 2">
                  <a:extLst xmlns:a="http://schemas.openxmlformats.org/drawingml/2006/main">
                    <a:ext uri="{FF2B5EF4-FFF2-40B4-BE49-F238E27FC236}">
                      <a16:creationId xmlns:a16="http://schemas.microsoft.com/office/drawing/2014/main" id="{0DEFC7E2-0B20-07B6-CB49-59441C98B962}"/>
                    </a:ext>
                  </a:extLst>
                </wp:docPr>
                <wp:cNvGraphicFramePr/>
                <a:graphic xmlns:a="http://schemas.openxmlformats.org/drawingml/2006/main">
                  <a:graphicData uri="http://schemas.microsoft.com/office/word/2010/wordprocessingShape">
                    <wps:wsp>
                      <wps:cNvSpPr/>
                      <wps:spPr>
                        <a:xfrm>
                          <a:off x="0" y="0"/>
                          <a:ext cx="236682" cy="248227"/>
                        </a:xfrm>
                        <a:prstGeom prst="rect">
                          <a:avLst/>
                        </a:prstGeom>
                        <a:solidFill>
                          <a:sysClr val="window" lastClr="FFFFFF"/>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439BA46" w14:textId="7A2E4A9D" w:rsidR="00BC74AC" w:rsidRPr="00BC74AC" w:rsidRDefault="00650961" w:rsidP="00BC74AC">
                            <w:pPr>
                              <w:rPr>
                                <w:rFonts w:asciiTheme="minorHAnsi" w:hAnsi="Calibri" w:cstheme="minorBidi"/>
                                <w:color w:val="000000"/>
                                <w:sz w:val="18"/>
                                <w:szCs w:val="18"/>
                              </w:rPr>
                            </w:pPr>
                            <w:r>
                              <w:rPr>
                                <w:rFonts w:asciiTheme="minorHAnsi" w:hAnsi="Calibri" w:cstheme="minorBidi"/>
                                <w:color w:val="000000"/>
                                <w:sz w:val="18"/>
                                <w:szCs w:val="18"/>
                              </w:rPr>
                              <w:t>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8073C03" id="Rettangolo 2" o:spid="_x0000_s1026" style="position:absolute;left:0;text-align:left;margin-left:192pt;margin-top:8.9pt;width:18.65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" fillcolor="window" stroked="f" strokeweight="1pt">
                <v:textbox>
                  <w:txbxContent>
                    <w:p w14:paraId="0439BA46" w14:textId="7A2E4A9D" w:rsidR="00BC74AC" w:rsidRPr="00BC74AC" w:rsidRDefault="00650961" w:rsidP="00BC74AC">
                      <w:pPr>
                        <w:rPr>
                          <w:rFonts w:asciiTheme="minorHAnsi" w:hAnsi="Calibri" w:cstheme="minorBidi"/>
                          <w:color w:val="000000"/>
                          <w:sz w:val="18"/>
                          <w:szCs w:val="18"/>
                        </w:rPr>
                      </w:pPr>
                      <w:r>
                        <w:rPr>
                          <w:rFonts w:asciiTheme="minorHAnsi" w:hAnsi="Calibri" w:cstheme="minorBidi"/>
                          <w:color w:val="000000"/>
                          <w:sz w:val="18"/>
                          <w:szCs w:val="18"/>
                        </w:rPr>
                        <w:t>a</w:t>
                      </w:r>
                    </w:p>
                  </w:txbxContent>
                </v:textbox>
              </v:rect>
            </w:pict>
          </mc:Fallback>
        </mc:AlternateContent>
      </w:r>
      <w:r w:rsidR="0004799F">
        <w:rPr>
          <w:noProof/>
          <w:lang w:eastAsia="it-IT"/>
        </w:rPr>
        <w:drawing>
          <wp:inline distT="0" distB="0" distL="0" distR="0" wp14:anchorId="7F9CEC16" wp14:editId="49EBFBC4">
            <wp:extent cx="2880000" cy="2520000"/>
            <wp:effectExtent l="0" t="0" r="15875" b="7620"/>
            <wp:docPr id="485889648" name="Grafico 1">
              <a:extLst xmlns:a="http://schemas.openxmlformats.org/drawingml/2006/main">
                <a:ext uri="{FF2B5EF4-FFF2-40B4-BE49-F238E27FC236}">
                  <a16:creationId xmlns:a16="http://schemas.microsoft.com/office/drawing/2014/main" id="{772CED3E-CDB0-D94F-B10B-C51DA34DA8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04799F" w:rsidRPr="00741880">
        <w:rPr>
          <w:noProof/>
          <w:lang w:val="en-US"/>
        </w:rPr>
        <w:t xml:space="preserve"> </w:t>
      </w:r>
      <w:r w:rsidR="0004799F">
        <w:rPr>
          <w:noProof/>
          <w:lang w:eastAsia="it-IT"/>
        </w:rPr>
        <w:drawing>
          <wp:inline distT="0" distB="0" distL="0" distR="0" wp14:anchorId="38B954C8" wp14:editId="4E85CAFD">
            <wp:extent cx="2880000" cy="2520000"/>
            <wp:effectExtent l="0" t="0" r="15875" b="7620"/>
            <wp:docPr id="713537361" name="Grafico 1">
              <a:extLst xmlns:a="http://schemas.openxmlformats.org/drawingml/2006/main">
                <a:ext uri="{FF2B5EF4-FFF2-40B4-BE49-F238E27FC236}">
                  <a16:creationId xmlns:a16="http://schemas.microsoft.com/office/drawing/2014/main" id="{548EA990-68FA-A542-8412-7AF4B5813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A81F94" w14:textId="604DE48F" w:rsidR="00724837" w:rsidRPr="00F2271A" w:rsidRDefault="00E27B67" w:rsidP="007F0DA8">
      <w:pPr>
        <w:tabs>
          <w:tab w:val="left" w:pos="851"/>
        </w:tabs>
        <w:spacing w:before="300" w:after="300"/>
        <w:ind w:left="851" w:hanging="851"/>
        <w:jc w:val="both"/>
        <w:rPr>
          <w:rFonts w:asciiTheme="majorBidi" w:hAnsiTheme="majorBidi" w:cstheme="majorBidi"/>
          <w:sz w:val="18"/>
          <w:szCs w:val="18"/>
          <w:lang w:val="en-US"/>
        </w:rPr>
      </w:pPr>
      <w:r w:rsidRPr="00F2271A">
        <w:rPr>
          <w:rFonts w:asciiTheme="majorBidi" w:hAnsiTheme="majorBidi" w:cstheme="majorBidi"/>
          <w:b/>
          <w:color w:val="000000"/>
          <w:sz w:val="18"/>
          <w:szCs w:val="18"/>
          <w:lang w:val="en-GB"/>
        </w:rPr>
        <w:t xml:space="preserve">Figure 1 </w:t>
      </w:r>
      <w:r w:rsidRPr="00F2271A">
        <w:rPr>
          <w:rFonts w:asciiTheme="majorBidi" w:hAnsiTheme="majorBidi" w:cstheme="majorBidi"/>
          <w:b/>
          <w:color w:val="000000"/>
          <w:sz w:val="18"/>
          <w:szCs w:val="18"/>
          <w:lang w:val="en-GB"/>
        </w:rPr>
        <w:tab/>
      </w:r>
      <w:r w:rsidRPr="00F2271A">
        <w:rPr>
          <w:rFonts w:asciiTheme="majorBidi" w:hAnsiTheme="majorBidi" w:cstheme="majorBidi"/>
          <w:bCs/>
          <w:i/>
          <w:iCs/>
          <w:color w:val="000000"/>
          <w:sz w:val="18"/>
          <w:szCs w:val="18"/>
          <w:lang w:val="en-GB"/>
        </w:rPr>
        <w:t xml:space="preserve"> </w:t>
      </w:r>
      <w:r w:rsidR="009A347D" w:rsidRPr="00F2271A">
        <w:rPr>
          <w:rFonts w:asciiTheme="majorBidi" w:hAnsiTheme="majorBidi" w:cstheme="majorBidi"/>
          <w:bCs/>
          <w:i/>
          <w:iCs/>
          <w:color w:val="000000"/>
          <w:sz w:val="18"/>
          <w:szCs w:val="18"/>
          <w:lang w:val="en-GB"/>
        </w:rPr>
        <w:t xml:space="preserve">Kinetic of oxygen </w:t>
      </w:r>
      <w:r w:rsidR="00FC0C37">
        <w:rPr>
          <w:rFonts w:asciiTheme="majorBidi" w:hAnsiTheme="majorBidi" w:cstheme="majorBidi"/>
          <w:bCs/>
          <w:i/>
          <w:iCs/>
          <w:color w:val="000000"/>
          <w:sz w:val="18"/>
          <w:szCs w:val="18"/>
          <w:lang w:val="en-GB"/>
        </w:rPr>
        <w:t>consumption</w:t>
      </w:r>
      <w:r w:rsidR="009A347D" w:rsidRPr="00F2271A">
        <w:rPr>
          <w:rFonts w:asciiTheme="majorBidi" w:hAnsiTheme="majorBidi" w:cstheme="majorBidi"/>
          <w:bCs/>
          <w:i/>
          <w:iCs/>
          <w:color w:val="000000"/>
          <w:sz w:val="18"/>
          <w:szCs w:val="18"/>
          <w:lang w:val="en-GB"/>
        </w:rPr>
        <w:t xml:space="preserve"> after bottling, </w:t>
      </w:r>
      <w:r w:rsidR="00FC0C37">
        <w:rPr>
          <w:rFonts w:asciiTheme="majorBidi" w:hAnsiTheme="majorBidi" w:cstheme="majorBidi"/>
          <w:bCs/>
          <w:i/>
          <w:iCs/>
          <w:color w:val="000000"/>
          <w:sz w:val="18"/>
          <w:szCs w:val="18"/>
          <w:lang w:val="en-GB"/>
        </w:rPr>
        <w:t xml:space="preserve">in </w:t>
      </w:r>
      <w:r w:rsidR="009A347D" w:rsidRPr="00F2271A">
        <w:rPr>
          <w:rFonts w:asciiTheme="majorBidi" w:hAnsiTheme="majorBidi" w:cstheme="majorBidi"/>
          <w:bCs/>
          <w:i/>
          <w:iCs/>
          <w:color w:val="000000"/>
          <w:sz w:val="18"/>
          <w:szCs w:val="18"/>
          <w:lang w:val="en-GB"/>
        </w:rPr>
        <w:t>(a) control samples</w:t>
      </w:r>
      <w:r w:rsidR="00FC0C37">
        <w:rPr>
          <w:rFonts w:asciiTheme="majorBidi" w:hAnsiTheme="majorBidi" w:cstheme="majorBidi"/>
          <w:bCs/>
          <w:i/>
          <w:iCs/>
          <w:color w:val="000000"/>
          <w:sz w:val="18"/>
          <w:szCs w:val="18"/>
          <w:lang w:val="en-GB"/>
        </w:rPr>
        <w:t xml:space="preserve"> and</w:t>
      </w:r>
      <w:r w:rsidR="009A347D" w:rsidRPr="00F2271A">
        <w:rPr>
          <w:rFonts w:asciiTheme="majorBidi" w:hAnsiTheme="majorBidi" w:cstheme="majorBidi"/>
          <w:bCs/>
          <w:i/>
          <w:iCs/>
          <w:color w:val="000000"/>
          <w:sz w:val="18"/>
          <w:szCs w:val="18"/>
          <w:lang w:val="en-GB"/>
        </w:rPr>
        <w:t xml:space="preserve"> (b) samples treated by contactor membrane.</w:t>
      </w:r>
    </w:p>
    <w:p w14:paraId="0F51838E" w14:textId="0B4B2B59" w:rsidR="00D36EB3" w:rsidRPr="00F2271A" w:rsidRDefault="00E27B67" w:rsidP="00F2271A">
      <w:pPr>
        <w:pStyle w:val="MDPI31text"/>
        <w:ind w:left="0" w:firstLine="0"/>
        <w:rPr>
          <w:rFonts w:ascii="Times New Roman" w:hAnsi="Times New Roman"/>
          <w:b/>
          <w:bCs/>
          <w:snapToGrid/>
          <w:color w:val="auto"/>
          <w:szCs w:val="20"/>
          <w:lang w:val="en-GB" w:eastAsia="zh-CN" w:bidi="ar-SA"/>
        </w:rPr>
      </w:pPr>
      <w:r w:rsidRPr="00F2271A">
        <w:rPr>
          <w:rFonts w:ascii="Times New Roman" w:hAnsi="Times New Roman"/>
          <w:b/>
          <w:bCs/>
          <w:snapToGrid/>
          <w:color w:val="auto"/>
          <w:szCs w:val="20"/>
          <w:lang w:val="en-GB" w:eastAsia="zh-CN" w:bidi="ar-SA"/>
        </w:rPr>
        <w:t>3</w:t>
      </w:r>
      <w:r w:rsidR="00724837" w:rsidRPr="00F2271A">
        <w:rPr>
          <w:rFonts w:ascii="Times New Roman" w:hAnsi="Times New Roman"/>
          <w:b/>
          <w:bCs/>
          <w:snapToGrid/>
          <w:color w:val="auto"/>
          <w:szCs w:val="20"/>
          <w:lang w:val="en-GB" w:eastAsia="zh-CN" w:bidi="ar-SA"/>
        </w:rPr>
        <w:t xml:space="preserve">.2 </w:t>
      </w:r>
      <w:r w:rsidR="00BC4167">
        <w:rPr>
          <w:rFonts w:ascii="Times New Roman" w:hAnsi="Times New Roman"/>
          <w:b/>
          <w:bCs/>
          <w:snapToGrid/>
          <w:color w:val="auto"/>
          <w:szCs w:val="20"/>
          <w:lang w:val="en-GB" w:eastAsia="zh-CN" w:bidi="ar-SA"/>
        </w:rPr>
        <w:t>Aroma Compounds (ACs)</w:t>
      </w:r>
    </w:p>
    <w:p w14:paraId="158DD395" w14:textId="673781BB" w:rsidR="006F4110" w:rsidRPr="00AA4AAE" w:rsidRDefault="006F4110" w:rsidP="00BC74AC">
      <w:pPr>
        <w:jc w:val="both"/>
        <w:rPr>
          <w:rFonts w:asciiTheme="majorBidi" w:hAnsiTheme="majorBidi" w:cstheme="majorBidi"/>
          <w:sz w:val="20"/>
          <w:szCs w:val="15"/>
          <w:lang w:val="en-GB"/>
        </w:rPr>
      </w:pPr>
      <w:r w:rsidRPr="00AA4AAE">
        <w:rPr>
          <w:rFonts w:asciiTheme="majorBidi" w:hAnsiTheme="majorBidi" w:cstheme="majorBidi"/>
          <w:sz w:val="20"/>
          <w:szCs w:val="15"/>
          <w:lang w:val="en-GB"/>
        </w:rPr>
        <w:t xml:space="preserve">The characterisation of the volatile composition (Table </w:t>
      </w:r>
      <w:r w:rsidR="0044402C">
        <w:rPr>
          <w:rFonts w:asciiTheme="majorBidi" w:hAnsiTheme="majorBidi" w:cstheme="majorBidi"/>
          <w:sz w:val="20"/>
          <w:szCs w:val="15"/>
          <w:lang w:val="en-GB"/>
        </w:rPr>
        <w:t>3</w:t>
      </w:r>
      <w:r w:rsidRPr="00AA4AAE">
        <w:rPr>
          <w:rFonts w:asciiTheme="majorBidi" w:hAnsiTheme="majorBidi" w:cstheme="majorBidi"/>
          <w:sz w:val="20"/>
          <w:szCs w:val="15"/>
          <w:lang w:val="en-GB"/>
        </w:rPr>
        <w:t xml:space="preserve">) registered significant differences only for ethyl esters at the first sampling point, after three months of storage. This difference is </w:t>
      </w:r>
      <w:r w:rsidR="00F71020">
        <w:rPr>
          <w:rFonts w:asciiTheme="majorBidi" w:hAnsiTheme="majorBidi" w:cstheme="majorBidi"/>
          <w:sz w:val="20"/>
          <w:szCs w:val="15"/>
          <w:lang w:val="en-GB"/>
        </w:rPr>
        <w:t>mainly related to ethyl octanoate</w:t>
      </w:r>
      <w:r w:rsidR="00BC74AC">
        <w:rPr>
          <w:rFonts w:asciiTheme="majorBidi" w:hAnsiTheme="majorBidi" w:cstheme="majorBidi"/>
          <w:sz w:val="20"/>
          <w:szCs w:val="15"/>
          <w:lang w:val="en-GB"/>
        </w:rPr>
        <w:t xml:space="preserve"> (Table 4)</w:t>
      </w:r>
      <w:r w:rsidR="00F71020">
        <w:rPr>
          <w:rFonts w:asciiTheme="majorBidi" w:hAnsiTheme="majorBidi" w:cstheme="majorBidi"/>
          <w:sz w:val="20"/>
          <w:szCs w:val="15"/>
          <w:lang w:val="en-GB"/>
        </w:rPr>
        <w:t xml:space="preserve">; this ester was </w:t>
      </w:r>
      <w:r w:rsidRPr="00AA4AAE">
        <w:rPr>
          <w:rFonts w:asciiTheme="majorBidi" w:hAnsiTheme="majorBidi" w:cstheme="majorBidi"/>
          <w:sz w:val="20"/>
          <w:szCs w:val="15"/>
          <w:lang w:val="en-GB"/>
        </w:rPr>
        <w:t xml:space="preserve">which is </w:t>
      </w:r>
      <w:r w:rsidR="00F71020">
        <w:rPr>
          <w:rFonts w:asciiTheme="majorBidi" w:hAnsiTheme="majorBidi" w:cstheme="majorBidi"/>
          <w:sz w:val="20"/>
          <w:szCs w:val="15"/>
          <w:lang w:val="en-GB"/>
        </w:rPr>
        <w:t xml:space="preserve">the </w:t>
      </w:r>
      <w:r w:rsidRPr="00AA4AAE">
        <w:rPr>
          <w:rFonts w:asciiTheme="majorBidi" w:hAnsiTheme="majorBidi" w:cstheme="majorBidi"/>
          <w:sz w:val="20"/>
          <w:szCs w:val="15"/>
          <w:lang w:val="en-GB"/>
        </w:rPr>
        <w:t xml:space="preserve">most </w:t>
      </w:r>
      <w:r w:rsidR="00F71020">
        <w:rPr>
          <w:rFonts w:asciiTheme="majorBidi" w:hAnsiTheme="majorBidi" w:cstheme="majorBidi"/>
          <w:sz w:val="20"/>
          <w:szCs w:val="15"/>
          <w:lang w:val="en-GB"/>
        </w:rPr>
        <w:t>abundant among</w:t>
      </w:r>
      <w:r w:rsidRPr="00AA4AAE">
        <w:rPr>
          <w:rFonts w:asciiTheme="majorBidi" w:hAnsiTheme="majorBidi" w:cstheme="majorBidi"/>
          <w:sz w:val="20"/>
          <w:szCs w:val="15"/>
          <w:lang w:val="en-GB"/>
        </w:rPr>
        <w:t xml:space="preserve"> ethyl esters and </w:t>
      </w:r>
      <w:r w:rsidR="00F71020">
        <w:rPr>
          <w:rFonts w:asciiTheme="majorBidi" w:hAnsiTheme="majorBidi" w:cstheme="majorBidi"/>
          <w:sz w:val="20"/>
          <w:szCs w:val="15"/>
          <w:lang w:val="en-GB"/>
        </w:rPr>
        <w:t>its concentration was</w:t>
      </w:r>
      <w:r w:rsidRPr="00AA4AAE">
        <w:rPr>
          <w:rFonts w:asciiTheme="majorBidi" w:hAnsiTheme="majorBidi" w:cstheme="majorBidi"/>
          <w:sz w:val="20"/>
          <w:szCs w:val="15"/>
          <w:lang w:val="en-GB"/>
        </w:rPr>
        <w:t xml:space="preserve"> higher in the samples treated with the contactor membrane</w:t>
      </w:r>
      <w:r w:rsidR="00A0522A">
        <w:rPr>
          <w:rFonts w:asciiTheme="majorBidi" w:hAnsiTheme="majorBidi" w:cstheme="majorBidi"/>
          <w:sz w:val="20"/>
          <w:szCs w:val="15"/>
          <w:lang w:val="en-GB"/>
        </w:rPr>
        <w:t xml:space="preserve">. </w:t>
      </w:r>
      <w:r w:rsidRPr="00AA4AAE">
        <w:rPr>
          <w:rFonts w:asciiTheme="majorBidi" w:hAnsiTheme="majorBidi" w:cstheme="majorBidi"/>
          <w:sz w:val="20"/>
          <w:szCs w:val="15"/>
          <w:lang w:val="en-GB"/>
        </w:rPr>
        <w:t>The same trend was observed for the other aroma groups</w:t>
      </w:r>
      <w:r w:rsidR="0044402C">
        <w:rPr>
          <w:rFonts w:asciiTheme="majorBidi" w:hAnsiTheme="majorBidi" w:cstheme="majorBidi"/>
          <w:sz w:val="20"/>
          <w:szCs w:val="15"/>
          <w:lang w:val="en-GB"/>
        </w:rPr>
        <w:t xml:space="preserve"> (Table 3)</w:t>
      </w:r>
      <w:r w:rsidRPr="00AA4AAE">
        <w:rPr>
          <w:rFonts w:asciiTheme="majorBidi" w:hAnsiTheme="majorBidi" w:cstheme="majorBidi"/>
          <w:sz w:val="20"/>
          <w:szCs w:val="15"/>
          <w:lang w:val="en-GB"/>
        </w:rPr>
        <w:t xml:space="preserve">, </w:t>
      </w:r>
      <w:r w:rsidR="0044402C">
        <w:rPr>
          <w:rFonts w:asciiTheme="majorBidi" w:hAnsiTheme="majorBidi" w:cstheme="majorBidi"/>
          <w:sz w:val="20"/>
          <w:szCs w:val="15"/>
          <w:lang w:val="en-GB"/>
        </w:rPr>
        <w:t>even if</w:t>
      </w:r>
      <w:r w:rsidRPr="00AA4AAE">
        <w:rPr>
          <w:rFonts w:asciiTheme="majorBidi" w:hAnsiTheme="majorBidi" w:cstheme="majorBidi"/>
          <w:sz w:val="20"/>
          <w:szCs w:val="15"/>
          <w:lang w:val="en-GB"/>
        </w:rPr>
        <w:t xml:space="preserve"> </w:t>
      </w:r>
      <w:r w:rsidR="0044402C">
        <w:rPr>
          <w:rFonts w:asciiTheme="majorBidi" w:hAnsiTheme="majorBidi" w:cstheme="majorBidi"/>
          <w:sz w:val="20"/>
          <w:szCs w:val="15"/>
          <w:lang w:val="en-GB"/>
        </w:rPr>
        <w:t xml:space="preserve">without </w:t>
      </w:r>
      <w:r w:rsidRPr="00AA4AAE">
        <w:rPr>
          <w:rFonts w:asciiTheme="majorBidi" w:hAnsiTheme="majorBidi" w:cstheme="majorBidi"/>
          <w:sz w:val="20"/>
          <w:szCs w:val="15"/>
          <w:lang w:val="en-GB"/>
        </w:rPr>
        <w:t>significant differences.</w:t>
      </w:r>
    </w:p>
    <w:p w14:paraId="7CFACA06" w14:textId="40BFCA06" w:rsidR="006F4110" w:rsidRPr="00AA4AAE" w:rsidRDefault="006F4110" w:rsidP="00BC74AC">
      <w:pPr>
        <w:jc w:val="both"/>
        <w:rPr>
          <w:rFonts w:asciiTheme="majorBidi" w:hAnsiTheme="majorBidi" w:cstheme="majorBidi"/>
          <w:sz w:val="20"/>
          <w:szCs w:val="15"/>
          <w:lang w:val="en-GB"/>
        </w:rPr>
      </w:pPr>
      <w:r w:rsidRPr="00AA4AAE">
        <w:rPr>
          <w:rFonts w:asciiTheme="majorBidi" w:hAnsiTheme="majorBidi" w:cstheme="majorBidi"/>
          <w:sz w:val="20"/>
          <w:szCs w:val="15"/>
          <w:lang w:val="en-GB"/>
        </w:rPr>
        <w:t>After eleven months of bottle storage, statistical differences</w:t>
      </w:r>
      <w:r w:rsidR="00285B48">
        <w:rPr>
          <w:rFonts w:asciiTheme="majorBidi" w:hAnsiTheme="majorBidi" w:cstheme="majorBidi"/>
          <w:sz w:val="20"/>
          <w:szCs w:val="15"/>
          <w:lang w:val="en-GB"/>
        </w:rPr>
        <w:t xml:space="preserve"> among samples increased</w:t>
      </w:r>
      <w:r w:rsidRPr="00AA4AAE">
        <w:rPr>
          <w:rFonts w:asciiTheme="majorBidi" w:hAnsiTheme="majorBidi" w:cstheme="majorBidi"/>
          <w:sz w:val="20"/>
          <w:szCs w:val="15"/>
          <w:lang w:val="en-GB"/>
        </w:rPr>
        <w:t xml:space="preserve">, particularly for ethyl esters, </w:t>
      </w:r>
      <w:r w:rsidRPr="008B779D">
        <w:rPr>
          <w:rFonts w:asciiTheme="majorBidi" w:hAnsiTheme="majorBidi" w:cstheme="majorBidi"/>
          <w:sz w:val="20"/>
          <w:szCs w:val="15"/>
          <w:lang w:val="en-GB"/>
        </w:rPr>
        <w:t xml:space="preserve">ageing </w:t>
      </w:r>
      <w:proofErr w:type="gramStart"/>
      <w:r w:rsidR="00285B48" w:rsidRPr="008B779D">
        <w:rPr>
          <w:rFonts w:asciiTheme="majorBidi" w:hAnsiTheme="majorBidi" w:cstheme="majorBidi"/>
          <w:sz w:val="20"/>
          <w:szCs w:val="15"/>
          <w:lang w:val="en-GB"/>
        </w:rPr>
        <w:t>compounds</w:t>
      </w:r>
      <w:proofErr w:type="gramEnd"/>
      <w:r w:rsidRPr="00AA4AAE">
        <w:rPr>
          <w:rFonts w:asciiTheme="majorBidi" w:hAnsiTheme="majorBidi" w:cstheme="majorBidi"/>
          <w:sz w:val="20"/>
          <w:szCs w:val="15"/>
          <w:lang w:val="en-GB"/>
        </w:rPr>
        <w:t xml:space="preserve"> and </w:t>
      </w:r>
      <w:r w:rsidR="00285B48">
        <w:rPr>
          <w:rFonts w:asciiTheme="majorBidi" w:hAnsiTheme="majorBidi" w:cstheme="majorBidi"/>
          <w:sz w:val="20"/>
          <w:szCs w:val="15"/>
          <w:lang w:val="en-GB"/>
        </w:rPr>
        <w:t xml:space="preserve">organic </w:t>
      </w:r>
      <w:r w:rsidRPr="00AA4AAE">
        <w:rPr>
          <w:rFonts w:asciiTheme="majorBidi" w:hAnsiTheme="majorBidi" w:cstheme="majorBidi"/>
          <w:sz w:val="20"/>
          <w:szCs w:val="15"/>
          <w:lang w:val="en-GB"/>
        </w:rPr>
        <w:t xml:space="preserve">acids, with a </w:t>
      </w:r>
      <w:r w:rsidR="00285B48">
        <w:rPr>
          <w:rFonts w:asciiTheme="majorBidi" w:hAnsiTheme="majorBidi" w:cstheme="majorBidi"/>
          <w:sz w:val="20"/>
          <w:szCs w:val="15"/>
          <w:lang w:val="en-GB"/>
        </w:rPr>
        <w:t xml:space="preserve">generalized </w:t>
      </w:r>
      <w:r w:rsidRPr="00AA4AAE">
        <w:rPr>
          <w:rFonts w:asciiTheme="majorBidi" w:hAnsiTheme="majorBidi" w:cstheme="majorBidi"/>
          <w:sz w:val="20"/>
          <w:szCs w:val="15"/>
          <w:lang w:val="en-GB"/>
        </w:rPr>
        <w:t xml:space="preserve">lower amount in </w:t>
      </w:r>
      <w:r w:rsidR="00285B48">
        <w:rPr>
          <w:rFonts w:asciiTheme="majorBidi" w:hAnsiTheme="majorBidi" w:cstheme="majorBidi"/>
          <w:sz w:val="20"/>
          <w:szCs w:val="15"/>
          <w:lang w:val="en-GB"/>
        </w:rPr>
        <w:t xml:space="preserve">the membrane-treated </w:t>
      </w:r>
      <w:r w:rsidRPr="00AA4AAE">
        <w:rPr>
          <w:rFonts w:asciiTheme="majorBidi" w:hAnsiTheme="majorBidi" w:cstheme="majorBidi"/>
          <w:sz w:val="20"/>
          <w:szCs w:val="15"/>
          <w:lang w:val="en-GB"/>
        </w:rPr>
        <w:t>samples.</w:t>
      </w:r>
    </w:p>
    <w:p w14:paraId="5E1E21FF" w14:textId="553143D3" w:rsidR="00BC4167" w:rsidRDefault="006F4110" w:rsidP="00BC74AC">
      <w:pPr>
        <w:jc w:val="both"/>
        <w:rPr>
          <w:rFonts w:asciiTheme="majorBidi" w:hAnsiTheme="majorBidi" w:cstheme="majorBidi"/>
          <w:sz w:val="20"/>
          <w:szCs w:val="15"/>
          <w:lang w:val="en-GB"/>
        </w:rPr>
      </w:pPr>
      <w:r w:rsidRPr="00AA4AAE">
        <w:rPr>
          <w:rFonts w:asciiTheme="majorBidi" w:hAnsiTheme="majorBidi" w:cstheme="majorBidi"/>
          <w:sz w:val="20"/>
          <w:szCs w:val="15"/>
          <w:lang w:val="en-GB"/>
        </w:rPr>
        <w:t xml:space="preserve">Between the two different sampling points, there was a strong decrease in acetic </w:t>
      </w:r>
      <w:r w:rsidR="00285B48">
        <w:rPr>
          <w:rFonts w:asciiTheme="majorBidi" w:hAnsiTheme="majorBidi" w:cstheme="majorBidi"/>
          <w:sz w:val="20"/>
          <w:szCs w:val="15"/>
          <w:lang w:val="en-GB"/>
        </w:rPr>
        <w:t>esters</w:t>
      </w:r>
      <w:r w:rsidRPr="00AA4AAE">
        <w:rPr>
          <w:rFonts w:asciiTheme="majorBidi" w:hAnsiTheme="majorBidi" w:cstheme="majorBidi"/>
          <w:sz w:val="20"/>
          <w:szCs w:val="15"/>
          <w:lang w:val="en-GB"/>
        </w:rPr>
        <w:t xml:space="preserve">, </w:t>
      </w:r>
      <w:r w:rsidR="00285B48">
        <w:rPr>
          <w:rFonts w:asciiTheme="majorBidi" w:hAnsiTheme="majorBidi" w:cstheme="majorBidi"/>
          <w:sz w:val="20"/>
          <w:szCs w:val="15"/>
          <w:lang w:val="en-GB"/>
        </w:rPr>
        <w:t xml:space="preserve">organic </w:t>
      </w:r>
      <w:proofErr w:type="gramStart"/>
      <w:r w:rsidRPr="00AA4AAE">
        <w:rPr>
          <w:rFonts w:asciiTheme="majorBidi" w:hAnsiTheme="majorBidi" w:cstheme="majorBidi"/>
          <w:sz w:val="20"/>
          <w:szCs w:val="15"/>
          <w:lang w:val="en-GB"/>
        </w:rPr>
        <w:t>acids</w:t>
      </w:r>
      <w:proofErr w:type="gramEnd"/>
      <w:r w:rsidRPr="00AA4AAE">
        <w:rPr>
          <w:rFonts w:asciiTheme="majorBidi" w:hAnsiTheme="majorBidi" w:cstheme="majorBidi"/>
          <w:sz w:val="20"/>
          <w:szCs w:val="15"/>
          <w:lang w:val="en-GB"/>
        </w:rPr>
        <w:t xml:space="preserve"> and other esters. Instead, there </w:t>
      </w:r>
      <w:r w:rsidR="00BC4167">
        <w:rPr>
          <w:rFonts w:asciiTheme="majorBidi" w:hAnsiTheme="majorBidi" w:cstheme="majorBidi"/>
          <w:sz w:val="20"/>
          <w:szCs w:val="15"/>
          <w:lang w:val="en-GB"/>
        </w:rPr>
        <w:t xml:space="preserve">was </w:t>
      </w:r>
      <w:r w:rsidRPr="00AA4AAE">
        <w:rPr>
          <w:rFonts w:asciiTheme="majorBidi" w:hAnsiTheme="majorBidi" w:cstheme="majorBidi"/>
          <w:sz w:val="20"/>
          <w:szCs w:val="15"/>
          <w:lang w:val="en-GB"/>
        </w:rPr>
        <w:t xml:space="preserve">a decrease </w:t>
      </w:r>
      <w:r w:rsidR="00BC4167">
        <w:rPr>
          <w:rFonts w:asciiTheme="majorBidi" w:hAnsiTheme="majorBidi" w:cstheme="majorBidi"/>
          <w:sz w:val="20"/>
          <w:szCs w:val="15"/>
          <w:lang w:val="en-GB"/>
        </w:rPr>
        <w:t xml:space="preserve">of </w:t>
      </w:r>
      <w:r w:rsidRPr="00AA4AAE">
        <w:rPr>
          <w:rFonts w:asciiTheme="majorBidi" w:hAnsiTheme="majorBidi" w:cstheme="majorBidi"/>
          <w:sz w:val="20"/>
          <w:szCs w:val="15"/>
          <w:lang w:val="en-GB"/>
        </w:rPr>
        <w:t xml:space="preserve">ageing </w:t>
      </w:r>
      <w:r w:rsidR="00BC4167">
        <w:rPr>
          <w:rFonts w:asciiTheme="majorBidi" w:hAnsiTheme="majorBidi" w:cstheme="majorBidi"/>
          <w:sz w:val="20"/>
          <w:szCs w:val="15"/>
          <w:lang w:val="en-GB"/>
        </w:rPr>
        <w:t>compounds after membrane processing</w:t>
      </w:r>
      <w:r w:rsidRPr="00AA4AAE">
        <w:rPr>
          <w:rFonts w:asciiTheme="majorBidi" w:hAnsiTheme="majorBidi" w:cstheme="majorBidi"/>
          <w:sz w:val="20"/>
          <w:szCs w:val="15"/>
          <w:lang w:val="en-GB"/>
        </w:rPr>
        <w:t xml:space="preserve">, except for </w:t>
      </w:r>
      <w:proofErr w:type="spellStart"/>
      <w:r w:rsidRPr="00AA4AAE">
        <w:rPr>
          <w:rFonts w:asciiTheme="majorBidi" w:hAnsiTheme="majorBidi" w:cstheme="majorBidi"/>
          <w:sz w:val="20"/>
          <w:szCs w:val="15"/>
          <w:lang w:val="en-GB"/>
        </w:rPr>
        <w:t>Saranex</w:t>
      </w:r>
      <w:proofErr w:type="spellEnd"/>
      <w:r w:rsidRPr="00AA4AAE">
        <w:rPr>
          <w:rFonts w:asciiTheme="majorBidi" w:hAnsiTheme="majorBidi" w:cstheme="majorBidi"/>
          <w:sz w:val="20"/>
          <w:szCs w:val="15"/>
          <w:lang w:val="en-GB"/>
        </w:rPr>
        <w:t>.</w:t>
      </w:r>
      <w:r w:rsidR="00BC4167">
        <w:rPr>
          <w:rFonts w:asciiTheme="majorBidi" w:hAnsiTheme="majorBidi" w:cstheme="majorBidi"/>
          <w:sz w:val="20"/>
          <w:szCs w:val="15"/>
          <w:lang w:val="en-GB"/>
        </w:rPr>
        <w:t xml:space="preserve"> </w:t>
      </w:r>
      <w:r w:rsidR="00BC4167" w:rsidRPr="00BC4167">
        <w:rPr>
          <w:rFonts w:asciiTheme="majorBidi" w:hAnsiTheme="majorBidi" w:cstheme="majorBidi"/>
          <w:sz w:val="20"/>
          <w:szCs w:val="15"/>
          <w:lang w:val="en-GB"/>
        </w:rPr>
        <w:t xml:space="preserve">Table </w:t>
      </w:r>
      <w:r w:rsidR="00BC74AC">
        <w:rPr>
          <w:rFonts w:asciiTheme="majorBidi" w:hAnsiTheme="majorBidi" w:cstheme="majorBidi"/>
          <w:sz w:val="20"/>
          <w:szCs w:val="15"/>
          <w:lang w:val="en-GB"/>
        </w:rPr>
        <w:t>4</w:t>
      </w:r>
      <w:r w:rsidR="00BC4167" w:rsidRPr="00BC4167">
        <w:rPr>
          <w:rFonts w:asciiTheme="majorBidi" w:hAnsiTheme="majorBidi" w:cstheme="majorBidi"/>
          <w:sz w:val="20"/>
          <w:szCs w:val="15"/>
          <w:lang w:val="en-GB"/>
        </w:rPr>
        <w:t xml:space="preserve"> summarizes the molecules that changed the most over time, between the two sampling points.</w:t>
      </w:r>
    </w:p>
    <w:p w14:paraId="229FCF0B" w14:textId="4F3BF02B" w:rsidR="00724837" w:rsidRPr="00F2271A" w:rsidRDefault="00E27B67" w:rsidP="007B3D56">
      <w:pPr>
        <w:tabs>
          <w:tab w:val="left" w:pos="851"/>
        </w:tabs>
        <w:spacing w:before="300" w:after="120"/>
        <w:ind w:left="851" w:hanging="851"/>
        <w:jc w:val="both"/>
        <w:rPr>
          <w:rFonts w:asciiTheme="majorBidi" w:hAnsiTheme="majorBidi" w:cstheme="majorBidi"/>
          <w:sz w:val="18"/>
          <w:szCs w:val="18"/>
          <w:lang w:val="en-US"/>
        </w:rPr>
      </w:pPr>
      <w:r w:rsidRPr="00F2271A">
        <w:rPr>
          <w:rFonts w:asciiTheme="majorBidi" w:hAnsiTheme="majorBidi" w:cstheme="majorBidi"/>
          <w:b/>
          <w:iCs/>
          <w:sz w:val="18"/>
          <w:szCs w:val="18"/>
          <w:lang w:val="en-GB"/>
        </w:rPr>
        <w:t xml:space="preserve">Table </w:t>
      </w:r>
      <w:r w:rsidR="00BC74AC">
        <w:rPr>
          <w:rFonts w:asciiTheme="majorBidi" w:hAnsiTheme="majorBidi" w:cstheme="majorBidi"/>
          <w:b/>
          <w:iCs/>
          <w:sz w:val="18"/>
          <w:szCs w:val="18"/>
          <w:lang w:val="en-GB"/>
        </w:rPr>
        <w:t>3</w:t>
      </w:r>
      <w:r w:rsidRPr="00F2271A">
        <w:rPr>
          <w:rFonts w:asciiTheme="majorBidi" w:hAnsiTheme="majorBidi" w:cstheme="majorBidi"/>
          <w:b/>
          <w:iCs/>
          <w:sz w:val="18"/>
          <w:szCs w:val="18"/>
          <w:lang w:val="en-GB"/>
        </w:rPr>
        <w:t xml:space="preserve"> </w:t>
      </w:r>
      <w:r w:rsidRPr="00F2271A">
        <w:rPr>
          <w:rFonts w:asciiTheme="majorBidi" w:hAnsiTheme="majorBidi" w:cstheme="majorBidi"/>
          <w:b/>
          <w:iCs/>
          <w:sz w:val="18"/>
          <w:szCs w:val="18"/>
          <w:lang w:val="en-GB"/>
        </w:rPr>
        <w:tab/>
      </w:r>
      <w:r w:rsidR="00757333" w:rsidRPr="00F2271A">
        <w:rPr>
          <w:rFonts w:asciiTheme="majorBidi" w:hAnsiTheme="majorBidi" w:cstheme="majorBidi"/>
          <w:i/>
          <w:iCs/>
          <w:sz w:val="18"/>
          <w:szCs w:val="18"/>
          <w:lang w:val="en-GB"/>
        </w:rPr>
        <w:t>Volatile composi</w:t>
      </w:r>
      <w:r w:rsidR="009911C2" w:rsidRPr="00F2271A">
        <w:rPr>
          <w:rFonts w:asciiTheme="majorBidi" w:hAnsiTheme="majorBidi" w:cstheme="majorBidi"/>
          <w:i/>
          <w:iCs/>
          <w:sz w:val="18"/>
          <w:szCs w:val="18"/>
          <w:lang w:val="en-GB"/>
        </w:rPr>
        <w:t>tion of the samples after 3 and 11 months (</w:t>
      </w:r>
      <w:r w:rsidR="00BC4167" w:rsidRPr="00BC4167">
        <w:rPr>
          <w:rFonts w:asciiTheme="majorBidi" w:hAnsiTheme="majorBidi" w:cstheme="majorBidi"/>
          <w:i/>
          <w:iCs/>
          <w:sz w:val="18"/>
          <w:szCs w:val="18"/>
          <w:lang w:val="en-GB"/>
        </w:rPr>
        <w:t xml:space="preserve">ACs </w:t>
      </w:r>
      <w:r w:rsidR="00BC4167" w:rsidRPr="00F2271A">
        <w:rPr>
          <w:rFonts w:asciiTheme="majorBidi" w:hAnsiTheme="majorBidi" w:cstheme="majorBidi"/>
          <w:i/>
          <w:iCs/>
          <w:sz w:val="18"/>
          <w:szCs w:val="18"/>
          <w:lang w:val="en-GB"/>
        </w:rPr>
        <w:t>divided in groups</w:t>
      </w:r>
      <w:r w:rsidR="00BC4167">
        <w:rPr>
          <w:rFonts w:asciiTheme="majorBidi" w:hAnsiTheme="majorBidi" w:cstheme="majorBidi"/>
          <w:i/>
          <w:iCs/>
          <w:sz w:val="18"/>
          <w:szCs w:val="18"/>
          <w:lang w:val="en-GB"/>
        </w:rPr>
        <w:t xml:space="preserve"> as in Table 2; values in </w:t>
      </w:r>
      <w:r w:rsidR="009911C2" w:rsidRPr="00F2271A">
        <w:rPr>
          <w:i/>
          <w:iCs/>
          <w:sz w:val="18"/>
          <w:szCs w:val="18"/>
          <w:lang w:val="en-GB"/>
        </w:rPr>
        <w:t>µ</w:t>
      </w:r>
      <w:r w:rsidR="009911C2" w:rsidRPr="00F2271A">
        <w:rPr>
          <w:rFonts w:asciiTheme="majorBidi" w:hAnsiTheme="majorBidi" w:cstheme="majorBidi"/>
          <w:i/>
          <w:iCs/>
          <w:sz w:val="18"/>
          <w:szCs w:val="18"/>
          <w:lang w:val="en-GB"/>
        </w:rPr>
        <w:t>g/L)</w:t>
      </w:r>
      <w:r w:rsidR="009A347D" w:rsidRPr="00F2271A">
        <w:rPr>
          <w:rFonts w:asciiTheme="majorBidi" w:hAnsiTheme="majorBidi" w:cstheme="majorBidi"/>
          <w:i/>
          <w:iCs/>
          <w:sz w:val="18"/>
          <w:szCs w:val="18"/>
          <w:lang w:val="en-GB"/>
        </w:rPr>
        <w:t xml:space="preserve">. </w:t>
      </w:r>
      <w:r w:rsidR="00BB4127" w:rsidRPr="00F2271A">
        <w:rPr>
          <w:rFonts w:asciiTheme="majorBidi" w:hAnsiTheme="majorBidi" w:cstheme="majorBidi"/>
          <w:i/>
          <w:iCs/>
          <w:sz w:val="18"/>
          <w:szCs w:val="18"/>
          <w:lang w:val="en-GB"/>
        </w:rPr>
        <w:t>D</w:t>
      </w:r>
      <w:r w:rsidR="009A347D" w:rsidRPr="00F2271A">
        <w:rPr>
          <w:rFonts w:asciiTheme="majorBidi" w:hAnsiTheme="majorBidi" w:cstheme="majorBidi"/>
          <w:i/>
          <w:iCs/>
          <w:sz w:val="18"/>
          <w:szCs w:val="18"/>
          <w:lang w:val="en-GB"/>
        </w:rPr>
        <w:t xml:space="preserve">ifferent letters indicate significant differences between samples of the same sampling point to </w:t>
      </w:r>
      <w:r w:rsidR="009A347D" w:rsidRPr="00741880">
        <w:rPr>
          <w:rFonts w:asciiTheme="majorBidi" w:hAnsiTheme="majorBidi" w:cstheme="majorBidi"/>
          <w:i/>
          <w:iCs/>
          <w:sz w:val="18"/>
          <w:szCs w:val="18"/>
          <w:lang w:val="en-US"/>
        </w:rPr>
        <w:t>ANOVA e Tukey HSD test (p &lt;0,05).</w:t>
      </w:r>
    </w:p>
    <w:p w14:paraId="48FF5582" w14:textId="133F2F82" w:rsidR="00F06970" w:rsidRPr="008B779D" w:rsidRDefault="00F1341A" w:rsidP="001E4D86">
      <w:pPr>
        <w:jc w:val="center"/>
        <w:rPr>
          <w:rFonts w:asciiTheme="majorBidi" w:hAnsiTheme="majorBidi" w:cstheme="majorBidi"/>
          <w:szCs w:val="20"/>
          <w:lang w:val="en-GB"/>
        </w:rPr>
      </w:pPr>
      <w:r w:rsidRPr="001E4554">
        <w:rPr>
          <w:rFonts w:asciiTheme="majorBidi" w:hAnsiTheme="majorBidi" w:cstheme="majorBidi"/>
          <w:noProof/>
          <w:szCs w:val="20"/>
          <w:lang w:eastAsia="it-IT"/>
        </w:rPr>
        <w:drawing>
          <wp:inline distT="0" distB="0" distL="0" distR="0" wp14:anchorId="0C23443C" wp14:editId="68F4276E">
            <wp:extent cx="6076800" cy="1376581"/>
            <wp:effectExtent l="0" t="0" r="0" b="0"/>
            <wp:docPr id="11087690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769068" name="Immagine 1"/>
                    <pic:cNvPicPr/>
                  </pic:nvPicPr>
                  <pic:blipFill rotWithShape="1">
                    <a:blip r:embed="rId9">
                      <a:extLst>
                        <a:ext uri="{28A0092B-C50C-407E-A947-70E740481C1C}">
                          <a14:useLocalDpi xmlns:a14="http://schemas.microsoft.com/office/drawing/2010/main" val="0"/>
                        </a:ext>
                      </a:extLst>
                    </a:blip>
                    <a:srcRect l="5602" t="2765" r="2649"/>
                    <a:stretch/>
                  </pic:blipFill>
                  <pic:spPr bwMode="auto">
                    <a:xfrm>
                      <a:off x="0" y="0"/>
                      <a:ext cx="6076800" cy="1376581"/>
                    </a:xfrm>
                    <a:prstGeom prst="rect">
                      <a:avLst/>
                    </a:prstGeom>
                    <a:ln>
                      <a:noFill/>
                    </a:ln>
                    <a:extLst>
                      <a:ext uri="{53640926-AAD7-44D8-BBD7-CCE9431645EC}">
                        <a14:shadowObscured xmlns:a14="http://schemas.microsoft.com/office/drawing/2010/main"/>
                      </a:ext>
                    </a:extLst>
                  </pic:spPr>
                </pic:pic>
              </a:graphicData>
            </a:graphic>
          </wp:inline>
        </w:drawing>
      </w:r>
    </w:p>
    <w:p w14:paraId="468F6E9D" w14:textId="538AFAA9" w:rsidR="003A3462" w:rsidRPr="00F2271A" w:rsidRDefault="003A3462" w:rsidP="003A3462">
      <w:pPr>
        <w:tabs>
          <w:tab w:val="left" w:pos="851"/>
        </w:tabs>
        <w:spacing w:before="300" w:after="120"/>
        <w:ind w:left="851" w:hanging="851"/>
        <w:jc w:val="both"/>
        <w:rPr>
          <w:rFonts w:asciiTheme="majorBidi" w:hAnsiTheme="majorBidi" w:cstheme="majorBidi"/>
          <w:sz w:val="18"/>
          <w:szCs w:val="18"/>
          <w:lang w:val="en-US"/>
        </w:rPr>
      </w:pPr>
      <w:r w:rsidRPr="00F2271A">
        <w:rPr>
          <w:rFonts w:asciiTheme="majorBidi" w:hAnsiTheme="majorBidi" w:cstheme="majorBidi"/>
          <w:b/>
          <w:iCs/>
          <w:sz w:val="18"/>
          <w:szCs w:val="18"/>
          <w:lang w:val="en-GB"/>
        </w:rPr>
        <w:t xml:space="preserve">Table </w:t>
      </w:r>
      <w:r w:rsidR="00BC74AC">
        <w:rPr>
          <w:rFonts w:asciiTheme="majorBidi" w:hAnsiTheme="majorBidi" w:cstheme="majorBidi"/>
          <w:b/>
          <w:iCs/>
          <w:sz w:val="18"/>
          <w:szCs w:val="18"/>
          <w:lang w:val="en-GB"/>
        </w:rPr>
        <w:t>4</w:t>
      </w:r>
      <w:r w:rsidRPr="00F2271A">
        <w:rPr>
          <w:rFonts w:asciiTheme="majorBidi" w:hAnsiTheme="majorBidi" w:cstheme="majorBidi"/>
          <w:b/>
          <w:iCs/>
          <w:sz w:val="18"/>
          <w:szCs w:val="18"/>
          <w:lang w:val="en-GB"/>
        </w:rPr>
        <w:t xml:space="preserve"> </w:t>
      </w:r>
      <w:r w:rsidRPr="00F2271A">
        <w:rPr>
          <w:rFonts w:asciiTheme="majorBidi" w:hAnsiTheme="majorBidi" w:cstheme="majorBidi"/>
          <w:b/>
          <w:iCs/>
          <w:sz w:val="18"/>
          <w:szCs w:val="18"/>
          <w:lang w:val="en-GB"/>
        </w:rPr>
        <w:tab/>
      </w:r>
      <w:r w:rsidR="003A4D6F">
        <w:rPr>
          <w:rFonts w:asciiTheme="majorBidi" w:hAnsiTheme="majorBidi" w:cstheme="majorBidi"/>
          <w:i/>
          <w:iCs/>
          <w:sz w:val="18"/>
          <w:szCs w:val="18"/>
          <w:lang w:val="en-GB"/>
        </w:rPr>
        <w:t xml:space="preserve">ACs with the greatest variation between </w:t>
      </w:r>
      <w:r w:rsidRPr="00F2271A">
        <w:rPr>
          <w:rFonts w:asciiTheme="majorBidi" w:hAnsiTheme="majorBidi" w:cstheme="majorBidi"/>
          <w:i/>
          <w:iCs/>
          <w:sz w:val="18"/>
          <w:szCs w:val="18"/>
          <w:lang w:val="en-GB"/>
        </w:rPr>
        <w:t xml:space="preserve">3 and 11 months </w:t>
      </w:r>
      <w:r w:rsidR="003A4D6F" w:rsidRPr="00F2271A">
        <w:rPr>
          <w:rFonts w:asciiTheme="majorBidi" w:hAnsiTheme="majorBidi" w:cstheme="majorBidi"/>
          <w:i/>
          <w:iCs/>
          <w:sz w:val="18"/>
          <w:szCs w:val="18"/>
          <w:lang w:val="en-GB"/>
        </w:rPr>
        <w:t>(</w:t>
      </w:r>
      <w:r w:rsidR="003A4D6F" w:rsidRPr="00BC4167">
        <w:rPr>
          <w:rFonts w:asciiTheme="majorBidi" w:hAnsiTheme="majorBidi" w:cstheme="majorBidi"/>
          <w:i/>
          <w:iCs/>
          <w:sz w:val="18"/>
          <w:szCs w:val="18"/>
          <w:lang w:val="en-GB"/>
        </w:rPr>
        <w:t xml:space="preserve">ACs </w:t>
      </w:r>
      <w:r w:rsidR="003A4D6F" w:rsidRPr="00F2271A">
        <w:rPr>
          <w:rFonts w:asciiTheme="majorBidi" w:hAnsiTheme="majorBidi" w:cstheme="majorBidi"/>
          <w:i/>
          <w:iCs/>
          <w:sz w:val="18"/>
          <w:szCs w:val="18"/>
          <w:lang w:val="en-GB"/>
        </w:rPr>
        <w:t>divided in groups</w:t>
      </w:r>
      <w:r w:rsidR="003A4D6F">
        <w:rPr>
          <w:rFonts w:asciiTheme="majorBidi" w:hAnsiTheme="majorBidi" w:cstheme="majorBidi"/>
          <w:i/>
          <w:iCs/>
          <w:sz w:val="18"/>
          <w:szCs w:val="18"/>
          <w:lang w:val="en-GB"/>
        </w:rPr>
        <w:t xml:space="preserve"> as in Table 2; values in </w:t>
      </w:r>
      <w:r w:rsidR="003A4D6F" w:rsidRPr="00F2271A">
        <w:rPr>
          <w:i/>
          <w:iCs/>
          <w:sz w:val="18"/>
          <w:szCs w:val="18"/>
          <w:lang w:val="en-GB"/>
        </w:rPr>
        <w:t>µ</w:t>
      </w:r>
      <w:r w:rsidR="003A4D6F" w:rsidRPr="00F2271A">
        <w:rPr>
          <w:rFonts w:asciiTheme="majorBidi" w:hAnsiTheme="majorBidi" w:cstheme="majorBidi"/>
          <w:i/>
          <w:iCs/>
          <w:sz w:val="18"/>
          <w:szCs w:val="18"/>
          <w:lang w:val="en-GB"/>
        </w:rPr>
        <w:t>g/L)</w:t>
      </w:r>
      <w:r w:rsidRPr="00F2271A">
        <w:rPr>
          <w:rFonts w:asciiTheme="majorBidi" w:hAnsiTheme="majorBidi" w:cstheme="majorBidi"/>
          <w:i/>
          <w:iCs/>
          <w:sz w:val="18"/>
          <w:szCs w:val="18"/>
          <w:lang w:val="en-GB"/>
        </w:rPr>
        <w:t xml:space="preserve">. </w:t>
      </w:r>
      <w:r w:rsidR="00BB4127" w:rsidRPr="00F2271A">
        <w:rPr>
          <w:rFonts w:asciiTheme="majorBidi" w:hAnsiTheme="majorBidi" w:cstheme="majorBidi"/>
          <w:i/>
          <w:iCs/>
          <w:sz w:val="18"/>
          <w:szCs w:val="18"/>
          <w:lang w:val="en-GB"/>
        </w:rPr>
        <w:t>D</w:t>
      </w:r>
      <w:r w:rsidRPr="00F2271A">
        <w:rPr>
          <w:rFonts w:asciiTheme="majorBidi" w:hAnsiTheme="majorBidi" w:cstheme="majorBidi"/>
          <w:i/>
          <w:iCs/>
          <w:sz w:val="18"/>
          <w:szCs w:val="18"/>
          <w:lang w:val="en-GB"/>
        </w:rPr>
        <w:t xml:space="preserve">ifferent letters indicate significant differences between samples of the same sampling point to </w:t>
      </w:r>
      <w:r w:rsidRPr="00741880">
        <w:rPr>
          <w:rFonts w:asciiTheme="majorBidi" w:hAnsiTheme="majorBidi" w:cstheme="majorBidi"/>
          <w:i/>
          <w:iCs/>
          <w:sz w:val="18"/>
          <w:szCs w:val="18"/>
          <w:lang w:val="en-US"/>
        </w:rPr>
        <w:t>ANOVA e Tukey HSD test (p &lt;0,05).</w:t>
      </w:r>
    </w:p>
    <w:p w14:paraId="7FB20B98" w14:textId="443F3638" w:rsidR="00756F62" w:rsidRDefault="00756F62" w:rsidP="001E4D86">
      <w:pPr>
        <w:jc w:val="center"/>
        <w:rPr>
          <w:rFonts w:asciiTheme="majorBidi" w:hAnsiTheme="majorBidi" w:cstheme="majorBidi"/>
          <w:szCs w:val="20"/>
          <w:highlight w:val="red"/>
          <w:lang w:val="en-GB"/>
        </w:rPr>
      </w:pPr>
      <w:r w:rsidRPr="00756F62">
        <w:rPr>
          <w:rFonts w:asciiTheme="majorBidi" w:hAnsiTheme="majorBidi" w:cstheme="majorBidi"/>
          <w:noProof/>
          <w:szCs w:val="20"/>
          <w:lang w:eastAsia="it-IT"/>
        </w:rPr>
        <w:drawing>
          <wp:inline distT="0" distB="0" distL="0" distR="0" wp14:anchorId="480FCE65" wp14:editId="61EC71EE">
            <wp:extent cx="6076800" cy="1556812"/>
            <wp:effectExtent l="0" t="0" r="0" b="5715"/>
            <wp:docPr id="174689790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897905" name="Immagine 1"/>
                    <pic:cNvPicPr/>
                  </pic:nvPicPr>
                  <pic:blipFill rotWithShape="1">
                    <a:blip r:embed="rId10">
                      <a:extLst>
                        <a:ext uri="{28A0092B-C50C-407E-A947-70E740481C1C}">
                          <a14:useLocalDpi xmlns:a14="http://schemas.microsoft.com/office/drawing/2010/main" val="0"/>
                        </a:ext>
                      </a:extLst>
                    </a:blip>
                    <a:srcRect l="405" t="1782"/>
                    <a:stretch/>
                  </pic:blipFill>
                  <pic:spPr bwMode="auto">
                    <a:xfrm>
                      <a:off x="0" y="0"/>
                      <a:ext cx="6076800" cy="1556812"/>
                    </a:xfrm>
                    <a:prstGeom prst="rect">
                      <a:avLst/>
                    </a:prstGeom>
                    <a:ln>
                      <a:noFill/>
                    </a:ln>
                    <a:extLst>
                      <a:ext uri="{53640926-AAD7-44D8-BBD7-CCE9431645EC}">
                        <a14:shadowObscured xmlns:a14="http://schemas.microsoft.com/office/drawing/2010/main"/>
                      </a:ext>
                    </a:extLst>
                  </pic:spPr>
                </pic:pic>
              </a:graphicData>
            </a:graphic>
          </wp:inline>
        </w:drawing>
      </w:r>
    </w:p>
    <w:p w14:paraId="52AE118E" w14:textId="77777777" w:rsidR="006F4110" w:rsidRPr="00186B23" w:rsidRDefault="006F4110" w:rsidP="00DB75AF">
      <w:pPr>
        <w:pStyle w:val="Titolo2"/>
        <w:jc w:val="both"/>
        <w:rPr>
          <w:b/>
          <w:bCs/>
          <w:sz w:val="20"/>
          <w:lang w:val="en-GB"/>
        </w:rPr>
      </w:pPr>
    </w:p>
    <w:p w14:paraId="542CDC88" w14:textId="77777777" w:rsidR="001E4D86" w:rsidRDefault="001E4D86">
      <w:pPr>
        <w:rPr>
          <w:b/>
          <w:bCs/>
          <w:sz w:val="20"/>
          <w:szCs w:val="20"/>
          <w:lang w:val="en-GB"/>
        </w:rPr>
      </w:pPr>
      <w:r>
        <w:rPr>
          <w:b/>
          <w:bCs/>
          <w:szCs w:val="20"/>
          <w:lang w:val="en-GB"/>
        </w:rPr>
        <w:br w:type="page"/>
      </w:r>
    </w:p>
    <w:p w14:paraId="298EF2F4" w14:textId="698CA899" w:rsidR="00CE1C8B" w:rsidRPr="00F2271A" w:rsidRDefault="00CE1C8B" w:rsidP="00CE1C8B">
      <w:pPr>
        <w:pStyle w:val="MDPI31text"/>
        <w:ind w:left="0" w:firstLine="0"/>
        <w:rPr>
          <w:rFonts w:ascii="Times New Roman" w:hAnsi="Times New Roman"/>
          <w:b/>
          <w:bCs/>
          <w:snapToGrid/>
          <w:color w:val="auto"/>
          <w:szCs w:val="20"/>
          <w:lang w:val="en-GB" w:eastAsia="zh-CN" w:bidi="ar-SA"/>
        </w:rPr>
      </w:pPr>
      <w:r w:rsidRPr="00F2271A">
        <w:rPr>
          <w:rFonts w:ascii="Times New Roman" w:hAnsi="Times New Roman"/>
          <w:b/>
          <w:bCs/>
          <w:snapToGrid/>
          <w:color w:val="auto"/>
          <w:szCs w:val="20"/>
          <w:lang w:val="en-GB" w:eastAsia="zh-CN" w:bidi="ar-SA"/>
        </w:rPr>
        <w:lastRenderedPageBreak/>
        <w:t xml:space="preserve">3.3 </w:t>
      </w:r>
      <w:r>
        <w:rPr>
          <w:rFonts w:ascii="Times New Roman" w:hAnsi="Times New Roman"/>
          <w:b/>
          <w:bCs/>
          <w:snapToGrid/>
          <w:color w:val="auto"/>
          <w:szCs w:val="20"/>
          <w:lang w:val="en-GB" w:eastAsia="zh-CN" w:bidi="ar-SA"/>
        </w:rPr>
        <w:t>Cyclic voltammetry</w:t>
      </w:r>
    </w:p>
    <w:p w14:paraId="40E02480" w14:textId="16D7A2C9" w:rsidR="00463E78" w:rsidRPr="002F50D8" w:rsidRDefault="003A4D6F" w:rsidP="00F2271A">
      <w:pPr>
        <w:pStyle w:val="MDPI31text"/>
        <w:ind w:left="0" w:firstLine="0"/>
        <w:rPr>
          <w:rFonts w:ascii="Times New Roman" w:hAnsi="Times New Roman"/>
          <w:snapToGrid/>
          <w:color w:val="auto"/>
          <w:szCs w:val="20"/>
          <w:lang w:val="en-GB" w:eastAsia="zh-CN" w:bidi="ar-SA"/>
        </w:rPr>
      </w:pPr>
      <w:r>
        <w:rPr>
          <w:rFonts w:ascii="Times New Roman" w:hAnsi="Times New Roman"/>
          <w:snapToGrid/>
          <w:color w:val="auto"/>
          <w:szCs w:val="20"/>
          <w:lang w:val="en-GB" w:eastAsia="zh-CN" w:bidi="ar-SA"/>
        </w:rPr>
        <w:t xml:space="preserve">The values of current </w:t>
      </w:r>
      <w:r w:rsidR="001E4D86">
        <w:rPr>
          <w:rFonts w:ascii="Times New Roman" w:hAnsi="Times New Roman"/>
          <w:snapToGrid/>
          <w:color w:val="auto"/>
          <w:szCs w:val="20"/>
          <w:lang w:val="en-GB" w:eastAsia="zh-CN" w:bidi="ar-SA"/>
        </w:rPr>
        <w:t>intensity</w:t>
      </w:r>
      <w:r>
        <w:rPr>
          <w:rFonts w:ascii="Times New Roman" w:hAnsi="Times New Roman"/>
          <w:snapToGrid/>
          <w:color w:val="auto"/>
          <w:szCs w:val="20"/>
          <w:lang w:val="en-GB" w:eastAsia="zh-CN" w:bidi="ar-SA"/>
        </w:rPr>
        <w:t xml:space="preserve"> (µA) of </w:t>
      </w:r>
      <w:r w:rsidR="00463E78" w:rsidRPr="00463E78">
        <w:rPr>
          <w:rFonts w:ascii="Times New Roman" w:hAnsi="Times New Roman"/>
          <w:snapToGrid/>
          <w:color w:val="auto"/>
          <w:szCs w:val="20"/>
          <w:lang w:val="en-GB" w:eastAsia="zh-CN" w:bidi="ar-SA"/>
        </w:rPr>
        <w:t>the anodic trace of the cyclic voltamm</w:t>
      </w:r>
      <w:r>
        <w:rPr>
          <w:rFonts w:ascii="Times New Roman" w:hAnsi="Times New Roman"/>
          <w:snapToGrid/>
          <w:color w:val="auto"/>
          <w:szCs w:val="20"/>
          <w:lang w:val="en-GB" w:eastAsia="zh-CN" w:bidi="ar-SA"/>
        </w:rPr>
        <w:t xml:space="preserve">ograms were analysed by PCA. At </w:t>
      </w:r>
      <w:r w:rsidR="00463E78" w:rsidRPr="00463E78">
        <w:rPr>
          <w:rFonts w:ascii="Times New Roman" w:hAnsi="Times New Roman"/>
          <w:snapToGrid/>
          <w:color w:val="auto"/>
          <w:szCs w:val="20"/>
          <w:lang w:val="en-GB" w:eastAsia="zh-CN" w:bidi="ar-SA"/>
        </w:rPr>
        <w:t xml:space="preserve">the first sampling point, </w:t>
      </w:r>
      <w:r>
        <w:rPr>
          <w:rFonts w:ascii="Times New Roman" w:hAnsi="Times New Roman"/>
          <w:snapToGrid/>
          <w:color w:val="auto"/>
          <w:szCs w:val="20"/>
          <w:lang w:val="en-GB" w:eastAsia="zh-CN" w:bidi="ar-SA"/>
        </w:rPr>
        <w:t xml:space="preserve">samples </w:t>
      </w:r>
      <w:r w:rsidR="00463E78" w:rsidRPr="00463E78">
        <w:rPr>
          <w:rFonts w:ascii="Times New Roman" w:hAnsi="Times New Roman"/>
          <w:snapToGrid/>
          <w:color w:val="auto"/>
          <w:szCs w:val="20"/>
          <w:lang w:val="en-GB" w:eastAsia="zh-CN" w:bidi="ar-SA"/>
        </w:rPr>
        <w:t xml:space="preserve">showed </w:t>
      </w:r>
      <w:r>
        <w:rPr>
          <w:rFonts w:ascii="Times New Roman" w:hAnsi="Times New Roman"/>
          <w:snapToGrid/>
          <w:color w:val="auto"/>
          <w:szCs w:val="20"/>
          <w:lang w:val="en-GB" w:eastAsia="zh-CN" w:bidi="ar-SA"/>
        </w:rPr>
        <w:t xml:space="preserve">the </w:t>
      </w:r>
      <w:r w:rsidR="00463E78" w:rsidRPr="00463E78">
        <w:rPr>
          <w:rFonts w:ascii="Times New Roman" w:hAnsi="Times New Roman"/>
          <w:snapToGrid/>
          <w:color w:val="auto"/>
          <w:szCs w:val="20"/>
          <w:lang w:val="en-GB" w:eastAsia="zh-CN" w:bidi="ar-SA"/>
        </w:rPr>
        <w:t xml:space="preserve">tendency to have a slightly higher curve with the application of the contactor membrane (Figure 2). This could be related to the lower level of dissolved oxygen at bottling, and thus </w:t>
      </w:r>
      <w:r>
        <w:rPr>
          <w:rFonts w:ascii="Times New Roman" w:hAnsi="Times New Roman"/>
          <w:snapToGrid/>
          <w:color w:val="auto"/>
          <w:szCs w:val="20"/>
          <w:lang w:val="en-GB" w:eastAsia="zh-CN" w:bidi="ar-SA"/>
        </w:rPr>
        <w:t xml:space="preserve">to the </w:t>
      </w:r>
      <w:r w:rsidR="00463E78" w:rsidRPr="00463E78">
        <w:rPr>
          <w:rFonts w:ascii="Times New Roman" w:hAnsi="Times New Roman"/>
          <w:snapToGrid/>
          <w:color w:val="auto"/>
          <w:szCs w:val="20"/>
          <w:lang w:val="en-GB" w:eastAsia="zh-CN" w:bidi="ar-SA"/>
        </w:rPr>
        <w:t xml:space="preserve">greater preservation of the phenolic </w:t>
      </w:r>
      <w:r>
        <w:rPr>
          <w:rFonts w:ascii="Times New Roman" w:hAnsi="Times New Roman"/>
          <w:snapToGrid/>
          <w:color w:val="auto"/>
          <w:szCs w:val="20"/>
          <w:lang w:val="en-GB" w:eastAsia="zh-CN" w:bidi="ar-SA"/>
        </w:rPr>
        <w:t>fraction</w:t>
      </w:r>
      <w:r w:rsidR="00463E78" w:rsidRPr="00463E78">
        <w:rPr>
          <w:rFonts w:ascii="Times New Roman" w:hAnsi="Times New Roman"/>
          <w:snapToGrid/>
          <w:color w:val="auto"/>
          <w:szCs w:val="20"/>
          <w:lang w:val="en-GB" w:eastAsia="zh-CN" w:bidi="ar-SA"/>
        </w:rPr>
        <w:t>.</w:t>
      </w:r>
    </w:p>
    <w:p w14:paraId="04071A98" w14:textId="77777777" w:rsidR="002F50D8" w:rsidRDefault="002F50D8" w:rsidP="00F2271A">
      <w:pPr>
        <w:pStyle w:val="MDPI31text"/>
        <w:ind w:left="0" w:firstLine="0"/>
        <w:rPr>
          <w:rFonts w:ascii="Times New Roman" w:hAnsi="Times New Roman"/>
          <w:b/>
          <w:bCs/>
          <w:snapToGrid/>
          <w:color w:val="auto"/>
          <w:szCs w:val="20"/>
          <w:lang w:val="en-GB" w:eastAsia="zh-CN" w:bidi="ar-SA"/>
        </w:rPr>
      </w:pPr>
    </w:p>
    <w:p w14:paraId="1437D403" w14:textId="1E032C81" w:rsidR="0073686F" w:rsidRDefault="002F50D8" w:rsidP="002F50D8">
      <w:pPr>
        <w:pStyle w:val="MDPI31text"/>
        <w:ind w:left="0" w:firstLine="0"/>
        <w:rPr>
          <w:rFonts w:ascii="Times New Roman" w:hAnsi="Times New Roman"/>
          <w:b/>
          <w:bCs/>
          <w:snapToGrid/>
          <w:color w:val="auto"/>
          <w:szCs w:val="20"/>
          <w:lang w:val="en-GB" w:eastAsia="zh-CN" w:bidi="ar-SA"/>
        </w:rPr>
      </w:pPr>
      <w:r w:rsidRPr="002F50D8">
        <w:rPr>
          <w:rFonts w:ascii="Times New Roman" w:hAnsi="Times New Roman"/>
          <w:b/>
          <w:bCs/>
          <w:noProof/>
          <w:snapToGrid/>
          <w:color w:val="auto"/>
          <w:szCs w:val="20"/>
          <w:lang w:val="it-IT" w:eastAsia="it-IT" w:bidi="ar-SA"/>
        </w:rPr>
        <w:drawing>
          <wp:inline distT="0" distB="0" distL="0" distR="0" wp14:anchorId="4024B8A3" wp14:editId="315782D8">
            <wp:extent cx="3506465" cy="2268000"/>
            <wp:effectExtent l="0" t="0" r="0" b="5715"/>
            <wp:docPr id="28243658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436584" name="Immagine 1"/>
                    <pic:cNvPicPr/>
                  </pic:nvPicPr>
                  <pic:blipFill rotWithShape="1">
                    <a:blip r:embed="rId11" cstate="print">
                      <a:extLst>
                        <a:ext uri="{28A0092B-C50C-407E-A947-70E740481C1C}">
                          <a14:useLocalDpi xmlns:a14="http://schemas.microsoft.com/office/drawing/2010/main" val="0"/>
                        </a:ext>
                      </a:extLst>
                    </a:blip>
                    <a:srcRect l="-53" t="4756" r="53"/>
                    <a:stretch/>
                  </pic:blipFill>
                  <pic:spPr bwMode="auto">
                    <a:xfrm>
                      <a:off x="0" y="0"/>
                      <a:ext cx="3506465" cy="2268000"/>
                    </a:xfrm>
                    <a:prstGeom prst="rect">
                      <a:avLst/>
                    </a:prstGeom>
                    <a:ln>
                      <a:noFill/>
                    </a:ln>
                    <a:extLst>
                      <a:ext uri="{53640926-AAD7-44D8-BBD7-CCE9431645EC}">
                        <a14:shadowObscured xmlns:a14="http://schemas.microsoft.com/office/drawing/2010/main"/>
                      </a:ext>
                    </a:extLst>
                  </pic:spPr>
                </pic:pic>
              </a:graphicData>
            </a:graphic>
          </wp:inline>
        </w:drawing>
      </w:r>
      <w:r w:rsidRPr="002F50D8">
        <w:rPr>
          <w:rFonts w:ascii="Times New Roman" w:hAnsi="Times New Roman"/>
          <w:b/>
          <w:bCs/>
          <w:noProof/>
          <w:snapToGrid/>
          <w:color w:val="auto"/>
          <w:szCs w:val="20"/>
          <w:lang w:val="it-IT" w:eastAsia="it-IT" w:bidi="ar-SA"/>
        </w:rPr>
        <w:drawing>
          <wp:inline distT="0" distB="0" distL="0" distR="0" wp14:anchorId="55B1BAEE" wp14:editId="7C698FC8">
            <wp:extent cx="2321382" cy="2268000"/>
            <wp:effectExtent l="0" t="0" r="3175" b="5715"/>
            <wp:docPr id="708403524" name="Immagine 1"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403524" name="Immagine 1" descr="Immagine che contiene diagramma&#10;&#10;Descrizione generata automaticamente"/>
                    <pic:cNvPicPr/>
                  </pic:nvPicPr>
                  <pic:blipFill rotWithShape="1">
                    <a:blip r:embed="rId12"/>
                    <a:srcRect l="16534" t="4329" r="16968"/>
                    <a:stretch/>
                  </pic:blipFill>
                  <pic:spPr bwMode="auto">
                    <a:xfrm>
                      <a:off x="0" y="0"/>
                      <a:ext cx="2321382" cy="2268000"/>
                    </a:xfrm>
                    <a:prstGeom prst="rect">
                      <a:avLst/>
                    </a:prstGeom>
                    <a:ln>
                      <a:noFill/>
                    </a:ln>
                    <a:extLst>
                      <a:ext uri="{53640926-AAD7-44D8-BBD7-CCE9431645EC}">
                        <a14:shadowObscured xmlns:a14="http://schemas.microsoft.com/office/drawing/2010/main"/>
                      </a:ext>
                    </a:extLst>
                  </pic:spPr>
                </pic:pic>
              </a:graphicData>
            </a:graphic>
          </wp:inline>
        </w:drawing>
      </w:r>
    </w:p>
    <w:p w14:paraId="476813C9" w14:textId="7ACF17E4" w:rsidR="00ED389D" w:rsidRDefault="00ED389D" w:rsidP="00ED389D">
      <w:pPr>
        <w:pStyle w:val="MDPI31text"/>
        <w:ind w:left="0" w:firstLine="0"/>
        <w:rPr>
          <w:rFonts w:ascii="Times New Roman" w:hAnsi="Times New Roman"/>
          <w:b/>
          <w:bCs/>
          <w:snapToGrid/>
          <w:color w:val="auto"/>
          <w:szCs w:val="20"/>
          <w:lang w:val="en-GB" w:eastAsia="zh-CN" w:bidi="ar-SA"/>
        </w:rPr>
      </w:pPr>
    </w:p>
    <w:p w14:paraId="1459DAC3" w14:textId="3408DECA" w:rsidR="00CE1C8B" w:rsidRPr="00650961" w:rsidRDefault="00ED389D" w:rsidP="00ED389D">
      <w:pPr>
        <w:tabs>
          <w:tab w:val="left" w:pos="851"/>
        </w:tabs>
        <w:spacing w:before="300" w:after="300"/>
        <w:ind w:left="851" w:hanging="851"/>
        <w:jc w:val="both"/>
        <w:rPr>
          <w:rFonts w:asciiTheme="majorBidi" w:hAnsiTheme="majorBidi" w:cstheme="majorBidi"/>
          <w:sz w:val="18"/>
          <w:szCs w:val="13"/>
          <w:lang w:val="en-US"/>
        </w:rPr>
      </w:pPr>
      <w:r w:rsidRPr="00650961">
        <w:rPr>
          <w:rFonts w:asciiTheme="majorBidi" w:hAnsiTheme="majorBidi" w:cstheme="majorBidi"/>
          <w:b/>
          <w:color w:val="000000"/>
          <w:sz w:val="18"/>
          <w:szCs w:val="13"/>
          <w:lang w:val="en-GB"/>
        </w:rPr>
        <w:t xml:space="preserve">Figure </w:t>
      </w:r>
      <w:r w:rsidR="00650961" w:rsidRPr="00650961">
        <w:rPr>
          <w:rFonts w:asciiTheme="majorBidi" w:hAnsiTheme="majorBidi" w:cstheme="majorBidi"/>
          <w:b/>
          <w:color w:val="000000"/>
          <w:sz w:val="18"/>
          <w:szCs w:val="13"/>
          <w:lang w:val="en-GB"/>
        </w:rPr>
        <w:t>2</w:t>
      </w:r>
      <w:r w:rsidRPr="00650961">
        <w:rPr>
          <w:rFonts w:asciiTheme="majorBidi" w:hAnsiTheme="majorBidi" w:cstheme="majorBidi"/>
          <w:b/>
          <w:color w:val="000000"/>
          <w:sz w:val="18"/>
          <w:szCs w:val="13"/>
          <w:lang w:val="en-GB"/>
        </w:rPr>
        <w:t xml:space="preserve"> </w:t>
      </w:r>
      <w:r w:rsidRPr="00650961">
        <w:rPr>
          <w:rFonts w:asciiTheme="majorBidi" w:hAnsiTheme="majorBidi" w:cstheme="majorBidi"/>
          <w:b/>
          <w:color w:val="000000"/>
          <w:sz w:val="18"/>
          <w:szCs w:val="13"/>
          <w:lang w:val="en-GB"/>
        </w:rPr>
        <w:tab/>
      </w:r>
      <w:r w:rsidRPr="00650961">
        <w:rPr>
          <w:rFonts w:asciiTheme="majorBidi" w:hAnsiTheme="majorBidi" w:cstheme="majorBidi"/>
          <w:bCs/>
          <w:i/>
          <w:iCs/>
          <w:color w:val="000000"/>
          <w:sz w:val="18"/>
          <w:szCs w:val="13"/>
          <w:lang w:val="en-GB"/>
        </w:rPr>
        <w:t xml:space="preserve"> Principal Component Analysis (PCA) </w:t>
      </w:r>
      <w:r w:rsidR="003A4D6F" w:rsidRPr="00650961">
        <w:rPr>
          <w:rFonts w:asciiTheme="majorBidi" w:hAnsiTheme="majorBidi" w:cstheme="majorBidi"/>
          <w:bCs/>
          <w:i/>
          <w:iCs/>
          <w:color w:val="000000"/>
          <w:sz w:val="18"/>
          <w:szCs w:val="13"/>
          <w:lang w:val="en-GB"/>
        </w:rPr>
        <w:t>on</w:t>
      </w:r>
      <w:r w:rsidRPr="00650961">
        <w:rPr>
          <w:rFonts w:asciiTheme="majorBidi" w:hAnsiTheme="majorBidi" w:cstheme="majorBidi"/>
          <w:bCs/>
          <w:i/>
          <w:iCs/>
          <w:color w:val="000000"/>
          <w:sz w:val="18"/>
          <w:szCs w:val="13"/>
          <w:lang w:val="en-GB"/>
        </w:rPr>
        <w:t xml:space="preserve"> </w:t>
      </w:r>
      <w:r w:rsidR="00652556" w:rsidRPr="00650961">
        <w:rPr>
          <w:rFonts w:asciiTheme="majorBidi" w:hAnsiTheme="majorBidi" w:cstheme="majorBidi"/>
          <w:bCs/>
          <w:i/>
          <w:iCs/>
          <w:color w:val="000000"/>
          <w:sz w:val="18"/>
          <w:szCs w:val="13"/>
          <w:lang w:val="en-GB"/>
        </w:rPr>
        <w:t xml:space="preserve">anodic trace </w:t>
      </w:r>
      <w:r w:rsidR="003A4D6F" w:rsidRPr="00650961">
        <w:rPr>
          <w:rFonts w:asciiTheme="majorBidi" w:hAnsiTheme="majorBidi" w:cstheme="majorBidi"/>
          <w:bCs/>
          <w:i/>
          <w:iCs/>
          <w:color w:val="000000"/>
          <w:sz w:val="18"/>
          <w:szCs w:val="13"/>
          <w:lang w:val="en-GB"/>
        </w:rPr>
        <w:t xml:space="preserve">data </w:t>
      </w:r>
      <w:r w:rsidR="00652556" w:rsidRPr="00650961">
        <w:rPr>
          <w:rFonts w:asciiTheme="majorBidi" w:hAnsiTheme="majorBidi" w:cstheme="majorBidi"/>
          <w:bCs/>
          <w:i/>
          <w:iCs/>
          <w:color w:val="000000"/>
          <w:sz w:val="18"/>
          <w:szCs w:val="13"/>
          <w:lang w:val="en-GB"/>
        </w:rPr>
        <w:t xml:space="preserve">of </w:t>
      </w:r>
      <w:r w:rsidRPr="00650961">
        <w:rPr>
          <w:rFonts w:asciiTheme="majorBidi" w:hAnsiTheme="majorBidi" w:cstheme="majorBidi"/>
          <w:bCs/>
          <w:i/>
          <w:iCs/>
          <w:color w:val="000000"/>
          <w:sz w:val="18"/>
          <w:szCs w:val="13"/>
          <w:lang w:val="en-GB"/>
        </w:rPr>
        <w:t>cyclic voltammetry, after three months of bottle storage. For each sample, data from triplicate analysis were used.</w:t>
      </w:r>
    </w:p>
    <w:p w14:paraId="375325E1" w14:textId="6673D518" w:rsidR="006F4110" w:rsidRPr="00F2271A" w:rsidRDefault="00DB75AF" w:rsidP="00F2271A">
      <w:pPr>
        <w:pStyle w:val="MDPI31text"/>
        <w:ind w:left="0" w:firstLine="0"/>
        <w:rPr>
          <w:rFonts w:ascii="Times New Roman" w:hAnsi="Times New Roman"/>
          <w:b/>
          <w:bCs/>
          <w:snapToGrid/>
          <w:color w:val="auto"/>
          <w:szCs w:val="20"/>
          <w:lang w:val="en-GB" w:eastAsia="zh-CN" w:bidi="ar-SA"/>
        </w:rPr>
      </w:pPr>
      <w:r w:rsidRPr="00F2271A">
        <w:rPr>
          <w:rFonts w:ascii="Times New Roman" w:hAnsi="Times New Roman"/>
          <w:b/>
          <w:bCs/>
          <w:snapToGrid/>
          <w:color w:val="auto"/>
          <w:szCs w:val="20"/>
          <w:lang w:val="en-GB" w:eastAsia="zh-CN" w:bidi="ar-SA"/>
        </w:rPr>
        <w:t>3.</w:t>
      </w:r>
      <w:r w:rsidR="00C54EC4">
        <w:rPr>
          <w:rFonts w:ascii="Times New Roman" w:hAnsi="Times New Roman"/>
          <w:b/>
          <w:bCs/>
          <w:snapToGrid/>
          <w:color w:val="auto"/>
          <w:szCs w:val="20"/>
          <w:lang w:val="en-GB" w:eastAsia="zh-CN" w:bidi="ar-SA"/>
        </w:rPr>
        <w:t>4</w:t>
      </w:r>
      <w:r w:rsidRPr="00F2271A">
        <w:rPr>
          <w:rFonts w:ascii="Times New Roman" w:hAnsi="Times New Roman"/>
          <w:b/>
          <w:bCs/>
          <w:snapToGrid/>
          <w:color w:val="auto"/>
          <w:szCs w:val="20"/>
          <w:lang w:val="en-GB" w:eastAsia="zh-CN" w:bidi="ar-SA"/>
        </w:rPr>
        <w:t xml:space="preserve"> Carbonyl compounds</w:t>
      </w:r>
    </w:p>
    <w:p w14:paraId="6AC78306" w14:textId="108AC455" w:rsidR="00A83797" w:rsidRPr="00AA4AAE" w:rsidRDefault="006F4110" w:rsidP="00A83797">
      <w:pPr>
        <w:jc w:val="both"/>
        <w:rPr>
          <w:rFonts w:asciiTheme="majorBidi" w:hAnsiTheme="majorBidi" w:cstheme="majorBidi"/>
          <w:noProof/>
          <w:sz w:val="20"/>
          <w:szCs w:val="15"/>
          <w:lang w:val="en-GB"/>
        </w:rPr>
      </w:pPr>
      <w:r w:rsidRPr="00AA4AAE">
        <w:rPr>
          <w:rFonts w:asciiTheme="majorBidi" w:hAnsiTheme="majorBidi" w:cstheme="majorBidi"/>
          <w:noProof/>
          <w:sz w:val="20"/>
          <w:szCs w:val="15"/>
          <w:lang w:val="en-GB"/>
        </w:rPr>
        <w:t xml:space="preserve">The method for </w:t>
      </w:r>
      <w:r w:rsidR="00A83797" w:rsidRPr="00AA4AAE">
        <w:rPr>
          <w:rFonts w:asciiTheme="majorBidi" w:hAnsiTheme="majorBidi" w:cstheme="majorBidi"/>
          <w:noProof/>
          <w:sz w:val="20"/>
          <w:szCs w:val="15"/>
          <w:lang w:val="en-GB"/>
        </w:rPr>
        <w:t>the quantification of</w:t>
      </w:r>
      <w:r w:rsidRPr="00AA4AAE">
        <w:rPr>
          <w:rFonts w:asciiTheme="majorBidi" w:hAnsiTheme="majorBidi" w:cstheme="majorBidi"/>
          <w:noProof/>
          <w:sz w:val="20"/>
          <w:szCs w:val="15"/>
          <w:lang w:val="en-GB"/>
        </w:rPr>
        <w:t xml:space="preserve"> carbonyl compounds, developed by Moreira et al. (2019) for Porto wines, </w:t>
      </w:r>
      <w:r w:rsidR="003A4D6F">
        <w:rPr>
          <w:rFonts w:asciiTheme="majorBidi" w:hAnsiTheme="majorBidi" w:cstheme="majorBidi"/>
          <w:noProof/>
          <w:sz w:val="20"/>
          <w:szCs w:val="15"/>
          <w:lang w:val="en-GB"/>
        </w:rPr>
        <w:t>demonstrated to</w:t>
      </w:r>
      <w:r w:rsidR="00A83797" w:rsidRPr="00AA4AAE">
        <w:rPr>
          <w:rFonts w:asciiTheme="majorBidi" w:hAnsiTheme="majorBidi" w:cstheme="majorBidi"/>
          <w:noProof/>
          <w:sz w:val="20"/>
          <w:szCs w:val="15"/>
          <w:lang w:val="en-GB"/>
        </w:rPr>
        <w:t xml:space="preserve"> be a useful tool for the analysis of wine evolution.</w:t>
      </w:r>
    </w:p>
    <w:p w14:paraId="6C8F1547" w14:textId="2F59DFED" w:rsidR="00E6525C" w:rsidRPr="00AA4AAE" w:rsidRDefault="003A4D6F" w:rsidP="00A83797">
      <w:pPr>
        <w:jc w:val="both"/>
        <w:rPr>
          <w:rFonts w:asciiTheme="majorBidi" w:hAnsiTheme="majorBidi" w:cstheme="majorBidi"/>
          <w:noProof/>
          <w:sz w:val="20"/>
          <w:szCs w:val="15"/>
          <w:lang w:val="en-GB"/>
        </w:rPr>
      </w:pPr>
      <w:r>
        <w:rPr>
          <w:rFonts w:asciiTheme="majorBidi" w:hAnsiTheme="majorBidi" w:cstheme="majorBidi"/>
          <w:noProof/>
          <w:sz w:val="20"/>
          <w:szCs w:val="15"/>
          <w:lang w:val="en-GB"/>
        </w:rPr>
        <w:t>The c</w:t>
      </w:r>
      <w:r w:rsidR="006F4110" w:rsidRPr="00AA4AAE">
        <w:rPr>
          <w:rFonts w:asciiTheme="majorBidi" w:hAnsiTheme="majorBidi" w:cstheme="majorBidi"/>
          <w:noProof/>
          <w:sz w:val="20"/>
          <w:szCs w:val="15"/>
          <w:lang w:val="en-GB"/>
        </w:rPr>
        <w:t xml:space="preserve">arbonyl compounds </w:t>
      </w:r>
      <w:r>
        <w:rPr>
          <w:rFonts w:asciiTheme="majorBidi" w:hAnsiTheme="majorBidi" w:cstheme="majorBidi"/>
          <w:noProof/>
          <w:sz w:val="20"/>
          <w:szCs w:val="15"/>
          <w:lang w:val="en-GB"/>
        </w:rPr>
        <w:t xml:space="preserve">detected </w:t>
      </w:r>
      <w:r w:rsidR="006F4110" w:rsidRPr="00AA4AAE">
        <w:rPr>
          <w:rFonts w:asciiTheme="majorBidi" w:hAnsiTheme="majorBidi" w:cstheme="majorBidi"/>
          <w:noProof/>
          <w:sz w:val="20"/>
          <w:szCs w:val="15"/>
          <w:lang w:val="en-GB"/>
        </w:rPr>
        <w:t>in this wor</w:t>
      </w:r>
      <w:r w:rsidR="00A83797" w:rsidRPr="00AA4AAE">
        <w:rPr>
          <w:rFonts w:asciiTheme="majorBidi" w:hAnsiTheme="majorBidi" w:cstheme="majorBidi"/>
          <w:noProof/>
          <w:sz w:val="20"/>
          <w:szCs w:val="15"/>
          <w:lang w:val="en-GB"/>
        </w:rPr>
        <w:t>k</w:t>
      </w:r>
      <w:r w:rsidR="006F4110" w:rsidRPr="00AA4AAE">
        <w:rPr>
          <w:rFonts w:asciiTheme="majorBidi" w:hAnsiTheme="majorBidi" w:cstheme="majorBidi"/>
          <w:noProof/>
          <w:sz w:val="20"/>
          <w:szCs w:val="15"/>
          <w:lang w:val="en-GB"/>
        </w:rPr>
        <w:t xml:space="preserve"> are: </w:t>
      </w:r>
      <w:r w:rsidR="00E6525C" w:rsidRPr="00AA4AAE">
        <w:rPr>
          <w:rFonts w:asciiTheme="majorBidi" w:hAnsiTheme="majorBidi" w:cstheme="majorBidi"/>
          <w:noProof/>
          <w:sz w:val="20"/>
          <w:szCs w:val="15"/>
          <w:lang w:val="en-GB"/>
        </w:rPr>
        <w:t>hexanal (herbaceous), 2-</w:t>
      </w:r>
      <w:r w:rsidR="00A83797" w:rsidRPr="00AA4AAE">
        <w:rPr>
          <w:rFonts w:asciiTheme="majorBidi" w:hAnsiTheme="majorBidi" w:cstheme="majorBidi"/>
          <w:noProof/>
          <w:sz w:val="20"/>
          <w:szCs w:val="15"/>
          <w:lang w:val="en-GB"/>
        </w:rPr>
        <w:t xml:space="preserve"> and </w:t>
      </w:r>
      <w:r w:rsidR="00E6525C" w:rsidRPr="00AA4AAE">
        <w:rPr>
          <w:rFonts w:asciiTheme="majorBidi" w:hAnsiTheme="majorBidi" w:cstheme="majorBidi"/>
          <w:noProof/>
          <w:sz w:val="20"/>
          <w:szCs w:val="15"/>
          <w:lang w:val="en-GB"/>
        </w:rPr>
        <w:t xml:space="preserve">3-methylbutanal </w:t>
      </w:r>
      <w:r w:rsidR="00A83797" w:rsidRPr="00AA4AAE">
        <w:rPr>
          <w:rFonts w:asciiTheme="majorBidi" w:hAnsiTheme="majorBidi" w:cstheme="majorBidi"/>
          <w:noProof/>
          <w:sz w:val="20"/>
          <w:szCs w:val="15"/>
          <w:lang w:val="en-GB"/>
        </w:rPr>
        <w:t>(</w:t>
      </w:r>
      <w:r w:rsidR="00E6525C" w:rsidRPr="00AA4AAE">
        <w:rPr>
          <w:rFonts w:asciiTheme="majorBidi" w:hAnsiTheme="majorBidi" w:cstheme="majorBidi"/>
          <w:noProof/>
          <w:sz w:val="20"/>
          <w:szCs w:val="15"/>
          <w:lang w:val="en-GB"/>
        </w:rPr>
        <w:t xml:space="preserve">fruity odor), </w:t>
      </w:r>
      <w:r w:rsidR="00A83797" w:rsidRPr="00AA4AAE">
        <w:rPr>
          <w:rFonts w:asciiTheme="majorBidi" w:hAnsiTheme="majorBidi" w:cstheme="majorBidi"/>
          <w:noProof/>
          <w:sz w:val="20"/>
          <w:szCs w:val="15"/>
          <w:lang w:val="en-GB"/>
        </w:rPr>
        <w:t>p</w:t>
      </w:r>
      <w:r w:rsidR="00E6525C" w:rsidRPr="00AA4AAE">
        <w:rPr>
          <w:rFonts w:asciiTheme="majorBidi" w:hAnsiTheme="majorBidi" w:cstheme="majorBidi"/>
          <w:noProof/>
          <w:sz w:val="20"/>
          <w:szCs w:val="15"/>
          <w:lang w:val="en-GB"/>
        </w:rPr>
        <w:t>ropanone</w:t>
      </w:r>
      <w:r w:rsidR="00A83797" w:rsidRPr="00AA4AAE">
        <w:rPr>
          <w:rFonts w:asciiTheme="majorBidi" w:hAnsiTheme="majorBidi" w:cstheme="majorBidi"/>
          <w:noProof/>
          <w:sz w:val="20"/>
          <w:szCs w:val="15"/>
          <w:lang w:val="en-GB"/>
        </w:rPr>
        <w:t xml:space="preserve"> (solvent)</w:t>
      </w:r>
      <w:r w:rsidR="00E6525C" w:rsidRPr="00AA4AAE">
        <w:rPr>
          <w:rFonts w:asciiTheme="majorBidi" w:hAnsiTheme="majorBidi" w:cstheme="majorBidi"/>
          <w:noProof/>
          <w:sz w:val="20"/>
          <w:szCs w:val="15"/>
          <w:lang w:val="en-GB"/>
        </w:rPr>
        <w:t xml:space="preserve"> and </w:t>
      </w:r>
      <w:r w:rsidR="00A83797" w:rsidRPr="00AA4AAE">
        <w:rPr>
          <w:rFonts w:asciiTheme="majorBidi" w:hAnsiTheme="majorBidi" w:cstheme="majorBidi"/>
          <w:noProof/>
          <w:sz w:val="20"/>
          <w:szCs w:val="15"/>
          <w:lang w:val="en-GB"/>
        </w:rPr>
        <w:t>p</w:t>
      </w:r>
      <w:r>
        <w:rPr>
          <w:rFonts w:asciiTheme="majorBidi" w:hAnsiTheme="majorBidi" w:cstheme="majorBidi"/>
          <w:noProof/>
          <w:sz w:val="20"/>
          <w:szCs w:val="15"/>
          <w:lang w:val="en-GB"/>
        </w:rPr>
        <w:t>henyl</w:t>
      </w:r>
      <w:r w:rsidR="00E6525C" w:rsidRPr="00AA4AAE">
        <w:rPr>
          <w:rFonts w:asciiTheme="majorBidi" w:hAnsiTheme="majorBidi" w:cstheme="majorBidi"/>
          <w:noProof/>
          <w:sz w:val="20"/>
          <w:szCs w:val="15"/>
          <w:lang w:val="en-GB"/>
        </w:rPr>
        <w:t>acetaldehyde (honey)</w:t>
      </w:r>
      <w:r w:rsidR="00A83797" w:rsidRPr="00AA4AAE">
        <w:rPr>
          <w:rFonts w:asciiTheme="majorBidi" w:hAnsiTheme="majorBidi" w:cstheme="majorBidi"/>
          <w:noProof/>
          <w:sz w:val="20"/>
          <w:szCs w:val="15"/>
          <w:lang w:val="en-GB"/>
        </w:rPr>
        <w:t>.</w:t>
      </w:r>
    </w:p>
    <w:p w14:paraId="4ED1401B" w14:textId="41059562" w:rsidR="006F4110" w:rsidRPr="00AA4AAE" w:rsidRDefault="006F4110" w:rsidP="006F4110">
      <w:pPr>
        <w:jc w:val="both"/>
        <w:rPr>
          <w:rFonts w:asciiTheme="majorBidi" w:hAnsiTheme="majorBidi" w:cstheme="majorBidi"/>
          <w:noProof/>
          <w:sz w:val="20"/>
          <w:szCs w:val="15"/>
          <w:lang w:val="en-GB"/>
        </w:rPr>
      </w:pPr>
      <w:r w:rsidRPr="00AA4AAE">
        <w:rPr>
          <w:rFonts w:asciiTheme="majorBidi" w:hAnsiTheme="majorBidi" w:cstheme="majorBidi"/>
          <w:noProof/>
          <w:sz w:val="20"/>
          <w:szCs w:val="15"/>
          <w:lang w:val="en-GB"/>
        </w:rPr>
        <w:t xml:space="preserve">In Figure </w:t>
      </w:r>
      <w:r w:rsidR="00463E78">
        <w:rPr>
          <w:rFonts w:asciiTheme="majorBidi" w:hAnsiTheme="majorBidi" w:cstheme="majorBidi"/>
          <w:noProof/>
          <w:sz w:val="20"/>
          <w:szCs w:val="15"/>
          <w:lang w:val="en-GB"/>
        </w:rPr>
        <w:t>3</w:t>
      </w:r>
      <w:r w:rsidRPr="00AA4AAE">
        <w:rPr>
          <w:rFonts w:asciiTheme="majorBidi" w:hAnsiTheme="majorBidi" w:cstheme="majorBidi"/>
          <w:noProof/>
          <w:sz w:val="20"/>
          <w:szCs w:val="15"/>
          <w:lang w:val="en-GB"/>
        </w:rPr>
        <w:t xml:space="preserve">, it </w:t>
      </w:r>
      <w:r w:rsidR="00A83797" w:rsidRPr="00AA4AAE">
        <w:rPr>
          <w:rFonts w:asciiTheme="majorBidi" w:hAnsiTheme="majorBidi" w:cstheme="majorBidi"/>
          <w:noProof/>
          <w:sz w:val="20"/>
          <w:szCs w:val="15"/>
          <w:lang w:val="en-GB"/>
        </w:rPr>
        <w:t>can be seen</w:t>
      </w:r>
      <w:r w:rsidRPr="00AA4AAE">
        <w:rPr>
          <w:rFonts w:asciiTheme="majorBidi" w:hAnsiTheme="majorBidi" w:cstheme="majorBidi"/>
          <w:noProof/>
          <w:sz w:val="20"/>
          <w:szCs w:val="15"/>
          <w:lang w:val="en-GB"/>
        </w:rPr>
        <w:t xml:space="preserve"> that liner "M" and Saranex, treated with a contactor membrane to manage gases, contain a lower amount of carbonyl compounds. This effect could be related to a lower </w:t>
      </w:r>
      <w:r w:rsidR="003A4D6F">
        <w:rPr>
          <w:rFonts w:asciiTheme="majorBidi" w:hAnsiTheme="majorBidi" w:cstheme="majorBidi"/>
          <w:noProof/>
          <w:sz w:val="20"/>
          <w:szCs w:val="15"/>
          <w:lang w:val="en-GB"/>
        </w:rPr>
        <w:t>concentration</w:t>
      </w:r>
      <w:r w:rsidRPr="00AA4AAE">
        <w:rPr>
          <w:rFonts w:asciiTheme="majorBidi" w:hAnsiTheme="majorBidi" w:cstheme="majorBidi"/>
          <w:noProof/>
          <w:sz w:val="20"/>
          <w:szCs w:val="15"/>
          <w:lang w:val="en-GB"/>
        </w:rPr>
        <w:t xml:space="preserve"> of oxygen during the storage period. This behaviour does not appear for the liner "Z", </w:t>
      </w:r>
      <w:r w:rsidR="003A4D6F">
        <w:rPr>
          <w:rFonts w:asciiTheme="majorBidi" w:hAnsiTheme="majorBidi" w:cstheme="majorBidi"/>
          <w:noProof/>
          <w:sz w:val="20"/>
          <w:szCs w:val="15"/>
          <w:lang w:val="en-GB"/>
        </w:rPr>
        <w:t xml:space="preserve">and this </w:t>
      </w:r>
      <w:r w:rsidR="00A83797" w:rsidRPr="00AA4AAE">
        <w:rPr>
          <w:rFonts w:asciiTheme="majorBidi" w:hAnsiTheme="majorBidi" w:cstheme="majorBidi"/>
          <w:noProof/>
          <w:sz w:val="20"/>
          <w:szCs w:val="15"/>
          <w:lang w:val="en-GB"/>
        </w:rPr>
        <w:t>could</w:t>
      </w:r>
      <w:r w:rsidRPr="00AA4AAE">
        <w:rPr>
          <w:rFonts w:asciiTheme="majorBidi" w:hAnsiTheme="majorBidi" w:cstheme="majorBidi"/>
          <w:noProof/>
          <w:sz w:val="20"/>
          <w:szCs w:val="15"/>
          <w:lang w:val="en-GB"/>
        </w:rPr>
        <w:t xml:space="preserve"> be related to a </w:t>
      </w:r>
      <w:r w:rsidR="003A4D6F">
        <w:rPr>
          <w:rFonts w:asciiTheme="majorBidi" w:hAnsiTheme="majorBidi" w:cstheme="majorBidi"/>
          <w:noProof/>
          <w:sz w:val="20"/>
          <w:szCs w:val="15"/>
          <w:lang w:val="en-GB"/>
        </w:rPr>
        <w:t xml:space="preserve">greater rigidity </w:t>
      </w:r>
      <w:r w:rsidRPr="00AA4AAE">
        <w:rPr>
          <w:rFonts w:asciiTheme="majorBidi" w:hAnsiTheme="majorBidi" w:cstheme="majorBidi"/>
          <w:noProof/>
          <w:sz w:val="20"/>
          <w:szCs w:val="15"/>
          <w:lang w:val="en-GB"/>
        </w:rPr>
        <w:t>of the liner</w:t>
      </w:r>
      <w:r w:rsidR="003A4D6F">
        <w:rPr>
          <w:rFonts w:asciiTheme="majorBidi" w:hAnsiTheme="majorBidi" w:cstheme="majorBidi"/>
          <w:noProof/>
          <w:sz w:val="20"/>
          <w:szCs w:val="15"/>
          <w:lang w:val="en-GB"/>
        </w:rPr>
        <w:t>;</w:t>
      </w:r>
      <w:r w:rsidRPr="00AA4AAE">
        <w:rPr>
          <w:rFonts w:asciiTheme="majorBidi" w:hAnsiTheme="majorBidi" w:cstheme="majorBidi"/>
          <w:noProof/>
          <w:sz w:val="20"/>
          <w:szCs w:val="15"/>
          <w:lang w:val="en-GB"/>
        </w:rPr>
        <w:t xml:space="preserve"> </w:t>
      </w:r>
      <w:r w:rsidR="00FF2CEC">
        <w:rPr>
          <w:rFonts w:asciiTheme="majorBidi" w:hAnsiTheme="majorBidi" w:cstheme="majorBidi"/>
          <w:noProof/>
          <w:sz w:val="20"/>
          <w:szCs w:val="15"/>
          <w:lang w:val="en-GB"/>
        </w:rPr>
        <w:t xml:space="preserve">if this hypothesis will be confirmed in future experiments, </w:t>
      </w:r>
      <w:r w:rsidRPr="00AA4AAE">
        <w:rPr>
          <w:rFonts w:asciiTheme="majorBidi" w:hAnsiTheme="majorBidi" w:cstheme="majorBidi"/>
          <w:noProof/>
          <w:sz w:val="20"/>
          <w:szCs w:val="15"/>
          <w:lang w:val="en-GB"/>
        </w:rPr>
        <w:t xml:space="preserve">the </w:t>
      </w:r>
      <w:r w:rsidR="003A4D6F">
        <w:rPr>
          <w:rFonts w:asciiTheme="majorBidi" w:hAnsiTheme="majorBidi" w:cstheme="majorBidi"/>
          <w:noProof/>
          <w:sz w:val="20"/>
          <w:szCs w:val="15"/>
          <w:lang w:val="en-GB"/>
        </w:rPr>
        <w:t xml:space="preserve">sealing </w:t>
      </w:r>
      <w:r w:rsidRPr="00AA4AAE">
        <w:rPr>
          <w:rFonts w:asciiTheme="majorBidi" w:hAnsiTheme="majorBidi" w:cstheme="majorBidi"/>
          <w:noProof/>
          <w:sz w:val="20"/>
          <w:szCs w:val="15"/>
          <w:lang w:val="en-GB"/>
        </w:rPr>
        <w:t xml:space="preserve">properties of this liner could be improved by a higher pressure applied </w:t>
      </w:r>
      <w:r w:rsidR="00FF2CEC">
        <w:rPr>
          <w:rFonts w:asciiTheme="majorBidi" w:hAnsiTheme="majorBidi" w:cstheme="majorBidi"/>
          <w:noProof/>
          <w:sz w:val="20"/>
          <w:szCs w:val="15"/>
          <w:lang w:val="en-GB"/>
        </w:rPr>
        <w:t>at corking</w:t>
      </w:r>
      <w:r w:rsidRPr="00AA4AAE">
        <w:rPr>
          <w:rFonts w:asciiTheme="majorBidi" w:hAnsiTheme="majorBidi" w:cstheme="majorBidi"/>
          <w:noProof/>
          <w:sz w:val="20"/>
          <w:szCs w:val="15"/>
          <w:lang w:val="en-GB"/>
        </w:rPr>
        <w:t>.</w:t>
      </w:r>
    </w:p>
    <w:p w14:paraId="6B8AC073" w14:textId="77777777" w:rsidR="001E4554" w:rsidRDefault="001E4554" w:rsidP="007B3D56">
      <w:pPr>
        <w:jc w:val="both"/>
        <w:rPr>
          <w:rFonts w:asciiTheme="majorBidi" w:hAnsiTheme="majorBidi" w:cstheme="majorBidi"/>
          <w:szCs w:val="20"/>
          <w:highlight w:val="red"/>
          <w:lang w:val="en-GB"/>
        </w:rPr>
      </w:pPr>
    </w:p>
    <w:p w14:paraId="57B010B2" w14:textId="6AD0652E" w:rsidR="001E4554" w:rsidRDefault="001E4554" w:rsidP="00E94E81">
      <w:pPr>
        <w:jc w:val="both"/>
        <w:rPr>
          <w:rFonts w:asciiTheme="majorBidi" w:hAnsiTheme="majorBidi" w:cstheme="majorBidi"/>
          <w:szCs w:val="20"/>
          <w:highlight w:val="red"/>
          <w:lang w:val="en-GB"/>
        </w:rPr>
      </w:pPr>
      <w:r w:rsidRPr="001E4554">
        <w:rPr>
          <w:rFonts w:asciiTheme="majorBidi" w:hAnsiTheme="majorBidi" w:cstheme="majorBidi"/>
          <w:noProof/>
          <w:szCs w:val="20"/>
          <w:lang w:eastAsia="it-IT"/>
        </w:rPr>
        <w:drawing>
          <wp:inline distT="0" distB="0" distL="0" distR="0" wp14:anchorId="594566D3" wp14:editId="07C5D54F">
            <wp:extent cx="3742337" cy="2268000"/>
            <wp:effectExtent l="0" t="0" r="4445" b="5715"/>
            <wp:docPr id="578234874" name="Immagine 1"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234874" name="Immagine 1" descr="Immagine che contiene grafico&#10;&#10;Descrizione generata automaticamente"/>
                    <pic:cNvPicPr/>
                  </pic:nvPicPr>
                  <pic:blipFill rotWithShape="1">
                    <a:blip r:embed="rId13"/>
                    <a:srcRect t="5071"/>
                    <a:stretch/>
                  </pic:blipFill>
                  <pic:spPr bwMode="auto">
                    <a:xfrm>
                      <a:off x="0" y="0"/>
                      <a:ext cx="3742337" cy="2268000"/>
                    </a:xfrm>
                    <a:prstGeom prst="rect">
                      <a:avLst/>
                    </a:prstGeom>
                    <a:ln>
                      <a:noFill/>
                    </a:ln>
                    <a:extLst>
                      <a:ext uri="{53640926-AAD7-44D8-BBD7-CCE9431645EC}">
                        <a14:shadowObscured xmlns:a14="http://schemas.microsoft.com/office/drawing/2010/main"/>
                      </a:ext>
                    </a:extLst>
                  </pic:spPr>
                </pic:pic>
              </a:graphicData>
            </a:graphic>
          </wp:inline>
        </w:drawing>
      </w:r>
      <w:r w:rsidR="00E94E81">
        <w:rPr>
          <w:rFonts w:asciiTheme="majorBidi" w:hAnsiTheme="majorBidi" w:cstheme="majorBidi"/>
          <w:szCs w:val="20"/>
          <w:lang w:val="en-GB"/>
        </w:rPr>
        <w:t xml:space="preserve"> </w:t>
      </w:r>
      <w:r w:rsidRPr="001E4554">
        <w:rPr>
          <w:rFonts w:asciiTheme="majorBidi" w:hAnsiTheme="majorBidi" w:cstheme="majorBidi"/>
          <w:noProof/>
          <w:szCs w:val="20"/>
          <w:lang w:eastAsia="it-IT"/>
        </w:rPr>
        <w:drawing>
          <wp:inline distT="0" distB="0" distL="0" distR="0" wp14:anchorId="49F062F1" wp14:editId="1973ED05">
            <wp:extent cx="2333021" cy="2268000"/>
            <wp:effectExtent l="0" t="0" r="3810" b="5715"/>
            <wp:docPr id="682588192" name="Immagine 1"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588192" name="Immagine 1" descr="Immagine che contiene diagramma&#10;&#10;Descrizione generata automaticamente"/>
                    <pic:cNvPicPr/>
                  </pic:nvPicPr>
                  <pic:blipFill rotWithShape="1">
                    <a:blip r:embed="rId14"/>
                    <a:srcRect l="19008" t="5330" r="18822"/>
                    <a:stretch/>
                  </pic:blipFill>
                  <pic:spPr bwMode="auto">
                    <a:xfrm>
                      <a:off x="0" y="0"/>
                      <a:ext cx="2333021" cy="2268000"/>
                    </a:xfrm>
                    <a:prstGeom prst="rect">
                      <a:avLst/>
                    </a:prstGeom>
                    <a:ln>
                      <a:noFill/>
                    </a:ln>
                    <a:extLst>
                      <a:ext uri="{53640926-AAD7-44D8-BBD7-CCE9431645EC}">
                        <a14:shadowObscured xmlns:a14="http://schemas.microsoft.com/office/drawing/2010/main"/>
                      </a:ext>
                    </a:extLst>
                  </pic:spPr>
                </pic:pic>
              </a:graphicData>
            </a:graphic>
          </wp:inline>
        </w:drawing>
      </w:r>
    </w:p>
    <w:p w14:paraId="1CB135EC" w14:textId="6E86DEC5" w:rsidR="001E4554" w:rsidRPr="00650961" w:rsidRDefault="00227CC6" w:rsidP="00085381">
      <w:pPr>
        <w:tabs>
          <w:tab w:val="left" w:pos="851"/>
        </w:tabs>
        <w:spacing w:before="300" w:after="300"/>
        <w:ind w:left="851" w:hanging="851"/>
        <w:jc w:val="both"/>
        <w:rPr>
          <w:rFonts w:asciiTheme="majorBidi" w:hAnsiTheme="majorBidi" w:cstheme="majorBidi"/>
          <w:sz w:val="18"/>
          <w:szCs w:val="13"/>
          <w:lang w:val="en-US"/>
        </w:rPr>
      </w:pPr>
      <w:r w:rsidRPr="00650961">
        <w:rPr>
          <w:rFonts w:asciiTheme="majorBidi" w:hAnsiTheme="majorBidi" w:cstheme="majorBidi"/>
          <w:b/>
          <w:color w:val="000000"/>
          <w:sz w:val="18"/>
          <w:szCs w:val="13"/>
          <w:lang w:val="en-GB"/>
        </w:rPr>
        <w:t xml:space="preserve">Figure </w:t>
      </w:r>
      <w:r w:rsidR="00463E78" w:rsidRPr="00650961">
        <w:rPr>
          <w:rFonts w:asciiTheme="majorBidi" w:hAnsiTheme="majorBidi" w:cstheme="majorBidi"/>
          <w:b/>
          <w:color w:val="000000"/>
          <w:sz w:val="18"/>
          <w:szCs w:val="13"/>
          <w:lang w:val="en-GB"/>
        </w:rPr>
        <w:t>3</w:t>
      </w:r>
      <w:r w:rsidRPr="00650961">
        <w:rPr>
          <w:rFonts w:asciiTheme="majorBidi" w:hAnsiTheme="majorBidi" w:cstheme="majorBidi"/>
          <w:b/>
          <w:color w:val="000000"/>
          <w:sz w:val="18"/>
          <w:szCs w:val="13"/>
          <w:lang w:val="en-GB"/>
        </w:rPr>
        <w:t xml:space="preserve"> </w:t>
      </w:r>
      <w:r w:rsidRPr="00650961">
        <w:rPr>
          <w:rFonts w:asciiTheme="majorBidi" w:hAnsiTheme="majorBidi" w:cstheme="majorBidi"/>
          <w:b/>
          <w:color w:val="000000"/>
          <w:sz w:val="18"/>
          <w:szCs w:val="13"/>
          <w:lang w:val="en-GB"/>
        </w:rPr>
        <w:tab/>
      </w:r>
      <w:r w:rsidRPr="00650961">
        <w:rPr>
          <w:rFonts w:asciiTheme="majorBidi" w:hAnsiTheme="majorBidi" w:cstheme="majorBidi"/>
          <w:bCs/>
          <w:i/>
          <w:iCs/>
          <w:color w:val="000000"/>
          <w:sz w:val="18"/>
          <w:szCs w:val="13"/>
          <w:lang w:val="en-GB"/>
        </w:rPr>
        <w:t xml:space="preserve"> Principal Component Analysis (PCA) based on absolute areas </w:t>
      </w:r>
      <w:r w:rsidR="00FF2CEC" w:rsidRPr="00650961">
        <w:rPr>
          <w:rFonts w:asciiTheme="majorBidi" w:hAnsiTheme="majorBidi" w:cstheme="majorBidi"/>
          <w:bCs/>
          <w:i/>
          <w:iCs/>
          <w:color w:val="000000"/>
          <w:sz w:val="18"/>
          <w:szCs w:val="13"/>
          <w:lang w:val="en-GB"/>
        </w:rPr>
        <w:t xml:space="preserve">detected for </w:t>
      </w:r>
      <w:r w:rsidRPr="00650961">
        <w:rPr>
          <w:rFonts w:asciiTheme="majorBidi" w:hAnsiTheme="majorBidi" w:cstheme="majorBidi"/>
          <w:bCs/>
          <w:i/>
          <w:iCs/>
          <w:color w:val="000000"/>
          <w:sz w:val="18"/>
          <w:szCs w:val="13"/>
          <w:lang w:val="en-GB"/>
        </w:rPr>
        <w:t>carbonyl compounds, after 11 months of bottle storage. For each sample, data from triplicate analysis were used.</w:t>
      </w:r>
    </w:p>
    <w:p w14:paraId="19E51C6B" w14:textId="2920E873" w:rsidR="007D40F9" w:rsidRPr="00186B23" w:rsidRDefault="00A83797" w:rsidP="007D40F9">
      <w:pPr>
        <w:pStyle w:val="Titolo1"/>
        <w:tabs>
          <w:tab w:val="left" w:pos="567"/>
        </w:tabs>
        <w:spacing w:before="240" w:after="120"/>
        <w:ind w:right="0"/>
        <w:jc w:val="both"/>
        <w:rPr>
          <w:b/>
          <w:bCs/>
          <w:color w:val="000000"/>
          <w:sz w:val="24"/>
          <w:lang w:val="en-GB"/>
        </w:rPr>
      </w:pPr>
      <w:r w:rsidRPr="00186B23">
        <w:rPr>
          <w:b/>
          <w:bCs/>
          <w:color w:val="000000"/>
          <w:sz w:val="24"/>
          <w:lang w:val="en-GB"/>
        </w:rPr>
        <w:lastRenderedPageBreak/>
        <w:t>4</w:t>
      </w:r>
      <w:r w:rsidR="007D40F9" w:rsidRPr="00186B23">
        <w:rPr>
          <w:b/>
          <w:bCs/>
          <w:color w:val="000000"/>
          <w:sz w:val="24"/>
          <w:lang w:val="en-GB"/>
        </w:rPr>
        <w:t>.</w:t>
      </w:r>
      <w:r w:rsidR="007F0DA8" w:rsidRPr="00186B23">
        <w:rPr>
          <w:b/>
          <w:bCs/>
          <w:color w:val="000000"/>
          <w:sz w:val="24"/>
          <w:lang w:val="en-GB"/>
        </w:rPr>
        <w:t xml:space="preserve"> </w:t>
      </w:r>
      <w:r w:rsidR="007D40F9" w:rsidRPr="00186B23">
        <w:rPr>
          <w:b/>
          <w:bCs/>
          <w:color w:val="000000"/>
          <w:sz w:val="24"/>
          <w:lang w:val="en-GB"/>
        </w:rPr>
        <w:t>Conclusions and Future Perspectives</w:t>
      </w:r>
    </w:p>
    <w:p w14:paraId="60ABC930" w14:textId="2D4B8388" w:rsidR="00085381" w:rsidRPr="00AA4AAE" w:rsidRDefault="0075381D" w:rsidP="00BC74AC">
      <w:pPr>
        <w:jc w:val="both"/>
        <w:rPr>
          <w:rFonts w:asciiTheme="majorBidi" w:hAnsiTheme="majorBidi" w:cstheme="majorBidi"/>
          <w:sz w:val="20"/>
          <w:szCs w:val="15"/>
          <w:lang w:val="en-GB"/>
        </w:rPr>
      </w:pPr>
      <w:r>
        <w:rPr>
          <w:rFonts w:asciiTheme="majorBidi" w:hAnsiTheme="majorBidi" w:cstheme="majorBidi"/>
          <w:sz w:val="20"/>
          <w:szCs w:val="15"/>
          <w:lang w:val="en-GB"/>
        </w:rPr>
        <w:t>Results demonstrated that t</w:t>
      </w:r>
      <w:r w:rsidR="00085381" w:rsidRPr="00AA4AAE">
        <w:rPr>
          <w:rFonts w:asciiTheme="majorBidi" w:hAnsiTheme="majorBidi" w:cstheme="majorBidi"/>
          <w:sz w:val="20"/>
          <w:szCs w:val="15"/>
          <w:lang w:val="en-GB"/>
        </w:rPr>
        <w:t xml:space="preserve">he use of contactor membrane could help to reduce the initial concentration of dissolved gases, especially oxygen, </w:t>
      </w:r>
      <w:r>
        <w:rPr>
          <w:rFonts w:asciiTheme="majorBidi" w:hAnsiTheme="majorBidi" w:cstheme="majorBidi"/>
          <w:sz w:val="20"/>
          <w:szCs w:val="15"/>
          <w:lang w:val="en-GB"/>
        </w:rPr>
        <w:t xml:space="preserve">allowing </w:t>
      </w:r>
      <w:r w:rsidR="00085381" w:rsidRPr="00AA4AAE">
        <w:rPr>
          <w:rFonts w:asciiTheme="majorBidi" w:hAnsiTheme="majorBidi" w:cstheme="majorBidi"/>
          <w:sz w:val="20"/>
          <w:szCs w:val="15"/>
          <w:lang w:val="en-GB"/>
        </w:rPr>
        <w:t>a better evolution of the wine</w:t>
      </w:r>
      <w:r>
        <w:rPr>
          <w:rFonts w:asciiTheme="majorBidi" w:hAnsiTheme="majorBidi" w:cstheme="majorBidi"/>
          <w:sz w:val="20"/>
          <w:szCs w:val="15"/>
          <w:lang w:val="en-GB"/>
        </w:rPr>
        <w:t xml:space="preserve"> over time</w:t>
      </w:r>
      <w:r w:rsidR="00085381" w:rsidRPr="00AA4AAE">
        <w:rPr>
          <w:rFonts w:asciiTheme="majorBidi" w:hAnsiTheme="majorBidi" w:cstheme="majorBidi"/>
          <w:sz w:val="20"/>
          <w:szCs w:val="15"/>
          <w:lang w:val="en-GB"/>
        </w:rPr>
        <w:t>. This technique, combined with an appropriate closure</w:t>
      </w:r>
      <w:r>
        <w:rPr>
          <w:rFonts w:asciiTheme="majorBidi" w:hAnsiTheme="majorBidi" w:cstheme="majorBidi"/>
          <w:sz w:val="20"/>
          <w:szCs w:val="15"/>
          <w:lang w:val="en-GB"/>
        </w:rPr>
        <w:t xml:space="preserve"> selection</w:t>
      </w:r>
      <w:r w:rsidR="00085381" w:rsidRPr="00AA4AAE">
        <w:rPr>
          <w:rFonts w:asciiTheme="majorBidi" w:hAnsiTheme="majorBidi" w:cstheme="majorBidi"/>
          <w:sz w:val="20"/>
          <w:szCs w:val="15"/>
          <w:lang w:val="en-GB"/>
        </w:rPr>
        <w:t>, can improve the evolution of white wine</w:t>
      </w:r>
      <w:r>
        <w:rPr>
          <w:rFonts w:asciiTheme="majorBidi" w:hAnsiTheme="majorBidi" w:cstheme="majorBidi"/>
          <w:sz w:val="20"/>
          <w:szCs w:val="15"/>
          <w:lang w:val="en-GB"/>
        </w:rPr>
        <w:t>s</w:t>
      </w:r>
      <w:r w:rsidR="00085381" w:rsidRPr="00AA4AAE">
        <w:rPr>
          <w:rFonts w:asciiTheme="majorBidi" w:hAnsiTheme="majorBidi" w:cstheme="majorBidi"/>
          <w:sz w:val="20"/>
          <w:szCs w:val="15"/>
          <w:lang w:val="en-GB"/>
        </w:rPr>
        <w:t>.</w:t>
      </w:r>
    </w:p>
    <w:p w14:paraId="298BDB22" w14:textId="7D643A6D" w:rsidR="00085381" w:rsidRPr="00AA4AAE" w:rsidRDefault="00085381" w:rsidP="00BC74AC">
      <w:pPr>
        <w:jc w:val="both"/>
        <w:rPr>
          <w:rFonts w:asciiTheme="majorBidi" w:hAnsiTheme="majorBidi" w:cstheme="majorBidi"/>
          <w:sz w:val="20"/>
          <w:szCs w:val="15"/>
          <w:lang w:val="en-GB"/>
        </w:rPr>
      </w:pPr>
      <w:r w:rsidRPr="00AA4AAE">
        <w:rPr>
          <w:rFonts w:asciiTheme="majorBidi" w:hAnsiTheme="majorBidi" w:cstheme="majorBidi"/>
          <w:sz w:val="20"/>
          <w:szCs w:val="15"/>
          <w:lang w:val="en-GB"/>
        </w:rPr>
        <w:t xml:space="preserve">Further analysis will be carried out on the data collected in terms of chemical composition, electrochemical and sensory </w:t>
      </w:r>
      <w:r w:rsidR="0075381D">
        <w:rPr>
          <w:rFonts w:asciiTheme="majorBidi" w:hAnsiTheme="majorBidi" w:cstheme="majorBidi"/>
          <w:sz w:val="20"/>
          <w:szCs w:val="15"/>
          <w:lang w:val="en-GB"/>
        </w:rPr>
        <w:t>data; moreover,</w:t>
      </w:r>
      <w:r w:rsidRPr="00AA4AAE">
        <w:rPr>
          <w:rFonts w:asciiTheme="majorBidi" w:hAnsiTheme="majorBidi" w:cstheme="majorBidi"/>
          <w:sz w:val="20"/>
          <w:szCs w:val="15"/>
          <w:lang w:val="en-GB"/>
        </w:rPr>
        <w:t xml:space="preserve"> additional sampling</w:t>
      </w:r>
      <w:r w:rsidR="0075381D">
        <w:rPr>
          <w:rFonts w:asciiTheme="majorBidi" w:hAnsiTheme="majorBidi" w:cstheme="majorBidi"/>
          <w:sz w:val="20"/>
          <w:szCs w:val="15"/>
          <w:lang w:val="en-GB"/>
        </w:rPr>
        <w:t>s</w:t>
      </w:r>
      <w:r w:rsidRPr="00AA4AAE">
        <w:rPr>
          <w:rFonts w:asciiTheme="majorBidi" w:hAnsiTheme="majorBidi" w:cstheme="majorBidi"/>
          <w:sz w:val="20"/>
          <w:szCs w:val="15"/>
          <w:lang w:val="en-GB"/>
        </w:rPr>
        <w:t xml:space="preserve"> </w:t>
      </w:r>
      <w:r w:rsidR="0075381D">
        <w:rPr>
          <w:rFonts w:asciiTheme="majorBidi" w:hAnsiTheme="majorBidi" w:cstheme="majorBidi"/>
          <w:sz w:val="20"/>
          <w:szCs w:val="15"/>
          <w:lang w:val="en-GB"/>
        </w:rPr>
        <w:t xml:space="preserve">will be performed </w:t>
      </w:r>
      <w:r w:rsidRPr="00AA4AAE">
        <w:rPr>
          <w:rFonts w:asciiTheme="majorBidi" w:hAnsiTheme="majorBidi" w:cstheme="majorBidi"/>
          <w:sz w:val="20"/>
          <w:szCs w:val="15"/>
          <w:lang w:val="en-GB"/>
        </w:rPr>
        <w:t xml:space="preserve">to better understand the mechanisms involved in the evolution of </w:t>
      </w:r>
      <w:r w:rsidR="0075381D">
        <w:rPr>
          <w:rFonts w:asciiTheme="majorBidi" w:hAnsiTheme="majorBidi" w:cstheme="majorBidi"/>
          <w:sz w:val="20"/>
          <w:szCs w:val="15"/>
          <w:lang w:val="en-GB"/>
        </w:rPr>
        <w:t>the different samples</w:t>
      </w:r>
      <w:r w:rsidRPr="00AA4AAE">
        <w:rPr>
          <w:rFonts w:asciiTheme="majorBidi" w:hAnsiTheme="majorBidi" w:cstheme="majorBidi"/>
          <w:sz w:val="20"/>
          <w:szCs w:val="15"/>
          <w:lang w:val="en-GB"/>
        </w:rPr>
        <w:t>.</w:t>
      </w:r>
    </w:p>
    <w:p w14:paraId="7445255C" w14:textId="076D4CE7" w:rsidR="007D40F9" w:rsidRDefault="00A83797" w:rsidP="007D40F9">
      <w:pPr>
        <w:pStyle w:val="Titolo1"/>
        <w:tabs>
          <w:tab w:val="left" w:pos="567"/>
        </w:tabs>
        <w:spacing w:before="240" w:after="120"/>
        <w:ind w:right="0"/>
        <w:jc w:val="both"/>
        <w:rPr>
          <w:b/>
          <w:bCs/>
          <w:color w:val="000000"/>
          <w:sz w:val="24"/>
          <w:lang w:val="en-GB"/>
        </w:rPr>
      </w:pPr>
      <w:r>
        <w:rPr>
          <w:b/>
          <w:bCs/>
          <w:color w:val="000000"/>
          <w:sz w:val="24"/>
          <w:lang w:val="en-GB"/>
        </w:rPr>
        <w:t>5</w:t>
      </w:r>
      <w:r w:rsidR="007D40F9">
        <w:rPr>
          <w:b/>
          <w:bCs/>
          <w:color w:val="000000"/>
          <w:sz w:val="24"/>
          <w:lang w:val="en-GB"/>
        </w:rPr>
        <w:t>. References</w:t>
      </w:r>
    </w:p>
    <w:p w14:paraId="4E093990" w14:textId="65CE34DA" w:rsidR="00CE1840" w:rsidRPr="00741880" w:rsidRDefault="00332143" w:rsidP="00186B23">
      <w:pPr>
        <w:widowControl w:val="0"/>
        <w:autoSpaceDE w:val="0"/>
        <w:autoSpaceDN w:val="0"/>
        <w:adjustRightInd w:val="0"/>
        <w:ind w:left="480" w:hanging="480"/>
        <w:jc w:val="both"/>
        <w:rPr>
          <w:noProof/>
          <w:sz w:val="18"/>
          <w:szCs w:val="20"/>
        </w:rPr>
      </w:pPr>
      <w:r w:rsidRPr="00F2271A">
        <w:rPr>
          <w:sz w:val="18"/>
          <w:szCs w:val="20"/>
          <w:lang w:val="en-GB"/>
        </w:rPr>
        <w:fldChar w:fldCharType="begin" w:fldLock="1"/>
      </w:r>
      <w:r w:rsidR="0073686F">
        <w:rPr>
          <w:sz w:val="18"/>
          <w:szCs w:val="20"/>
          <w:lang w:val="en-GB"/>
        </w:rPr>
        <w:instrText>ADDIN CSL_CITATION {"citationItems":[{"id":"ITEM-1","itemData":{"DOI":"10.1016/j.foodchem.2018.07.093","ISSN":"18737072","PMID":"30174081","abstract":"A method based on headspace solid-phase microextraction (HS-SPME) coupled to gas chromatography-triple quadrupole/mass spectrometry detection (GC-TQ/MS) with a prior derivatization step with O-(2,3,4,5,6-pentafluorobenzyl)hydroxylamine hydrochloride (PFBHA) was developed to quantify carbonyl compounds in different categories of Port wines. Optimal extraction conditions were obtained incubating 2 ml of wine with 2.3 g/l of PFBHA for 10 min and extracted during 20 min at 32 °C. The method was validated for 38 carbonyl compounds (alkanals, alkenals, Strecker aldehydes, dialdehydes, ketones and furan aldehydes) with regard to linearity, repeatability, inter and intra-day precision and accuracy, showing that the method is suitable for the determination of carbonyl compounds in wines. Tawny wines with ‘indication of age’ (10–40 years old) presented the highest levels of some carbonyl compounds, such as propanal, pentanal, hexanal, Strecker aldehydes, diacetyl, methyl glyoxal, 3-pentanone and 2-furfural, whereas Ruby wines were characterized by the highest amounts of some unidentified compounds.","author":[{"dropping-particle":"","family":"Moreira","given":"Nathalie","non-dropping-particle":"","parse-names":false,"suffix":""},{"dropping-particle":"","family":"Araújo","given":"Ana Margarida","non-dropping-particle":"","parse-names":false,"suffix":""},{"dropping-particle":"","family":"Rogerson","given":"Frank","non-dropping-particle":"","parse-names":false,"suffix":""},{"dropping-particle":"","family":"Vasconcelos","given":"Isabel","non-dropping-particle":"","parse-names":false,"suffix":""},{"dropping-particle":"De","family":"Freitas","given":"Victor","non-dropping-particle":"","parse-names":false,"suffix":""},{"dropping-particle":"de","family":"Pinho","given":"Paula Guedes","non-dropping-particle":"","parse-names":false,"suffix":""}],"container-title":"Food Chemistry","id":"ITEM-1","issued":{"date-parts":[["2019"]]},"page":"518-526","publisher":"Elsevier","title":"Development and optimization of a HS-SPME-GC-MS methodology to quantify volatile carbonyl compounds in Port wines","type":"article-journal","volume":"270"},"uris":["http://www.mendeley.com/documents/?uuid=50d434d5-5b31-466d-9d67-e599c54cd433"]}],"mendeley":{"formattedCitation":"(Moreira et al. 2019)","manualFormatting":"Cantu, A., J. Guernsey, M. Anderson, S. Blozis, R. Bleibaum, D. Cyrot, and A. L. Waterhouse. 2022. “Wine Closure Performance of Three Common Closure Types: Chemical and Sensory Impact on a Sauvignon Blanc Wine.” Molecules 27 (5881). https://doi.org/10.3390/molecules27185881.\rComuzzo, P., F. Battistutta, M. Vendrame, M. S. Páez, G. Luisi, and R. Zironi. 2015. “Antioxidant Properties of Different Products and Additives in White Wine.” Food Chemistry 168: 107–14. https://doi.org/10.1016/j.foodchem.2014.07.028.\rComuzzo, P., R. Toniolo, F. Battistutta, M. Lizee, R. Svigelj, and R. Zironi. 2017. “Oxidative Behavior of (+)-Catechin in the Presence of Inactive Dry Yeasts: A Comparison with Sulfur Dioxide, Ascorbic Acid and Glutathione.” Journal of the Science of Food and Agriculture 97 (15): 5158–67. https://doi.org/10.1002/jsfa.8397.\rCrouvisier-Urion, K., J. P. Bellat, R. D. Gougeon, and T. Karbowiak. 2018. “Gas Transfer through Wine Closures: A Critical Review.” Trends in Food Science and Technology 78 (May): 255–69. https://doi.org/10.1016/j.tifs.2018.05.021.\rDay, M. P., S. A. Schmidt, P. A. Smith, and E. N. Wilkes. 2015. “Use and Impact of Oxygen during Winemaking.” Australian Journal of Grape and Wine Research 21: 693–704. https://doi.org/10.1111/ajgw.12199.\rFerreira-Lima, N. E., V. M. Burin, and M. T. Bordignon-Luiz. 2013. “Characterization of Goethe White Wines: Influence of Different Storage Conditions on the Wine Evolution during Bottle Aging.” European Food Research and Technology 237 (4): 509–20. https://doi.org/10.1007/s00217-013-2019-5.\rFracassetti, D., A. Di Canito, R. Bodon, N. Messina, I. Vigentini, R. Foschino, and A. Tirelli. 2021. “Light-Struck Taste in White Wine: Reaction Mechanisms, Preventive Strategies and Future Perspectives to Preserve Wine Quality.” Trends in Food Science and Technology 112: 547–58. https://doi.org/10.1016/j.tifs.2021.04.013.\rGodden, P., L. Francis, J. Field, M. Gishen, A. Coulter, P. Valente, P. Høj, and E. Robinson. 2001. “Wine Bottle Closures: Physical Characteristics and Effect on Composition and Sensory Properties of a Semillon Wine I. Performance up to 20 Months Post-Bottling.” Australian Journal of Grape and Wine Research 7 (2): 64–105. https://doi.org/10.1111/j.1755-0238.2001.tb00196.x.\rKallithraka, S., M. I. Salacha, and I. Tzourou. 2009. “Changes in Phenolic Composition and Antioxidant Activity of White Wine during Bottle Storage: Accelerated Browning Test versus Bottle Storage.” Food Chemistry 113 (2): 500–505. https://doi.org/10.1016/j.foodchem.2008.07.083.\rLagorce-Tachon, A., T. Karbowiak, D. Champion, R. D. Gougeon, and J. P. Bellat. 2016. “How Does Hydration Affect the Mechanical Properties of Wine Stoppers?” Journal of Materials Science 51 (9): 4227–37. https://doi.org/10.1007/s10853-015-9669-6.\rMafata, M., J. Brand, V. Panzeri, M. Kidd, and A. Buica. 2019. “A Multivariate Approach to Evaluating the Chemical and Sensorial Evolution of South African Sauvignon Blanc and Chenin Blanc Wines under Different Bottle Storage Conditions.” Food Research International 125 (June): 108515. https://doi.org/10.1016/j.foodres.2019.108515.\rMas, A., J. Puig, N. Lladoa, and F. Zamora. 2002. “Sealing and Storage Position Effects on Wine Evolution.” Journal of Food Science 67 (4): 1374–78. https://doi.org/10.1111/j.1365-2621.2002.tb10292.x.\rMoreira, N., A. M. Araújo, F. Rogerson, I. Vasconcelos, V. De Freitas, and P. Guedes de Pinho. 2019. “Development and Optimization of a HS-SPME-GC-MS Methodology to Quantify Volatile Carbonyl Compounds in Port Wines.” Food Chemistry 270: 518–26. https://doi.org/10.1016/j.foodchem.2018.07.093.\rSchmidt, O., J.-C. Vidal, and G. Waidelich. 2010. “New Approach by Membrane Contactor to Manage Dissolved Gases in Wine and to Reduce Alcohol Content of Wine.” In International IVIF Congress 2010 - Intervitis Interfructa 2010.\rSchonenberger, P., J. Ducruet, A. Pernet, F. Marsan, B. Bach, P. Passeraub, D. Zufferey, and O. Vorlet. 2019. “Automatization of Membrane Contactors and Applications for the Management of Dissolved Gases in Wines.” In BIO Web of Conferences. Vol. 15. https://doi.org/10.1051/bioconf/20191502037.\rSilva, M. A., M. Julien, M. Jourdes, and P. L. Teissedre. 2011. “Impact of Closures on Wine Post-Bottling Development: A Review.” European Food Research and Technology 233 (6): 905–14. https://doi.org/10.1007/s00217-011-1603-9.\rSkouroumounis, G.K., M. J. Kwiatkowski, I. L. Francis, H. Oakey, D. L. Capone, B. Duncan, M. A. Sefton, and E. J. Waters. 2005. “The Impact of Closure Type and Storage Conditions on the Composition, Colour and Flavour Properties of the Riesling and a Wooded Chardonnay Wine during Five Years’ Storage.” Australian Journal of Grape and Wine Research. 11: 369–77.\rWirth, J., S. Caillé, J. M. Souquet, A. Samson, J. B. Dieval, S. Vidal, H. Fulcrand, and V. Cheynier. 2012. “Impact of Post-Bottling Oxygen Exposure on the Sensory Characteristics and Phenolic Composition of Grenache Rosé Wines.” Food Chemistry 132 (4): 1861–71. https://doi.org/10.1016/j.foodchem.2011.12.019.\r","plainTextFormattedCitation":"(Moreira et al. 2019)","previouslyFormattedCitation":"(Moreira et al. 2019)"},"properties":{"noteIndex":0},"schema":"https://github.com/citation-style-language/schema/raw/master/csl-citation.json"}</w:instrText>
      </w:r>
      <w:r w:rsidRPr="00F2271A">
        <w:rPr>
          <w:sz w:val="18"/>
          <w:szCs w:val="20"/>
          <w:lang w:val="en-GB"/>
        </w:rPr>
        <w:fldChar w:fldCharType="separate"/>
      </w:r>
      <w:r w:rsidR="00CE1840" w:rsidRPr="00F2271A">
        <w:rPr>
          <w:noProof/>
          <w:sz w:val="18"/>
          <w:szCs w:val="20"/>
          <w:lang w:val="en-GB"/>
        </w:rPr>
        <w:t>Cant A, Guernsey</w:t>
      </w:r>
      <w:r w:rsidR="00C04B84">
        <w:rPr>
          <w:noProof/>
          <w:sz w:val="18"/>
          <w:szCs w:val="20"/>
          <w:lang w:val="en-GB"/>
        </w:rPr>
        <w:t xml:space="preserve"> J</w:t>
      </w:r>
      <w:r w:rsidR="00CE1840" w:rsidRPr="00F2271A">
        <w:rPr>
          <w:noProof/>
          <w:sz w:val="18"/>
          <w:szCs w:val="20"/>
          <w:lang w:val="en-GB"/>
        </w:rPr>
        <w:t>, Anderson</w:t>
      </w:r>
      <w:r w:rsidR="00C04B84">
        <w:rPr>
          <w:noProof/>
          <w:sz w:val="18"/>
          <w:szCs w:val="20"/>
          <w:lang w:val="en-GB"/>
        </w:rPr>
        <w:t>M</w:t>
      </w:r>
      <w:r w:rsidR="00CE1840" w:rsidRPr="00F2271A">
        <w:rPr>
          <w:noProof/>
          <w:sz w:val="18"/>
          <w:szCs w:val="20"/>
          <w:lang w:val="en-GB"/>
        </w:rPr>
        <w:t>, Blozis</w:t>
      </w:r>
      <w:r w:rsidR="00C04B84">
        <w:rPr>
          <w:noProof/>
          <w:sz w:val="18"/>
          <w:szCs w:val="20"/>
          <w:lang w:val="en-GB"/>
        </w:rPr>
        <w:t xml:space="preserve"> S</w:t>
      </w:r>
      <w:r w:rsidR="00CE1840" w:rsidRPr="00F2271A">
        <w:rPr>
          <w:noProof/>
          <w:sz w:val="18"/>
          <w:szCs w:val="20"/>
          <w:lang w:val="en-GB"/>
        </w:rPr>
        <w:t>, Bleibaum</w:t>
      </w:r>
      <w:r w:rsidR="00C04B84">
        <w:rPr>
          <w:noProof/>
          <w:sz w:val="18"/>
          <w:szCs w:val="20"/>
          <w:lang w:val="en-GB"/>
        </w:rPr>
        <w:t xml:space="preserve"> R</w:t>
      </w:r>
      <w:r w:rsidR="00CE1840" w:rsidRPr="00F2271A">
        <w:rPr>
          <w:noProof/>
          <w:sz w:val="18"/>
          <w:szCs w:val="20"/>
          <w:lang w:val="en-GB"/>
        </w:rPr>
        <w:t>, Cyrot</w:t>
      </w:r>
      <w:r w:rsidR="00C04B84">
        <w:rPr>
          <w:noProof/>
          <w:sz w:val="18"/>
          <w:szCs w:val="20"/>
          <w:lang w:val="en-GB"/>
        </w:rPr>
        <w:t xml:space="preserve"> D</w:t>
      </w:r>
      <w:r w:rsidR="00CE1840" w:rsidRPr="00F2271A">
        <w:rPr>
          <w:noProof/>
          <w:sz w:val="18"/>
          <w:szCs w:val="20"/>
          <w:lang w:val="en-GB"/>
        </w:rPr>
        <w:t>, Waterhouse</w:t>
      </w:r>
      <w:r w:rsidR="00C04B84">
        <w:rPr>
          <w:noProof/>
          <w:sz w:val="18"/>
          <w:szCs w:val="20"/>
          <w:lang w:val="en-GB"/>
        </w:rPr>
        <w:t xml:space="preserve"> AL</w:t>
      </w:r>
      <w:r w:rsidR="00CE1840" w:rsidRPr="00F2271A">
        <w:rPr>
          <w:noProof/>
          <w:sz w:val="18"/>
          <w:szCs w:val="20"/>
          <w:lang w:val="en-GB"/>
        </w:rPr>
        <w:t xml:space="preserve"> </w:t>
      </w:r>
      <w:r w:rsidR="00C04B84">
        <w:rPr>
          <w:noProof/>
          <w:sz w:val="18"/>
          <w:szCs w:val="20"/>
          <w:lang w:val="en-GB"/>
        </w:rPr>
        <w:t>(</w:t>
      </w:r>
      <w:r w:rsidR="00CE1840" w:rsidRPr="00F2271A">
        <w:rPr>
          <w:noProof/>
          <w:sz w:val="18"/>
          <w:szCs w:val="20"/>
          <w:lang w:val="en-GB"/>
        </w:rPr>
        <w:t>2022</w:t>
      </w:r>
      <w:r w:rsidR="00C04B84">
        <w:rPr>
          <w:noProof/>
          <w:sz w:val="18"/>
          <w:szCs w:val="20"/>
          <w:lang w:val="en-GB"/>
        </w:rPr>
        <w:t>)</w:t>
      </w:r>
      <w:r w:rsidR="00CE1840" w:rsidRPr="00F2271A">
        <w:rPr>
          <w:noProof/>
          <w:sz w:val="18"/>
          <w:szCs w:val="20"/>
          <w:lang w:val="en-GB"/>
        </w:rPr>
        <w:t xml:space="preserve"> Wine Closure Performance of Three Common Closure Types: Chemical and Sensory Impact on a Sauvignon Blanc Wine. </w:t>
      </w:r>
      <w:r w:rsidR="00CE1840" w:rsidRPr="00C04B84">
        <w:rPr>
          <w:i/>
          <w:iCs/>
          <w:noProof/>
          <w:sz w:val="18"/>
          <w:szCs w:val="20"/>
        </w:rPr>
        <w:t>Molecules</w:t>
      </w:r>
      <w:r w:rsidR="00CE1840" w:rsidRPr="00741880">
        <w:rPr>
          <w:noProof/>
          <w:sz w:val="18"/>
          <w:szCs w:val="20"/>
        </w:rPr>
        <w:t xml:space="preserve"> 27 (5881). https://doi.org/10.3390/molecules27185881.</w:t>
      </w:r>
    </w:p>
    <w:p w14:paraId="52F222C7" w14:textId="793FA7D3" w:rsidR="00CE1840" w:rsidRPr="00F2271A" w:rsidRDefault="00CE1840" w:rsidP="00186B23">
      <w:pPr>
        <w:widowControl w:val="0"/>
        <w:autoSpaceDE w:val="0"/>
        <w:autoSpaceDN w:val="0"/>
        <w:adjustRightInd w:val="0"/>
        <w:ind w:left="480" w:hanging="480"/>
        <w:jc w:val="both"/>
        <w:rPr>
          <w:noProof/>
          <w:sz w:val="18"/>
          <w:szCs w:val="20"/>
          <w:lang w:val="en-GB"/>
        </w:rPr>
      </w:pPr>
      <w:r w:rsidRPr="00741880">
        <w:rPr>
          <w:noProof/>
          <w:sz w:val="18"/>
          <w:szCs w:val="20"/>
        </w:rPr>
        <w:t>Comuzzo, P, Battistutta</w:t>
      </w:r>
      <w:r w:rsidR="00C04B84">
        <w:rPr>
          <w:noProof/>
          <w:sz w:val="18"/>
          <w:szCs w:val="20"/>
        </w:rPr>
        <w:t xml:space="preserve"> F</w:t>
      </w:r>
      <w:r w:rsidRPr="00741880">
        <w:rPr>
          <w:noProof/>
          <w:sz w:val="18"/>
          <w:szCs w:val="20"/>
        </w:rPr>
        <w:t>, Vendrame</w:t>
      </w:r>
      <w:r w:rsidR="00C04B84">
        <w:rPr>
          <w:noProof/>
          <w:sz w:val="18"/>
          <w:szCs w:val="20"/>
        </w:rPr>
        <w:t xml:space="preserve"> M</w:t>
      </w:r>
      <w:r w:rsidRPr="00741880">
        <w:rPr>
          <w:noProof/>
          <w:sz w:val="18"/>
          <w:szCs w:val="20"/>
        </w:rPr>
        <w:t>, Páez</w:t>
      </w:r>
      <w:r w:rsidR="00C04B84">
        <w:rPr>
          <w:noProof/>
          <w:sz w:val="18"/>
          <w:szCs w:val="20"/>
        </w:rPr>
        <w:t xml:space="preserve"> MS</w:t>
      </w:r>
      <w:r w:rsidRPr="00741880">
        <w:rPr>
          <w:noProof/>
          <w:sz w:val="18"/>
          <w:szCs w:val="20"/>
        </w:rPr>
        <w:t>, Luisi</w:t>
      </w:r>
      <w:r w:rsidR="00C04B84">
        <w:rPr>
          <w:noProof/>
          <w:sz w:val="18"/>
          <w:szCs w:val="20"/>
        </w:rPr>
        <w:t xml:space="preserve"> G</w:t>
      </w:r>
      <w:r w:rsidRPr="00741880">
        <w:rPr>
          <w:noProof/>
          <w:sz w:val="18"/>
          <w:szCs w:val="20"/>
        </w:rPr>
        <w:t>, Zironi</w:t>
      </w:r>
      <w:r w:rsidR="00C04B84">
        <w:rPr>
          <w:noProof/>
          <w:sz w:val="18"/>
          <w:szCs w:val="20"/>
        </w:rPr>
        <w:t xml:space="preserve"> R</w:t>
      </w:r>
      <w:r w:rsidRPr="00741880">
        <w:rPr>
          <w:noProof/>
          <w:sz w:val="18"/>
          <w:szCs w:val="20"/>
        </w:rPr>
        <w:t xml:space="preserve"> </w:t>
      </w:r>
      <w:r w:rsidR="00C04B84">
        <w:rPr>
          <w:noProof/>
          <w:sz w:val="18"/>
          <w:szCs w:val="20"/>
        </w:rPr>
        <w:t>(</w:t>
      </w:r>
      <w:r w:rsidRPr="00F2271A">
        <w:rPr>
          <w:noProof/>
          <w:sz w:val="18"/>
          <w:szCs w:val="20"/>
          <w:lang w:val="en-GB"/>
        </w:rPr>
        <w:t>2015</w:t>
      </w:r>
      <w:r w:rsidR="00C04B84">
        <w:rPr>
          <w:noProof/>
          <w:sz w:val="18"/>
          <w:szCs w:val="20"/>
          <w:lang w:val="en-GB"/>
        </w:rPr>
        <w:t>)</w:t>
      </w:r>
      <w:r w:rsidRPr="00F2271A">
        <w:rPr>
          <w:noProof/>
          <w:sz w:val="18"/>
          <w:szCs w:val="20"/>
          <w:lang w:val="en-GB"/>
        </w:rPr>
        <w:t xml:space="preserve"> Antioxidant Properties of Different Products and Additives in White Wine. </w:t>
      </w:r>
      <w:r w:rsidRPr="00C04B84">
        <w:rPr>
          <w:i/>
          <w:iCs/>
          <w:noProof/>
          <w:sz w:val="18"/>
          <w:szCs w:val="20"/>
          <w:lang w:val="en-GB"/>
        </w:rPr>
        <w:t>Food Chemistry</w:t>
      </w:r>
      <w:r w:rsidRPr="00F2271A">
        <w:rPr>
          <w:noProof/>
          <w:sz w:val="18"/>
          <w:szCs w:val="20"/>
          <w:lang w:val="en-GB"/>
        </w:rPr>
        <w:t xml:space="preserve"> 168: 107–14. https://doi.org/10.1016/j.foodchem.2014.07.028.</w:t>
      </w:r>
    </w:p>
    <w:p w14:paraId="2E2D017D" w14:textId="0A3FC4A9"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Comuzzo P, Toniolo</w:t>
      </w:r>
      <w:r w:rsidR="00C04B84">
        <w:rPr>
          <w:noProof/>
          <w:sz w:val="18"/>
          <w:szCs w:val="20"/>
          <w:lang w:val="en-GB"/>
        </w:rPr>
        <w:t xml:space="preserve"> R</w:t>
      </w:r>
      <w:r w:rsidRPr="00F2271A">
        <w:rPr>
          <w:noProof/>
          <w:sz w:val="18"/>
          <w:szCs w:val="20"/>
          <w:lang w:val="en-GB"/>
        </w:rPr>
        <w:t>, Battistutta</w:t>
      </w:r>
      <w:r w:rsidR="00C04B84">
        <w:rPr>
          <w:noProof/>
          <w:sz w:val="18"/>
          <w:szCs w:val="20"/>
          <w:lang w:val="en-GB"/>
        </w:rPr>
        <w:t xml:space="preserve"> F</w:t>
      </w:r>
      <w:r w:rsidRPr="00F2271A">
        <w:rPr>
          <w:noProof/>
          <w:sz w:val="18"/>
          <w:szCs w:val="20"/>
          <w:lang w:val="en-GB"/>
        </w:rPr>
        <w:t>, Lizee</w:t>
      </w:r>
      <w:r w:rsidR="00C04B84">
        <w:rPr>
          <w:noProof/>
          <w:sz w:val="18"/>
          <w:szCs w:val="20"/>
          <w:lang w:val="en-GB"/>
        </w:rPr>
        <w:t xml:space="preserve"> M</w:t>
      </w:r>
      <w:r w:rsidRPr="00F2271A">
        <w:rPr>
          <w:noProof/>
          <w:sz w:val="18"/>
          <w:szCs w:val="20"/>
          <w:lang w:val="en-GB"/>
        </w:rPr>
        <w:t>, Svigelj</w:t>
      </w:r>
      <w:r w:rsidR="00C04B84">
        <w:rPr>
          <w:noProof/>
          <w:sz w:val="18"/>
          <w:szCs w:val="20"/>
          <w:lang w:val="en-GB"/>
        </w:rPr>
        <w:t xml:space="preserve"> R</w:t>
      </w:r>
      <w:r w:rsidRPr="00F2271A">
        <w:rPr>
          <w:noProof/>
          <w:sz w:val="18"/>
          <w:szCs w:val="20"/>
          <w:lang w:val="en-GB"/>
        </w:rPr>
        <w:t>, Zironi</w:t>
      </w:r>
      <w:r w:rsidR="00C04B84">
        <w:rPr>
          <w:noProof/>
          <w:sz w:val="18"/>
          <w:szCs w:val="20"/>
          <w:lang w:val="en-GB"/>
        </w:rPr>
        <w:t xml:space="preserve"> R</w:t>
      </w:r>
      <w:r w:rsidRPr="00F2271A">
        <w:rPr>
          <w:noProof/>
          <w:sz w:val="18"/>
          <w:szCs w:val="20"/>
          <w:lang w:val="en-GB"/>
        </w:rPr>
        <w:t xml:space="preserve"> </w:t>
      </w:r>
      <w:r w:rsidR="00C04B84">
        <w:rPr>
          <w:noProof/>
          <w:sz w:val="18"/>
          <w:szCs w:val="20"/>
          <w:lang w:val="en-GB"/>
        </w:rPr>
        <w:t>(</w:t>
      </w:r>
      <w:r w:rsidRPr="00F2271A">
        <w:rPr>
          <w:noProof/>
          <w:sz w:val="18"/>
          <w:szCs w:val="20"/>
          <w:lang w:val="en-GB"/>
        </w:rPr>
        <w:t>2017</w:t>
      </w:r>
      <w:r w:rsidR="00C04B84">
        <w:rPr>
          <w:noProof/>
          <w:sz w:val="18"/>
          <w:szCs w:val="20"/>
          <w:lang w:val="en-GB"/>
        </w:rPr>
        <w:t>)</w:t>
      </w:r>
      <w:r w:rsidRPr="00F2271A">
        <w:rPr>
          <w:noProof/>
          <w:sz w:val="18"/>
          <w:szCs w:val="20"/>
          <w:lang w:val="en-GB"/>
        </w:rPr>
        <w:t xml:space="preserve"> Oxidative Behavior of (+)-Catechin in the Presence of Inactive Dry Yeasts: A Comparison with Sulfur Dioxide, Ascorbic Acid and Glutathione. </w:t>
      </w:r>
      <w:r w:rsidRPr="00C04B84">
        <w:rPr>
          <w:i/>
          <w:iCs/>
          <w:noProof/>
          <w:sz w:val="18"/>
          <w:szCs w:val="20"/>
          <w:lang w:val="en-GB"/>
        </w:rPr>
        <w:t>Journal of the Science of Food and Agriculture</w:t>
      </w:r>
      <w:r w:rsidRPr="00F2271A">
        <w:rPr>
          <w:noProof/>
          <w:sz w:val="18"/>
          <w:szCs w:val="20"/>
          <w:lang w:val="en-GB"/>
        </w:rPr>
        <w:t xml:space="preserve"> 97 (15): 5158–67. https://doi.org/10.1002/jsfa.8397.</w:t>
      </w:r>
    </w:p>
    <w:p w14:paraId="0F9EE00B" w14:textId="114CAD9A"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Crouvisier-Urion K,</w:t>
      </w:r>
      <w:r w:rsidR="00C04B84">
        <w:rPr>
          <w:noProof/>
          <w:sz w:val="18"/>
          <w:szCs w:val="20"/>
          <w:lang w:val="en-GB"/>
        </w:rPr>
        <w:t xml:space="preserve"> </w:t>
      </w:r>
      <w:r w:rsidRPr="00F2271A">
        <w:rPr>
          <w:noProof/>
          <w:sz w:val="18"/>
          <w:szCs w:val="20"/>
          <w:lang w:val="en-GB"/>
        </w:rPr>
        <w:t>Bellat</w:t>
      </w:r>
      <w:r w:rsidR="00C04B84">
        <w:rPr>
          <w:noProof/>
          <w:sz w:val="18"/>
          <w:szCs w:val="20"/>
          <w:lang w:val="en-GB"/>
        </w:rPr>
        <w:t xml:space="preserve"> JP</w:t>
      </w:r>
      <w:r w:rsidRPr="00F2271A">
        <w:rPr>
          <w:noProof/>
          <w:sz w:val="18"/>
          <w:szCs w:val="20"/>
          <w:lang w:val="en-GB"/>
        </w:rPr>
        <w:t>, Gougeon</w:t>
      </w:r>
      <w:r w:rsidR="00C04B84">
        <w:rPr>
          <w:noProof/>
          <w:sz w:val="18"/>
          <w:szCs w:val="20"/>
          <w:lang w:val="en-GB"/>
        </w:rPr>
        <w:t xml:space="preserve"> RD</w:t>
      </w:r>
      <w:r w:rsidRPr="00F2271A">
        <w:rPr>
          <w:noProof/>
          <w:sz w:val="18"/>
          <w:szCs w:val="20"/>
          <w:lang w:val="en-GB"/>
        </w:rPr>
        <w:t>,</w:t>
      </w:r>
      <w:r w:rsidR="00C04B84">
        <w:rPr>
          <w:noProof/>
          <w:sz w:val="18"/>
          <w:szCs w:val="20"/>
          <w:lang w:val="en-GB"/>
        </w:rPr>
        <w:t xml:space="preserve"> </w:t>
      </w:r>
      <w:r w:rsidRPr="00F2271A">
        <w:rPr>
          <w:noProof/>
          <w:sz w:val="18"/>
          <w:szCs w:val="20"/>
          <w:lang w:val="en-GB"/>
        </w:rPr>
        <w:t>Karbowiak</w:t>
      </w:r>
      <w:r w:rsidR="00C04B84">
        <w:rPr>
          <w:noProof/>
          <w:sz w:val="18"/>
          <w:szCs w:val="20"/>
          <w:lang w:val="en-GB"/>
        </w:rPr>
        <w:t xml:space="preserve"> T</w:t>
      </w:r>
      <w:r w:rsidRPr="00F2271A">
        <w:rPr>
          <w:noProof/>
          <w:sz w:val="18"/>
          <w:szCs w:val="20"/>
          <w:lang w:val="en-GB"/>
        </w:rPr>
        <w:t xml:space="preserve"> </w:t>
      </w:r>
      <w:r w:rsidR="00C04B84">
        <w:rPr>
          <w:noProof/>
          <w:sz w:val="18"/>
          <w:szCs w:val="20"/>
          <w:lang w:val="en-GB"/>
        </w:rPr>
        <w:t>(</w:t>
      </w:r>
      <w:r w:rsidRPr="00F2271A">
        <w:rPr>
          <w:noProof/>
          <w:sz w:val="18"/>
          <w:szCs w:val="20"/>
          <w:lang w:val="en-GB"/>
        </w:rPr>
        <w:t>2018</w:t>
      </w:r>
      <w:r w:rsidR="00C04B84">
        <w:rPr>
          <w:noProof/>
          <w:sz w:val="18"/>
          <w:szCs w:val="20"/>
          <w:lang w:val="en-GB"/>
        </w:rPr>
        <w:t>)</w:t>
      </w:r>
      <w:r w:rsidRPr="00F2271A">
        <w:rPr>
          <w:noProof/>
          <w:sz w:val="18"/>
          <w:szCs w:val="20"/>
          <w:lang w:val="en-GB"/>
        </w:rPr>
        <w:t xml:space="preserve"> Gas Transfer through Wine Closures: A Critical Review. </w:t>
      </w:r>
      <w:r w:rsidRPr="00C04B84">
        <w:rPr>
          <w:i/>
          <w:iCs/>
          <w:noProof/>
          <w:sz w:val="18"/>
          <w:szCs w:val="20"/>
          <w:lang w:val="en-GB"/>
        </w:rPr>
        <w:t>Trends in Food Science and Technology</w:t>
      </w:r>
      <w:r w:rsidRPr="00F2271A">
        <w:rPr>
          <w:noProof/>
          <w:sz w:val="18"/>
          <w:szCs w:val="20"/>
          <w:lang w:val="en-GB"/>
        </w:rPr>
        <w:t xml:space="preserve"> 78 (May): 255–69. https://doi.org/10.1016/j.tifs.2018.05.021.</w:t>
      </w:r>
    </w:p>
    <w:p w14:paraId="5D05D259" w14:textId="7CBBA3A2"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Day</w:t>
      </w:r>
      <w:r w:rsidR="00C04B84">
        <w:rPr>
          <w:noProof/>
          <w:sz w:val="18"/>
          <w:szCs w:val="20"/>
          <w:lang w:val="en-GB"/>
        </w:rPr>
        <w:t xml:space="preserve"> </w:t>
      </w:r>
      <w:r w:rsidRPr="00F2271A">
        <w:rPr>
          <w:noProof/>
          <w:sz w:val="18"/>
          <w:szCs w:val="20"/>
          <w:lang w:val="en-GB"/>
        </w:rPr>
        <w:t>MP, Schmidt</w:t>
      </w:r>
      <w:r w:rsidR="00C04B84">
        <w:rPr>
          <w:noProof/>
          <w:sz w:val="18"/>
          <w:szCs w:val="20"/>
          <w:lang w:val="en-GB"/>
        </w:rPr>
        <w:t xml:space="preserve"> SA</w:t>
      </w:r>
      <w:r w:rsidRPr="00F2271A">
        <w:rPr>
          <w:noProof/>
          <w:sz w:val="18"/>
          <w:szCs w:val="20"/>
          <w:lang w:val="en-GB"/>
        </w:rPr>
        <w:t>, Smith</w:t>
      </w:r>
      <w:r w:rsidR="00C04B84">
        <w:rPr>
          <w:noProof/>
          <w:sz w:val="18"/>
          <w:szCs w:val="20"/>
          <w:lang w:val="en-GB"/>
        </w:rPr>
        <w:t xml:space="preserve"> PA,</w:t>
      </w:r>
      <w:r w:rsidRPr="00F2271A">
        <w:rPr>
          <w:noProof/>
          <w:sz w:val="18"/>
          <w:szCs w:val="20"/>
          <w:lang w:val="en-GB"/>
        </w:rPr>
        <w:t xml:space="preserve"> Wilkes</w:t>
      </w:r>
      <w:r w:rsidR="00C04B84">
        <w:rPr>
          <w:noProof/>
          <w:sz w:val="18"/>
          <w:szCs w:val="20"/>
          <w:lang w:val="en-GB"/>
        </w:rPr>
        <w:t xml:space="preserve"> EN</w:t>
      </w:r>
      <w:r w:rsidRPr="00F2271A">
        <w:rPr>
          <w:noProof/>
          <w:sz w:val="18"/>
          <w:szCs w:val="20"/>
          <w:lang w:val="en-GB"/>
        </w:rPr>
        <w:t xml:space="preserve"> </w:t>
      </w:r>
      <w:r w:rsidR="00C04B84">
        <w:rPr>
          <w:noProof/>
          <w:sz w:val="18"/>
          <w:szCs w:val="20"/>
          <w:lang w:val="en-GB"/>
        </w:rPr>
        <w:t>(</w:t>
      </w:r>
      <w:r w:rsidRPr="00F2271A">
        <w:rPr>
          <w:noProof/>
          <w:sz w:val="18"/>
          <w:szCs w:val="20"/>
          <w:lang w:val="en-GB"/>
        </w:rPr>
        <w:t>2015</w:t>
      </w:r>
      <w:r w:rsidR="00C04B84">
        <w:rPr>
          <w:noProof/>
          <w:sz w:val="18"/>
          <w:szCs w:val="20"/>
          <w:lang w:val="en-GB"/>
        </w:rPr>
        <w:t>)</w:t>
      </w:r>
      <w:r w:rsidRPr="00F2271A">
        <w:rPr>
          <w:noProof/>
          <w:sz w:val="18"/>
          <w:szCs w:val="20"/>
          <w:lang w:val="en-GB"/>
        </w:rPr>
        <w:t xml:space="preserve"> Use and Impact of Oxygen during Winemaking.</w:t>
      </w:r>
      <w:r w:rsidR="00E9601A">
        <w:rPr>
          <w:noProof/>
          <w:sz w:val="18"/>
          <w:szCs w:val="20"/>
          <w:lang w:val="en-GB"/>
        </w:rPr>
        <w:t xml:space="preserve"> </w:t>
      </w:r>
      <w:r w:rsidRPr="00C04B84">
        <w:rPr>
          <w:i/>
          <w:iCs/>
          <w:noProof/>
          <w:sz w:val="18"/>
          <w:szCs w:val="20"/>
          <w:lang w:val="en-GB"/>
        </w:rPr>
        <w:t>Australian Journal of Grape and Wine Research</w:t>
      </w:r>
      <w:r w:rsidRPr="00F2271A">
        <w:rPr>
          <w:noProof/>
          <w:sz w:val="18"/>
          <w:szCs w:val="20"/>
          <w:lang w:val="en-GB"/>
        </w:rPr>
        <w:t xml:space="preserve"> 21: 693–704. https://doi.org/10.1111/ajgw.12199.</w:t>
      </w:r>
    </w:p>
    <w:p w14:paraId="43637DB1" w14:textId="07DEF472" w:rsidR="00CE1840" w:rsidRPr="00F2271A" w:rsidRDefault="00CE1840" w:rsidP="00186B23">
      <w:pPr>
        <w:widowControl w:val="0"/>
        <w:autoSpaceDE w:val="0"/>
        <w:autoSpaceDN w:val="0"/>
        <w:adjustRightInd w:val="0"/>
        <w:ind w:left="480" w:hanging="480"/>
        <w:jc w:val="both"/>
        <w:rPr>
          <w:noProof/>
          <w:sz w:val="18"/>
          <w:szCs w:val="20"/>
          <w:lang w:val="en-GB"/>
        </w:rPr>
      </w:pPr>
      <w:r w:rsidRPr="00741880">
        <w:rPr>
          <w:noProof/>
          <w:sz w:val="18"/>
          <w:szCs w:val="20"/>
        </w:rPr>
        <w:t>Ferreira-Lima NE, Burin</w:t>
      </w:r>
      <w:r w:rsidR="00E9601A">
        <w:rPr>
          <w:noProof/>
          <w:sz w:val="18"/>
          <w:szCs w:val="20"/>
        </w:rPr>
        <w:t xml:space="preserve"> VM</w:t>
      </w:r>
      <w:r w:rsidRPr="00741880">
        <w:rPr>
          <w:noProof/>
          <w:sz w:val="18"/>
          <w:szCs w:val="20"/>
        </w:rPr>
        <w:t>, Bordignon-Luiz</w:t>
      </w:r>
      <w:r w:rsidR="00E9601A">
        <w:rPr>
          <w:noProof/>
          <w:sz w:val="18"/>
          <w:szCs w:val="20"/>
        </w:rPr>
        <w:t xml:space="preserve"> MT</w:t>
      </w:r>
      <w:r w:rsidRPr="00741880">
        <w:rPr>
          <w:noProof/>
          <w:sz w:val="18"/>
          <w:szCs w:val="20"/>
        </w:rPr>
        <w:t xml:space="preserve"> </w:t>
      </w:r>
      <w:r w:rsidR="00E9601A">
        <w:rPr>
          <w:noProof/>
          <w:sz w:val="18"/>
          <w:szCs w:val="20"/>
        </w:rPr>
        <w:t>(</w:t>
      </w:r>
      <w:r w:rsidRPr="00F2271A">
        <w:rPr>
          <w:noProof/>
          <w:sz w:val="18"/>
          <w:szCs w:val="20"/>
          <w:lang w:val="en-GB"/>
        </w:rPr>
        <w:t>2013</w:t>
      </w:r>
      <w:r w:rsidR="00E9601A">
        <w:rPr>
          <w:noProof/>
          <w:sz w:val="18"/>
          <w:szCs w:val="20"/>
          <w:lang w:val="en-GB"/>
        </w:rPr>
        <w:t>)</w:t>
      </w:r>
      <w:r w:rsidRPr="00F2271A">
        <w:rPr>
          <w:noProof/>
          <w:sz w:val="18"/>
          <w:szCs w:val="20"/>
          <w:lang w:val="en-GB"/>
        </w:rPr>
        <w:t xml:space="preserve"> Characterization of Goethe White Wines: Influence of Different Storage Conditions on the Wine Evolution during Bottle Aging. </w:t>
      </w:r>
      <w:r w:rsidRPr="00E9601A">
        <w:rPr>
          <w:i/>
          <w:iCs/>
          <w:noProof/>
          <w:sz w:val="18"/>
          <w:szCs w:val="20"/>
          <w:lang w:val="en-GB"/>
        </w:rPr>
        <w:t>European Food Research and Technology</w:t>
      </w:r>
      <w:r w:rsidRPr="00F2271A">
        <w:rPr>
          <w:noProof/>
          <w:sz w:val="18"/>
          <w:szCs w:val="20"/>
          <w:lang w:val="en-GB"/>
        </w:rPr>
        <w:t xml:space="preserve"> 237 (4): 509–20. https://doi.org/10.1007/s00217-013-2019-5.</w:t>
      </w:r>
    </w:p>
    <w:p w14:paraId="5AD9D594" w14:textId="4E5E8C26"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Fracassetti D, Di Canito</w:t>
      </w:r>
      <w:r w:rsidR="005152ED">
        <w:rPr>
          <w:noProof/>
          <w:sz w:val="18"/>
          <w:szCs w:val="20"/>
          <w:lang w:val="en-GB"/>
        </w:rPr>
        <w:t xml:space="preserve"> A</w:t>
      </w:r>
      <w:r w:rsidRPr="00F2271A">
        <w:rPr>
          <w:noProof/>
          <w:sz w:val="18"/>
          <w:szCs w:val="20"/>
          <w:lang w:val="en-GB"/>
        </w:rPr>
        <w:t>, Bodon</w:t>
      </w:r>
      <w:r w:rsidR="005152ED">
        <w:rPr>
          <w:noProof/>
          <w:sz w:val="18"/>
          <w:szCs w:val="20"/>
          <w:lang w:val="en-GB"/>
        </w:rPr>
        <w:t xml:space="preserve"> R</w:t>
      </w:r>
      <w:r w:rsidRPr="00F2271A">
        <w:rPr>
          <w:noProof/>
          <w:sz w:val="18"/>
          <w:szCs w:val="20"/>
          <w:lang w:val="en-GB"/>
        </w:rPr>
        <w:t>, Messina</w:t>
      </w:r>
      <w:r w:rsidR="005152ED">
        <w:rPr>
          <w:noProof/>
          <w:sz w:val="18"/>
          <w:szCs w:val="20"/>
          <w:lang w:val="en-GB"/>
        </w:rPr>
        <w:t xml:space="preserve"> N</w:t>
      </w:r>
      <w:r w:rsidRPr="00F2271A">
        <w:rPr>
          <w:noProof/>
          <w:sz w:val="18"/>
          <w:szCs w:val="20"/>
          <w:lang w:val="en-GB"/>
        </w:rPr>
        <w:t>, Vigentini</w:t>
      </w:r>
      <w:r w:rsidR="005152ED">
        <w:rPr>
          <w:noProof/>
          <w:sz w:val="18"/>
          <w:szCs w:val="20"/>
          <w:lang w:val="en-GB"/>
        </w:rPr>
        <w:t xml:space="preserve"> I</w:t>
      </w:r>
      <w:r w:rsidRPr="00F2271A">
        <w:rPr>
          <w:noProof/>
          <w:sz w:val="18"/>
          <w:szCs w:val="20"/>
          <w:lang w:val="en-GB"/>
        </w:rPr>
        <w:t>, Foschino</w:t>
      </w:r>
      <w:r w:rsidR="005152ED">
        <w:rPr>
          <w:noProof/>
          <w:sz w:val="18"/>
          <w:szCs w:val="20"/>
          <w:lang w:val="en-GB"/>
        </w:rPr>
        <w:t xml:space="preserve"> R</w:t>
      </w:r>
      <w:r w:rsidRPr="00F2271A">
        <w:rPr>
          <w:noProof/>
          <w:sz w:val="18"/>
          <w:szCs w:val="20"/>
          <w:lang w:val="en-GB"/>
        </w:rPr>
        <w:t xml:space="preserve">, </w:t>
      </w:r>
      <w:r w:rsidR="005152ED">
        <w:rPr>
          <w:noProof/>
          <w:sz w:val="18"/>
          <w:szCs w:val="20"/>
          <w:lang w:val="en-GB"/>
        </w:rPr>
        <w:t>T</w:t>
      </w:r>
      <w:r w:rsidRPr="00F2271A">
        <w:rPr>
          <w:noProof/>
          <w:sz w:val="18"/>
          <w:szCs w:val="20"/>
          <w:lang w:val="en-GB"/>
        </w:rPr>
        <w:t>irelli</w:t>
      </w:r>
      <w:r w:rsidR="005152ED">
        <w:rPr>
          <w:noProof/>
          <w:sz w:val="18"/>
          <w:szCs w:val="20"/>
          <w:lang w:val="en-GB"/>
        </w:rPr>
        <w:t xml:space="preserve"> A</w:t>
      </w:r>
      <w:r w:rsidRPr="00F2271A">
        <w:rPr>
          <w:noProof/>
          <w:sz w:val="18"/>
          <w:szCs w:val="20"/>
          <w:lang w:val="en-GB"/>
        </w:rPr>
        <w:t xml:space="preserve"> </w:t>
      </w:r>
      <w:r w:rsidR="005152ED">
        <w:rPr>
          <w:noProof/>
          <w:sz w:val="18"/>
          <w:szCs w:val="20"/>
          <w:lang w:val="en-GB"/>
        </w:rPr>
        <w:t>(</w:t>
      </w:r>
      <w:r w:rsidRPr="00F2271A">
        <w:rPr>
          <w:noProof/>
          <w:sz w:val="18"/>
          <w:szCs w:val="20"/>
          <w:lang w:val="en-GB"/>
        </w:rPr>
        <w:t>2021</w:t>
      </w:r>
      <w:r w:rsidR="005152ED">
        <w:rPr>
          <w:noProof/>
          <w:sz w:val="18"/>
          <w:szCs w:val="20"/>
          <w:lang w:val="en-GB"/>
        </w:rPr>
        <w:t>)</w:t>
      </w:r>
      <w:r w:rsidRPr="00F2271A">
        <w:rPr>
          <w:noProof/>
          <w:sz w:val="18"/>
          <w:szCs w:val="20"/>
          <w:lang w:val="en-GB"/>
        </w:rPr>
        <w:t xml:space="preserve"> Light-Struck Taste in White Wine: Reaction Mechanisms, Preventive Strategies and Future Perspectives to Preserve Wine Quality. </w:t>
      </w:r>
      <w:r w:rsidRPr="00E9601A">
        <w:rPr>
          <w:i/>
          <w:iCs/>
          <w:noProof/>
          <w:sz w:val="18"/>
          <w:szCs w:val="20"/>
          <w:lang w:val="en-GB"/>
        </w:rPr>
        <w:t>Trends in Food Science and Technology</w:t>
      </w:r>
      <w:r w:rsidRPr="00F2271A">
        <w:rPr>
          <w:noProof/>
          <w:sz w:val="18"/>
          <w:szCs w:val="20"/>
          <w:lang w:val="en-GB"/>
        </w:rPr>
        <w:t xml:space="preserve"> 112: 547–58. https://doi.org/10.1016/j.tifs.2021.04.013.</w:t>
      </w:r>
    </w:p>
    <w:p w14:paraId="71E36647" w14:textId="2CC877FD"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Godden P, Francis</w:t>
      </w:r>
      <w:r w:rsidR="005152ED">
        <w:rPr>
          <w:noProof/>
          <w:sz w:val="18"/>
          <w:szCs w:val="20"/>
          <w:lang w:val="en-GB"/>
        </w:rPr>
        <w:t xml:space="preserve"> L</w:t>
      </w:r>
      <w:r w:rsidRPr="00F2271A">
        <w:rPr>
          <w:noProof/>
          <w:sz w:val="18"/>
          <w:szCs w:val="20"/>
          <w:lang w:val="en-GB"/>
        </w:rPr>
        <w:t>, Field</w:t>
      </w:r>
      <w:r w:rsidR="005152ED">
        <w:rPr>
          <w:noProof/>
          <w:sz w:val="18"/>
          <w:szCs w:val="20"/>
          <w:lang w:val="en-GB"/>
        </w:rPr>
        <w:t xml:space="preserve"> J</w:t>
      </w:r>
      <w:r w:rsidRPr="00F2271A">
        <w:rPr>
          <w:noProof/>
          <w:sz w:val="18"/>
          <w:szCs w:val="20"/>
          <w:lang w:val="en-GB"/>
        </w:rPr>
        <w:t>, Gishen</w:t>
      </w:r>
      <w:r w:rsidR="005152ED">
        <w:rPr>
          <w:noProof/>
          <w:sz w:val="18"/>
          <w:szCs w:val="20"/>
          <w:lang w:val="en-GB"/>
        </w:rPr>
        <w:t xml:space="preserve"> M</w:t>
      </w:r>
      <w:r w:rsidRPr="00F2271A">
        <w:rPr>
          <w:noProof/>
          <w:sz w:val="18"/>
          <w:szCs w:val="20"/>
          <w:lang w:val="en-GB"/>
        </w:rPr>
        <w:t>, Coulter</w:t>
      </w:r>
      <w:r w:rsidR="005152ED">
        <w:rPr>
          <w:noProof/>
          <w:sz w:val="18"/>
          <w:szCs w:val="20"/>
          <w:lang w:val="en-GB"/>
        </w:rPr>
        <w:t xml:space="preserve"> A</w:t>
      </w:r>
      <w:r w:rsidRPr="00F2271A">
        <w:rPr>
          <w:noProof/>
          <w:sz w:val="18"/>
          <w:szCs w:val="20"/>
          <w:lang w:val="en-GB"/>
        </w:rPr>
        <w:t>, Valente</w:t>
      </w:r>
      <w:r w:rsidR="005152ED">
        <w:rPr>
          <w:noProof/>
          <w:sz w:val="18"/>
          <w:szCs w:val="20"/>
          <w:lang w:val="en-GB"/>
        </w:rPr>
        <w:t xml:space="preserve"> P</w:t>
      </w:r>
      <w:r w:rsidRPr="00F2271A">
        <w:rPr>
          <w:noProof/>
          <w:sz w:val="18"/>
          <w:szCs w:val="20"/>
          <w:lang w:val="en-GB"/>
        </w:rPr>
        <w:t>, Høj</w:t>
      </w:r>
      <w:r w:rsidR="005152ED">
        <w:rPr>
          <w:noProof/>
          <w:sz w:val="18"/>
          <w:szCs w:val="20"/>
          <w:lang w:val="en-GB"/>
        </w:rPr>
        <w:t xml:space="preserve"> P</w:t>
      </w:r>
      <w:r w:rsidRPr="00F2271A">
        <w:rPr>
          <w:noProof/>
          <w:sz w:val="18"/>
          <w:szCs w:val="20"/>
          <w:lang w:val="en-GB"/>
        </w:rPr>
        <w:t>, Robinson</w:t>
      </w:r>
      <w:r w:rsidR="005152ED">
        <w:rPr>
          <w:noProof/>
          <w:sz w:val="18"/>
          <w:szCs w:val="20"/>
          <w:lang w:val="en-GB"/>
        </w:rPr>
        <w:t xml:space="preserve"> E</w:t>
      </w:r>
      <w:r w:rsidRPr="00F2271A">
        <w:rPr>
          <w:noProof/>
          <w:sz w:val="18"/>
          <w:szCs w:val="20"/>
          <w:lang w:val="en-GB"/>
        </w:rPr>
        <w:t xml:space="preserve"> </w:t>
      </w:r>
      <w:r w:rsidR="005152ED">
        <w:rPr>
          <w:noProof/>
          <w:sz w:val="18"/>
          <w:szCs w:val="20"/>
          <w:lang w:val="en-GB"/>
        </w:rPr>
        <w:t>(</w:t>
      </w:r>
      <w:r w:rsidRPr="00F2271A">
        <w:rPr>
          <w:noProof/>
          <w:sz w:val="18"/>
          <w:szCs w:val="20"/>
          <w:lang w:val="en-GB"/>
        </w:rPr>
        <w:t>2001</w:t>
      </w:r>
      <w:r w:rsidR="005152ED">
        <w:rPr>
          <w:noProof/>
          <w:sz w:val="18"/>
          <w:szCs w:val="20"/>
          <w:lang w:val="en-GB"/>
        </w:rPr>
        <w:t>)</w:t>
      </w:r>
      <w:r w:rsidRPr="00F2271A">
        <w:rPr>
          <w:noProof/>
          <w:sz w:val="18"/>
          <w:szCs w:val="20"/>
          <w:lang w:val="en-GB"/>
        </w:rPr>
        <w:t xml:space="preserve"> Wine Bottle Closures: Physical Characteristics and Effect on Composition and Sensory Properties of a Semillon Wine I. Performance up to 20 Months Post-Bottling. </w:t>
      </w:r>
      <w:r w:rsidRPr="00E9601A">
        <w:rPr>
          <w:i/>
          <w:iCs/>
          <w:noProof/>
          <w:sz w:val="18"/>
          <w:szCs w:val="20"/>
          <w:lang w:val="en-GB"/>
        </w:rPr>
        <w:t>Australian Journal of Grape and Wine Research</w:t>
      </w:r>
      <w:r w:rsidRPr="00F2271A">
        <w:rPr>
          <w:noProof/>
          <w:sz w:val="18"/>
          <w:szCs w:val="20"/>
          <w:lang w:val="en-GB"/>
        </w:rPr>
        <w:t xml:space="preserve"> 7 (2): 64–105. https://doi.org/10.1111/j.1755-0238.2001.tb00196.x.</w:t>
      </w:r>
    </w:p>
    <w:p w14:paraId="3BD7B7FD" w14:textId="56BF9E13"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Kallithraka S, Salacha</w:t>
      </w:r>
      <w:r w:rsidR="005152ED">
        <w:rPr>
          <w:noProof/>
          <w:sz w:val="18"/>
          <w:szCs w:val="20"/>
          <w:lang w:val="en-GB"/>
        </w:rPr>
        <w:t xml:space="preserve"> MI</w:t>
      </w:r>
      <w:r w:rsidRPr="00F2271A">
        <w:rPr>
          <w:noProof/>
          <w:sz w:val="18"/>
          <w:szCs w:val="20"/>
          <w:lang w:val="en-GB"/>
        </w:rPr>
        <w:t>, Tzourou</w:t>
      </w:r>
      <w:r w:rsidR="005152ED">
        <w:rPr>
          <w:noProof/>
          <w:sz w:val="18"/>
          <w:szCs w:val="20"/>
          <w:lang w:val="en-GB"/>
        </w:rPr>
        <w:t xml:space="preserve"> I</w:t>
      </w:r>
      <w:r w:rsidRPr="00F2271A">
        <w:rPr>
          <w:noProof/>
          <w:sz w:val="18"/>
          <w:szCs w:val="20"/>
          <w:lang w:val="en-GB"/>
        </w:rPr>
        <w:t xml:space="preserve"> </w:t>
      </w:r>
      <w:r w:rsidR="005152ED">
        <w:rPr>
          <w:noProof/>
          <w:sz w:val="18"/>
          <w:szCs w:val="20"/>
          <w:lang w:val="en-GB"/>
        </w:rPr>
        <w:t>(</w:t>
      </w:r>
      <w:r w:rsidRPr="00F2271A">
        <w:rPr>
          <w:noProof/>
          <w:sz w:val="18"/>
          <w:szCs w:val="20"/>
          <w:lang w:val="en-GB"/>
        </w:rPr>
        <w:t>2009</w:t>
      </w:r>
      <w:r w:rsidR="005152ED">
        <w:rPr>
          <w:noProof/>
          <w:sz w:val="18"/>
          <w:szCs w:val="20"/>
          <w:lang w:val="en-GB"/>
        </w:rPr>
        <w:t>)</w:t>
      </w:r>
      <w:r w:rsidRPr="00F2271A">
        <w:rPr>
          <w:noProof/>
          <w:sz w:val="18"/>
          <w:szCs w:val="20"/>
          <w:lang w:val="en-GB"/>
        </w:rPr>
        <w:t xml:space="preserve"> Changes in Phenolic Composition and Antioxidant Activity of White Wine during Bottle Storage: Accelerated Browning Test versus Bottle Storage. </w:t>
      </w:r>
      <w:r w:rsidRPr="00650961">
        <w:rPr>
          <w:i/>
          <w:iCs/>
          <w:noProof/>
          <w:sz w:val="18"/>
          <w:szCs w:val="20"/>
          <w:lang w:val="en-GB"/>
        </w:rPr>
        <w:t>Food Chemistry</w:t>
      </w:r>
      <w:r w:rsidRPr="00F2271A">
        <w:rPr>
          <w:noProof/>
          <w:sz w:val="18"/>
          <w:szCs w:val="20"/>
          <w:lang w:val="en-GB"/>
        </w:rPr>
        <w:t xml:space="preserve"> 113 (2): 500–505. https://doi.org/10.1016/j.foodchem.2008.07.083.</w:t>
      </w:r>
    </w:p>
    <w:p w14:paraId="5DBA4B09" w14:textId="495E36AE"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Lagorce-Tachon, A, Karbowiak</w:t>
      </w:r>
      <w:r w:rsidR="005152ED">
        <w:rPr>
          <w:noProof/>
          <w:sz w:val="18"/>
          <w:szCs w:val="20"/>
          <w:lang w:val="en-GB"/>
        </w:rPr>
        <w:t xml:space="preserve"> T</w:t>
      </w:r>
      <w:r w:rsidRPr="00F2271A">
        <w:rPr>
          <w:noProof/>
          <w:sz w:val="18"/>
          <w:szCs w:val="20"/>
          <w:lang w:val="en-GB"/>
        </w:rPr>
        <w:t>, Champion</w:t>
      </w:r>
      <w:r w:rsidR="005152ED">
        <w:rPr>
          <w:noProof/>
          <w:sz w:val="18"/>
          <w:szCs w:val="20"/>
          <w:lang w:val="en-GB"/>
        </w:rPr>
        <w:t xml:space="preserve"> D</w:t>
      </w:r>
      <w:r w:rsidRPr="00F2271A">
        <w:rPr>
          <w:noProof/>
          <w:sz w:val="18"/>
          <w:szCs w:val="20"/>
          <w:lang w:val="en-GB"/>
        </w:rPr>
        <w:t>, Gougeon</w:t>
      </w:r>
      <w:r w:rsidR="005152ED">
        <w:rPr>
          <w:noProof/>
          <w:sz w:val="18"/>
          <w:szCs w:val="20"/>
          <w:lang w:val="en-GB"/>
        </w:rPr>
        <w:t xml:space="preserve"> RD</w:t>
      </w:r>
      <w:r w:rsidRPr="00F2271A">
        <w:rPr>
          <w:noProof/>
          <w:sz w:val="18"/>
          <w:szCs w:val="20"/>
          <w:lang w:val="en-GB"/>
        </w:rPr>
        <w:t>, Bellat</w:t>
      </w:r>
      <w:r w:rsidR="005152ED">
        <w:rPr>
          <w:noProof/>
          <w:sz w:val="18"/>
          <w:szCs w:val="20"/>
          <w:lang w:val="en-GB"/>
        </w:rPr>
        <w:t xml:space="preserve"> JP</w:t>
      </w:r>
      <w:r w:rsidRPr="00F2271A">
        <w:rPr>
          <w:noProof/>
          <w:sz w:val="18"/>
          <w:szCs w:val="20"/>
          <w:lang w:val="en-GB"/>
        </w:rPr>
        <w:t xml:space="preserve"> </w:t>
      </w:r>
      <w:r w:rsidR="005152ED">
        <w:rPr>
          <w:noProof/>
          <w:sz w:val="18"/>
          <w:szCs w:val="20"/>
          <w:lang w:val="en-GB"/>
        </w:rPr>
        <w:t>(</w:t>
      </w:r>
      <w:r w:rsidRPr="00F2271A">
        <w:rPr>
          <w:noProof/>
          <w:sz w:val="18"/>
          <w:szCs w:val="20"/>
          <w:lang w:val="en-GB"/>
        </w:rPr>
        <w:t>2016</w:t>
      </w:r>
      <w:r w:rsidR="005152ED">
        <w:rPr>
          <w:noProof/>
          <w:sz w:val="18"/>
          <w:szCs w:val="20"/>
          <w:lang w:val="en-GB"/>
        </w:rPr>
        <w:t>)</w:t>
      </w:r>
      <w:r w:rsidRPr="00F2271A">
        <w:rPr>
          <w:noProof/>
          <w:sz w:val="18"/>
          <w:szCs w:val="20"/>
          <w:lang w:val="en-GB"/>
        </w:rPr>
        <w:t xml:space="preserve"> How Does Hydration Affect the Mechanical Properties of Wine Stoppers? </w:t>
      </w:r>
      <w:r w:rsidRPr="00E9601A">
        <w:rPr>
          <w:i/>
          <w:iCs/>
          <w:noProof/>
          <w:sz w:val="18"/>
          <w:szCs w:val="20"/>
          <w:lang w:val="en-GB"/>
        </w:rPr>
        <w:t>Journal of Materials Science</w:t>
      </w:r>
      <w:r w:rsidRPr="00F2271A">
        <w:rPr>
          <w:noProof/>
          <w:sz w:val="18"/>
          <w:szCs w:val="20"/>
          <w:lang w:val="en-GB"/>
        </w:rPr>
        <w:t xml:space="preserve"> 51 (9): 4227–37. https://doi.org/10.1007/s10853-015-9669-6.</w:t>
      </w:r>
    </w:p>
    <w:p w14:paraId="4EDD8836" w14:textId="5E715EC8"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Mafata M, Brand</w:t>
      </w:r>
      <w:r w:rsidR="005152ED">
        <w:rPr>
          <w:noProof/>
          <w:sz w:val="18"/>
          <w:szCs w:val="20"/>
          <w:lang w:val="en-GB"/>
        </w:rPr>
        <w:t xml:space="preserve"> J</w:t>
      </w:r>
      <w:r w:rsidRPr="00F2271A">
        <w:rPr>
          <w:noProof/>
          <w:sz w:val="18"/>
          <w:szCs w:val="20"/>
          <w:lang w:val="en-GB"/>
        </w:rPr>
        <w:t>, Panzeri</w:t>
      </w:r>
      <w:r w:rsidR="005152ED">
        <w:rPr>
          <w:noProof/>
          <w:sz w:val="18"/>
          <w:szCs w:val="20"/>
          <w:lang w:val="en-GB"/>
        </w:rPr>
        <w:t xml:space="preserve"> V</w:t>
      </w:r>
      <w:r w:rsidRPr="00F2271A">
        <w:rPr>
          <w:noProof/>
          <w:sz w:val="18"/>
          <w:szCs w:val="20"/>
          <w:lang w:val="en-GB"/>
        </w:rPr>
        <w:t>, Kidd</w:t>
      </w:r>
      <w:r w:rsidR="005152ED">
        <w:rPr>
          <w:noProof/>
          <w:sz w:val="18"/>
          <w:szCs w:val="20"/>
          <w:lang w:val="en-GB"/>
        </w:rPr>
        <w:t xml:space="preserve"> M</w:t>
      </w:r>
      <w:r w:rsidRPr="00F2271A">
        <w:rPr>
          <w:noProof/>
          <w:sz w:val="18"/>
          <w:szCs w:val="20"/>
          <w:lang w:val="en-GB"/>
        </w:rPr>
        <w:t>, Buica</w:t>
      </w:r>
      <w:r w:rsidR="005152ED">
        <w:rPr>
          <w:noProof/>
          <w:sz w:val="18"/>
          <w:szCs w:val="20"/>
          <w:lang w:val="en-GB"/>
        </w:rPr>
        <w:t xml:space="preserve"> A</w:t>
      </w:r>
      <w:r w:rsidRPr="00F2271A">
        <w:rPr>
          <w:noProof/>
          <w:sz w:val="18"/>
          <w:szCs w:val="20"/>
          <w:lang w:val="en-GB"/>
        </w:rPr>
        <w:t xml:space="preserve"> </w:t>
      </w:r>
      <w:r w:rsidR="005152ED">
        <w:rPr>
          <w:noProof/>
          <w:sz w:val="18"/>
          <w:szCs w:val="20"/>
          <w:lang w:val="en-GB"/>
        </w:rPr>
        <w:t>(</w:t>
      </w:r>
      <w:r w:rsidRPr="00F2271A">
        <w:rPr>
          <w:noProof/>
          <w:sz w:val="18"/>
          <w:szCs w:val="20"/>
          <w:lang w:val="en-GB"/>
        </w:rPr>
        <w:t>2019</w:t>
      </w:r>
      <w:r w:rsidR="005152ED">
        <w:rPr>
          <w:noProof/>
          <w:sz w:val="18"/>
          <w:szCs w:val="20"/>
          <w:lang w:val="en-GB"/>
        </w:rPr>
        <w:t>)</w:t>
      </w:r>
      <w:r w:rsidRPr="00F2271A">
        <w:rPr>
          <w:noProof/>
          <w:sz w:val="18"/>
          <w:szCs w:val="20"/>
          <w:lang w:val="en-GB"/>
        </w:rPr>
        <w:t xml:space="preserve"> A Multivariate Approach to Evaluating the Chemical and Sensorial Evolution of South African Sauvignon Blanc and Chenin Blanc Wines under Different Bottle Storage Conditions. </w:t>
      </w:r>
      <w:r w:rsidRPr="00E9601A">
        <w:rPr>
          <w:i/>
          <w:iCs/>
          <w:noProof/>
          <w:sz w:val="18"/>
          <w:szCs w:val="20"/>
          <w:lang w:val="en-GB"/>
        </w:rPr>
        <w:t>Food Research International</w:t>
      </w:r>
      <w:r w:rsidRPr="00F2271A">
        <w:rPr>
          <w:noProof/>
          <w:sz w:val="18"/>
          <w:szCs w:val="20"/>
          <w:lang w:val="en-GB"/>
        </w:rPr>
        <w:t xml:space="preserve"> 125 (June): 108515. https://doi.org/10.1016/j.foodres.2019.108515.</w:t>
      </w:r>
    </w:p>
    <w:p w14:paraId="23BF67B2" w14:textId="5B9011B5"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Mas A, Puig</w:t>
      </w:r>
      <w:r w:rsidR="005152ED">
        <w:rPr>
          <w:noProof/>
          <w:sz w:val="18"/>
          <w:szCs w:val="20"/>
          <w:lang w:val="en-GB"/>
        </w:rPr>
        <w:t xml:space="preserve"> J</w:t>
      </w:r>
      <w:r w:rsidRPr="00F2271A">
        <w:rPr>
          <w:noProof/>
          <w:sz w:val="18"/>
          <w:szCs w:val="20"/>
          <w:lang w:val="en-GB"/>
        </w:rPr>
        <w:t>, Lladoa</w:t>
      </w:r>
      <w:r w:rsidR="005152ED">
        <w:rPr>
          <w:noProof/>
          <w:sz w:val="18"/>
          <w:szCs w:val="20"/>
          <w:lang w:val="en-GB"/>
        </w:rPr>
        <w:t xml:space="preserve"> N</w:t>
      </w:r>
      <w:r w:rsidRPr="00F2271A">
        <w:rPr>
          <w:noProof/>
          <w:sz w:val="18"/>
          <w:szCs w:val="20"/>
          <w:lang w:val="en-GB"/>
        </w:rPr>
        <w:t>, Zamora</w:t>
      </w:r>
      <w:r w:rsidR="005152ED">
        <w:rPr>
          <w:noProof/>
          <w:sz w:val="18"/>
          <w:szCs w:val="20"/>
          <w:lang w:val="en-GB"/>
        </w:rPr>
        <w:t xml:space="preserve"> F</w:t>
      </w:r>
      <w:r w:rsidRPr="00F2271A">
        <w:rPr>
          <w:noProof/>
          <w:sz w:val="18"/>
          <w:szCs w:val="20"/>
          <w:lang w:val="en-GB"/>
        </w:rPr>
        <w:t xml:space="preserve"> </w:t>
      </w:r>
      <w:r w:rsidR="005152ED">
        <w:rPr>
          <w:noProof/>
          <w:sz w:val="18"/>
          <w:szCs w:val="20"/>
          <w:lang w:val="en-GB"/>
        </w:rPr>
        <w:t>(</w:t>
      </w:r>
      <w:r w:rsidRPr="00F2271A">
        <w:rPr>
          <w:noProof/>
          <w:sz w:val="18"/>
          <w:szCs w:val="20"/>
          <w:lang w:val="en-GB"/>
        </w:rPr>
        <w:t>2002</w:t>
      </w:r>
      <w:r w:rsidR="005152ED">
        <w:rPr>
          <w:noProof/>
          <w:sz w:val="18"/>
          <w:szCs w:val="20"/>
          <w:lang w:val="en-GB"/>
        </w:rPr>
        <w:t>)</w:t>
      </w:r>
      <w:r w:rsidRPr="00F2271A">
        <w:rPr>
          <w:noProof/>
          <w:sz w:val="18"/>
          <w:szCs w:val="20"/>
          <w:lang w:val="en-GB"/>
        </w:rPr>
        <w:t xml:space="preserve"> Sealing and Storage Position Effects on Wine Evolution. </w:t>
      </w:r>
      <w:r w:rsidRPr="00E9601A">
        <w:rPr>
          <w:i/>
          <w:iCs/>
          <w:noProof/>
          <w:sz w:val="18"/>
          <w:szCs w:val="20"/>
          <w:lang w:val="en-GB"/>
        </w:rPr>
        <w:t xml:space="preserve">Journal of Food Science </w:t>
      </w:r>
      <w:r w:rsidRPr="00F2271A">
        <w:rPr>
          <w:noProof/>
          <w:sz w:val="18"/>
          <w:szCs w:val="20"/>
          <w:lang w:val="en-GB"/>
        </w:rPr>
        <w:t>67 (4): 1374–78. https://doi.org/10.1111/j.1365-2621.2002.tb10292.x.</w:t>
      </w:r>
    </w:p>
    <w:p w14:paraId="00F9D69C" w14:textId="18D36780" w:rsidR="00CE1840" w:rsidRPr="00F2271A" w:rsidRDefault="00CE1840" w:rsidP="00186B23">
      <w:pPr>
        <w:widowControl w:val="0"/>
        <w:autoSpaceDE w:val="0"/>
        <w:autoSpaceDN w:val="0"/>
        <w:adjustRightInd w:val="0"/>
        <w:ind w:left="480" w:hanging="480"/>
        <w:jc w:val="both"/>
        <w:rPr>
          <w:noProof/>
          <w:sz w:val="18"/>
          <w:szCs w:val="20"/>
          <w:lang w:val="en-GB"/>
        </w:rPr>
      </w:pPr>
      <w:r w:rsidRPr="00741880">
        <w:rPr>
          <w:noProof/>
          <w:sz w:val="18"/>
          <w:szCs w:val="20"/>
          <w:lang w:val="es-ES"/>
        </w:rPr>
        <w:t>Moreira N, Araújo</w:t>
      </w:r>
      <w:r w:rsidR="005152ED">
        <w:rPr>
          <w:noProof/>
          <w:sz w:val="18"/>
          <w:szCs w:val="20"/>
          <w:lang w:val="es-ES"/>
        </w:rPr>
        <w:t xml:space="preserve"> AM</w:t>
      </w:r>
      <w:r w:rsidRPr="00741880">
        <w:rPr>
          <w:noProof/>
          <w:sz w:val="18"/>
          <w:szCs w:val="20"/>
          <w:lang w:val="es-ES"/>
        </w:rPr>
        <w:t>, Rogerson</w:t>
      </w:r>
      <w:r w:rsidR="005152ED">
        <w:rPr>
          <w:noProof/>
          <w:sz w:val="18"/>
          <w:szCs w:val="20"/>
          <w:lang w:val="es-ES"/>
        </w:rPr>
        <w:t xml:space="preserve"> F</w:t>
      </w:r>
      <w:r w:rsidRPr="00741880">
        <w:rPr>
          <w:noProof/>
          <w:sz w:val="18"/>
          <w:szCs w:val="20"/>
          <w:lang w:val="es-ES"/>
        </w:rPr>
        <w:t>, Vasconcelos</w:t>
      </w:r>
      <w:r w:rsidR="005152ED">
        <w:rPr>
          <w:noProof/>
          <w:sz w:val="18"/>
          <w:szCs w:val="20"/>
          <w:lang w:val="es-ES"/>
        </w:rPr>
        <w:t xml:space="preserve"> I</w:t>
      </w:r>
      <w:r w:rsidRPr="00741880">
        <w:rPr>
          <w:noProof/>
          <w:sz w:val="18"/>
          <w:szCs w:val="20"/>
          <w:lang w:val="es-ES"/>
        </w:rPr>
        <w:t>, De Freitas</w:t>
      </w:r>
      <w:r w:rsidR="005152ED">
        <w:rPr>
          <w:noProof/>
          <w:sz w:val="18"/>
          <w:szCs w:val="20"/>
          <w:lang w:val="es-ES"/>
        </w:rPr>
        <w:t xml:space="preserve"> V</w:t>
      </w:r>
      <w:r w:rsidRPr="00741880">
        <w:rPr>
          <w:noProof/>
          <w:sz w:val="18"/>
          <w:szCs w:val="20"/>
          <w:lang w:val="es-ES"/>
        </w:rPr>
        <w:t>, Guedes de Pinho</w:t>
      </w:r>
      <w:r w:rsidR="005152ED">
        <w:rPr>
          <w:noProof/>
          <w:sz w:val="18"/>
          <w:szCs w:val="20"/>
          <w:lang w:val="es-ES"/>
        </w:rPr>
        <w:t xml:space="preserve"> P</w:t>
      </w:r>
      <w:r w:rsidRPr="00741880">
        <w:rPr>
          <w:noProof/>
          <w:sz w:val="18"/>
          <w:szCs w:val="20"/>
          <w:lang w:val="es-ES"/>
        </w:rPr>
        <w:t xml:space="preserve"> </w:t>
      </w:r>
      <w:r w:rsidR="00E9601A">
        <w:rPr>
          <w:noProof/>
          <w:sz w:val="18"/>
          <w:szCs w:val="20"/>
          <w:lang w:val="es-ES"/>
        </w:rPr>
        <w:t>(</w:t>
      </w:r>
      <w:r w:rsidRPr="00F2271A">
        <w:rPr>
          <w:noProof/>
          <w:sz w:val="18"/>
          <w:szCs w:val="20"/>
          <w:lang w:val="en-GB"/>
        </w:rPr>
        <w:t>2019</w:t>
      </w:r>
      <w:r w:rsidR="00E9601A">
        <w:rPr>
          <w:noProof/>
          <w:sz w:val="18"/>
          <w:szCs w:val="20"/>
          <w:lang w:val="en-GB"/>
        </w:rPr>
        <w:t>)</w:t>
      </w:r>
      <w:r w:rsidRPr="00F2271A">
        <w:rPr>
          <w:noProof/>
          <w:sz w:val="18"/>
          <w:szCs w:val="20"/>
          <w:lang w:val="en-GB"/>
        </w:rPr>
        <w:t xml:space="preserve"> Development and Optimization of a HS-SPME-GC-MS Methodology to Quantify Volatile Carbonyl Compounds in Port Wines. </w:t>
      </w:r>
      <w:r w:rsidRPr="00E9601A">
        <w:rPr>
          <w:i/>
          <w:iCs/>
          <w:noProof/>
          <w:sz w:val="18"/>
          <w:szCs w:val="20"/>
          <w:lang w:val="en-GB"/>
        </w:rPr>
        <w:t>Food Chemistry</w:t>
      </w:r>
      <w:r w:rsidRPr="00F2271A">
        <w:rPr>
          <w:noProof/>
          <w:sz w:val="18"/>
          <w:szCs w:val="20"/>
          <w:lang w:val="en-GB"/>
        </w:rPr>
        <w:t xml:space="preserve"> 270: 518–26. https://doi.org/10.1016/j.foodchem.2018.07.093.</w:t>
      </w:r>
    </w:p>
    <w:p w14:paraId="0BAAC1F7" w14:textId="5E6A8742"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Schmidt O, Vidal</w:t>
      </w:r>
      <w:r w:rsidR="00E9601A">
        <w:rPr>
          <w:noProof/>
          <w:sz w:val="18"/>
          <w:szCs w:val="20"/>
          <w:lang w:val="en-GB"/>
        </w:rPr>
        <w:t xml:space="preserve"> JC</w:t>
      </w:r>
      <w:r w:rsidRPr="00F2271A">
        <w:rPr>
          <w:noProof/>
          <w:sz w:val="18"/>
          <w:szCs w:val="20"/>
          <w:lang w:val="en-GB"/>
        </w:rPr>
        <w:t>, Waidelich</w:t>
      </w:r>
      <w:r w:rsidR="00E9601A">
        <w:rPr>
          <w:noProof/>
          <w:sz w:val="18"/>
          <w:szCs w:val="20"/>
          <w:lang w:val="en-GB"/>
        </w:rPr>
        <w:t xml:space="preserve"> G</w:t>
      </w:r>
      <w:r w:rsidR="00650961">
        <w:rPr>
          <w:noProof/>
          <w:sz w:val="18"/>
          <w:szCs w:val="20"/>
          <w:lang w:val="en-GB"/>
        </w:rPr>
        <w:t xml:space="preserve"> </w:t>
      </w:r>
      <w:r w:rsidR="00E9601A">
        <w:rPr>
          <w:noProof/>
          <w:sz w:val="18"/>
          <w:szCs w:val="20"/>
          <w:lang w:val="en-GB"/>
        </w:rPr>
        <w:t>(</w:t>
      </w:r>
      <w:r w:rsidRPr="00F2271A">
        <w:rPr>
          <w:noProof/>
          <w:sz w:val="18"/>
          <w:szCs w:val="20"/>
          <w:lang w:val="en-GB"/>
        </w:rPr>
        <w:t>2010</w:t>
      </w:r>
      <w:r w:rsidR="00E9601A">
        <w:rPr>
          <w:noProof/>
          <w:sz w:val="18"/>
          <w:szCs w:val="20"/>
          <w:lang w:val="en-GB"/>
        </w:rPr>
        <w:t>)</w:t>
      </w:r>
      <w:r w:rsidRPr="00F2271A">
        <w:rPr>
          <w:noProof/>
          <w:sz w:val="18"/>
          <w:szCs w:val="20"/>
          <w:lang w:val="en-GB"/>
        </w:rPr>
        <w:t xml:space="preserve"> New Approach by Membrane Contactor to Manage Dissolved Gases in Wine and to Reduce Alcohol Content of Wine. </w:t>
      </w:r>
      <w:r w:rsidRPr="00E9601A">
        <w:rPr>
          <w:i/>
          <w:iCs/>
          <w:noProof/>
          <w:sz w:val="18"/>
          <w:szCs w:val="20"/>
          <w:lang w:val="en-GB"/>
        </w:rPr>
        <w:t>International IVIF Congress 2010 - Intervitis Interfructa 2010.</w:t>
      </w:r>
    </w:p>
    <w:p w14:paraId="30DFE96A" w14:textId="16C4D062"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Schonenberger P, Ducruet</w:t>
      </w:r>
      <w:r w:rsidR="00E9601A">
        <w:rPr>
          <w:noProof/>
          <w:sz w:val="18"/>
          <w:szCs w:val="20"/>
          <w:lang w:val="en-GB"/>
        </w:rPr>
        <w:t xml:space="preserve"> J</w:t>
      </w:r>
      <w:r w:rsidRPr="00F2271A">
        <w:rPr>
          <w:noProof/>
          <w:sz w:val="18"/>
          <w:szCs w:val="20"/>
          <w:lang w:val="en-GB"/>
        </w:rPr>
        <w:t>, Pernet</w:t>
      </w:r>
      <w:r w:rsidR="00E9601A">
        <w:rPr>
          <w:noProof/>
          <w:sz w:val="18"/>
          <w:szCs w:val="20"/>
          <w:lang w:val="en-GB"/>
        </w:rPr>
        <w:t xml:space="preserve"> A</w:t>
      </w:r>
      <w:r w:rsidRPr="00F2271A">
        <w:rPr>
          <w:noProof/>
          <w:sz w:val="18"/>
          <w:szCs w:val="20"/>
          <w:lang w:val="en-GB"/>
        </w:rPr>
        <w:t>, Marsan</w:t>
      </w:r>
      <w:r w:rsidR="00E9601A">
        <w:rPr>
          <w:noProof/>
          <w:sz w:val="18"/>
          <w:szCs w:val="20"/>
          <w:lang w:val="en-GB"/>
        </w:rPr>
        <w:t xml:space="preserve"> F</w:t>
      </w:r>
      <w:r w:rsidRPr="00F2271A">
        <w:rPr>
          <w:noProof/>
          <w:sz w:val="18"/>
          <w:szCs w:val="20"/>
          <w:lang w:val="en-GB"/>
        </w:rPr>
        <w:t>, Bach</w:t>
      </w:r>
      <w:r w:rsidR="00E9601A">
        <w:rPr>
          <w:noProof/>
          <w:sz w:val="18"/>
          <w:szCs w:val="20"/>
          <w:lang w:val="en-GB"/>
        </w:rPr>
        <w:t xml:space="preserve"> B</w:t>
      </w:r>
      <w:r w:rsidRPr="00F2271A">
        <w:rPr>
          <w:noProof/>
          <w:sz w:val="18"/>
          <w:szCs w:val="20"/>
          <w:lang w:val="en-GB"/>
        </w:rPr>
        <w:t>, Passeraub</w:t>
      </w:r>
      <w:r w:rsidR="00E9601A">
        <w:rPr>
          <w:noProof/>
          <w:sz w:val="18"/>
          <w:szCs w:val="20"/>
          <w:lang w:val="en-GB"/>
        </w:rPr>
        <w:t xml:space="preserve"> P</w:t>
      </w:r>
      <w:r w:rsidRPr="00F2271A">
        <w:rPr>
          <w:noProof/>
          <w:sz w:val="18"/>
          <w:szCs w:val="20"/>
          <w:lang w:val="en-GB"/>
        </w:rPr>
        <w:t>, Zufferey</w:t>
      </w:r>
      <w:r w:rsidR="00E9601A">
        <w:rPr>
          <w:noProof/>
          <w:sz w:val="18"/>
          <w:szCs w:val="20"/>
          <w:lang w:val="en-GB"/>
        </w:rPr>
        <w:t xml:space="preserve"> D</w:t>
      </w:r>
      <w:r w:rsidRPr="00F2271A">
        <w:rPr>
          <w:noProof/>
          <w:sz w:val="18"/>
          <w:szCs w:val="20"/>
          <w:lang w:val="en-GB"/>
        </w:rPr>
        <w:t>, Vorlet</w:t>
      </w:r>
      <w:r w:rsidR="00E9601A">
        <w:rPr>
          <w:noProof/>
          <w:sz w:val="18"/>
          <w:szCs w:val="20"/>
          <w:lang w:val="en-GB"/>
        </w:rPr>
        <w:t xml:space="preserve"> O</w:t>
      </w:r>
      <w:r w:rsidRPr="00F2271A">
        <w:rPr>
          <w:noProof/>
          <w:sz w:val="18"/>
          <w:szCs w:val="20"/>
          <w:lang w:val="en-GB"/>
        </w:rPr>
        <w:t xml:space="preserve"> </w:t>
      </w:r>
      <w:r w:rsidR="00E9601A">
        <w:rPr>
          <w:noProof/>
          <w:sz w:val="18"/>
          <w:szCs w:val="20"/>
          <w:lang w:val="en-GB"/>
        </w:rPr>
        <w:t>(</w:t>
      </w:r>
      <w:r w:rsidRPr="00F2271A">
        <w:rPr>
          <w:noProof/>
          <w:sz w:val="18"/>
          <w:szCs w:val="20"/>
          <w:lang w:val="en-GB"/>
        </w:rPr>
        <w:t>2019</w:t>
      </w:r>
      <w:r w:rsidR="00E9601A">
        <w:rPr>
          <w:noProof/>
          <w:sz w:val="18"/>
          <w:szCs w:val="20"/>
          <w:lang w:val="en-GB"/>
        </w:rPr>
        <w:t>)</w:t>
      </w:r>
      <w:r w:rsidRPr="00F2271A">
        <w:rPr>
          <w:noProof/>
          <w:sz w:val="18"/>
          <w:szCs w:val="20"/>
          <w:lang w:val="en-GB"/>
        </w:rPr>
        <w:t xml:space="preserve"> Automatization of Membrane Contactors and Applications for the Management of Dissolved Gases in Wines. </w:t>
      </w:r>
      <w:r w:rsidRPr="00E9601A">
        <w:rPr>
          <w:i/>
          <w:iCs/>
          <w:noProof/>
          <w:sz w:val="18"/>
          <w:szCs w:val="20"/>
          <w:lang w:val="en-GB"/>
        </w:rPr>
        <w:t>BIO Web of Conferences</w:t>
      </w:r>
      <w:r w:rsidRPr="00F2271A">
        <w:rPr>
          <w:noProof/>
          <w:sz w:val="18"/>
          <w:szCs w:val="20"/>
          <w:lang w:val="en-GB"/>
        </w:rPr>
        <w:t xml:space="preserve"> Vol. 15. https://doi.org/10.1051/bioconf/20191502037.</w:t>
      </w:r>
    </w:p>
    <w:p w14:paraId="190A4DD5" w14:textId="582D6D4D"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Silva MA, Julien</w:t>
      </w:r>
      <w:r w:rsidR="00E9601A">
        <w:rPr>
          <w:noProof/>
          <w:sz w:val="18"/>
          <w:szCs w:val="20"/>
          <w:lang w:val="en-GB"/>
        </w:rPr>
        <w:t xml:space="preserve"> M</w:t>
      </w:r>
      <w:r w:rsidRPr="00F2271A">
        <w:rPr>
          <w:noProof/>
          <w:sz w:val="18"/>
          <w:szCs w:val="20"/>
          <w:lang w:val="en-GB"/>
        </w:rPr>
        <w:t>, Jourdes</w:t>
      </w:r>
      <w:r w:rsidR="00E9601A">
        <w:rPr>
          <w:noProof/>
          <w:sz w:val="18"/>
          <w:szCs w:val="20"/>
          <w:lang w:val="en-GB"/>
        </w:rPr>
        <w:t xml:space="preserve"> M</w:t>
      </w:r>
      <w:r w:rsidRPr="00F2271A">
        <w:rPr>
          <w:noProof/>
          <w:sz w:val="18"/>
          <w:szCs w:val="20"/>
          <w:lang w:val="en-GB"/>
        </w:rPr>
        <w:t>, Teissedre</w:t>
      </w:r>
      <w:r w:rsidR="00E9601A">
        <w:rPr>
          <w:noProof/>
          <w:sz w:val="18"/>
          <w:szCs w:val="20"/>
          <w:lang w:val="en-GB"/>
        </w:rPr>
        <w:t xml:space="preserve"> PL</w:t>
      </w:r>
      <w:r w:rsidRPr="00F2271A">
        <w:rPr>
          <w:noProof/>
          <w:sz w:val="18"/>
          <w:szCs w:val="20"/>
          <w:lang w:val="en-GB"/>
        </w:rPr>
        <w:t xml:space="preserve"> </w:t>
      </w:r>
      <w:r w:rsidR="00E9601A">
        <w:rPr>
          <w:noProof/>
          <w:sz w:val="18"/>
          <w:szCs w:val="20"/>
          <w:lang w:val="en-GB"/>
        </w:rPr>
        <w:t>(</w:t>
      </w:r>
      <w:r w:rsidRPr="00F2271A">
        <w:rPr>
          <w:noProof/>
          <w:sz w:val="18"/>
          <w:szCs w:val="20"/>
          <w:lang w:val="en-GB"/>
        </w:rPr>
        <w:t>2011</w:t>
      </w:r>
      <w:r w:rsidR="00E9601A">
        <w:rPr>
          <w:noProof/>
          <w:sz w:val="18"/>
          <w:szCs w:val="20"/>
          <w:lang w:val="en-GB"/>
        </w:rPr>
        <w:t>)</w:t>
      </w:r>
      <w:r w:rsidRPr="00F2271A">
        <w:rPr>
          <w:noProof/>
          <w:sz w:val="18"/>
          <w:szCs w:val="20"/>
          <w:lang w:val="en-GB"/>
        </w:rPr>
        <w:t xml:space="preserve"> Impact of Closures on Wine Post-Bottling Development: A Review </w:t>
      </w:r>
      <w:r w:rsidRPr="00E9601A">
        <w:rPr>
          <w:i/>
          <w:iCs/>
          <w:noProof/>
          <w:sz w:val="18"/>
          <w:szCs w:val="20"/>
          <w:lang w:val="en-GB"/>
        </w:rPr>
        <w:t>European Food Research and Technology</w:t>
      </w:r>
      <w:r w:rsidRPr="00F2271A">
        <w:rPr>
          <w:noProof/>
          <w:sz w:val="18"/>
          <w:szCs w:val="20"/>
          <w:lang w:val="en-GB"/>
        </w:rPr>
        <w:t xml:space="preserve"> 233 (6): 905–14. https://doi.org/10.1007/s00217-011-1603-9.</w:t>
      </w:r>
    </w:p>
    <w:p w14:paraId="3B5896B2" w14:textId="177B025E"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Skouroumounis GK, Kwiatkowski</w:t>
      </w:r>
      <w:r w:rsidR="00E9601A">
        <w:rPr>
          <w:noProof/>
          <w:sz w:val="18"/>
          <w:szCs w:val="20"/>
          <w:lang w:val="en-GB"/>
        </w:rPr>
        <w:t xml:space="preserve"> MJ</w:t>
      </w:r>
      <w:r w:rsidRPr="00F2271A">
        <w:rPr>
          <w:noProof/>
          <w:sz w:val="18"/>
          <w:szCs w:val="20"/>
          <w:lang w:val="en-GB"/>
        </w:rPr>
        <w:t>, Francis</w:t>
      </w:r>
      <w:r w:rsidR="00E9601A">
        <w:rPr>
          <w:noProof/>
          <w:sz w:val="18"/>
          <w:szCs w:val="20"/>
          <w:lang w:val="en-GB"/>
        </w:rPr>
        <w:t xml:space="preserve"> IL</w:t>
      </w:r>
      <w:r w:rsidRPr="00F2271A">
        <w:rPr>
          <w:noProof/>
          <w:sz w:val="18"/>
          <w:szCs w:val="20"/>
          <w:lang w:val="en-GB"/>
        </w:rPr>
        <w:t>, Oakey</w:t>
      </w:r>
      <w:r w:rsidR="00E9601A">
        <w:rPr>
          <w:noProof/>
          <w:sz w:val="18"/>
          <w:szCs w:val="20"/>
          <w:lang w:val="en-GB"/>
        </w:rPr>
        <w:t xml:space="preserve"> H</w:t>
      </w:r>
      <w:r w:rsidRPr="00F2271A">
        <w:rPr>
          <w:noProof/>
          <w:sz w:val="18"/>
          <w:szCs w:val="20"/>
          <w:lang w:val="en-GB"/>
        </w:rPr>
        <w:t>, Capone</w:t>
      </w:r>
      <w:r w:rsidR="00E9601A">
        <w:rPr>
          <w:noProof/>
          <w:sz w:val="18"/>
          <w:szCs w:val="20"/>
          <w:lang w:val="en-GB"/>
        </w:rPr>
        <w:t xml:space="preserve"> DL</w:t>
      </w:r>
      <w:r w:rsidRPr="00F2271A">
        <w:rPr>
          <w:noProof/>
          <w:sz w:val="18"/>
          <w:szCs w:val="20"/>
          <w:lang w:val="en-GB"/>
        </w:rPr>
        <w:t>, Duncan</w:t>
      </w:r>
      <w:r w:rsidR="00E9601A">
        <w:rPr>
          <w:noProof/>
          <w:sz w:val="18"/>
          <w:szCs w:val="20"/>
          <w:lang w:val="en-GB"/>
        </w:rPr>
        <w:t xml:space="preserve"> B</w:t>
      </w:r>
      <w:r w:rsidRPr="00F2271A">
        <w:rPr>
          <w:noProof/>
          <w:sz w:val="18"/>
          <w:szCs w:val="20"/>
          <w:lang w:val="en-GB"/>
        </w:rPr>
        <w:t>, Sefton</w:t>
      </w:r>
      <w:r w:rsidR="00E9601A">
        <w:rPr>
          <w:noProof/>
          <w:sz w:val="18"/>
          <w:szCs w:val="20"/>
          <w:lang w:val="en-GB"/>
        </w:rPr>
        <w:t xml:space="preserve"> MA</w:t>
      </w:r>
      <w:r w:rsidRPr="00F2271A">
        <w:rPr>
          <w:noProof/>
          <w:sz w:val="18"/>
          <w:szCs w:val="20"/>
          <w:lang w:val="en-GB"/>
        </w:rPr>
        <w:t>, Waters</w:t>
      </w:r>
      <w:r w:rsidR="00E9601A">
        <w:rPr>
          <w:noProof/>
          <w:sz w:val="18"/>
          <w:szCs w:val="20"/>
          <w:lang w:val="en-GB"/>
        </w:rPr>
        <w:t xml:space="preserve"> EJ</w:t>
      </w:r>
      <w:r w:rsidRPr="00F2271A">
        <w:rPr>
          <w:noProof/>
          <w:sz w:val="18"/>
          <w:szCs w:val="20"/>
          <w:lang w:val="en-GB"/>
        </w:rPr>
        <w:t xml:space="preserve"> </w:t>
      </w:r>
      <w:r w:rsidR="00E9601A">
        <w:rPr>
          <w:noProof/>
          <w:sz w:val="18"/>
          <w:szCs w:val="20"/>
          <w:lang w:val="en-GB"/>
        </w:rPr>
        <w:t>(</w:t>
      </w:r>
      <w:r w:rsidRPr="00F2271A">
        <w:rPr>
          <w:noProof/>
          <w:sz w:val="18"/>
          <w:szCs w:val="20"/>
          <w:lang w:val="en-GB"/>
        </w:rPr>
        <w:t>2005</w:t>
      </w:r>
      <w:r w:rsidR="00E9601A">
        <w:rPr>
          <w:noProof/>
          <w:sz w:val="18"/>
          <w:szCs w:val="20"/>
          <w:lang w:val="en-GB"/>
        </w:rPr>
        <w:t>)</w:t>
      </w:r>
      <w:r w:rsidRPr="00F2271A">
        <w:rPr>
          <w:noProof/>
          <w:sz w:val="18"/>
          <w:szCs w:val="20"/>
          <w:lang w:val="en-GB"/>
        </w:rPr>
        <w:t xml:space="preserve"> The Impact of Closure Type and Storage Conditions on the Composition, Colour and Flavour Properties of the Riesling and a Wooded Chardonnay Wine during Five Years’ Storage. </w:t>
      </w:r>
      <w:r w:rsidRPr="00E9601A">
        <w:rPr>
          <w:i/>
          <w:iCs/>
          <w:noProof/>
          <w:sz w:val="18"/>
          <w:szCs w:val="20"/>
          <w:lang w:val="en-GB"/>
        </w:rPr>
        <w:t>Australian Journal of Grape and Wine Research</w:t>
      </w:r>
      <w:r w:rsidRPr="00F2271A">
        <w:rPr>
          <w:noProof/>
          <w:sz w:val="18"/>
          <w:szCs w:val="20"/>
          <w:lang w:val="en-GB"/>
        </w:rPr>
        <w:t>. 11: 369–77.</w:t>
      </w:r>
    </w:p>
    <w:p w14:paraId="5099F03C" w14:textId="4E08DF58" w:rsidR="00CE1840" w:rsidRPr="00F2271A" w:rsidRDefault="00CE1840" w:rsidP="00186B23">
      <w:pPr>
        <w:widowControl w:val="0"/>
        <w:autoSpaceDE w:val="0"/>
        <w:autoSpaceDN w:val="0"/>
        <w:adjustRightInd w:val="0"/>
        <w:ind w:left="480" w:hanging="480"/>
        <w:jc w:val="both"/>
        <w:rPr>
          <w:noProof/>
          <w:sz w:val="18"/>
          <w:szCs w:val="20"/>
          <w:lang w:val="en-GB"/>
        </w:rPr>
      </w:pPr>
      <w:r w:rsidRPr="00F2271A">
        <w:rPr>
          <w:noProof/>
          <w:sz w:val="18"/>
          <w:szCs w:val="20"/>
          <w:lang w:val="en-GB"/>
        </w:rPr>
        <w:t>Wirth, J, Caillé</w:t>
      </w:r>
      <w:r w:rsidR="00E9601A">
        <w:rPr>
          <w:noProof/>
          <w:sz w:val="18"/>
          <w:szCs w:val="20"/>
          <w:lang w:val="en-GB"/>
        </w:rPr>
        <w:t xml:space="preserve"> S</w:t>
      </w:r>
      <w:r w:rsidRPr="00F2271A">
        <w:rPr>
          <w:noProof/>
          <w:sz w:val="18"/>
          <w:szCs w:val="20"/>
          <w:lang w:val="en-GB"/>
        </w:rPr>
        <w:t>, Souquet</w:t>
      </w:r>
      <w:r w:rsidR="00E9601A">
        <w:rPr>
          <w:noProof/>
          <w:sz w:val="18"/>
          <w:szCs w:val="20"/>
          <w:lang w:val="en-GB"/>
        </w:rPr>
        <w:t xml:space="preserve"> JM</w:t>
      </w:r>
      <w:r w:rsidRPr="00F2271A">
        <w:rPr>
          <w:noProof/>
          <w:sz w:val="18"/>
          <w:szCs w:val="20"/>
          <w:lang w:val="en-GB"/>
        </w:rPr>
        <w:t>, Samson</w:t>
      </w:r>
      <w:r w:rsidR="00E9601A">
        <w:rPr>
          <w:noProof/>
          <w:sz w:val="18"/>
          <w:szCs w:val="20"/>
          <w:lang w:val="en-GB"/>
        </w:rPr>
        <w:t xml:space="preserve"> A</w:t>
      </w:r>
      <w:r w:rsidRPr="00F2271A">
        <w:rPr>
          <w:noProof/>
          <w:sz w:val="18"/>
          <w:szCs w:val="20"/>
          <w:lang w:val="en-GB"/>
        </w:rPr>
        <w:t>, Dieval</w:t>
      </w:r>
      <w:r w:rsidR="00E9601A">
        <w:rPr>
          <w:noProof/>
          <w:sz w:val="18"/>
          <w:szCs w:val="20"/>
          <w:lang w:val="en-GB"/>
        </w:rPr>
        <w:t xml:space="preserve"> JB</w:t>
      </w:r>
      <w:r w:rsidRPr="00F2271A">
        <w:rPr>
          <w:noProof/>
          <w:sz w:val="18"/>
          <w:szCs w:val="20"/>
          <w:lang w:val="en-GB"/>
        </w:rPr>
        <w:t>, Vidal</w:t>
      </w:r>
      <w:r w:rsidR="00E9601A">
        <w:rPr>
          <w:noProof/>
          <w:sz w:val="18"/>
          <w:szCs w:val="20"/>
          <w:lang w:val="en-GB"/>
        </w:rPr>
        <w:t xml:space="preserve"> S</w:t>
      </w:r>
      <w:r w:rsidRPr="00F2271A">
        <w:rPr>
          <w:noProof/>
          <w:sz w:val="18"/>
          <w:szCs w:val="20"/>
          <w:lang w:val="en-GB"/>
        </w:rPr>
        <w:t>, Fulcrand</w:t>
      </w:r>
      <w:r w:rsidR="00E9601A">
        <w:rPr>
          <w:noProof/>
          <w:sz w:val="18"/>
          <w:szCs w:val="20"/>
          <w:lang w:val="en-GB"/>
        </w:rPr>
        <w:t xml:space="preserve"> H, </w:t>
      </w:r>
      <w:r w:rsidRPr="00F2271A">
        <w:rPr>
          <w:noProof/>
          <w:sz w:val="18"/>
          <w:szCs w:val="20"/>
          <w:lang w:val="en-GB"/>
        </w:rPr>
        <w:t>Cheynier</w:t>
      </w:r>
      <w:r w:rsidR="00E9601A">
        <w:rPr>
          <w:noProof/>
          <w:sz w:val="18"/>
          <w:szCs w:val="20"/>
          <w:lang w:val="en-GB"/>
        </w:rPr>
        <w:t xml:space="preserve"> V</w:t>
      </w:r>
      <w:r w:rsidRPr="00F2271A">
        <w:rPr>
          <w:noProof/>
          <w:sz w:val="18"/>
          <w:szCs w:val="20"/>
          <w:lang w:val="en-GB"/>
        </w:rPr>
        <w:t xml:space="preserve"> </w:t>
      </w:r>
      <w:r w:rsidR="00E9601A">
        <w:rPr>
          <w:noProof/>
          <w:sz w:val="18"/>
          <w:szCs w:val="20"/>
          <w:lang w:val="en-GB"/>
        </w:rPr>
        <w:t>(</w:t>
      </w:r>
      <w:r w:rsidRPr="00F2271A">
        <w:rPr>
          <w:noProof/>
          <w:sz w:val="18"/>
          <w:szCs w:val="20"/>
          <w:lang w:val="en-GB"/>
        </w:rPr>
        <w:t>2012</w:t>
      </w:r>
      <w:r w:rsidR="00E9601A">
        <w:rPr>
          <w:noProof/>
          <w:sz w:val="18"/>
          <w:szCs w:val="20"/>
          <w:lang w:val="en-GB"/>
        </w:rPr>
        <w:t>)</w:t>
      </w:r>
      <w:r w:rsidRPr="00F2271A">
        <w:rPr>
          <w:noProof/>
          <w:sz w:val="18"/>
          <w:szCs w:val="20"/>
          <w:lang w:val="en-GB"/>
        </w:rPr>
        <w:t xml:space="preserve"> Impact of Post-Bottling Oxygen Exposure on the Sensory Characteristics and Phenolic Composition of Grenache Rosé Wines. </w:t>
      </w:r>
      <w:r w:rsidRPr="00E9601A">
        <w:rPr>
          <w:i/>
          <w:iCs/>
          <w:noProof/>
          <w:sz w:val="18"/>
          <w:szCs w:val="20"/>
          <w:lang w:val="en-GB"/>
        </w:rPr>
        <w:t>Food Chemistry</w:t>
      </w:r>
      <w:r w:rsidRPr="00F2271A">
        <w:rPr>
          <w:noProof/>
          <w:sz w:val="18"/>
          <w:szCs w:val="20"/>
          <w:lang w:val="en-GB"/>
        </w:rPr>
        <w:t xml:space="preserve"> 132 (4): 1861–71. https://doi.org/10.1016/j.foodchem.2011.12.019.</w:t>
      </w:r>
    </w:p>
    <w:p w14:paraId="523308C9" w14:textId="3CA20D8E" w:rsidR="008604A1" w:rsidRPr="00F2271A" w:rsidRDefault="00332143" w:rsidP="00186B23">
      <w:pPr>
        <w:widowControl w:val="0"/>
        <w:autoSpaceDE w:val="0"/>
        <w:autoSpaceDN w:val="0"/>
        <w:adjustRightInd w:val="0"/>
        <w:jc w:val="both"/>
        <w:rPr>
          <w:sz w:val="18"/>
          <w:szCs w:val="20"/>
          <w:lang w:val="en-GB"/>
        </w:rPr>
      </w:pPr>
      <w:r w:rsidRPr="00F2271A">
        <w:rPr>
          <w:sz w:val="18"/>
          <w:szCs w:val="20"/>
          <w:lang w:val="en-GB"/>
        </w:rPr>
        <w:fldChar w:fldCharType="end"/>
      </w:r>
    </w:p>
    <w:sectPr w:rsidR="008604A1" w:rsidRPr="00F227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637A" w14:textId="77777777" w:rsidR="006D4FBB" w:rsidRDefault="006D4FBB">
      <w:r>
        <w:separator/>
      </w:r>
    </w:p>
  </w:endnote>
  <w:endnote w:type="continuationSeparator" w:id="0">
    <w:p w14:paraId="15972DC5" w14:textId="77777777" w:rsidR="006D4FBB" w:rsidRDefault="006D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RWPalladioL-Roma">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07BC" w14:textId="77777777" w:rsidR="006D4FBB" w:rsidRDefault="006D4FBB">
      <w:r>
        <w:separator/>
      </w:r>
    </w:p>
  </w:footnote>
  <w:footnote w:type="continuationSeparator" w:id="0">
    <w:p w14:paraId="6DC1A886" w14:textId="77777777" w:rsidR="006D4FBB" w:rsidRDefault="006D4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9"/>
    <w:rsid w:val="000439C3"/>
    <w:rsid w:val="0004799F"/>
    <w:rsid w:val="00067F06"/>
    <w:rsid w:val="00073FE4"/>
    <w:rsid w:val="00085381"/>
    <w:rsid w:val="000A42B0"/>
    <w:rsid w:val="000B09FE"/>
    <w:rsid w:val="000C2374"/>
    <w:rsid w:val="000E5E89"/>
    <w:rsid w:val="00110423"/>
    <w:rsid w:val="0012025F"/>
    <w:rsid w:val="00156728"/>
    <w:rsid w:val="00165CB6"/>
    <w:rsid w:val="001803F0"/>
    <w:rsid w:val="00186B23"/>
    <w:rsid w:val="001C2202"/>
    <w:rsid w:val="001E0851"/>
    <w:rsid w:val="001E3C3E"/>
    <w:rsid w:val="001E4554"/>
    <w:rsid w:val="001E4D86"/>
    <w:rsid w:val="0020546B"/>
    <w:rsid w:val="002265F9"/>
    <w:rsid w:val="00227CC6"/>
    <w:rsid w:val="002475D3"/>
    <w:rsid w:val="00247E7E"/>
    <w:rsid w:val="00251E2A"/>
    <w:rsid w:val="00266A9A"/>
    <w:rsid w:val="00272F98"/>
    <w:rsid w:val="00285B48"/>
    <w:rsid w:val="002A7430"/>
    <w:rsid w:val="002B0A10"/>
    <w:rsid w:val="002F50D8"/>
    <w:rsid w:val="00332143"/>
    <w:rsid w:val="00335D82"/>
    <w:rsid w:val="0034268E"/>
    <w:rsid w:val="003630FC"/>
    <w:rsid w:val="003A3462"/>
    <w:rsid w:val="003A4261"/>
    <w:rsid w:val="003A4D6F"/>
    <w:rsid w:val="003A6963"/>
    <w:rsid w:val="003B5142"/>
    <w:rsid w:val="003C44F8"/>
    <w:rsid w:val="003E5D6D"/>
    <w:rsid w:val="0044402C"/>
    <w:rsid w:val="00463E78"/>
    <w:rsid w:val="00494AE6"/>
    <w:rsid w:val="004A0C0D"/>
    <w:rsid w:val="004A3B2D"/>
    <w:rsid w:val="004D114D"/>
    <w:rsid w:val="004D6B83"/>
    <w:rsid w:val="004E5A00"/>
    <w:rsid w:val="005152ED"/>
    <w:rsid w:val="005208E7"/>
    <w:rsid w:val="005515C7"/>
    <w:rsid w:val="00553E08"/>
    <w:rsid w:val="0056746F"/>
    <w:rsid w:val="0057366B"/>
    <w:rsid w:val="005A2EA3"/>
    <w:rsid w:val="005A537A"/>
    <w:rsid w:val="005A61FA"/>
    <w:rsid w:val="005B7971"/>
    <w:rsid w:val="005D6E1F"/>
    <w:rsid w:val="00612B25"/>
    <w:rsid w:val="00617A56"/>
    <w:rsid w:val="0062460A"/>
    <w:rsid w:val="006312B8"/>
    <w:rsid w:val="00636C96"/>
    <w:rsid w:val="00644936"/>
    <w:rsid w:val="00645545"/>
    <w:rsid w:val="00650961"/>
    <w:rsid w:val="00652556"/>
    <w:rsid w:val="0066358B"/>
    <w:rsid w:val="00674FBD"/>
    <w:rsid w:val="006C3DF3"/>
    <w:rsid w:val="006D4FBB"/>
    <w:rsid w:val="006F4110"/>
    <w:rsid w:val="00706D12"/>
    <w:rsid w:val="00711931"/>
    <w:rsid w:val="00724837"/>
    <w:rsid w:val="0073686F"/>
    <w:rsid w:val="00741880"/>
    <w:rsid w:val="00747035"/>
    <w:rsid w:val="007514CB"/>
    <w:rsid w:val="0075381D"/>
    <w:rsid w:val="00756F62"/>
    <w:rsid w:val="00757333"/>
    <w:rsid w:val="007A198B"/>
    <w:rsid w:val="007B15C3"/>
    <w:rsid w:val="007B3D56"/>
    <w:rsid w:val="007D40F9"/>
    <w:rsid w:val="007D72DC"/>
    <w:rsid w:val="007E00D1"/>
    <w:rsid w:val="007E370A"/>
    <w:rsid w:val="007E3CAB"/>
    <w:rsid w:val="007E76E9"/>
    <w:rsid w:val="007F0DA8"/>
    <w:rsid w:val="0081680B"/>
    <w:rsid w:val="0085123C"/>
    <w:rsid w:val="00860A05"/>
    <w:rsid w:val="00862B88"/>
    <w:rsid w:val="008667C0"/>
    <w:rsid w:val="00880DD6"/>
    <w:rsid w:val="008830B5"/>
    <w:rsid w:val="00895AEE"/>
    <w:rsid w:val="008A3E31"/>
    <w:rsid w:val="008B3F35"/>
    <w:rsid w:val="008B779D"/>
    <w:rsid w:val="008E3FA9"/>
    <w:rsid w:val="00903A74"/>
    <w:rsid w:val="00916A2A"/>
    <w:rsid w:val="00924248"/>
    <w:rsid w:val="009364B8"/>
    <w:rsid w:val="009678A4"/>
    <w:rsid w:val="009911C2"/>
    <w:rsid w:val="009A347D"/>
    <w:rsid w:val="009D0D2F"/>
    <w:rsid w:val="009D1D45"/>
    <w:rsid w:val="009E5E9D"/>
    <w:rsid w:val="00A0522A"/>
    <w:rsid w:val="00A31FAC"/>
    <w:rsid w:val="00A46BDE"/>
    <w:rsid w:val="00A63A27"/>
    <w:rsid w:val="00A83797"/>
    <w:rsid w:val="00A92B44"/>
    <w:rsid w:val="00AA4AAE"/>
    <w:rsid w:val="00AB20E8"/>
    <w:rsid w:val="00AB6544"/>
    <w:rsid w:val="00AC6433"/>
    <w:rsid w:val="00AE0435"/>
    <w:rsid w:val="00AF478B"/>
    <w:rsid w:val="00B16640"/>
    <w:rsid w:val="00B37CAF"/>
    <w:rsid w:val="00B46D87"/>
    <w:rsid w:val="00B54D84"/>
    <w:rsid w:val="00B55A22"/>
    <w:rsid w:val="00B762D7"/>
    <w:rsid w:val="00BA692E"/>
    <w:rsid w:val="00BB4127"/>
    <w:rsid w:val="00BB69A9"/>
    <w:rsid w:val="00BC4167"/>
    <w:rsid w:val="00BC5052"/>
    <w:rsid w:val="00BC74AC"/>
    <w:rsid w:val="00BD2A90"/>
    <w:rsid w:val="00BE05D2"/>
    <w:rsid w:val="00BE09C6"/>
    <w:rsid w:val="00C01118"/>
    <w:rsid w:val="00C04B84"/>
    <w:rsid w:val="00C3062C"/>
    <w:rsid w:val="00C54EC4"/>
    <w:rsid w:val="00CB7065"/>
    <w:rsid w:val="00CC3C77"/>
    <w:rsid w:val="00CE1840"/>
    <w:rsid w:val="00CE1C8B"/>
    <w:rsid w:val="00CF4802"/>
    <w:rsid w:val="00D015A3"/>
    <w:rsid w:val="00D15C1B"/>
    <w:rsid w:val="00D22739"/>
    <w:rsid w:val="00D35C02"/>
    <w:rsid w:val="00D36EB3"/>
    <w:rsid w:val="00D640E1"/>
    <w:rsid w:val="00D8370B"/>
    <w:rsid w:val="00D91591"/>
    <w:rsid w:val="00DB3BB8"/>
    <w:rsid w:val="00DB75AF"/>
    <w:rsid w:val="00DE5F7E"/>
    <w:rsid w:val="00DF50B0"/>
    <w:rsid w:val="00E017E5"/>
    <w:rsid w:val="00E27B67"/>
    <w:rsid w:val="00E6525C"/>
    <w:rsid w:val="00E66729"/>
    <w:rsid w:val="00E76DA7"/>
    <w:rsid w:val="00E94E81"/>
    <w:rsid w:val="00E9601A"/>
    <w:rsid w:val="00EA3F99"/>
    <w:rsid w:val="00ED389D"/>
    <w:rsid w:val="00F06970"/>
    <w:rsid w:val="00F1341A"/>
    <w:rsid w:val="00F139DE"/>
    <w:rsid w:val="00F2271A"/>
    <w:rsid w:val="00F67DEC"/>
    <w:rsid w:val="00F71020"/>
    <w:rsid w:val="00F85496"/>
    <w:rsid w:val="00FC0C37"/>
    <w:rsid w:val="00FC4159"/>
    <w:rsid w:val="00FD53C5"/>
    <w:rsid w:val="00FF2CE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2556"/>
    <w:rPr>
      <w:rFonts w:ascii="Times New Roman" w:eastAsia="Times New Roman" w:hAnsi="Times New Roman" w:cs="Times New Roman"/>
      <w:lang w:eastAsia="zh-CN"/>
    </w:rPr>
  </w:style>
  <w:style w:type="paragraph" w:styleId="Titolo1">
    <w:name w:val="heading 1"/>
    <w:basedOn w:val="Normale"/>
    <w:next w:val="Normale"/>
    <w:link w:val="Titolo1Carattere"/>
    <w:uiPriority w:val="9"/>
    <w:qFormat/>
    <w:rsid w:val="007D40F9"/>
    <w:pPr>
      <w:keepNext/>
      <w:widowControl w:val="0"/>
      <w:shd w:val="clear" w:color="auto" w:fill="FFFFFF"/>
      <w:suppressAutoHyphens/>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7D40F9"/>
    <w:pPr>
      <w:keepNext/>
      <w:widowControl w:val="0"/>
      <w:suppressAutoHyphens/>
      <w:outlineLvl w:val="1"/>
    </w:pPr>
    <w:rPr>
      <w:sz w:val="32"/>
      <w:szCs w:val="20"/>
    </w:rPr>
  </w:style>
  <w:style w:type="paragraph" w:styleId="Titolo3">
    <w:name w:val="heading 3"/>
    <w:basedOn w:val="Normale"/>
    <w:next w:val="Normale"/>
    <w:link w:val="Titolo3Carattere"/>
    <w:uiPriority w:val="9"/>
    <w:semiHidden/>
    <w:unhideWhenUsed/>
    <w:qFormat/>
    <w:rsid w:val="00D640E1"/>
    <w:pPr>
      <w:keepNext/>
      <w:keepLines/>
      <w:widowControl w:val="0"/>
      <w:suppressAutoHyphens/>
      <w:spacing w:before="40"/>
      <w:outlineLvl w:val="2"/>
    </w:pPr>
    <w:rPr>
      <w:rFonts w:asciiTheme="majorHAnsi" w:eastAsiaTheme="majorEastAsia" w:hAnsiTheme="majorHAnsi" w:cstheme="majorBidi"/>
      <w:color w:val="1F3763" w:themeColor="accent1" w:themeShade="7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7D40F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7D40F9"/>
    <w:pPr>
      <w:suppressAutoHyphens/>
      <w:spacing w:before="720" w:after="120" w:line="264" w:lineRule="auto"/>
      <w:jc w:val="center"/>
    </w:pPr>
    <w:rPr>
      <w:b/>
      <w:kern w:val="2"/>
      <w:sz w:val="28"/>
      <w:szCs w:val="20"/>
      <w:lang w:val="nl-NL"/>
    </w:rPr>
  </w:style>
  <w:style w:type="character" w:customStyle="1" w:styleId="TitoloCarattere">
    <w:name w:val="Titolo Carattere"/>
    <w:basedOn w:val="Carpredefinitoparagrafo"/>
    <w:link w:val="Titolo"/>
    <w:uiPriority w:val="10"/>
    <w:rsid w:val="007D40F9"/>
    <w:rPr>
      <w:rFonts w:ascii="Times New Roman" w:eastAsia="Times New Roman" w:hAnsi="Times New Roman" w:cs="Times New Roman"/>
      <w:b/>
      <w:kern w:val="2"/>
      <w:sz w:val="28"/>
      <w:szCs w:val="20"/>
      <w:lang w:val="nl-NL" w:eastAsia="zh-CN"/>
    </w:rPr>
  </w:style>
  <w:style w:type="paragraph" w:styleId="Corpodeltesto2">
    <w:name w:val="Body Text 2"/>
    <w:basedOn w:val="Normale"/>
    <w:link w:val="Corpodeltesto2Carattere"/>
    <w:qFormat/>
    <w:rsid w:val="007D40F9"/>
    <w:pPr>
      <w:widowControl w:val="0"/>
      <w:shd w:val="clear" w:color="auto" w:fill="FFFFFF"/>
      <w:suppressAutoHyphens/>
    </w:pPr>
    <w:rPr>
      <w:b/>
      <w:bCs/>
      <w:i/>
      <w:iCs/>
      <w:sz w:val="28"/>
      <w:szCs w:val="20"/>
    </w:rPr>
  </w:style>
  <w:style w:type="character" w:customStyle="1" w:styleId="Corpodeltesto2Carattere">
    <w:name w:val="Corpo del testo 2 Carattere"/>
    <w:basedOn w:val="Carpredefinitoparagrafo"/>
    <w:link w:val="Corpodeltesto2"/>
    <w:rsid w:val="007D40F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7D40F9"/>
    <w:pPr>
      <w:tabs>
        <w:tab w:val="center" w:pos="4819"/>
        <w:tab w:val="right" w:pos="9638"/>
      </w:tabs>
      <w:suppressAutoHyphens/>
      <w:spacing w:line="264" w:lineRule="auto"/>
      <w:jc w:val="both"/>
    </w:pPr>
    <w:rPr>
      <w:kern w:val="2"/>
      <w:sz w:val="20"/>
      <w:szCs w:val="20"/>
      <w:lang w:val="nl-NL"/>
    </w:rPr>
  </w:style>
  <w:style w:type="character" w:customStyle="1" w:styleId="IntestazioneCarattere">
    <w:name w:val="Intestazione Carattere"/>
    <w:basedOn w:val="Carpredefinitoparagrafo"/>
    <w:link w:val="Intestazione"/>
    <w:rsid w:val="007D40F9"/>
    <w:rPr>
      <w:rFonts w:ascii="Times New Roman" w:eastAsia="Times New Roman" w:hAnsi="Times New Roman" w:cs="Times New Roman"/>
      <w:kern w:val="2"/>
      <w:sz w:val="20"/>
      <w:szCs w:val="20"/>
      <w:lang w:val="nl-NL" w:eastAsia="zh-CN"/>
    </w:rPr>
  </w:style>
  <w:style w:type="paragraph" w:styleId="Rientrocorpodeltesto2">
    <w:name w:val="Body Text Indent 2"/>
    <w:basedOn w:val="Normale"/>
    <w:link w:val="Rientrocorpodeltesto2Carattere"/>
    <w:qFormat/>
    <w:rsid w:val="007D40F9"/>
    <w:pPr>
      <w:suppressAutoHyphens/>
      <w:ind w:firstLine="426"/>
      <w:jc w:val="both"/>
      <w:textAlignment w:val="baseline"/>
    </w:pPr>
    <w:rPr>
      <w:bCs/>
      <w:sz w:val="20"/>
      <w:szCs w:val="20"/>
      <w:lang w:val="en-GB"/>
    </w:rPr>
  </w:style>
  <w:style w:type="character" w:customStyle="1" w:styleId="Rientrocorpodeltesto2Carattere">
    <w:name w:val="Rientro corpo del testo 2 Carattere"/>
    <w:basedOn w:val="Carpredefinitoparagrafo"/>
    <w:link w:val="Rientrocorpodeltesto2"/>
    <w:rsid w:val="007D40F9"/>
    <w:rPr>
      <w:rFonts w:ascii="Times New Roman" w:eastAsia="Times New Roman" w:hAnsi="Times New Roman" w:cs="Times New Roman"/>
      <w:bCs/>
      <w:szCs w:val="20"/>
      <w:lang w:val="en-GB" w:eastAsia="zh-CN"/>
    </w:rPr>
  </w:style>
  <w:style w:type="paragraph" w:styleId="Pidipagina">
    <w:name w:val="footer"/>
    <w:basedOn w:val="Normale"/>
    <w:link w:val="PidipaginaCarattere"/>
    <w:rsid w:val="007D40F9"/>
    <w:pPr>
      <w:widowControl w:val="0"/>
      <w:tabs>
        <w:tab w:val="center" w:pos="4153"/>
        <w:tab w:val="right" w:pos="8306"/>
      </w:tabs>
      <w:suppressAutoHyphens/>
    </w:pPr>
    <w:rPr>
      <w:sz w:val="20"/>
      <w:szCs w:val="20"/>
    </w:rPr>
  </w:style>
  <w:style w:type="character" w:customStyle="1" w:styleId="PidipaginaCarattere">
    <w:name w:val="Piè di pagina Carattere"/>
    <w:basedOn w:val="Carpredefinitoparagrafo"/>
    <w:link w:val="Pidipagina"/>
    <w:rsid w:val="007D40F9"/>
    <w:rPr>
      <w:rFonts w:ascii="Times New Roman" w:eastAsia="Times New Roman" w:hAnsi="Times New Roman" w:cs="Times New Roman"/>
      <w:sz w:val="20"/>
      <w:szCs w:val="20"/>
      <w:lang w:eastAsia="zh-CN"/>
    </w:rPr>
  </w:style>
  <w:style w:type="paragraph" w:customStyle="1" w:styleId="MDPI31text">
    <w:name w:val="MDPI_3.1_text"/>
    <w:qFormat/>
    <w:rsid w:val="00D91591"/>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character" w:styleId="Rimandocommento">
    <w:name w:val="annotation reference"/>
    <w:rsid w:val="00D91591"/>
    <w:rPr>
      <w:sz w:val="21"/>
      <w:szCs w:val="21"/>
    </w:rPr>
  </w:style>
  <w:style w:type="paragraph" w:styleId="Testocommento">
    <w:name w:val="annotation text"/>
    <w:basedOn w:val="Normale"/>
    <w:link w:val="TestocommentoCarattere"/>
    <w:rsid w:val="00D91591"/>
    <w:pPr>
      <w:spacing w:line="260" w:lineRule="atLeast"/>
      <w:jc w:val="both"/>
    </w:pPr>
    <w:rPr>
      <w:rFonts w:ascii="Palatino Linotype" w:eastAsia="SimSun" w:hAnsi="Palatino Linotype"/>
      <w:noProof/>
      <w:color w:val="000000"/>
      <w:sz w:val="20"/>
      <w:szCs w:val="20"/>
      <w:lang w:val="en-US"/>
    </w:rPr>
  </w:style>
  <w:style w:type="character" w:customStyle="1" w:styleId="TestocommentoCarattere">
    <w:name w:val="Testo commento Carattere"/>
    <w:basedOn w:val="Carpredefinitoparagrafo"/>
    <w:link w:val="Testocommento"/>
    <w:rsid w:val="00D91591"/>
    <w:rPr>
      <w:rFonts w:ascii="Palatino Linotype" w:eastAsia="SimSun" w:hAnsi="Palatino Linotype" w:cs="Times New Roman"/>
      <w:noProof/>
      <w:color w:val="000000"/>
      <w:sz w:val="20"/>
      <w:szCs w:val="20"/>
      <w:lang w:val="en-US" w:eastAsia="zh-CN"/>
    </w:rPr>
  </w:style>
  <w:style w:type="character" w:styleId="Rimandonotaapidipagina">
    <w:name w:val="footnote reference"/>
    <w:basedOn w:val="Carpredefinitoparagrafo"/>
    <w:uiPriority w:val="99"/>
    <w:semiHidden/>
    <w:unhideWhenUsed/>
    <w:rsid w:val="00D91591"/>
    <w:rPr>
      <w:vertAlign w:val="superscript"/>
    </w:rPr>
  </w:style>
  <w:style w:type="character" w:customStyle="1" w:styleId="fontstyle01">
    <w:name w:val="fontstyle01"/>
    <w:basedOn w:val="Carpredefinitoparagrafo"/>
    <w:rsid w:val="00D91591"/>
    <w:rPr>
      <w:rFonts w:ascii="URWPalladioL-Roma" w:hAnsi="URWPalladioL-Roma" w:hint="default"/>
      <w:b w:val="0"/>
      <w:bCs w:val="0"/>
      <w:i w:val="0"/>
      <w:iCs w:val="0"/>
      <w:color w:val="000000"/>
      <w:sz w:val="20"/>
      <w:szCs w:val="20"/>
    </w:rPr>
  </w:style>
  <w:style w:type="character" w:customStyle="1" w:styleId="Titolo3Carattere">
    <w:name w:val="Titolo 3 Carattere"/>
    <w:basedOn w:val="Carpredefinitoparagrafo"/>
    <w:link w:val="Titolo3"/>
    <w:uiPriority w:val="9"/>
    <w:semiHidden/>
    <w:rsid w:val="00D640E1"/>
    <w:rPr>
      <w:rFonts w:asciiTheme="majorHAnsi" w:eastAsiaTheme="majorEastAsia" w:hAnsiTheme="majorHAnsi" w:cstheme="majorBidi"/>
      <w:color w:val="1F3763" w:themeColor="accent1" w:themeShade="7F"/>
      <w:lang w:eastAsia="zh-CN"/>
    </w:rPr>
  </w:style>
  <w:style w:type="character" w:styleId="Testosegnaposto">
    <w:name w:val="Placeholder Text"/>
    <w:basedOn w:val="Carpredefinitoparagrafo"/>
    <w:uiPriority w:val="99"/>
    <w:semiHidden/>
    <w:rsid w:val="009911C2"/>
    <w:rPr>
      <w:color w:val="808080"/>
    </w:rPr>
  </w:style>
  <w:style w:type="paragraph" w:styleId="Soggettocommento">
    <w:name w:val="annotation subject"/>
    <w:basedOn w:val="Testocommento"/>
    <w:next w:val="Testocommento"/>
    <w:link w:val="SoggettocommentoCarattere"/>
    <w:uiPriority w:val="99"/>
    <w:semiHidden/>
    <w:unhideWhenUsed/>
    <w:rsid w:val="008830B5"/>
    <w:pPr>
      <w:spacing w:line="240" w:lineRule="auto"/>
      <w:jc w:val="left"/>
    </w:pPr>
    <w:rPr>
      <w:rFonts w:ascii="Times New Roman" w:eastAsia="Times New Roman" w:hAnsi="Times New Roman"/>
      <w:b/>
      <w:bCs/>
      <w:noProof w:val="0"/>
      <w:color w:val="auto"/>
      <w:lang w:val="it-IT"/>
    </w:rPr>
  </w:style>
  <w:style w:type="character" w:customStyle="1" w:styleId="SoggettocommentoCarattere">
    <w:name w:val="Soggetto commento Carattere"/>
    <w:basedOn w:val="TestocommentoCarattere"/>
    <w:link w:val="Soggettocommento"/>
    <w:uiPriority w:val="99"/>
    <w:semiHidden/>
    <w:rsid w:val="008830B5"/>
    <w:rPr>
      <w:rFonts w:ascii="Times New Roman" w:eastAsia="Times New Roman" w:hAnsi="Times New Roman" w:cs="Times New Roman"/>
      <w:b/>
      <w:bCs/>
      <w:noProof/>
      <w:color w:val="000000"/>
      <w:sz w:val="20"/>
      <w:szCs w:val="20"/>
      <w:lang w:val="en-US" w:eastAsia="zh-CN"/>
    </w:rPr>
  </w:style>
  <w:style w:type="paragraph" w:styleId="NormaleWeb">
    <w:name w:val="Normal (Web)"/>
    <w:basedOn w:val="Normale"/>
    <w:uiPriority w:val="99"/>
    <w:semiHidden/>
    <w:unhideWhenUsed/>
    <w:rsid w:val="000A42B0"/>
    <w:pPr>
      <w:spacing w:before="100" w:beforeAutospacing="1" w:after="100" w:afterAutospacing="1"/>
    </w:pPr>
  </w:style>
  <w:style w:type="paragraph" w:styleId="Nessunaspaziatura">
    <w:name w:val="No Spacing"/>
    <w:uiPriority w:val="1"/>
    <w:qFormat/>
    <w:rsid w:val="003A6963"/>
    <w:rPr>
      <w:rFonts w:ascii="Times New Roman" w:eastAsia="Times New Roman" w:hAnsi="Times New Roman" w:cs="Times New Roman"/>
      <w:sz w:val="20"/>
      <w:lang w:eastAsia="zh-CN"/>
    </w:rPr>
  </w:style>
  <w:style w:type="paragraph" w:styleId="Revisione">
    <w:name w:val="Revision"/>
    <w:hidden/>
    <w:uiPriority w:val="99"/>
    <w:semiHidden/>
    <w:rsid w:val="00DB75AF"/>
    <w:rPr>
      <w:rFonts w:ascii="Times New Roman" w:eastAsia="Times New Roman" w:hAnsi="Times New Roman" w:cs="Times New Roman"/>
      <w:sz w:val="20"/>
      <w:lang w:eastAsia="zh-CN"/>
    </w:rPr>
  </w:style>
  <w:style w:type="character" w:customStyle="1" w:styleId="breakword">
    <w:name w:val="breakword"/>
    <w:basedOn w:val="Carpredefinitoparagrafo"/>
    <w:rsid w:val="007D72DC"/>
  </w:style>
  <w:style w:type="paragraph" w:styleId="Iniziomodulo-z">
    <w:name w:val="HTML Top of Form"/>
    <w:basedOn w:val="Normale"/>
    <w:next w:val="Normale"/>
    <w:link w:val="Iniziomodulo-zCarattere"/>
    <w:hidden/>
    <w:uiPriority w:val="99"/>
    <w:semiHidden/>
    <w:unhideWhenUsed/>
    <w:rsid w:val="00860A05"/>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860A05"/>
    <w:rPr>
      <w:rFonts w:ascii="Arial" w:eastAsia="Times New Roman" w:hAnsi="Arial" w:cs="Arial"/>
      <w:vanish/>
      <w:sz w:val="16"/>
      <w:szCs w:val="16"/>
      <w:lang w:eastAsia="zh-CN"/>
    </w:rPr>
  </w:style>
  <w:style w:type="paragraph" w:styleId="Finemodulo-z">
    <w:name w:val="HTML Bottom of Form"/>
    <w:basedOn w:val="Normale"/>
    <w:next w:val="Normale"/>
    <w:link w:val="Finemodulo-zCarattere"/>
    <w:hidden/>
    <w:uiPriority w:val="99"/>
    <w:semiHidden/>
    <w:unhideWhenUsed/>
    <w:rsid w:val="00860A05"/>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860A05"/>
    <w:rPr>
      <w:rFonts w:ascii="Arial" w:eastAsia="Times New Roman" w:hAnsi="Arial" w:cs="Arial"/>
      <w:vanish/>
      <w:sz w:val="16"/>
      <w:szCs w:val="16"/>
      <w:lang w:eastAsia="zh-CN"/>
    </w:rPr>
  </w:style>
  <w:style w:type="paragraph" w:styleId="Testofumetto">
    <w:name w:val="Balloon Text"/>
    <w:basedOn w:val="Normale"/>
    <w:link w:val="TestofumettoCarattere"/>
    <w:uiPriority w:val="99"/>
    <w:semiHidden/>
    <w:unhideWhenUsed/>
    <w:rsid w:val="0074188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188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369">
      <w:bodyDiv w:val="1"/>
      <w:marLeft w:val="0"/>
      <w:marRight w:val="0"/>
      <w:marTop w:val="0"/>
      <w:marBottom w:val="0"/>
      <w:divBdr>
        <w:top w:val="none" w:sz="0" w:space="0" w:color="auto"/>
        <w:left w:val="none" w:sz="0" w:space="0" w:color="auto"/>
        <w:bottom w:val="none" w:sz="0" w:space="0" w:color="auto"/>
        <w:right w:val="none" w:sz="0" w:space="0" w:color="auto"/>
      </w:divBdr>
    </w:div>
    <w:div w:id="32660730">
      <w:bodyDiv w:val="1"/>
      <w:marLeft w:val="0"/>
      <w:marRight w:val="0"/>
      <w:marTop w:val="0"/>
      <w:marBottom w:val="0"/>
      <w:divBdr>
        <w:top w:val="none" w:sz="0" w:space="0" w:color="auto"/>
        <w:left w:val="none" w:sz="0" w:space="0" w:color="auto"/>
        <w:bottom w:val="none" w:sz="0" w:space="0" w:color="auto"/>
        <w:right w:val="none" w:sz="0" w:space="0" w:color="auto"/>
      </w:divBdr>
    </w:div>
    <w:div w:id="40908597">
      <w:bodyDiv w:val="1"/>
      <w:marLeft w:val="0"/>
      <w:marRight w:val="0"/>
      <w:marTop w:val="0"/>
      <w:marBottom w:val="0"/>
      <w:divBdr>
        <w:top w:val="none" w:sz="0" w:space="0" w:color="auto"/>
        <w:left w:val="none" w:sz="0" w:space="0" w:color="auto"/>
        <w:bottom w:val="none" w:sz="0" w:space="0" w:color="auto"/>
        <w:right w:val="none" w:sz="0" w:space="0" w:color="auto"/>
      </w:divBdr>
    </w:div>
    <w:div w:id="144901947">
      <w:bodyDiv w:val="1"/>
      <w:marLeft w:val="0"/>
      <w:marRight w:val="0"/>
      <w:marTop w:val="0"/>
      <w:marBottom w:val="0"/>
      <w:divBdr>
        <w:top w:val="none" w:sz="0" w:space="0" w:color="auto"/>
        <w:left w:val="none" w:sz="0" w:space="0" w:color="auto"/>
        <w:bottom w:val="none" w:sz="0" w:space="0" w:color="auto"/>
        <w:right w:val="none" w:sz="0" w:space="0" w:color="auto"/>
      </w:divBdr>
    </w:div>
    <w:div w:id="194196696">
      <w:bodyDiv w:val="1"/>
      <w:marLeft w:val="0"/>
      <w:marRight w:val="0"/>
      <w:marTop w:val="0"/>
      <w:marBottom w:val="0"/>
      <w:divBdr>
        <w:top w:val="none" w:sz="0" w:space="0" w:color="auto"/>
        <w:left w:val="none" w:sz="0" w:space="0" w:color="auto"/>
        <w:bottom w:val="none" w:sz="0" w:space="0" w:color="auto"/>
        <w:right w:val="none" w:sz="0" w:space="0" w:color="auto"/>
      </w:divBdr>
      <w:divsChild>
        <w:div w:id="153229404">
          <w:marLeft w:val="0"/>
          <w:marRight w:val="0"/>
          <w:marTop w:val="0"/>
          <w:marBottom w:val="0"/>
          <w:divBdr>
            <w:top w:val="none" w:sz="0" w:space="0" w:color="auto"/>
            <w:left w:val="none" w:sz="0" w:space="0" w:color="auto"/>
            <w:bottom w:val="none" w:sz="0" w:space="0" w:color="auto"/>
            <w:right w:val="none" w:sz="0" w:space="0" w:color="auto"/>
          </w:divBdr>
          <w:divsChild>
            <w:div w:id="769542676">
              <w:marLeft w:val="0"/>
              <w:marRight w:val="0"/>
              <w:marTop w:val="0"/>
              <w:marBottom w:val="0"/>
              <w:divBdr>
                <w:top w:val="none" w:sz="0" w:space="0" w:color="auto"/>
                <w:left w:val="none" w:sz="0" w:space="0" w:color="auto"/>
                <w:bottom w:val="none" w:sz="0" w:space="0" w:color="auto"/>
                <w:right w:val="none" w:sz="0" w:space="0" w:color="auto"/>
              </w:divBdr>
              <w:divsChild>
                <w:div w:id="16416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8474">
      <w:bodyDiv w:val="1"/>
      <w:marLeft w:val="0"/>
      <w:marRight w:val="0"/>
      <w:marTop w:val="0"/>
      <w:marBottom w:val="0"/>
      <w:divBdr>
        <w:top w:val="none" w:sz="0" w:space="0" w:color="auto"/>
        <w:left w:val="none" w:sz="0" w:space="0" w:color="auto"/>
        <w:bottom w:val="none" w:sz="0" w:space="0" w:color="auto"/>
        <w:right w:val="none" w:sz="0" w:space="0" w:color="auto"/>
      </w:divBdr>
    </w:div>
    <w:div w:id="245312487">
      <w:bodyDiv w:val="1"/>
      <w:marLeft w:val="0"/>
      <w:marRight w:val="0"/>
      <w:marTop w:val="0"/>
      <w:marBottom w:val="0"/>
      <w:divBdr>
        <w:top w:val="none" w:sz="0" w:space="0" w:color="auto"/>
        <w:left w:val="none" w:sz="0" w:space="0" w:color="auto"/>
        <w:bottom w:val="none" w:sz="0" w:space="0" w:color="auto"/>
        <w:right w:val="none" w:sz="0" w:space="0" w:color="auto"/>
      </w:divBdr>
      <w:divsChild>
        <w:div w:id="415368523">
          <w:marLeft w:val="0"/>
          <w:marRight w:val="0"/>
          <w:marTop w:val="0"/>
          <w:marBottom w:val="0"/>
          <w:divBdr>
            <w:top w:val="none" w:sz="0" w:space="0" w:color="auto"/>
            <w:left w:val="none" w:sz="0" w:space="0" w:color="auto"/>
            <w:bottom w:val="none" w:sz="0" w:space="0" w:color="auto"/>
            <w:right w:val="none" w:sz="0" w:space="0" w:color="auto"/>
          </w:divBdr>
          <w:divsChild>
            <w:div w:id="1319770061">
              <w:marLeft w:val="0"/>
              <w:marRight w:val="0"/>
              <w:marTop w:val="0"/>
              <w:marBottom w:val="0"/>
              <w:divBdr>
                <w:top w:val="none" w:sz="0" w:space="0" w:color="auto"/>
                <w:left w:val="none" w:sz="0" w:space="0" w:color="auto"/>
                <w:bottom w:val="none" w:sz="0" w:space="0" w:color="auto"/>
                <w:right w:val="none" w:sz="0" w:space="0" w:color="auto"/>
              </w:divBdr>
              <w:divsChild>
                <w:div w:id="881480642">
                  <w:marLeft w:val="0"/>
                  <w:marRight w:val="0"/>
                  <w:marTop w:val="0"/>
                  <w:marBottom w:val="0"/>
                  <w:divBdr>
                    <w:top w:val="none" w:sz="0" w:space="0" w:color="auto"/>
                    <w:left w:val="none" w:sz="0" w:space="0" w:color="auto"/>
                    <w:bottom w:val="none" w:sz="0" w:space="0" w:color="auto"/>
                    <w:right w:val="none" w:sz="0" w:space="0" w:color="auto"/>
                  </w:divBdr>
                  <w:divsChild>
                    <w:div w:id="17703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300845">
      <w:bodyDiv w:val="1"/>
      <w:marLeft w:val="0"/>
      <w:marRight w:val="0"/>
      <w:marTop w:val="0"/>
      <w:marBottom w:val="0"/>
      <w:divBdr>
        <w:top w:val="none" w:sz="0" w:space="0" w:color="auto"/>
        <w:left w:val="none" w:sz="0" w:space="0" w:color="auto"/>
        <w:bottom w:val="none" w:sz="0" w:space="0" w:color="auto"/>
        <w:right w:val="none" w:sz="0" w:space="0" w:color="auto"/>
      </w:divBdr>
    </w:div>
    <w:div w:id="305091004">
      <w:bodyDiv w:val="1"/>
      <w:marLeft w:val="0"/>
      <w:marRight w:val="0"/>
      <w:marTop w:val="0"/>
      <w:marBottom w:val="0"/>
      <w:divBdr>
        <w:top w:val="none" w:sz="0" w:space="0" w:color="auto"/>
        <w:left w:val="none" w:sz="0" w:space="0" w:color="auto"/>
        <w:bottom w:val="none" w:sz="0" w:space="0" w:color="auto"/>
        <w:right w:val="none" w:sz="0" w:space="0" w:color="auto"/>
      </w:divBdr>
    </w:div>
    <w:div w:id="340472969">
      <w:bodyDiv w:val="1"/>
      <w:marLeft w:val="0"/>
      <w:marRight w:val="0"/>
      <w:marTop w:val="0"/>
      <w:marBottom w:val="0"/>
      <w:divBdr>
        <w:top w:val="none" w:sz="0" w:space="0" w:color="auto"/>
        <w:left w:val="none" w:sz="0" w:space="0" w:color="auto"/>
        <w:bottom w:val="none" w:sz="0" w:space="0" w:color="auto"/>
        <w:right w:val="none" w:sz="0" w:space="0" w:color="auto"/>
      </w:divBdr>
      <w:divsChild>
        <w:div w:id="897591576">
          <w:marLeft w:val="0"/>
          <w:marRight w:val="0"/>
          <w:marTop w:val="0"/>
          <w:marBottom w:val="0"/>
          <w:divBdr>
            <w:top w:val="none" w:sz="0" w:space="0" w:color="auto"/>
            <w:left w:val="none" w:sz="0" w:space="0" w:color="auto"/>
            <w:bottom w:val="none" w:sz="0" w:space="0" w:color="auto"/>
            <w:right w:val="none" w:sz="0" w:space="0" w:color="auto"/>
          </w:divBdr>
          <w:divsChild>
            <w:div w:id="225923226">
              <w:marLeft w:val="0"/>
              <w:marRight w:val="0"/>
              <w:marTop w:val="0"/>
              <w:marBottom w:val="0"/>
              <w:divBdr>
                <w:top w:val="none" w:sz="0" w:space="0" w:color="auto"/>
                <w:left w:val="none" w:sz="0" w:space="0" w:color="auto"/>
                <w:bottom w:val="none" w:sz="0" w:space="0" w:color="auto"/>
                <w:right w:val="none" w:sz="0" w:space="0" w:color="auto"/>
              </w:divBdr>
              <w:divsChild>
                <w:div w:id="16372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7342">
      <w:bodyDiv w:val="1"/>
      <w:marLeft w:val="0"/>
      <w:marRight w:val="0"/>
      <w:marTop w:val="0"/>
      <w:marBottom w:val="0"/>
      <w:divBdr>
        <w:top w:val="none" w:sz="0" w:space="0" w:color="auto"/>
        <w:left w:val="none" w:sz="0" w:space="0" w:color="auto"/>
        <w:bottom w:val="none" w:sz="0" w:space="0" w:color="auto"/>
        <w:right w:val="none" w:sz="0" w:space="0" w:color="auto"/>
      </w:divBdr>
      <w:divsChild>
        <w:div w:id="2114857771">
          <w:marLeft w:val="0"/>
          <w:marRight w:val="0"/>
          <w:marTop w:val="0"/>
          <w:marBottom w:val="0"/>
          <w:divBdr>
            <w:top w:val="none" w:sz="0" w:space="0" w:color="auto"/>
            <w:left w:val="none" w:sz="0" w:space="0" w:color="auto"/>
            <w:bottom w:val="none" w:sz="0" w:space="0" w:color="auto"/>
            <w:right w:val="none" w:sz="0" w:space="0" w:color="auto"/>
          </w:divBdr>
          <w:divsChild>
            <w:div w:id="1133057099">
              <w:marLeft w:val="0"/>
              <w:marRight w:val="0"/>
              <w:marTop w:val="0"/>
              <w:marBottom w:val="0"/>
              <w:divBdr>
                <w:top w:val="none" w:sz="0" w:space="0" w:color="auto"/>
                <w:left w:val="none" w:sz="0" w:space="0" w:color="auto"/>
                <w:bottom w:val="none" w:sz="0" w:space="0" w:color="auto"/>
                <w:right w:val="none" w:sz="0" w:space="0" w:color="auto"/>
              </w:divBdr>
              <w:divsChild>
                <w:div w:id="11808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55471">
      <w:bodyDiv w:val="1"/>
      <w:marLeft w:val="0"/>
      <w:marRight w:val="0"/>
      <w:marTop w:val="0"/>
      <w:marBottom w:val="0"/>
      <w:divBdr>
        <w:top w:val="none" w:sz="0" w:space="0" w:color="auto"/>
        <w:left w:val="none" w:sz="0" w:space="0" w:color="auto"/>
        <w:bottom w:val="none" w:sz="0" w:space="0" w:color="auto"/>
        <w:right w:val="none" w:sz="0" w:space="0" w:color="auto"/>
      </w:divBdr>
    </w:div>
    <w:div w:id="609359969">
      <w:bodyDiv w:val="1"/>
      <w:marLeft w:val="0"/>
      <w:marRight w:val="0"/>
      <w:marTop w:val="0"/>
      <w:marBottom w:val="0"/>
      <w:divBdr>
        <w:top w:val="none" w:sz="0" w:space="0" w:color="auto"/>
        <w:left w:val="none" w:sz="0" w:space="0" w:color="auto"/>
        <w:bottom w:val="none" w:sz="0" w:space="0" w:color="auto"/>
        <w:right w:val="none" w:sz="0" w:space="0" w:color="auto"/>
      </w:divBdr>
    </w:div>
    <w:div w:id="641808451">
      <w:bodyDiv w:val="1"/>
      <w:marLeft w:val="0"/>
      <w:marRight w:val="0"/>
      <w:marTop w:val="0"/>
      <w:marBottom w:val="0"/>
      <w:divBdr>
        <w:top w:val="none" w:sz="0" w:space="0" w:color="auto"/>
        <w:left w:val="none" w:sz="0" w:space="0" w:color="auto"/>
        <w:bottom w:val="none" w:sz="0" w:space="0" w:color="auto"/>
        <w:right w:val="none" w:sz="0" w:space="0" w:color="auto"/>
      </w:divBdr>
    </w:div>
    <w:div w:id="838544779">
      <w:bodyDiv w:val="1"/>
      <w:marLeft w:val="0"/>
      <w:marRight w:val="0"/>
      <w:marTop w:val="0"/>
      <w:marBottom w:val="0"/>
      <w:divBdr>
        <w:top w:val="none" w:sz="0" w:space="0" w:color="auto"/>
        <w:left w:val="none" w:sz="0" w:space="0" w:color="auto"/>
        <w:bottom w:val="none" w:sz="0" w:space="0" w:color="auto"/>
        <w:right w:val="none" w:sz="0" w:space="0" w:color="auto"/>
      </w:divBdr>
    </w:div>
    <w:div w:id="896361136">
      <w:bodyDiv w:val="1"/>
      <w:marLeft w:val="0"/>
      <w:marRight w:val="0"/>
      <w:marTop w:val="0"/>
      <w:marBottom w:val="0"/>
      <w:divBdr>
        <w:top w:val="none" w:sz="0" w:space="0" w:color="auto"/>
        <w:left w:val="none" w:sz="0" w:space="0" w:color="auto"/>
        <w:bottom w:val="none" w:sz="0" w:space="0" w:color="auto"/>
        <w:right w:val="none" w:sz="0" w:space="0" w:color="auto"/>
      </w:divBdr>
    </w:div>
    <w:div w:id="925849098">
      <w:bodyDiv w:val="1"/>
      <w:marLeft w:val="0"/>
      <w:marRight w:val="0"/>
      <w:marTop w:val="0"/>
      <w:marBottom w:val="0"/>
      <w:divBdr>
        <w:top w:val="none" w:sz="0" w:space="0" w:color="auto"/>
        <w:left w:val="none" w:sz="0" w:space="0" w:color="auto"/>
        <w:bottom w:val="none" w:sz="0" w:space="0" w:color="auto"/>
        <w:right w:val="none" w:sz="0" w:space="0" w:color="auto"/>
      </w:divBdr>
    </w:div>
    <w:div w:id="926620247">
      <w:bodyDiv w:val="1"/>
      <w:marLeft w:val="0"/>
      <w:marRight w:val="0"/>
      <w:marTop w:val="0"/>
      <w:marBottom w:val="0"/>
      <w:divBdr>
        <w:top w:val="none" w:sz="0" w:space="0" w:color="auto"/>
        <w:left w:val="none" w:sz="0" w:space="0" w:color="auto"/>
        <w:bottom w:val="none" w:sz="0" w:space="0" w:color="auto"/>
        <w:right w:val="none" w:sz="0" w:space="0" w:color="auto"/>
      </w:divBdr>
    </w:div>
    <w:div w:id="988900776">
      <w:bodyDiv w:val="1"/>
      <w:marLeft w:val="0"/>
      <w:marRight w:val="0"/>
      <w:marTop w:val="0"/>
      <w:marBottom w:val="0"/>
      <w:divBdr>
        <w:top w:val="none" w:sz="0" w:space="0" w:color="auto"/>
        <w:left w:val="none" w:sz="0" w:space="0" w:color="auto"/>
        <w:bottom w:val="none" w:sz="0" w:space="0" w:color="auto"/>
        <w:right w:val="none" w:sz="0" w:space="0" w:color="auto"/>
      </w:divBdr>
      <w:divsChild>
        <w:div w:id="2114784102">
          <w:marLeft w:val="0"/>
          <w:marRight w:val="0"/>
          <w:marTop w:val="0"/>
          <w:marBottom w:val="0"/>
          <w:divBdr>
            <w:top w:val="single" w:sz="2" w:space="0" w:color="D9D9E3"/>
            <w:left w:val="single" w:sz="2" w:space="0" w:color="D9D9E3"/>
            <w:bottom w:val="single" w:sz="2" w:space="0" w:color="D9D9E3"/>
            <w:right w:val="single" w:sz="2" w:space="0" w:color="D9D9E3"/>
          </w:divBdr>
          <w:divsChild>
            <w:div w:id="919363761">
              <w:marLeft w:val="0"/>
              <w:marRight w:val="0"/>
              <w:marTop w:val="0"/>
              <w:marBottom w:val="0"/>
              <w:divBdr>
                <w:top w:val="single" w:sz="2" w:space="0" w:color="D9D9E3"/>
                <w:left w:val="single" w:sz="2" w:space="0" w:color="D9D9E3"/>
                <w:bottom w:val="single" w:sz="2" w:space="0" w:color="D9D9E3"/>
                <w:right w:val="single" w:sz="2" w:space="0" w:color="D9D9E3"/>
              </w:divBdr>
              <w:divsChild>
                <w:div w:id="1387877136">
                  <w:marLeft w:val="0"/>
                  <w:marRight w:val="0"/>
                  <w:marTop w:val="0"/>
                  <w:marBottom w:val="0"/>
                  <w:divBdr>
                    <w:top w:val="single" w:sz="2" w:space="0" w:color="D9D9E3"/>
                    <w:left w:val="single" w:sz="2" w:space="0" w:color="D9D9E3"/>
                    <w:bottom w:val="single" w:sz="2" w:space="0" w:color="D9D9E3"/>
                    <w:right w:val="single" w:sz="2" w:space="0" w:color="D9D9E3"/>
                  </w:divBdr>
                  <w:divsChild>
                    <w:div w:id="1596279969">
                      <w:marLeft w:val="0"/>
                      <w:marRight w:val="0"/>
                      <w:marTop w:val="0"/>
                      <w:marBottom w:val="0"/>
                      <w:divBdr>
                        <w:top w:val="single" w:sz="2" w:space="0" w:color="D9D9E3"/>
                        <w:left w:val="single" w:sz="2" w:space="0" w:color="D9D9E3"/>
                        <w:bottom w:val="single" w:sz="2" w:space="0" w:color="D9D9E3"/>
                        <w:right w:val="single" w:sz="2" w:space="0" w:color="D9D9E3"/>
                      </w:divBdr>
                      <w:divsChild>
                        <w:div w:id="2017074744">
                          <w:marLeft w:val="0"/>
                          <w:marRight w:val="0"/>
                          <w:marTop w:val="0"/>
                          <w:marBottom w:val="0"/>
                          <w:divBdr>
                            <w:top w:val="single" w:sz="2" w:space="0" w:color="auto"/>
                            <w:left w:val="single" w:sz="2" w:space="0" w:color="auto"/>
                            <w:bottom w:val="single" w:sz="6" w:space="0" w:color="auto"/>
                            <w:right w:val="single" w:sz="2" w:space="0" w:color="auto"/>
                          </w:divBdr>
                          <w:divsChild>
                            <w:div w:id="1079983101">
                              <w:marLeft w:val="0"/>
                              <w:marRight w:val="0"/>
                              <w:marTop w:val="100"/>
                              <w:marBottom w:val="100"/>
                              <w:divBdr>
                                <w:top w:val="single" w:sz="2" w:space="0" w:color="D9D9E3"/>
                                <w:left w:val="single" w:sz="2" w:space="0" w:color="D9D9E3"/>
                                <w:bottom w:val="single" w:sz="2" w:space="0" w:color="D9D9E3"/>
                                <w:right w:val="single" w:sz="2" w:space="0" w:color="D9D9E3"/>
                              </w:divBdr>
                              <w:divsChild>
                                <w:div w:id="1560169452">
                                  <w:marLeft w:val="0"/>
                                  <w:marRight w:val="0"/>
                                  <w:marTop w:val="0"/>
                                  <w:marBottom w:val="0"/>
                                  <w:divBdr>
                                    <w:top w:val="single" w:sz="2" w:space="0" w:color="D9D9E3"/>
                                    <w:left w:val="single" w:sz="2" w:space="0" w:color="D9D9E3"/>
                                    <w:bottom w:val="single" w:sz="2" w:space="0" w:color="D9D9E3"/>
                                    <w:right w:val="single" w:sz="2" w:space="0" w:color="D9D9E3"/>
                                  </w:divBdr>
                                  <w:divsChild>
                                    <w:div w:id="807742282">
                                      <w:marLeft w:val="0"/>
                                      <w:marRight w:val="0"/>
                                      <w:marTop w:val="0"/>
                                      <w:marBottom w:val="0"/>
                                      <w:divBdr>
                                        <w:top w:val="single" w:sz="2" w:space="0" w:color="D9D9E3"/>
                                        <w:left w:val="single" w:sz="2" w:space="0" w:color="D9D9E3"/>
                                        <w:bottom w:val="single" w:sz="2" w:space="0" w:color="D9D9E3"/>
                                        <w:right w:val="single" w:sz="2" w:space="0" w:color="D9D9E3"/>
                                      </w:divBdr>
                                      <w:divsChild>
                                        <w:div w:id="1035619902">
                                          <w:marLeft w:val="0"/>
                                          <w:marRight w:val="0"/>
                                          <w:marTop w:val="0"/>
                                          <w:marBottom w:val="0"/>
                                          <w:divBdr>
                                            <w:top w:val="single" w:sz="2" w:space="0" w:color="D9D9E3"/>
                                            <w:left w:val="single" w:sz="2" w:space="0" w:color="D9D9E3"/>
                                            <w:bottom w:val="single" w:sz="2" w:space="0" w:color="D9D9E3"/>
                                            <w:right w:val="single" w:sz="2" w:space="0" w:color="D9D9E3"/>
                                          </w:divBdr>
                                          <w:divsChild>
                                            <w:div w:id="1704548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6711041">
          <w:marLeft w:val="0"/>
          <w:marRight w:val="0"/>
          <w:marTop w:val="0"/>
          <w:marBottom w:val="0"/>
          <w:divBdr>
            <w:top w:val="none" w:sz="0" w:space="0" w:color="auto"/>
            <w:left w:val="none" w:sz="0" w:space="0" w:color="auto"/>
            <w:bottom w:val="none" w:sz="0" w:space="0" w:color="auto"/>
            <w:right w:val="none" w:sz="0" w:space="0" w:color="auto"/>
          </w:divBdr>
          <w:divsChild>
            <w:div w:id="92215598">
              <w:marLeft w:val="0"/>
              <w:marRight w:val="0"/>
              <w:marTop w:val="0"/>
              <w:marBottom w:val="0"/>
              <w:divBdr>
                <w:top w:val="single" w:sz="2" w:space="0" w:color="D9D9E3"/>
                <w:left w:val="single" w:sz="2" w:space="0" w:color="D9D9E3"/>
                <w:bottom w:val="single" w:sz="2" w:space="0" w:color="D9D9E3"/>
                <w:right w:val="single" w:sz="2" w:space="0" w:color="D9D9E3"/>
              </w:divBdr>
              <w:divsChild>
                <w:div w:id="1428622917">
                  <w:marLeft w:val="0"/>
                  <w:marRight w:val="0"/>
                  <w:marTop w:val="0"/>
                  <w:marBottom w:val="0"/>
                  <w:divBdr>
                    <w:top w:val="single" w:sz="2" w:space="0" w:color="D9D9E3"/>
                    <w:left w:val="single" w:sz="2" w:space="0" w:color="D9D9E3"/>
                    <w:bottom w:val="single" w:sz="2" w:space="0" w:color="D9D9E3"/>
                    <w:right w:val="single" w:sz="2" w:space="0" w:color="D9D9E3"/>
                  </w:divBdr>
                  <w:divsChild>
                    <w:div w:id="1711762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67344164">
      <w:bodyDiv w:val="1"/>
      <w:marLeft w:val="0"/>
      <w:marRight w:val="0"/>
      <w:marTop w:val="0"/>
      <w:marBottom w:val="0"/>
      <w:divBdr>
        <w:top w:val="none" w:sz="0" w:space="0" w:color="auto"/>
        <w:left w:val="none" w:sz="0" w:space="0" w:color="auto"/>
        <w:bottom w:val="none" w:sz="0" w:space="0" w:color="auto"/>
        <w:right w:val="none" w:sz="0" w:space="0" w:color="auto"/>
      </w:divBdr>
    </w:div>
    <w:div w:id="1141851884">
      <w:bodyDiv w:val="1"/>
      <w:marLeft w:val="0"/>
      <w:marRight w:val="0"/>
      <w:marTop w:val="0"/>
      <w:marBottom w:val="0"/>
      <w:divBdr>
        <w:top w:val="none" w:sz="0" w:space="0" w:color="auto"/>
        <w:left w:val="none" w:sz="0" w:space="0" w:color="auto"/>
        <w:bottom w:val="none" w:sz="0" w:space="0" w:color="auto"/>
        <w:right w:val="none" w:sz="0" w:space="0" w:color="auto"/>
      </w:divBdr>
    </w:div>
    <w:div w:id="1247618640">
      <w:bodyDiv w:val="1"/>
      <w:marLeft w:val="0"/>
      <w:marRight w:val="0"/>
      <w:marTop w:val="0"/>
      <w:marBottom w:val="0"/>
      <w:divBdr>
        <w:top w:val="none" w:sz="0" w:space="0" w:color="auto"/>
        <w:left w:val="none" w:sz="0" w:space="0" w:color="auto"/>
        <w:bottom w:val="none" w:sz="0" w:space="0" w:color="auto"/>
        <w:right w:val="none" w:sz="0" w:space="0" w:color="auto"/>
      </w:divBdr>
    </w:div>
    <w:div w:id="1290015032">
      <w:bodyDiv w:val="1"/>
      <w:marLeft w:val="0"/>
      <w:marRight w:val="0"/>
      <w:marTop w:val="0"/>
      <w:marBottom w:val="0"/>
      <w:divBdr>
        <w:top w:val="none" w:sz="0" w:space="0" w:color="auto"/>
        <w:left w:val="none" w:sz="0" w:space="0" w:color="auto"/>
        <w:bottom w:val="none" w:sz="0" w:space="0" w:color="auto"/>
        <w:right w:val="none" w:sz="0" w:space="0" w:color="auto"/>
      </w:divBdr>
    </w:div>
    <w:div w:id="1334070993">
      <w:bodyDiv w:val="1"/>
      <w:marLeft w:val="0"/>
      <w:marRight w:val="0"/>
      <w:marTop w:val="0"/>
      <w:marBottom w:val="0"/>
      <w:divBdr>
        <w:top w:val="none" w:sz="0" w:space="0" w:color="auto"/>
        <w:left w:val="none" w:sz="0" w:space="0" w:color="auto"/>
        <w:bottom w:val="none" w:sz="0" w:space="0" w:color="auto"/>
        <w:right w:val="none" w:sz="0" w:space="0" w:color="auto"/>
      </w:divBdr>
    </w:div>
    <w:div w:id="1354459728">
      <w:bodyDiv w:val="1"/>
      <w:marLeft w:val="0"/>
      <w:marRight w:val="0"/>
      <w:marTop w:val="0"/>
      <w:marBottom w:val="0"/>
      <w:divBdr>
        <w:top w:val="none" w:sz="0" w:space="0" w:color="auto"/>
        <w:left w:val="none" w:sz="0" w:space="0" w:color="auto"/>
        <w:bottom w:val="none" w:sz="0" w:space="0" w:color="auto"/>
        <w:right w:val="none" w:sz="0" w:space="0" w:color="auto"/>
      </w:divBdr>
    </w:div>
    <w:div w:id="1470709103">
      <w:bodyDiv w:val="1"/>
      <w:marLeft w:val="0"/>
      <w:marRight w:val="0"/>
      <w:marTop w:val="0"/>
      <w:marBottom w:val="0"/>
      <w:divBdr>
        <w:top w:val="none" w:sz="0" w:space="0" w:color="auto"/>
        <w:left w:val="none" w:sz="0" w:space="0" w:color="auto"/>
        <w:bottom w:val="none" w:sz="0" w:space="0" w:color="auto"/>
        <w:right w:val="none" w:sz="0" w:space="0" w:color="auto"/>
      </w:divBdr>
    </w:div>
    <w:div w:id="1500734729">
      <w:bodyDiv w:val="1"/>
      <w:marLeft w:val="0"/>
      <w:marRight w:val="0"/>
      <w:marTop w:val="0"/>
      <w:marBottom w:val="0"/>
      <w:divBdr>
        <w:top w:val="none" w:sz="0" w:space="0" w:color="auto"/>
        <w:left w:val="none" w:sz="0" w:space="0" w:color="auto"/>
        <w:bottom w:val="none" w:sz="0" w:space="0" w:color="auto"/>
        <w:right w:val="none" w:sz="0" w:space="0" w:color="auto"/>
      </w:divBdr>
    </w:div>
    <w:div w:id="1582061351">
      <w:bodyDiv w:val="1"/>
      <w:marLeft w:val="0"/>
      <w:marRight w:val="0"/>
      <w:marTop w:val="0"/>
      <w:marBottom w:val="0"/>
      <w:divBdr>
        <w:top w:val="none" w:sz="0" w:space="0" w:color="auto"/>
        <w:left w:val="none" w:sz="0" w:space="0" w:color="auto"/>
        <w:bottom w:val="none" w:sz="0" w:space="0" w:color="auto"/>
        <w:right w:val="none" w:sz="0" w:space="0" w:color="auto"/>
      </w:divBdr>
    </w:div>
    <w:div w:id="1597246020">
      <w:bodyDiv w:val="1"/>
      <w:marLeft w:val="0"/>
      <w:marRight w:val="0"/>
      <w:marTop w:val="0"/>
      <w:marBottom w:val="0"/>
      <w:divBdr>
        <w:top w:val="none" w:sz="0" w:space="0" w:color="auto"/>
        <w:left w:val="none" w:sz="0" w:space="0" w:color="auto"/>
        <w:bottom w:val="none" w:sz="0" w:space="0" w:color="auto"/>
        <w:right w:val="none" w:sz="0" w:space="0" w:color="auto"/>
      </w:divBdr>
    </w:div>
    <w:div w:id="1630823287">
      <w:bodyDiv w:val="1"/>
      <w:marLeft w:val="0"/>
      <w:marRight w:val="0"/>
      <w:marTop w:val="0"/>
      <w:marBottom w:val="0"/>
      <w:divBdr>
        <w:top w:val="none" w:sz="0" w:space="0" w:color="auto"/>
        <w:left w:val="none" w:sz="0" w:space="0" w:color="auto"/>
        <w:bottom w:val="none" w:sz="0" w:space="0" w:color="auto"/>
        <w:right w:val="none" w:sz="0" w:space="0" w:color="auto"/>
      </w:divBdr>
    </w:div>
    <w:div w:id="1724869247">
      <w:bodyDiv w:val="1"/>
      <w:marLeft w:val="0"/>
      <w:marRight w:val="0"/>
      <w:marTop w:val="0"/>
      <w:marBottom w:val="0"/>
      <w:divBdr>
        <w:top w:val="none" w:sz="0" w:space="0" w:color="auto"/>
        <w:left w:val="none" w:sz="0" w:space="0" w:color="auto"/>
        <w:bottom w:val="none" w:sz="0" w:space="0" w:color="auto"/>
        <w:right w:val="none" w:sz="0" w:space="0" w:color="auto"/>
      </w:divBdr>
    </w:div>
    <w:div w:id="1739205551">
      <w:bodyDiv w:val="1"/>
      <w:marLeft w:val="0"/>
      <w:marRight w:val="0"/>
      <w:marTop w:val="0"/>
      <w:marBottom w:val="0"/>
      <w:divBdr>
        <w:top w:val="none" w:sz="0" w:space="0" w:color="auto"/>
        <w:left w:val="none" w:sz="0" w:space="0" w:color="auto"/>
        <w:bottom w:val="none" w:sz="0" w:space="0" w:color="auto"/>
        <w:right w:val="none" w:sz="0" w:space="0" w:color="auto"/>
      </w:divBdr>
    </w:div>
    <w:div w:id="1739278362">
      <w:bodyDiv w:val="1"/>
      <w:marLeft w:val="0"/>
      <w:marRight w:val="0"/>
      <w:marTop w:val="0"/>
      <w:marBottom w:val="0"/>
      <w:divBdr>
        <w:top w:val="none" w:sz="0" w:space="0" w:color="auto"/>
        <w:left w:val="none" w:sz="0" w:space="0" w:color="auto"/>
        <w:bottom w:val="none" w:sz="0" w:space="0" w:color="auto"/>
        <w:right w:val="none" w:sz="0" w:space="0" w:color="auto"/>
      </w:divBdr>
    </w:div>
    <w:div w:id="1866364516">
      <w:bodyDiv w:val="1"/>
      <w:marLeft w:val="0"/>
      <w:marRight w:val="0"/>
      <w:marTop w:val="0"/>
      <w:marBottom w:val="0"/>
      <w:divBdr>
        <w:top w:val="none" w:sz="0" w:space="0" w:color="auto"/>
        <w:left w:val="none" w:sz="0" w:space="0" w:color="auto"/>
        <w:bottom w:val="none" w:sz="0" w:space="0" w:color="auto"/>
        <w:right w:val="none" w:sz="0" w:space="0" w:color="auto"/>
      </w:divBdr>
    </w:div>
    <w:div w:id="1885408301">
      <w:bodyDiv w:val="1"/>
      <w:marLeft w:val="0"/>
      <w:marRight w:val="0"/>
      <w:marTop w:val="0"/>
      <w:marBottom w:val="0"/>
      <w:divBdr>
        <w:top w:val="none" w:sz="0" w:space="0" w:color="auto"/>
        <w:left w:val="none" w:sz="0" w:space="0" w:color="auto"/>
        <w:bottom w:val="none" w:sz="0" w:space="0" w:color="auto"/>
        <w:right w:val="none" w:sz="0" w:space="0" w:color="auto"/>
      </w:divBdr>
    </w:div>
    <w:div w:id="1893883952">
      <w:bodyDiv w:val="1"/>
      <w:marLeft w:val="0"/>
      <w:marRight w:val="0"/>
      <w:marTop w:val="0"/>
      <w:marBottom w:val="0"/>
      <w:divBdr>
        <w:top w:val="none" w:sz="0" w:space="0" w:color="auto"/>
        <w:left w:val="none" w:sz="0" w:space="0" w:color="auto"/>
        <w:bottom w:val="none" w:sz="0" w:space="0" w:color="auto"/>
        <w:right w:val="none" w:sz="0" w:space="0" w:color="auto"/>
      </w:divBdr>
    </w:div>
    <w:div w:id="1929270425">
      <w:bodyDiv w:val="1"/>
      <w:marLeft w:val="0"/>
      <w:marRight w:val="0"/>
      <w:marTop w:val="0"/>
      <w:marBottom w:val="0"/>
      <w:divBdr>
        <w:top w:val="none" w:sz="0" w:space="0" w:color="auto"/>
        <w:left w:val="none" w:sz="0" w:space="0" w:color="auto"/>
        <w:bottom w:val="none" w:sz="0" w:space="0" w:color="auto"/>
        <w:right w:val="none" w:sz="0" w:space="0" w:color="auto"/>
      </w:divBdr>
    </w:div>
    <w:div w:id="1987934839">
      <w:bodyDiv w:val="1"/>
      <w:marLeft w:val="0"/>
      <w:marRight w:val="0"/>
      <w:marTop w:val="0"/>
      <w:marBottom w:val="0"/>
      <w:divBdr>
        <w:top w:val="none" w:sz="0" w:space="0" w:color="auto"/>
        <w:left w:val="none" w:sz="0" w:space="0" w:color="auto"/>
        <w:bottom w:val="none" w:sz="0" w:space="0" w:color="auto"/>
        <w:right w:val="none" w:sz="0" w:space="0" w:color="auto"/>
      </w:divBdr>
      <w:divsChild>
        <w:div w:id="22754117">
          <w:marLeft w:val="0"/>
          <w:marRight w:val="0"/>
          <w:marTop w:val="0"/>
          <w:marBottom w:val="0"/>
          <w:divBdr>
            <w:top w:val="none" w:sz="0" w:space="0" w:color="auto"/>
            <w:left w:val="none" w:sz="0" w:space="0" w:color="auto"/>
            <w:bottom w:val="none" w:sz="0" w:space="0" w:color="auto"/>
            <w:right w:val="none" w:sz="0" w:space="0" w:color="auto"/>
          </w:divBdr>
          <w:divsChild>
            <w:div w:id="422652634">
              <w:marLeft w:val="0"/>
              <w:marRight w:val="0"/>
              <w:marTop w:val="0"/>
              <w:marBottom w:val="0"/>
              <w:divBdr>
                <w:top w:val="none" w:sz="0" w:space="0" w:color="auto"/>
                <w:left w:val="none" w:sz="0" w:space="0" w:color="auto"/>
                <w:bottom w:val="none" w:sz="0" w:space="0" w:color="auto"/>
                <w:right w:val="none" w:sz="0" w:space="0" w:color="auto"/>
              </w:divBdr>
              <w:divsChild>
                <w:div w:id="4830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7374">
      <w:bodyDiv w:val="1"/>
      <w:marLeft w:val="0"/>
      <w:marRight w:val="0"/>
      <w:marTop w:val="0"/>
      <w:marBottom w:val="0"/>
      <w:divBdr>
        <w:top w:val="none" w:sz="0" w:space="0" w:color="auto"/>
        <w:left w:val="none" w:sz="0" w:space="0" w:color="auto"/>
        <w:bottom w:val="none" w:sz="0" w:space="0" w:color="auto"/>
        <w:right w:val="none" w:sz="0" w:space="0" w:color="auto"/>
      </w:divBdr>
    </w:div>
    <w:div w:id="2077438038">
      <w:bodyDiv w:val="1"/>
      <w:marLeft w:val="0"/>
      <w:marRight w:val="0"/>
      <w:marTop w:val="0"/>
      <w:marBottom w:val="0"/>
      <w:divBdr>
        <w:top w:val="none" w:sz="0" w:space="0" w:color="auto"/>
        <w:left w:val="none" w:sz="0" w:space="0" w:color="auto"/>
        <w:bottom w:val="none" w:sz="0" w:space="0" w:color="auto"/>
        <w:right w:val="none" w:sz="0" w:space="0" w:color="auto"/>
      </w:divBdr>
      <w:divsChild>
        <w:div w:id="182548842">
          <w:marLeft w:val="0"/>
          <w:marRight w:val="0"/>
          <w:marTop w:val="0"/>
          <w:marBottom w:val="0"/>
          <w:divBdr>
            <w:top w:val="none" w:sz="0" w:space="0" w:color="auto"/>
            <w:left w:val="none" w:sz="0" w:space="0" w:color="auto"/>
            <w:bottom w:val="none" w:sz="0" w:space="0" w:color="auto"/>
            <w:right w:val="none" w:sz="0" w:space="0" w:color="auto"/>
          </w:divBdr>
          <w:divsChild>
            <w:div w:id="762996286">
              <w:marLeft w:val="0"/>
              <w:marRight w:val="0"/>
              <w:marTop w:val="0"/>
              <w:marBottom w:val="0"/>
              <w:divBdr>
                <w:top w:val="none" w:sz="0" w:space="0" w:color="auto"/>
                <w:left w:val="none" w:sz="0" w:space="0" w:color="auto"/>
                <w:bottom w:val="none" w:sz="0" w:space="0" w:color="auto"/>
                <w:right w:val="none" w:sz="0" w:space="0" w:color="auto"/>
              </w:divBdr>
              <w:divsChild>
                <w:div w:id="5318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Users\angel\Desktop\dottorato\progetti\Contactor\Ossigeno%20imbottigliamento%20Vas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ngel\Desktop\dottorato\progetti\Contactor\Ossigeno%20imbottigliamento%20Vason.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'Grafico fino a zero'!$B$46</c:f>
              <c:strCache>
                <c:ptCount val="1"/>
                <c:pt idx="0">
                  <c:v>SUG</c:v>
                </c:pt>
              </c:strCache>
            </c:strRef>
          </c:tx>
          <c:spPr>
            <a:ln w="9525" cap="rnd">
              <a:solidFill>
                <a:schemeClr val="accent1"/>
              </a:solidFill>
              <a:round/>
            </a:ln>
            <a:effectLst/>
          </c:spPr>
          <c:marker>
            <c:symbol val="circle"/>
            <c:size val="3"/>
            <c:spPr>
              <a:solidFill>
                <a:schemeClr val="accent1"/>
              </a:solidFill>
              <a:ln w="9525">
                <a:solidFill>
                  <a:schemeClr val="accent1"/>
                </a:solidFill>
              </a:ln>
              <a:effectLst/>
            </c:spPr>
          </c:marker>
          <c:errBars>
            <c:errDir val="y"/>
            <c:errBarType val="both"/>
            <c:errValType val="cust"/>
            <c:noEndCap val="0"/>
            <c:plus>
              <c:numRef>
                <c:f>'Grafico fino a zero'!$C$40:$I$40</c:f>
                <c:numCache>
                  <c:formatCode>General</c:formatCode>
                  <c:ptCount val="7"/>
                  <c:pt idx="0">
                    <c:v>0.11996365190247316</c:v>
                  </c:pt>
                  <c:pt idx="1">
                    <c:v>8.3884510555352981E-2</c:v>
                  </c:pt>
                  <c:pt idx="2">
                    <c:v>1.1214078453245978E-2</c:v>
                  </c:pt>
                  <c:pt idx="3">
                    <c:v>5.5307222755160276E-3</c:v>
                  </c:pt>
                  <c:pt idx="4">
                    <c:v>6.1191865835619431E-3</c:v>
                  </c:pt>
                  <c:pt idx="5">
                    <c:v>5.4701208599282642E-3</c:v>
                  </c:pt>
                  <c:pt idx="6">
                    <c:v>1.098332068790365E-2</c:v>
                  </c:pt>
                </c:numCache>
              </c:numRef>
            </c:plus>
            <c:minus>
              <c:numRef>
                <c:f>'Grafico fino a zero'!$C$40:$I$40</c:f>
                <c:numCache>
                  <c:formatCode>General</c:formatCode>
                  <c:ptCount val="7"/>
                  <c:pt idx="0">
                    <c:v>0.11996365190247316</c:v>
                  </c:pt>
                  <c:pt idx="1">
                    <c:v>8.3884510555352981E-2</c:v>
                  </c:pt>
                  <c:pt idx="2">
                    <c:v>1.1214078453245978E-2</c:v>
                  </c:pt>
                  <c:pt idx="3">
                    <c:v>5.5307222755160276E-3</c:v>
                  </c:pt>
                  <c:pt idx="4">
                    <c:v>6.1191865835619431E-3</c:v>
                  </c:pt>
                  <c:pt idx="5">
                    <c:v>5.4701208599282642E-3</c:v>
                  </c:pt>
                  <c:pt idx="6">
                    <c:v>1.098332068790365E-2</c:v>
                  </c:pt>
                </c:numCache>
              </c:numRef>
            </c:minus>
            <c:spPr>
              <a:noFill/>
              <a:ln w="9525" cap="flat" cmpd="sng" algn="ctr">
                <a:solidFill>
                  <a:schemeClr val="tx1">
                    <a:lumMod val="65000"/>
                    <a:lumOff val="35000"/>
                  </a:schemeClr>
                </a:solidFill>
                <a:round/>
              </a:ln>
              <a:effectLst/>
            </c:spPr>
          </c:errBars>
          <c:xVal>
            <c:numRef>
              <c:f>'Grafico fino a zero'!$C$33:$I$33</c:f>
              <c:numCache>
                <c:formatCode>General</c:formatCode>
                <c:ptCount val="7"/>
                <c:pt idx="0">
                  <c:v>3</c:v>
                </c:pt>
                <c:pt idx="1">
                  <c:v>95</c:v>
                </c:pt>
                <c:pt idx="2">
                  <c:v>144</c:v>
                </c:pt>
                <c:pt idx="3">
                  <c:v>207</c:v>
                </c:pt>
                <c:pt idx="4">
                  <c:v>276</c:v>
                </c:pt>
                <c:pt idx="5">
                  <c:v>347</c:v>
                </c:pt>
                <c:pt idx="6">
                  <c:v>424</c:v>
                </c:pt>
              </c:numCache>
            </c:numRef>
          </c:xVal>
          <c:yVal>
            <c:numRef>
              <c:f>'Grafico fino a zero'!$C$46:$I$46</c:f>
              <c:numCache>
                <c:formatCode>0.00</c:formatCode>
                <c:ptCount val="7"/>
                <c:pt idx="0">
                  <c:v>1.3986333333333334</c:v>
                </c:pt>
                <c:pt idx="1">
                  <c:v>0.18509999999999999</c:v>
                </c:pt>
                <c:pt idx="2">
                  <c:v>0.13190000000000002</c:v>
                </c:pt>
                <c:pt idx="3">
                  <c:v>0.13363333333333333</c:v>
                </c:pt>
                <c:pt idx="4">
                  <c:v>0.17590000000000003</c:v>
                </c:pt>
                <c:pt idx="5">
                  <c:v>0.13469999999999999</c:v>
                </c:pt>
                <c:pt idx="6">
                  <c:v>0.13686666666666664</c:v>
                </c:pt>
              </c:numCache>
            </c:numRef>
          </c:yVal>
          <c:smooth val="0"/>
          <c:extLst>
            <c:ext xmlns:c16="http://schemas.microsoft.com/office/drawing/2014/chart" uri="{C3380CC4-5D6E-409C-BE32-E72D297353CC}">
              <c16:uniqueId val="{00000000-1473-A44A-8F6C-1228BBA81D03}"/>
            </c:ext>
          </c:extLst>
        </c:ser>
        <c:ser>
          <c:idx val="1"/>
          <c:order val="1"/>
          <c:tx>
            <c:strRef>
              <c:f>'Grafico fino a zero'!$B$47</c:f>
              <c:strCache>
                <c:ptCount val="1"/>
                <c:pt idx="0">
                  <c:v>SAR</c:v>
                </c:pt>
              </c:strCache>
            </c:strRef>
          </c:tx>
          <c:spPr>
            <a:ln w="9525" cap="rnd">
              <a:solidFill>
                <a:schemeClr val="accent2"/>
              </a:solidFill>
              <a:round/>
            </a:ln>
            <a:effectLst/>
          </c:spPr>
          <c:marker>
            <c:symbol val="circle"/>
            <c:size val="3"/>
            <c:spPr>
              <a:solidFill>
                <a:schemeClr val="accent2"/>
              </a:solidFill>
              <a:ln w="9525">
                <a:solidFill>
                  <a:schemeClr val="accent2"/>
                </a:solidFill>
              </a:ln>
              <a:effectLst/>
            </c:spPr>
          </c:marker>
          <c:errBars>
            <c:errDir val="y"/>
            <c:errBarType val="both"/>
            <c:errValType val="cust"/>
            <c:noEndCap val="0"/>
            <c:plus>
              <c:numRef>
                <c:f>'Grafico fino a zero'!$C$40:$I$40</c:f>
                <c:numCache>
                  <c:formatCode>General</c:formatCode>
                  <c:ptCount val="7"/>
                  <c:pt idx="0">
                    <c:v>0.11996365190247316</c:v>
                  </c:pt>
                  <c:pt idx="1">
                    <c:v>8.3884510555352981E-2</c:v>
                  </c:pt>
                  <c:pt idx="2">
                    <c:v>1.1214078453245978E-2</c:v>
                  </c:pt>
                  <c:pt idx="3">
                    <c:v>5.5307222755160276E-3</c:v>
                  </c:pt>
                  <c:pt idx="4">
                    <c:v>6.1191865835619431E-3</c:v>
                  </c:pt>
                  <c:pt idx="5">
                    <c:v>5.4701208599282642E-3</c:v>
                  </c:pt>
                  <c:pt idx="6">
                    <c:v>1.098332068790365E-2</c:v>
                  </c:pt>
                </c:numCache>
              </c:numRef>
            </c:plus>
            <c:minus>
              <c:numRef>
                <c:f>'Grafico fino a zero'!$C$40:$I$40</c:f>
                <c:numCache>
                  <c:formatCode>General</c:formatCode>
                  <c:ptCount val="7"/>
                  <c:pt idx="0">
                    <c:v>0.11996365190247316</c:v>
                  </c:pt>
                  <c:pt idx="1">
                    <c:v>8.3884510555352981E-2</c:v>
                  </c:pt>
                  <c:pt idx="2">
                    <c:v>1.1214078453245978E-2</c:v>
                  </c:pt>
                  <c:pt idx="3">
                    <c:v>5.5307222755160276E-3</c:v>
                  </c:pt>
                  <c:pt idx="4">
                    <c:v>6.1191865835619431E-3</c:v>
                  </c:pt>
                  <c:pt idx="5">
                    <c:v>5.4701208599282642E-3</c:v>
                  </c:pt>
                  <c:pt idx="6">
                    <c:v>1.098332068790365E-2</c:v>
                  </c:pt>
                </c:numCache>
              </c:numRef>
            </c:minus>
            <c:spPr>
              <a:noFill/>
              <a:ln w="9525" cap="flat" cmpd="sng" algn="ctr">
                <a:solidFill>
                  <a:schemeClr val="tx1">
                    <a:lumMod val="65000"/>
                    <a:lumOff val="35000"/>
                  </a:schemeClr>
                </a:solidFill>
                <a:round/>
              </a:ln>
              <a:effectLst/>
            </c:spPr>
          </c:errBars>
          <c:xVal>
            <c:numRef>
              <c:f>'Grafico fino a zero'!$C$33:$I$33</c:f>
              <c:numCache>
                <c:formatCode>General</c:formatCode>
                <c:ptCount val="7"/>
                <c:pt idx="0">
                  <c:v>3</c:v>
                </c:pt>
                <c:pt idx="1">
                  <c:v>95</c:v>
                </c:pt>
                <c:pt idx="2">
                  <c:v>144</c:v>
                </c:pt>
                <c:pt idx="3">
                  <c:v>207</c:v>
                </c:pt>
                <c:pt idx="4">
                  <c:v>276</c:v>
                </c:pt>
                <c:pt idx="5">
                  <c:v>347</c:v>
                </c:pt>
                <c:pt idx="6">
                  <c:v>424</c:v>
                </c:pt>
              </c:numCache>
            </c:numRef>
          </c:xVal>
          <c:yVal>
            <c:numRef>
              <c:f>'Grafico fino a zero'!$C$47:$I$47</c:f>
              <c:numCache>
                <c:formatCode>0.00</c:formatCode>
                <c:ptCount val="7"/>
                <c:pt idx="0">
                  <c:v>1.1973333333333336</c:v>
                </c:pt>
                <c:pt idx="1">
                  <c:v>0.64360000000000006</c:v>
                </c:pt>
                <c:pt idx="2">
                  <c:v>0</c:v>
                </c:pt>
                <c:pt idx="3">
                  <c:v>2.2199999999999994E-2</c:v>
                </c:pt>
                <c:pt idx="4">
                  <c:v>8.4733333333333341E-2</c:v>
                </c:pt>
                <c:pt idx="5">
                  <c:v>0</c:v>
                </c:pt>
                <c:pt idx="6">
                  <c:v>0</c:v>
                </c:pt>
              </c:numCache>
            </c:numRef>
          </c:yVal>
          <c:smooth val="0"/>
          <c:extLst>
            <c:ext xmlns:c16="http://schemas.microsoft.com/office/drawing/2014/chart" uri="{C3380CC4-5D6E-409C-BE32-E72D297353CC}">
              <c16:uniqueId val="{00000001-1473-A44A-8F6C-1228BBA81D03}"/>
            </c:ext>
          </c:extLst>
        </c:ser>
        <c:ser>
          <c:idx val="2"/>
          <c:order val="2"/>
          <c:tx>
            <c:strRef>
              <c:f>'Grafico fino a zero'!$B$48</c:f>
              <c:strCache>
                <c:ptCount val="1"/>
                <c:pt idx="0">
                  <c:v>LIN_M</c:v>
                </c:pt>
              </c:strCache>
            </c:strRef>
          </c:tx>
          <c:spPr>
            <a:ln w="9525" cap="rnd">
              <a:solidFill>
                <a:schemeClr val="accent3"/>
              </a:solidFill>
              <a:round/>
            </a:ln>
            <a:effectLst/>
          </c:spPr>
          <c:marker>
            <c:symbol val="circle"/>
            <c:size val="3"/>
            <c:spPr>
              <a:solidFill>
                <a:schemeClr val="accent3"/>
              </a:solidFill>
              <a:ln w="9525">
                <a:solidFill>
                  <a:schemeClr val="accent3"/>
                </a:solidFill>
              </a:ln>
              <a:effectLst/>
            </c:spPr>
          </c:marker>
          <c:errBars>
            <c:errDir val="y"/>
            <c:errBarType val="both"/>
            <c:errValType val="cust"/>
            <c:noEndCap val="0"/>
            <c:plus>
              <c:numRef>
                <c:f>'Grafico fino a zero'!$C$41:$I$41</c:f>
                <c:numCache>
                  <c:formatCode>General</c:formatCode>
                  <c:ptCount val="7"/>
                  <c:pt idx="0">
                    <c:v>7.1789584512270591E-2</c:v>
                  </c:pt>
                  <c:pt idx="1">
                    <c:v>3.8325651404190836E-2</c:v>
                  </c:pt>
                  <c:pt idx="2">
                    <c:v>2.5560386016907732E-3</c:v>
                  </c:pt>
                  <c:pt idx="3">
                    <c:v>4.5276925690687208E-3</c:v>
                  </c:pt>
                  <c:pt idx="4">
                    <c:v>6.0369234254249414E-3</c:v>
                  </c:pt>
                  <c:pt idx="5">
                    <c:v>3.415129735619294E-2</c:v>
                  </c:pt>
                  <c:pt idx="6">
                    <c:v>1.2385026802106191E-2</c:v>
                  </c:pt>
                </c:numCache>
              </c:numRef>
            </c:plus>
            <c:minus>
              <c:numRef>
                <c:f>'Grafico fino a zero'!$C$41:$I$41</c:f>
                <c:numCache>
                  <c:formatCode>General</c:formatCode>
                  <c:ptCount val="7"/>
                  <c:pt idx="0">
                    <c:v>7.1789584512270591E-2</c:v>
                  </c:pt>
                  <c:pt idx="1">
                    <c:v>3.8325651404190836E-2</c:v>
                  </c:pt>
                  <c:pt idx="2">
                    <c:v>2.5560386016907732E-3</c:v>
                  </c:pt>
                  <c:pt idx="3">
                    <c:v>4.5276925690687208E-3</c:v>
                  </c:pt>
                  <c:pt idx="4">
                    <c:v>6.0369234254249414E-3</c:v>
                  </c:pt>
                  <c:pt idx="5">
                    <c:v>3.415129735619294E-2</c:v>
                  </c:pt>
                  <c:pt idx="6">
                    <c:v>1.2385026802106191E-2</c:v>
                  </c:pt>
                </c:numCache>
              </c:numRef>
            </c:minus>
            <c:spPr>
              <a:noFill/>
              <a:ln w="9525" cap="flat" cmpd="sng" algn="ctr">
                <a:solidFill>
                  <a:schemeClr val="tx1">
                    <a:lumMod val="65000"/>
                    <a:lumOff val="35000"/>
                  </a:schemeClr>
                </a:solidFill>
                <a:round/>
              </a:ln>
              <a:effectLst/>
            </c:spPr>
          </c:errBars>
          <c:xVal>
            <c:numRef>
              <c:f>'Grafico fino a zero'!$C$33:$I$33</c:f>
              <c:numCache>
                <c:formatCode>General</c:formatCode>
                <c:ptCount val="7"/>
                <c:pt idx="0">
                  <c:v>3</c:v>
                </c:pt>
                <c:pt idx="1">
                  <c:v>95</c:v>
                </c:pt>
                <c:pt idx="2">
                  <c:v>144</c:v>
                </c:pt>
                <c:pt idx="3">
                  <c:v>207</c:v>
                </c:pt>
                <c:pt idx="4">
                  <c:v>276</c:v>
                </c:pt>
                <c:pt idx="5">
                  <c:v>347</c:v>
                </c:pt>
                <c:pt idx="6">
                  <c:v>424</c:v>
                </c:pt>
              </c:numCache>
            </c:numRef>
          </c:xVal>
          <c:yVal>
            <c:numRef>
              <c:f>'Grafico fino a zero'!$C$48:$I$48</c:f>
              <c:numCache>
                <c:formatCode>0.00</c:formatCode>
                <c:ptCount val="7"/>
                <c:pt idx="0">
                  <c:v>1.4077333333333333</c:v>
                </c:pt>
                <c:pt idx="1">
                  <c:v>0.86239999999999994</c:v>
                </c:pt>
                <c:pt idx="2">
                  <c:v>9.7333333333333334E-3</c:v>
                </c:pt>
                <c:pt idx="3">
                  <c:v>2.3733333333333335E-2</c:v>
                </c:pt>
                <c:pt idx="4">
                  <c:v>9.5666666666666664E-2</c:v>
                </c:pt>
                <c:pt idx="5">
                  <c:v>6.1733333333333335E-2</c:v>
                </c:pt>
                <c:pt idx="6">
                  <c:v>0</c:v>
                </c:pt>
              </c:numCache>
            </c:numRef>
          </c:yVal>
          <c:smooth val="0"/>
          <c:extLst>
            <c:ext xmlns:c16="http://schemas.microsoft.com/office/drawing/2014/chart" uri="{C3380CC4-5D6E-409C-BE32-E72D297353CC}">
              <c16:uniqueId val="{00000002-1473-A44A-8F6C-1228BBA81D03}"/>
            </c:ext>
          </c:extLst>
        </c:ser>
        <c:ser>
          <c:idx val="3"/>
          <c:order val="3"/>
          <c:tx>
            <c:strRef>
              <c:f>'Grafico fino a zero'!$B$49</c:f>
              <c:strCache>
                <c:ptCount val="1"/>
                <c:pt idx="0">
                  <c:v>LIN_Z</c:v>
                </c:pt>
              </c:strCache>
            </c:strRef>
          </c:tx>
          <c:spPr>
            <a:ln w="9525" cap="rnd">
              <a:solidFill>
                <a:schemeClr val="accent4"/>
              </a:solidFill>
              <a:round/>
            </a:ln>
            <a:effectLst/>
          </c:spPr>
          <c:marker>
            <c:symbol val="circle"/>
            <c:size val="3"/>
            <c:spPr>
              <a:solidFill>
                <a:schemeClr val="accent4"/>
              </a:solidFill>
              <a:ln w="9525">
                <a:solidFill>
                  <a:schemeClr val="accent4"/>
                </a:solidFill>
              </a:ln>
              <a:effectLst/>
            </c:spPr>
          </c:marker>
          <c:errBars>
            <c:errDir val="y"/>
            <c:errBarType val="both"/>
            <c:errValType val="cust"/>
            <c:noEndCap val="0"/>
            <c:plus>
              <c:numRef>
                <c:f>'Grafico fino a zero'!$C$42:$I$42</c:f>
                <c:numCache>
                  <c:formatCode>General</c:formatCode>
                  <c:ptCount val="7"/>
                  <c:pt idx="0">
                    <c:v>4.852467871552002E-2</c:v>
                  </c:pt>
                  <c:pt idx="1">
                    <c:v>5.1650319994706304E-2</c:v>
                  </c:pt>
                  <c:pt idx="2">
                    <c:v>1.2911235417263533E-2</c:v>
                  </c:pt>
                  <c:pt idx="3">
                    <c:v>5.7522942282961682E-3</c:v>
                  </c:pt>
                  <c:pt idx="4">
                    <c:v>3.7163303285783276E-3</c:v>
                  </c:pt>
                  <c:pt idx="5">
                    <c:v>8.5978033370287272E-3</c:v>
                  </c:pt>
                  <c:pt idx="6">
                    <c:v>6.3043195068496058E-3</c:v>
                  </c:pt>
                </c:numCache>
              </c:numRef>
            </c:plus>
            <c:minus>
              <c:numRef>
                <c:f>'Grafico fino a zero'!$C$42:$I$42</c:f>
                <c:numCache>
                  <c:formatCode>General</c:formatCode>
                  <c:ptCount val="7"/>
                  <c:pt idx="0">
                    <c:v>4.852467871552002E-2</c:v>
                  </c:pt>
                  <c:pt idx="1">
                    <c:v>5.1650319994706304E-2</c:v>
                  </c:pt>
                  <c:pt idx="2">
                    <c:v>1.2911235417263533E-2</c:v>
                  </c:pt>
                  <c:pt idx="3">
                    <c:v>5.7522942282961682E-3</c:v>
                  </c:pt>
                  <c:pt idx="4">
                    <c:v>3.7163303285783276E-3</c:v>
                  </c:pt>
                  <c:pt idx="5">
                    <c:v>8.5978033370287272E-3</c:v>
                  </c:pt>
                  <c:pt idx="6">
                    <c:v>6.3043195068496058E-3</c:v>
                  </c:pt>
                </c:numCache>
              </c:numRef>
            </c:minus>
            <c:spPr>
              <a:noFill/>
              <a:ln w="9525" cap="flat" cmpd="sng" algn="ctr">
                <a:solidFill>
                  <a:schemeClr val="tx1">
                    <a:lumMod val="65000"/>
                    <a:lumOff val="35000"/>
                  </a:schemeClr>
                </a:solidFill>
                <a:round/>
              </a:ln>
              <a:effectLst/>
            </c:spPr>
          </c:errBars>
          <c:xVal>
            <c:numRef>
              <c:f>'Grafico fino a zero'!$C$33:$I$33</c:f>
              <c:numCache>
                <c:formatCode>General</c:formatCode>
                <c:ptCount val="7"/>
                <c:pt idx="0">
                  <c:v>3</c:v>
                </c:pt>
                <c:pt idx="1">
                  <c:v>95</c:v>
                </c:pt>
                <c:pt idx="2">
                  <c:v>144</c:v>
                </c:pt>
                <c:pt idx="3">
                  <c:v>207</c:v>
                </c:pt>
                <c:pt idx="4">
                  <c:v>276</c:v>
                </c:pt>
                <c:pt idx="5">
                  <c:v>347</c:v>
                </c:pt>
                <c:pt idx="6">
                  <c:v>424</c:v>
                </c:pt>
              </c:numCache>
            </c:numRef>
          </c:xVal>
          <c:yVal>
            <c:numRef>
              <c:f>'Grafico fino a zero'!$C$49:$I$49</c:f>
              <c:numCache>
                <c:formatCode>0.00</c:formatCode>
                <c:ptCount val="7"/>
                <c:pt idx="0">
                  <c:v>1.3047333333333333</c:v>
                </c:pt>
                <c:pt idx="1">
                  <c:v>0.61893333333333345</c:v>
                </c:pt>
                <c:pt idx="2">
                  <c:v>0</c:v>
                </c:pt>
                <c:pt idx="3">
                  <c:v>2.2200000000000001E-2</c:v>
                </c:pt>
                <c:pt idx="4">
                  <c:v>6.2600000000000003E-2</c:v>
                </c:pt>
                <c:pt idx="5">
                  <c:v>3.5333333333333328E-3</c:v>
                </c:pt>
                <c:pt idx="6">
                  <c:v>0</c:v>
                </c:pt>
              </c:numCache>
            </c:numRef>
          </c:yVal>
          <c:smooth val="0"/>
          <c:extLst>
            <c:ext xmlns:c16="http://schemas.microsoft.com/office/drawing/2014/chart" uri="{C3380CC4-5D6E-409C-BE32-E72D297353CC}">
              <c16:uniqueId val="{00000003-1473-A44A-8F6C-1228BBA81D03}"/>
            </c:ext>
          </c:extLst>
        </c:ser>
        <c:dLbls>
          <c:showLegendKey val="0"/>
          <c:showVal val="0"/>
          <c:showCatName val="0"/>
          <c:showSerName val="0"/>
          <c:showPercent val="0"/>
          <c:showBubbleSize val="0"/>
        </c:dLbls>
        <c:axId val="561096496"/>
        <c:axId val="561098224"/>
      </c:scatterChart>
      <c:valAx>
        <c:axId val="561096496"/>
        <c:scaling>
          <c:orientation val="minMax"/>
          <c:max val="450"/>
          <c:min val="0"/>
        </c:scaling>
        <c:delete val="0"/>
        <c:axPos val="b"/>
        <c:title>
          <c:tx>
            <c:rich>
              <a:bodyPr rot="0" spcFirstLastPara="1" vertOverflow="ellipsis" vert="horz" wrap="square" anchor="ctr" anchorCtr="1"/>
              <a:lstStyle/>
              <a:p>
                <a:pPr algn="ctr" rtl="0">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t-IT"/>
                  <a:t>Days after bottling</a:t>
                </a:r>
              </a:p>
            </c:rich>
          </c:tx>
          <c:overlay val="0"/>
          <c:spPr>
            <a:noFill/>
            <a:ln>
              <a:noFill/>
            </a:ln>
            <a:effectLst/>
          </c:spPr>
          <c:txPr>
            <a:bodyPr rot="0" spcFirstLastPara="1" vertOverflow="ellipsis" vert="horz" wrap="square" anchor="ctr" anchorCtr="1"/>
            <a:lstStyle/>
            <a:p>
              <a:pPr algn="ctr" rtl="0">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561098224"/>
        <c:crosses val="autoZero"/>
        <c:crossBetween val="midCat"/>
        <c:majorUnit val="200"/>
      </c:valAx>
      <c:valAx>
        <c:axId val="561098224"/>
        <c:scaling>
          <c:orientation val="minMax"/>
          <c:max val="1.8"/>
          <c:min val="0"/>
        </c:scaling>
        <c:delete val="0"/>
        <c:axPos val="l"/>
        <c:majorGridlines>
          <c:spPr>
            <a:ln w="0" cap="flat" cmpd="sng" algn="ctr">
              <a:solidFill>
                <a:schemeClr val="bg1"/>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t-IT"/>
                  <a:t>Oxygen dissolved (mg/L)</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561096496"/>
        <c:crosses val="autoZero"/>
        <c:crossBetween val="midCat"/>
        <c:majorUnit val="0.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1"/>
      </a:solidFill>
      <a:round/>
    </a:ln>
    <a:effectLst/>
  </c:spPr>
  <c:txPr>
    <a:bodyPr/>
    <a:lstStyle/>
    <a:p>
      <a:pPr>
        <a:defRPr sz="700">
          <a:solidFill>
            <a:schemeClr val="tx1"/>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'Grafico fino a zero'!$B$34</c:f>
              <c:strCache>
                <c:ptCount val="1"/>
                <c:pt idx="0">
                  <c:v>SUG_C</c:v>
                </c:pt>
              </c:strCache>
            </c:strRef>
          </c:tx>
          <c:spPr>
            <a:ln w="6350" cap="rnd">
              <a:solidFill>
                <a:schemeClr val="accent1"/>
              </a:solidFill>
              <a:round/>
            </a:ln>
            <a:effectLst/>
          </c:spPr>
          <c:marker>
            <c:symbol val="circle"/>
            <c:size val="3"/>
            <c:spPr>
              <a:solidFill>
                <a:schemeClr val="accent1"/>
              </a:solidFill>
              <a:ln w="9525">
                <a:solidFill>
                  <a:schemeClr val="accent1"/>
                </a:solidFill>
              </a:ln>
              <a:effectLst/>
            </c:spPr>
          </c:marker>
          <c:errBars>
            <c:errDir val="y"/>
            <c:errBarType val="both"/>
            <c:errValType val="cust"/>
            <c:noEndCap val="0"/>
            <c:plus>
              <c:numRef>
                <c:f>'Grafico fino a zero'!$C$51:$I$51</c:f>
                <c:numCache>
                  <c:formatCode>General</c:formatCode>
                  <c:ptCount val="7"/>
                  <c:pt idx="0">
                    <c:v>0.1477400494863266</c:v>
                  </c:pt>
                  <c:pt idx="1">
                    <c:v>6.9973019491730723E-2</c:v>
                  </c:pt>
                  <c:pt idx="2">
                    <c:v>1.904189662718744E-2</c:v>
                  </c:pt>
                  <c:pt idx="3">
                    <c:v>1.07708454223014E-2</c:v>
                  </c:pt>
                  <c:pt idx="4">
                    <c:v>1.0703697295909909E-2</c:v>
                  </c:pt>
                  <c:pt idx="5">
                    <c:v>1.7336502559272257E-2</c:v>
                  </c:pt>
                  <c:pt idx="6">
                    <c:v>1.9429009747104733E-2</c:v>
                  </c:pt>
                </c:numCache>
              </c:numRef>
            </c:plus>
            <c:minus>
              <c:numRef>
                <c:f>'Grafico fino a zero'!$C$51:$I$51</c:f>
                <c:numCache>
                  <c:formatCode>General</c:formatCode>
                  <c:ptCount val="7"/>
                  <c:pt idx="0">
                    <c:v>0.1477400494863266</c:v>
                  </c:pt>
                  <c:pt idx="1">
                    <c:v>6.9973019491730723E-2</c:v>
                  </c:pt>
                  <c:pt idx="2">
                    <c:v>1.904189662718744E-2</c:v>
                  </c:pt>
                  <c:pt idx="3">
                    <c:v>1.07708454223014E-2</c:v>
                  </c:pt>
                  <c:pt idx="4">
                    <c:v>1.0703697295909909E-2</c:v>
                  </c:pt>
                  <c:pt idx="5">
                    <c:v>1.7336502559272257E-2</c:v>
                  </c:pt>
                  <c:pt idx="6">
                    <c:v>1.9429009747104733E-2</c:v>
                  </c:pt>
                </c:numCache>
              </c:numRef>
            </c:minus>
            <c:spPr>
              <a:noFill/>
              <a:ln w="9525" cap="flat" cmpd="sng" algn="ctr">
                <a:solidFill>
                  <a:schemeClr val="tx1">
                    <a:lumMod val="65000"/>
                    <a:lumOff val="35000"/>
                  </a:schemeClr>
                </a:solidFill>
                <a:round/>
              </a:ln>
              <a:effectLst/>
            </c:spPr>
          </c:errBars>
          <c:xVal>
            <c:numRef>
              <c:f>'Grafico fino a zero'!$C$33:$I$33</c:f>
              <c:numCache>
                <c:formatCode>General</c:formatCode>
                <c:ptCount val="7"/>
                <c:pt idx="0">
                  <c:v>3</c:v>
                </c:pt>
                <c:pt idx="1">
                  <c:v>95</c:v>
                </c:pt>
                <c:pt idx="2">
                  <c:v>144</c:v>
                </c:pt>
                <c:pt idx="3">
                  <c:v>207</c:v>
                </c:pt>
                <c:pt idx="4">
                  <c:v>276</c:v>
                </c:pt>
                <c:pt idx="5">
                  <c:v>347</c:v>
                </c:pt>
                <c:pt idx="6">
                  <c:v>424</c:v>
                </c:pt>
              </c:numCache>
            </c:numRef>
          </c:xVal>
          <c:yVal>
            <c:numRef>
              <c:f>'Grafico fino a zero'!$C$34:$I$34</c:f>
              <c:numCache>
                <c:formatCode>0.00</c:formatCode>
                <c:ptCount val="7"/>
                <c:pt idx="0">
                  <c:v>1.5600333333333336</c:v>
                </c:pt>
                <c:pt idx="1">
                  <c:v>0.30166666666666669</c:v>
                </c:pt>
                <c:pt idx="2">
                  <c:v>0.15556666666666666</c:v>
                </c:pt>
                <c:pt idx="3">
                  <c:v>0.13416666666666666</c:v>
                </c:pt>
                <c:pt idx="4">
                  <c:v>0.21043333333333331</c:v>
                </c:pt>
                <c:pt idx="5">
                  <c:v>0.13436666666666663</c:v>
                </c:pt>
                <c:pt idx="6">
                  <c:v>0.14456666666666668</c:v>
                </c:pt>
              </c:numCache>
            </c:numRef>
          </c:yVal>
          <c:smooth val="0"/>
          <c:extLst>
            <c:ext xmlns:c16="http://schemas.microsoft.com/office/drawing/2014/chart" uri="{C3380CC4-5D6E-409C-BE32-E72D297353CC}">
              <c16:uniqueId val="{00000000-D72C-2647-887C-A47014E891EA}"/>
            </c:ext>
          </c:extLst>
        </c:ser>
        <c:ser>
          <c:idx val="1"/>
          <c:order val="1"/>
          <c:tx>
            <c:strRef>
              <c:f>'Grafico fino a zero'!$B$35</c:f>
              <c:strCache>
                <c:ptCount val="1"/>
                <c:pt idx="0">
                  <c:v>SAR_C</c:v>
                </c:pt>
              </c:strCache>
            </c:strRef>
          </c:tx>
          <c:spPr>
            <a:ln w="6350" cap="rnd">
              <a:solidFill>
                <a:schemeClr val="accent2"/>
              </a:solidFill>
              <a:round/>
            </a:ln>
            <a:effectLst/>
          </c:spPr>
          <c:marker>
            <c:symbol val="circle"/>
            <c:size val="3"/>
            <c:spPr>
              <a:solidFill>
                <a:schemeClr val="accent2"/>
              </a:solidFill>
              <a:ln w="9525">
                <a:solidFill>
                  <a:schemeClr val="accent2"/>
                </a:solidFill>
              </a:ln>
              <a:effectLst/>
            </c:spPr>
          </c:marker>
          <c:errBars>
            <c:errDir val="y"/>
            <c:errBarType val="both"/>
            <c:errValType val="cust"/>
            <c:noEndCap val="0"/>
            <c:plus>
              <c:numRef>
                <c:f>'Grafico fino a zero'!$C$52:$I$52</c:f>
                <c:numCache>
                  <c:formatCode>General</c:formatCode>
                  <c:ptCount val="7"/>
                  <c:pt idx="0">
                    <c:v>0.11890682626886201</c:v>
                  </c:pt>
                  <c:pt idx="1">
                    <c:v>4.6940506080688067E-2</c:v>
                  </c:pt>
                  <c:pt idx="2">
                    <c:v>1.5089363435509429E-2</c:v>
                  </c:pt>
                  <c:pt idx="3">
                    <c:v>1.0153269861915868E-2</c:v>
                  </c:pt>
                  <c:pt idx="4">
                    <c:v>9.5957166370092793E-3</c:v>
                  </c:pt>
                  <c:pt idx="5">
                    <c:v>9.4956130221627473E-3</c:v>
                  </c:pt>
                  <c:pt idx="6">
                    <c:v>6.6332495807107312E-3</c:v>
                  </c:pt>
                </c:numCache>
              </c:numRef>
            </c:plus>
            <c:minus>
              <c:numRef>
                <c:f>'Grafico fino a zero'!$C$52:$I$52</c:f>
                <c:numCache>
                  <c:formatCode>General</c:formatCode>
                  <c:ptCount val="7"/>
                  <c:pt idx="0">
                    <c:v>0.11890682626886201</c:v>
                  </c:pt>
                  <c:pt idx="1">
                    <c:v>4.6940506080688067E-2</c:v>
                  </c:pt>
                  <c:pt idx="2">
                    <c:v>1.5089363435509429E-2</c:v>
                  </c:pt>
                  <c:pt idx="3">
                    <c:v>1.0153269861915868E-2</c:v>
                  </c:pt>
                  <c:pt idx="4">
                    <c:v>9.5957166370092793E-3</c:v>
                  </c:pt>
                  <c:pt idx="5">
                    <c:v>9.4956130221627473E-3</c:v>
                  </c:pt>
                  <c:pt idx="6">
                    <c:v>6.6332495807107312E-3</c:v>
                  </c:pt>
                </c:numCache>
              </c:numRef>
            </c:minus>
            <c:spPr>
              <a:noFill/>
              <a:ln w="9525" cap="flat" cmpd="sng" algn="ctr">
                <a:solidFill>
                  <a:schemeClr val="tx1">
                    <a:lumMod val="65000"/>
                    <a:lumOff val="35000"/>
                  </a:schemeClr>
                </a:solidFill>
                <a:round/>
              </a:ln>
              <a:effectLst/>
            </c:spPr>
          </c:errBars>
          <c:xVal>
            <c:numRef>
              <c:f>'Grafico fino a zero'!$C$33:$I$33</c:f>
              <c:numCache>
                <c:formatCode>General</c:formatCode>
                <c:ptCount val="7"/>
                <c:pt idx="0">
                  <c:v>3</c:v>
                </c:pt>
                <c:pt idx="1">
                  <c:v>95</c:v>
                </c:pt>
                <c:pt idx="2">
                  <c:v>144</c:v>
                </c:pt>
                <c:pt idx="3">
                  <c:v>207</c:v>
                </c:pt>
                <c:pt idx="4">
                  <c:v>276</c:v>
                </c:pt>
                <c:pt idx="5">
                  <c:v>347</c:v>
                </c:pt>
                <c:pt idx="6">
                  <c:v>424</c:v>
                </c:pt>
              </c:numCache>
            </c:numRef>
          </c:xVal>
          <c:yVal>
            <c:numRef>
              <c:f>'Grafico fino a zero'!$C$35:$I$35</c:f>
              <c:numCache>
                <c:formatCode>0.00</c:formatCode>
                <c:ptCount val="7"/>
                <c:pt idx="0">
                  <c:v>0.76366666666666672</c:v>
                </c:pt>
                <c:pt idx="1">
                  <c:v>0.46800000000000003</c:v>
                </c:pt>
                <c:pt idx="2">
                  <c:v>0</c:v>
                </c:pt>
                <c:pt idx="3">
                  <c:v>2.8466666666666661E-2</c:v>
                </c:pt>
                <c:pt idx="4">
                  <c:v>6.3333333333333339E-2</c:v>
                </c:pt>
                <c:pt idx="5">
                  <c:v>0</c:v>
                </c:pt>
                <c:pt idx="6">
                  <c:v>0</c:v>
                </c:pt>
              </c:numCache>
            </c:numRef>
          </c:yVal>
          <c:smooth val="0"/>
          <c:extLst>
            <c:ext xmlns:c16="http://schemas.microsoft.com/office/drawing/2014/chart" uri="{C3380CC4-5D6E-409C-BE32-E72D297353CC}">
              <c16:uniqueId val="{00000001-D72C-2647-887C-A47014E891EA}"/>
            </c:ext>
          </c:extLst>
        </c:ser>
        <c:ser>
          <c:idx val="2"/>
          <c:order val="2"/>
          <c:tx>
            <c:strRef>
              <c:f>'Grafico fino a zero'!$B$36</c:f>
              <c:strCache>
                <c:ptCount val="1"/>
                <c:pt idx="0">
                  <c:v>LIN_M_C</c:v>
                </c:pt>
              </c:strCache>
            </c:strRef>
          </c:tx>
          <c:spPr>
            <a:ln w="6350" cap="rnd">
              <a:solidFill>
                <a:schemeClr val="accent3"/>
              </a:solidFill>
              <a:round/>
            </a:ln>
            <a:effectLst/>
          </c:spPr>
          <c:marker>
            <c:symbol val="circle"/>
            <c:size val="3"/>
            <c:spPr>
              <a:solidFill>
                <a:schemeClr val="accent3"/>
              </a:solidFill>
              <a:ln w="9525">
                <a:solidFill>
                  <a:schemeClr val="accent3"/>
                </a:solidFill>
              </a:ln>
              <a:effectLst/>
            </c:spPr>
          </c:marker>
          <c:errBars>
            <c:errDir val="y"/>
            <c:errBarType val="both"/>
            <c:errValType val="cust"/>
            <c:noEndCap val="0"/>
            <c:plus>
              <c:numRef>
                <c:f>'Grafico fino a zero'!$C$53:$I$53</c:f>
                <c:numCache>
                  <c:formatCode>General</c:formatCode>
                  <c:ptCount val="7"/>
                  <c:pt idx="0">
                    <c:v>0.22710122559481441</c:v>
                  </c:pt>
                  <c:pt idx="1">
                    <c:v>0.15697830706466712</c:v>
                  </c:pt>
                  <c:pt idx="2">
                    <c:v>3.4613260143733615E-2</c:v>
                  </c:pt>
                  <c:pt idx="3">
                    <c:v>3.8035071534922469E-3</c:v>
                  </c:pt>
                  <c:pt idx="4">
                    <c:v>1.5719768163402193E-2</c:v>
                  </c:pt>
                  <c:pt idx="5">
                    <c:v>2.4429490375363919E-2</c:v>
                  </c:pt>
                  <c:pt idx="6">
                    <c:v>5.8613612374221703E-3</c:v>
                  </c:pt>
                </c:numCache>
              </c:numRef>
            </c:plus>
            <c:minus>
              <c:numRef>
                <c:f>'Grafico fino a zero'!$C$53:$I$53</c:f>
                <c:numCache>
                  <c:formatCode>General</c:formatCode>
                  <c:ptCount val="7"/>
                  <c:pt idx="0">
                    <c:v>0.22710122559481441</c:v>
                  </c:pt>
                  <c:pt idx="1">
                    <c:v>0.15697830706466712</c:v>
                  </c:pt>
                  <c:pt idx="2">
                    <c:v>3.4613260143733615E-2</c:v>
                  </c:pt>
                  <c:pt idx="3">
                    <c:v>3.8035071534922469E-3</c:v>
                  </c:pt>
                  <c:pt idx="4">
                    <c:v>1.5719768163402193E-2</c:v>
                  </c:pt>
                  <c:pt idx="5">
                    <c:v>2.4429490375363919E-2</c:v>
                  </c:pt>
                  <c:pt idx="6">
                    <c:v>5.8613612374221703E-3</c:v>
                  </c:pt>
                </c:numCache>
              </c:numRef>
            </c:minus>
            <c:spPr>
              <a:noFill/>
              <a:ln w="9525" cap="flat" cmpd="sng" algn="ctr">
                <a:solidFill>
                  <a:schemeClr val="tx1">
                    <a:lumMod val="65000"/>
                    <a:lumOff val="35000"/>
                  </a:schemeClr>
                </a:solidFill>
                <a:round/>
              </a:ln>
              <a:effectLst/>
            </c:spPr>
          </c:errBars>
          <c:xVal>
            <c:numRef>
              <c:f>'Grafico fino a zero'!$C$33:$I$33</c:f>
              <c:numCache>
                <c:formatCode>General</c:formatCode>
                <c:ptCount val="7"/>
                <c:pt idx="0">
                  <c:v>3</c:v>
                </c:pt>
                <c:pt idx="1">
                  <c:v>95</c:v>
                </c:pt>
                <c:pt idx="2">
                  <c:v>144</c:v>
                </c:pt>
                <c:pt idx="3">
                  <c:v>207</c:v>
                </c:pt>
                <c:pt idx="4">
                  <c:v>276</c:v>
                </c:pt>
                <c:pt idx="5">
                  <c:v>347</c:v>
                </c:pt>
                <c:pt idx="6">
                  <c:v>424</c:v>
                </c:pt>
              </c:numCache>
            </c:numRef>
          </c:xVal>
          <c:yVal>
            <c:numRef>
              <c:f>'Grafico fino a zero'!$C$36:$I$36</c:f>
              <c:numCache>
                <c:formatCode>0.00</c:formatCode>
                <c:ptCount val="7"/>
                <c:pt idx="0">
                  <c:v>0.65606666666666669</c:v>
                </c:pt>
                <c:pt idx="1">
                  <c:v>0.56993333333333329</c:v>
                </c:pt>
                <c:pt idx="2">
                  <c:v>0</c:v>
                </c:pt>
                <c:pt idx="3">
                  <c:v>2.7E-2</c:v>
                </c:pt>
                <c:pt idx="4">
                  <c:v>0.10366666666666666</c:v>
                </c:pt>
                <c:pt idx="5">
                  <c:v>5.0799999999999998E-2</c:v>
                </c:pt>
                <c:pt idx="6">
                  <c:v>0</c:v>
                </c:pt>
              </c:numCache>
            </c:numRef>
          </c:yVal>
          <c:smooth val="0"/>
          <c:extLst>
            <c:ext xmlns:c16="http://schemas.microsoft.com/office/drawing/2014/chart" uri="{C3380CC4-5D6E-409C-BE32-E72D297353CC}">
              <c16:uniqueId val="{00000002-D72C-2647-887C-A47014E891EA}"/>
            </c:ext>
          </c:extLst>
        </c:ser>
        <c:ser>
          <c:idx val="3"/>
          <c:order val="3"/>
          <c:tx>
            <c:strRef>
              <c:f>'Grafico fino a zero'!$B$37</c:f>
              <c:strCache>
                <c:ptCount val="1"/>
                <c:pt idx="0">
                  <c:v>LIN_Z_C</c:v>
                </c:pt>
              </c:strCache>
            </c:strRef>
          </c:tx>
          <c:spPr>
            <a:ln w="6350" cap="rnd">
              <a:solidFill>
                <a:schemeClr val="accent4"/>
              </a:solidFill>
              <a:round/>
            </a:ln>
            <a:effectLst/>
          </c:spPr>
          <c:marker>
            <c:symbol val="circle"/>
            <c:size val="3"/>
            <c:spPr>
              <a:solidFill>
                <a:schemeClr val="accent4"/>
              </a:solidFill>
              <a:ln w="9525">
                <a:solidFill>
                  <a:schemeClr val="accent4"/>
                </a:solidFill>
              </a:ln>
              <a:effectLst/>
            </c:spPr>
          </c:marker>
          <c:errBars>
            <c:errDir val="y"/>
            <c:errBarType val="both"/>
            <c:errValType val="cust"/>
            <c:noEndCap val="0"/>
            <c:plus>
              <c:numRef>
                <c:f>'Grafico fino a zero'!$C$54:$I$54</c:f>
                <c:numCache>
                  <c:formatCode>General</c:formatCode>
                  <c:ptCount val="7"/>
                  <c:pt idx="0">
                    <c:v>8.4839521712727989E-2</c:v>
                  </c:pt>
                  <c:pt idx="1">
                    <c:v>3.0063266622241829E-2</c:v>
                  </c:pt>
                  <c:pt idx="2">
                    <c:v>1.3313318310791064E-2</c:v>
                  </c:pt>
                  <c:pt idx="3">
                    <c:v>5.0749931581782048E-3</c:v>
                  </c:pt>
                  <c:pt idx="4">
                    <c:v>1.1708021941292113E-2</c:v>
                  </c:pt>
                  <c:pt idx="5">
                    <c:v>8.3219922828344159E-3</c:v>
                  </c:pt>
                  <c:pt idx="6">
                    <c:v>4.9351348062191313E-3</c:v>
                  </c:pt>
                </c:numCache>
              </c:numRef>
            </c:plus>
            <c:minus>
              <c:numRef>
                <c:f>'Grafico fino a zero'!$C$54:$I$54</c:f>
                <c:numCache>
                  <c:formatCode>General</c:formatCode>
                  <c:ptCount val="7"/>
                  <c:pt idx="0">
                    <c:v>8.4839521712727989E-2</c:v>
                  </c:pt>
                  <c:pt idx="1">
                    <c:v>3.0063266622241829E-2</c:v>
                  </c:pt>
                  <c:pt idx="2">
                    <c:v>1.3313318310791064E-2</c:v>
                  </c:pt>
                  <c:pt idx="3">
                    <c:v>5.0749931581782048E-3</c:v>
                  </c:pt>
                  <c:pt idx="4">
                    <c:v>1.1708021941292113E-2</c:v>
                  </c:pt>
                  <c:pt idx="5">
                    <c:v>8.3219922828344159E-3</c:v>
                  </c:pt>
                  <c:pt idx="6">
                    <c:v>4.9351348062191313E-3</c:v>
                  </c:pt>
                </c:numCache>
              </c:numRef>
            </c:minus>
            <c:spPr>
              <a:noFill/>
              <a:ln w="9525" cap="flat" cmpd="sng" algn="ctr">
                <a:solidFill>
                  <a:schemeClr val="tx1">
                    <a:lumMod val="65000"/>
                    <a:lumOff val="35000"/>
                  </a:schemeClr>
                </a:solidFill>
                <a:round/>
              </a:ln>
              <a:effectLst/>
            </c:spPr>
          </c:errBars>
          <c:xVal>
            <c:numRef>
              <c:f>'Grafico fino a zero'!$C$33:$I$33</c:f>
              <c:numCache>
                <c:formatCode>General</c:formatCode>
                <c:ptCount val="7"/>
                <c:pt idx="0">
                  <c:v>3</c:v>
                </c:pt>
                <c:pt idx="1">
                  <c:v>95</c:v>
                </c:pt>
                <c:pt idx="2">
                  <c:v>144</c:v>
                </c:pt>
                <c:pt idx="3">
                  <c:v>207</c:v>
                </c:pt>
                <c:pt idx="4">
                  <c:v>276</c:v>
                </c:pt>
                <c:pt idx="5">
                  <c:v>347</c:v>
                </c:pt>
                <c:pt idx="6">
                  <c:v>424</c:v>
                </c:pt>
              </c:numCache>
            </c:numRef>
          </c:xVal>
          <c:yVal>
            <c:numRef>
              <c:f>'Grafico fino a zero'!$C$37:$I$37</c:f>
              <c:numCache>
                <c:formatCode>0.00</c:formatCode>
                <c:ptCount val="7"/>
                <c:pt idx="0">
                  <c:v>0.63886666666666669</c:v>
                </c:pt>
                <c:pt idx="1">
                  <c:v>0.52546666666666675</c:v>
                </c:pt>
                <c:pt idx="2">
                  <c:v>0</c:v>
                </c:pt>
                <c:pt idx="3">
                  <c:v>4.1466666666666659E-2</c:v>
                </c:pt>
                <c:pt idx="4">
                  <c:v>8.2866666666666658E-2</c:v>
                </c:pt>
                <c:pt idx="5">
                  <c:v>2.2799999999999997E-2</c:v>
                </c:pt>
                <c:pt idx="6">
                  <c:v>0</c:v>
                </c:pt>
              </c:numCache>
            </c:numRef>
          </c:yVal>
          <c:smooth val="0"/>
          <c:extLst>
            <c:ext xmlns:c16="http://schemas.microsoft.com/office/drawing/2014/chart" uri="{C3380CC4-5D6E-409C-BE32-E72D297353CC}">
              <c16:uniqueId val="{00000003-D72C-2647-887C-A47014E891EA}"/>
            </c:ext>
          </c:extLst>
        </c:ser>
        <c:dLbls>
          <c:showLegendKey val="0"/>
          <c:showVal val="0"/>
          <c:showCatName val="0"/>
          <c:showSerName val="0"/>
          <c:showPercent val="0"/>
          <c:showBubbleSize val="0"/>
        </c:dLbls>
        <c:axId val="561096496"/>
        <c:axId val="561098224"/>
      </c:scatterChart>
      <c:valAx>
        <c:axId val="561096496"/>
        <c:scaling>
          <c:orientation val="minMax"/>
          <c:max val="450"/>
          <c:min val="0"/>
        </c:scaling>
        <c:delete val="0"/>
        <c:axPos val="b"/>
        <c:title>
          <c:tx>
            <c:rich>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t-IT"/>
                  <a:t>Days after bottling</a:t>
                </a: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561098224"/>
        <c:crosses val="autoZero"/>
        <c:crossBetween val="midCat"/>
        <c:majorUnit val="200"/>
      </c:valAx>
      <c:valAx>
        <c:axId val="561098224"/>
        <c:scaling>
          <c:orientation val="minMax"/>
          <c:max val="1.8"/>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lgn="ctr" rtl="0">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t-IT"/>
                  <a:t>Oxygen dissolved (mg/L)</a:t>
                </a:r>
              </a:p>
            </c:rich>
          </c:tx>
          <c:overlay val="0"/>
          <c:spPr>
            <a:noFill/>
            <a:ln>
              <a:noFill/>
            </a:ln>
            <a:effectLst/>
          </c:spPr>
          <c:txPr>
            <a:bodyPr rot="-5400000" spcFirstLastPara="1" vertOverflow="ellipsis" vert="horz" wrap="square" anchor="ctr" anchorCtr="1"/>
            <a:lstStyle/>
            <a:p>
              <a:pPr algn="ctr" rtl="0">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561096496"/>
        <c:crosses val="autoZero"/>
        <c:crossBetween val="midCat"/>
        <c:majorUnit val="0.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1"/>
      </a:solidFill>
      <a:round/>
    </a:ln>
    <a:effectLst/>
  </c:spPr>
  <c:txPr>
    <a:bodyPr/>
    <a:lstStyle/>
    <a:p>
      <a:pPr>
        <a:defRPr sz="700">
          <a:solidFill>
            <a:schemeClr val="tx1"/>
          </a:solidFill>
          <a:latin typeface="Times New Roman" panose="02020603050405020304" pitchFamily="18" charset="0"/>
          <a:cs typeface="Times New Roman" panose="02020603050405020304" pitchFamily="18" charset="0"/>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0.86765</cdr:x>
      <cdr:y>0.04561</cdr:y>
    </cdr:from>
    <cdr:to>
      <cdr:x>0.94968</cdr:x>
      <cdr:y>0.1439</cdr:y>
    </cdr:to>
    <cdr:sp macro="" textlink="">
      <cdr:nvSpPr>
        <cdr:cNvPr id="2" name="Rettangolo 1">
          <a:extLst xmlns:a="http://schemas.openxmlformats.org/drawingml/2006/main">
            <a:ext uri="{FF2B5EF4-FFF2-40B4-BE49-F238E27FC236}">
              <a16:creationId xmlns:a16="http://schemas.microsoft.com/office/drawing/2014/main" id="{0DEFC7E2-0B20-07B6-CB49-59441C98B962}"/>
            </a:ext>
          </a:extLst>
        </cdr:cNvPr>
        <cdr:cNvSpPr/>
      </cdr:nvSpPr>
      <cdr:spPr>
        <a:xfrm xmlns:a="http://schemas.openxmlformats.org/drawingml/2006/main">
          <a:off x="2498601" y="114924"/>
          <a:ext cx="236220" cy="247650"/>
        </a:xfrm>
        <a:prstGeom xmlns:a="http://schemas.openxmlformats.org/drawingml/2006/main" prst="rect">
          <a:avLst/>
        </a:prstGeom>
        <a:solidFill xmlns:a="http://schemas.openxmlformats.org/drawingml/2006/main">
          <a:sysClr val="window" lastClr="FFFFFF"/>
        </a:solidFill>
        <a:ln xmlns:a="http://schemas.openxmlformats.org/drawingml/2006/main">
          <a:noFill/>
        </a:ln>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it-IT" sz="900">
              <a:solidFill>
                <a:srgbClr val="000000"/>
              </a:solidFill>
              <a:effectLst/>
              <a:ea typeface="Times New Roman" panose="02020603050405020304" pitchFamily="18" charset="0"/>
              <a:cs typeface="Arial" panose="020B0604020202020204" pitchFamily="34" charset="0"/>
            </a:rPr>
            <a:t>b</a:t>
          </a:r>
          <a:endParaRPr lang="it-IT" sz="10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9951F-1116-4C2E-9AC6-85C43786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11914</Words>
  <Characters>67916</Characters>
  <Application>Microsoft Office Word</Application>
  <DocSecurity>0</DocSecurity>
  <Lines>565</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Topo Angelo</cp:lastModifiedBy>
  <cp:revision>5</cp:revision>
  <cp:lastPrinted>2023-06-07T10:16:00Z</cp:lastPrinted>
  <dcterms:created xsi:type="dcterms:W3CDTF">2023-06-09T20:31:00Z</dcterms:created>
  <dcterms:modified xsi:type="dcterms:W3CDTF">2023-06-09T20:42:00Z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http://www.zotero.org/styles/cellular-and-molecular-life-sciences</vt:lpwstr>
  </property>
  <property fmtid="{D5CDD505-2E9C-101B-9397-08002B2CF9AE}" pid="11" name="Mendeley Recent Style Name 4_1">
    <vt:lpwstr>Cellular and Molecular Life Sciences</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cfc9d05d-ec2f-3ae0-9db5-0f23ff2d1eec</vt:lpwstr>
  </property>
  <property fmtid="{D5CDD505-2E9C-101B-9397-08002B2CF9AE}" pid="24" name="Mendeley Citation Style_1">
    <vt:lpwstr>http://www.zotero.org/styles/chicago-author-date</vt:lpwstr>
  </property>
</Properties>
</file>