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6D0FE6" w14:textId="3FB6632C" w:rsidR="00512D9B" w:rsidRDefault="0067728F">
      <w:pPr>
        <w:pStyle w:val="Titolo"/>
        <w:spacing w:before="600" w:line="240" w:lineRule="auto"/>
        <w:rPr>
          <w:lang w:val="en-GB"/>
        </w:rPr>
      </w:pPr>
      <w:r w:rsidRPr="0067728F">
        <w:rPr>
          <w:lang w:val="en-GB"/>
        </w:rPr>
        <w:t xml:space="preserve">Analysis and characterization of Sicilian cereals landraces to destined at malting and brewing </w:t>
      </w:r>
      <w:proofErr w:type="gramStart"/>
      <w:r w:rsidRPr="0067728F">
        <w:rPr>
          <w:lang w:val="en-GB"/>
        </w:rPr>
        <w:t>industry</w:t>
      </w:r>
      <w:proofErr w:type="gramEnd"/>
      <w:r w:rsidRPr="0067728F">
        <w:rPr>
          <w:lang w:val="en-GB"/>
        </w:rPr>
        <w:t xml:space="preserve"> </w:t>
      </w:r>
    </w:p>
    <w:p w14:paraId="14A07607" w14:textId="77777777" w:rsidR="0067728F" w:rsidRPr="0067728F" w:rsidRDefault="0067728F" w:rsidP="0067728F">
      <w:pPr>
        <w:jc w:val="center"/>
      </w:pPr>
      <w:r w:rsidRPr="0067728F">
        <w:t>Ignazio Maria Gugino (ignaziomaria.gugino@unipa.it)</w:t>
      </w:r>
    </w:p>
    <w:p w14:paraId="6ADC95C6" w14:textId="6DE9AEA7" w:rsidR="0067728F" w:rsidRPr="0067728F" w:rsidRDefault="0067728F" w:rsidP="0067728F">
      <w:pPr>
        <w:jc w:val="center"/>
        <w:rPr>
          <w:lang w:val="en-GB"/>
        </w:rPr>
      </w:pPr>
      <w:r w:rsidRPr="0067728F">
        <w:rPr>
          <w:lang w:val="en-GB"/>
        </w:rPr>
        <w:t>Dept. of Agricultural, Food and Forest Science</w:t>
      </w:r>
      <w:r w:rsidR="002B160D">
        <w:rPr>
          <w:lang w:val="en-GB"/>
        </w:rPr>
        <w:t>s</w:t>
      </w:r>
      <w:r w:rsidRPr="0067728F">
        <w:rPr>
          <w:lang w:val="en-GB"/>
        </w:rPr>
        <w:t xml:space="preserve"> (SAAF), University of Palermo, Italy</w:t>
      </w:r>
    </w:p>
    <w:p w14:paraId="6D2C157D" w14:textId="5744C364" w:rsidR="00512D9B" w:rsidRDefault="0067728F" w:rsidP="0067728F">
      <w:pPr>
        <w:jc w:val="center"/>
        <w:rPr>
          <w:lang w:val="en-GB"/>
        </w:rPr>
      </w:pPr>
      <w:r w:rsidRPr="0067728F">
        <w:rPr>
          <w:lang w:val="en-GB"/>
        </w:rPr>
        <w:t>Tutor: Prof. Aldo Todaro</w:t>
      </w:r>
      <w:r w:rsidRPr="0067728F">
        <w:rPr>
          <w:lang w:val="en-GB"/>
        </w:rPr>
        <w:t xml:space="preserve"> </w:t>
      </w:r>
    </w:p>
    <w:p w14:paraId="4F4155F1" w14:textId="77777777" w:rsidR="00512D9B" w:rsidRDefault="00512D9B">
      <w:pPr>
        <w:tabs>
          <w:tab w:val="left" w:pos="0"/>
        </w:tabs>
        <w:jc w:val="both"/>
        <w:rPr>
          <w:lang w:val="en-GB"/>
        </w:rPr>
      </w:pPr>
    </w:p>
    <w:p w14:paraId="188AF05F" w14:textId="495D69D7" w:rsidR="00512D9B" w:rsidRPr="00746B7D" w:rsidRDefault="00AE0AB1">
      <w:pPr>
        <w:tabs>
          <w:tab w:val="left" w:pos="0"/>
        </w:tabs>
        <w:jc w:val="both"/>
        <w:rPr>
          <w:lang w:val="en-US"/>
        </w:rPr>
      </w:pPr>
      <w:r w:rsidRPr="00AE0AB1">
        <w:rPr>
          <w:lang w:val="en-GB"/>
        </w:rPr>
        <w:t xml:space="preserve">The first activities of the dissertation project involved the study of the malting aptitude of the old Sicilian landrace of </w:t>
      </w:r>
      <w:proofErr w:type="spellStart"/>
      <w:r w:rsidRPr="00AE0AB1">
        <w:rPr>
          <w:lang w:val="en-GB"/>
        </w:rPr>
        <w:t>Maiorca</w:t>
      </w:r>
      <w:proofErr w:type="spellEnd"/>
      <w:r w:rsidRPr="00AE0AB1">
        <w:rPr>
          <w:lang w:val="en-GB"/>
        </w:rPr>
        <w:t xml:space="preserve"> wheat and four varieties of two-rows barley that were grown in Sicily, these were respectively: Fortuna, </w:t>
      </w:r>
      <w:proofErr w:type="spellStart"/>
      <w:r w:rsidRPr="00AE0AB1">
        <w:rPr>
          <w:lang w:val="en-GB"/>
        </w:rPr>
        <w:t>Fandaga</w:t>
      </w:r>
      <w:proofErr w:type="spellEnd"/>
      <w:r w:rsidRPr="00AE0AB1">
        <w:rPr>
          <w:lang w:val="en-GB"/>
        </w:rPr>
        <w:t xml:space="preserve">, Concerto and Planet. The wheat and barley varieties were malted in a pilot micro-malting plant using two malting programs. Several quality parameters were determined on malts such as: germination energy, thousand kernel weight, moisture, extract, total and soluble protein content, </w:t>
      </w:r>
      <w:proofErr w:type="spellStart"/>
      <w:r w:rsidRPr="00AE0AB1">
        <w:rPr>
          <w:lang w:val="en-GB"/>
        </w:rPr>
        <w:t>Kolbach</w:t>
      </w:r>
      <w:proofErr w:type="spellEnd"/>
      <w:r w:rsidRPr="00AE0AB1">
        <w:rPr>
          <w:lang w:val="en-GB"/>
        </w:rPr>
        <w:t xml:space="preserve"> Index, total starch, α- and β-amylase, diastatic power, fermentability and saccharification time</w:t>
      </w:r>
      <w:r w:rsidR="00FB589C">
        <w:rPr>
          <w:lang w:val="en-GB"/>
        </w:rPr>
        <w:t xml:space="preserve">. </w:t>
      </w:r>
    </w:p>
    <w:p w14:paraId="25341C9E" w14:textId="713ABAB2" w:rsidR="00512D9B" w:rsidRDefault="00AE0AB1">
      <w:pPr>
        <w:pStyle w:val="Titolo"/>
        <w:spacing w:before="240" w:line="240" w:lineRule="auto"/>
        <w:rPr>
          <w:sz w:val="24"/>
          <w:lang w:val="it-IT"/>
        </w:rPr>
      </w:pPr>
      <w:r w:rsidRPr="00AE0AB1">
        <w:rPr>
          <w:sz w:val="24"/>
          <w:lang w:val="it-IT"/>
        </w:rPr>
        <w:t>Analisi e caratterizzazione delle varietà autoctone siciliane di grano e orzo da indirizzare all’industria del malto e della birra</w:t>
      </w:r>
    </w:p>
    <w:p w14:paraId="5B3AA466" w14:textId="1B25EACB" w:rsidR="00512D9B" w:rsidRDefault="00AE0AB1">
      <w:pPr>
        <w:tabs>
          <w:tab w:val="left" w:pos="0"/>
        </w:tabs>
        <w:jc w:val="both"/>
      </w:pPr>
      <w:r w:rsidRPr="00AE0AB1">
        <w:t xml:space="preserve">Le prime attività del progetto di tesi di dottorato hanno riguardato lo studio dell'attitudine alla </w:t>
      </w:r>
      <w:proofErr w:type="spellStart"/>
      <w:r w:rsidRPr="00AE0AB1">
        <w:t>maltazione</w:t>
      </w:r>
      <w:proofErr w:type="spellEnd"/>
      <w:r w:rsidRPr="00AE0AB1">
        <w:t xml:space="preserve"> della varietà di grano antico siciliano Maiorca e di quattro varietà di orzo distico coltivate in Sicilia, questi ultimi erano rispettivamente: Fortuna, </w:t>
      </w:r>
      <w:proofErr w:type="spellStart"/>
      <w:r w:rsidRPr="00AE0AB1">
        <w:t>Fandaga</w:t>
      </w:r>
      <w:proofErr w:type="spellEnd"/>
      <w:r w:rsidRPr="00AE0AB1">
        <w:t xml:space="preserve">, Concerto e Planet. Le varietà di frumento e orzo sono state </w:t>
      </w:r>
      <w:proofErr w:type="spellStart"/>
      <w:r w:rsidRPr="00AE0AB1">
        <w:t>maltate</w:t>
      </w:r>
      <w:proofErr w:type="spellEnd"/>
      <w:r w:rsidRPr="00AE0AB1">
        <w:t xml:space="preserve"> in un impianto di </w:t>
      </w:r>
      <w:proofErr w:type="spellStart"/>
      <w:r w:rsidRPr="00AE0AB1">
        <w:t>maltazione</w:t>
      </w:r>
      <w:proofErr w:type="spellEnd"/>
      <w:r w:rsidRPr="00AE0AB1">
        <w:t xml:space="preserve"> pilota utilizzando due programmi di </w:t>
      </w:r>
      <w:proofErr w:type="spellStart"/>
      <w:r w:rsidRPr="00AE0AB1">
        <w:t>maltazione</w:t>
      </w:r>
      <w:proofErr w:type="spellEnd"/>
      <w:r w:rsidRPr="00AE0AB1">
        <w:t xml:space="preserve">. Nei malti ottenuti sono stati determinati diversi parametri qualitativi quali: energia germinativa, peso di mille semi, umidità, estratto, contenuto proteico totale e solubile, Indice di </w:t>
      </w:r>
      <w:proofErr w:type="spellStart"/>
      <w:r w:rsidRPr="00AE0AB1">
        <w:t>Kolbach</w:t>
      </w:r>
      <w:proofErr w:type="spellEnd"/>
      <w:r w:rsidRPr="00AE0AB1">
        <w:t xml:space="preserve">, amido totale, α- e β-amilasi, potere diastatico, </w:t>
      </w:r>
      <w:proofErr w:type="spellStart"/>
      <w:r w:rsidRPr="00AE0AB1">
        <w:t>fermentabilità</w:t>
      </w:r>
      <w:proofErr w:type="spellEnd"/>
      <w:r w:rsidRPr="00AE0AB1">
        <w:t xml:space="preserve"> e tempo di saccarificazione</w:t>
      </w:r>
      <w:r w:rsidR="00FB589C">
        <w:t>.</w:t>
      </w:r>
    </w:p>
    <w:p w14:paraId="73C1D670" w14:textId="77777777" w:rsidR="00512D9B" w:rsidRDefault="00512D9B">
      <w:pPr>
        <w:tabs>
          <w:tab w:val="left" w:pos="0"/>
        </w:tabs>
        <w:jc w:val="both"/>
      </w:pPr>
    </w:p>
    <w:p w14:paraId="6E4C6A6A" w14:textId="048EBBB4" w:rsidR="00512D9B" w:rsidRPr="00746B7D" w:rsidRDefault="00FB589C">
      <w:pPr>
        <w:ind w:left="567" w:hanging="567"/>
        <w:jc w:val="both"/>
        <w:rPr>
          <w:lang w:val="en-US"/>
        </w:rPr>
      </w:pPr>
      <w:r>
        <w:rPr>
          <w:b/>
          <w:bCs/>
          <w:lang w:val="en-GB"/>
        </w:rPr>
        <w:t>Key words</w:t>
      </w:r>
      <w:r>
        <w:rPr>
          <w:lang w:val="en-GB"/>
        </w:rPr>
        <w:t xml:space="preserve">: </w:t>
      </w:r>
      <w:r w:rsidR="00AE0AB1" w:rsidRPr="00AE0AB1">
        <w:rPr>
          <w:lang w:val="en-GB"/>
        </w:rPr>
        <w:t xml:space="preserve">malting process, wheat malt, barley malt, brewing process, cereals old landraces, </w:t>
      </w:r>
      <w:proofErr w:type="spellStart"/>
      <w:r w:rsidR="00AE0AB1" w:rsidRPr="00AE0AB1">
        <w:rPr>
          <w:lang w:val="en-GB"/>
        </w:rPr>
        <w:t>Maiorca</w:t>
      </w:r>
      <w:proofErr w:type="spellEnd"/>
      <w:r w:rsidR="00AE0AB1" w:rsidRPr="00AE0AB1">
        <w:rPr>
          <w:lang w:val="en-GB"/>
        </w:rPr>
        <w:t xml:space="preserve"> wheat malt</w:t>
      </w:r>
      <w:r>
        <w:rPr>
          <w:lang w:val="en-GB"/>
        </w:rPr>
        <w:t>.</w:t>
      </w:r>
    </w:p>
    <w:p w14:paraId="049B5BB9" w14:textId="77777777" w:rsidR="00512D9B" w:rsidRDefault="00FB589C">
      <w:pPr>
        <w:pStyle w:val="Titolo1"/>
        <w:spacing w:before="240" w:after="120"/>
        <w:ind w:right="0"/>
        <w:jc w:val="both"/>
        <w:rPr>
          <w:b/>
          <w:bCs/>
          <w:color w:val="000000"/>
          <w:sz w:val="24"/>
          <w:lang w:val="en-GB"/>
        </w:rPr>
      </w:pPr>
      <w:r>
        <w:rPr>
          <w:b/>
          <w:bCs/>
          <w:color w:val="000000"/>
          <w:sz w:val="24"/>
          <w:lang w:val="en-GB"/>
        </w:rPr>
        <w:t>1. Introduction</w:t>
      </w:r>
    </w:p>
    <w:p w14:paraId="44CDF799" w14:textId="77777777" w:rsidR="00D83DAF" w:rsidRPr="00D83DAF" w:rsidRDefault="00D83DAF" w:rsidP="00D83DAF">
      <w:pPr>
        <w:jc w:val="both"/>
        <w:rPr>
          <w:lang w:val="en-GB"/>
        </w:rPr>
      </w:pPr>
      <w:r w:rsidRPr="00D83DAF">
        <w:rPr>
          <w:lang w:val="en-GB"/>
        </w:rPr>
        <w:t xml:space="preserve">In accordance with the PhD thesis project, this poster reports the main results of the first two activities concerning: </w:t>
      </w:r>
    </w:p>
    <w:p w14:paraId="2CA084D2" w14:textId="77777777" w:rsidR="00D83DAF" w:rsidRPr="00D83DAF" w:rsidRDefault="00D83DAF" w:rsidP="00D83DAF">
      <w:pPr>
        <w:jc w:val="both"/>
        <w:rPr>
          <w:lang w:val="en-GB"/>
        </w:rPr>
      </w:pPr>
    </w:p>
    <w:p w14:paraId="251436C5" w14:textId="4702BB79" w:rsidR="00D83DAF" w:rsidRPr="00D83DAF" w:rsidRDefault="00D83DAF" w:rsidP="00D83DAF">
      <w:pPr>
        <w:jc w:val="both"/>
        <w:rPr>
          <w:lang w:val="en-GB"/>
        </w:rPr>
      </w:pPr>
      <w:r w:rsidRPr="00D83DAF">
        <w:rPr>
          <w:lang w:val="en-GB"/>
        </w:rPr>
        <w:t>(</w:t>
      </w:r>
      <w:r w:rsidRPr="00D83DAF">
        <w:rPr>
          <w:lang w:val="en-GB"/>
        </w:rPr>
        <w:t>A1) Preliminary evaluation of un-malted wheat and barley landraces.</w:t>
      </w:r>
    </w:p>
    <w:p w14:paraId="1385EC2D" w14:textId="4EDEEE2B" w:rsidR="00D83DAF" w:rsidRPr="00D83DAF" w:rsidRDefault="00D83DAF" w:rsidP="00D83DAF">
      <w:pPr>
        <w:jc w:val="both"/>
        <w:rPr>
          <w:lang w:val="en-GB"/>
        </w:rPr>
      </w:pPr>
      <w:r w:rsidRPr="00D83DAF">
        <w:rPr>
          <w:lang w:val="en-GB"/>
        </w:rPr>
        <w:t>(</w:t>
      </w:r>
      <w:r w:rsidRPr="00D83DAF">
        <w:rPr>
          <w:lang w:val="en-GB"/>
        </w:rPr>
        <w:t>A2) Pilot-scale malting trials performed in an automatic micro-malting system.</w:t>
      </w:r>
    </w:p>
    <w:p w14:paraId="13C22E33" w14:textId="5963BFF6" w:rsidR="00D83DAF" w:rsidRPr="00D83DAF" w:rsidRDefault="00D83DAF" w:rsidP="00D83DAF">
      <w:pPr>
        <w:jc w:val="both"/>
        <w:rPr>
          <w:lang w:val="en-GB"/>
        </w:rPr>
      </w:pPr>
      <w:r w:rsidRPr="00D83DAF">
        <w:rPr>
          <w:lang w:val="en-GB"/>
        </w:rPr>
        <w:t>(</w:t>
      </w:r>
      <w:r w:rsidRPr="00D83DAF">
        <w:rPr>
          <w:lang w:val="en-GB"/>
        </w:rPr>
        <w:t xml:space="preserve">A3) Physicochemical evaluation of malts and wort through the analysis of the most important quality index for </w:t>
      </w:r>
      <w:proofErr w:type="spellStart"/>
      <w:r w:rsidRPr="00D83DAF">
        <w:rPr>
          <w:lang w:val="en-GB"/>
        </w:rPr>
        <w:t>malters</w:t>
      </w:r>
      <w:proofErr w:type="spellEnd"/>
      <w:r w:rsidRPr="00D83DAF">
        <w:rPr>
          <w:lang w:val="en-GB"/>
        </w:rPr>
        <w:t xml:space="preserve"> and brewers as the content of extract, total starch, total protein content, soluble protein content, </w:t>
      </w:r>
      <w:proofErr w:type="spellStart"/>
      <w:r w:rsidRPr="00D83DAF">
        <w:rPr>
          <w:lang w:val="en-GB"/>
        </w:rPr>
        <w:t>Kolbach</w:t>
      </w:r>
      <w:proofErr w:type="spellEnd"/>
      <w:r w:rsidRPr="00D83DAF">
        <w:rPr>
          <w:lang w:val="en-GB"/>
        </w:rPr>
        <w:t xml:space="preserve"> Index, diastatic power, α-</w:t>
      </w:r>
      <w:proofErr w:type="gramStart"/>
      <w:r w:rsidRPr="00D83DAF">
        <w:rPr>
          <w:lang w:val="en-GB"/>
        </w:rPr>
        <w:t>amylase</w:t>
      </w:r>
      <w:proofErr w:type="gramEnd"/>
      <w:r w:rsidRPr="00D83DAF">
        <w:rPr>
          <w:lang w:val="en-GB"/>
        </w:rPr>
        <w:t xml:space="preserve"> and β-amylase content. </w:t>
      </w:r>
    </w:p>
    <w:p w14:paraId="525E1D35" w14:textId="77777777" w:rsidR="00512D9B" w:rsidRDefault="00FB589C">
      <w:pPr>
        <w:pStyle w:val="Titolo1"/>
        <w:spacing w:before="240" w:after="120"/>
        <w:ind w:right="0"/>
        <w:jc w:val="both"/>
        <w:rPr>
          <w:b/>
          <w:bCs/>
          <w:color w:val="000000"/>
          <w:sz w:val="24"/>
          <w:lang w:val="en-GB"/>
        </w:rPr>
      </w:pPr>
      <w:r>
        <w:rPr>
          <w:b/>
          <w:bCs/>
          <w:color w:val="000000"/>
          <w:sz w:val="24"/>
          <w:lang w:val="en-GB"/>
        </w:rPr>
        <w:t>2. Materials and Methods</w:t>
      </w:r>
    </w:p>
    <w:p w14:paraId="7F935417" w14:textId="3162B6D6" w:rsidR="00512D9B" w:rsidRPr="00746B7D" w:rsidRDefault="00D83DAF">
      <w:pPr>
        <w:jc w:val="both"/>
        <w:rPr>
          <w:lang w:val="en-US"/>
        </w:rPr>
      </w:pPr>
      <w:r w:rsidRPr="00D83DAF">
        <w:rPr>
          <w:lang w:val="en-GB"/>
        </w:rPr>
        <w:t xml:space="preserve">The malting trials were performed in triplicate in an automatic micro-malting system in SAAF Department of University of Palermo (Italy). The samples of wheat and barleys were cleaned to remove the glumes and husks, or, if present, external contaminants. Concerning </w:t>
      </w:r>
      <w:proofErr w:type="spellStart"/>
      <w:r w:rsidRPr="00D83DAF">
        <w:rPr>
          <w:lang w:val="en-GB"/>
        </w:rPr>
        <w:t>Maiorca</w:t>
      </w:r>
      <w:proofErr w:type="spellEnd"/>
      <w:r w:rsidRPr="00D83DAF">
        <w:rPr>
          <w:lang w:val="en-GB"/>
        </w:rPr>
        <w:t xml:space="preserve">, the malting processes were carried out according to the conditions proposed by </w:t>
      </w:r>
      <w:proofErr w:type="spellStart"/>
      <w:r w:rsidRPr="00D83DAF">
        <w:rPr>
          <w:lang w:val="en-GB"/>
        </w:rPr>
        <w:t>Alfeo</w:t>
      </w:r>
      <w:proofErr w:type="spellEnd"/>
      <w:r w:rsidRPr="00D83DAF">
        <w:rPr>
          <w:lang w:val="en-GB"/>
        </w:rPr>
        <w:t xml:space="preserve"> et al. 2018a. For each basket, 500 g of grains were placed in steeped in water at 15 °C for 5 h, followed by 8 h of air-rest, and further 4 h in water, reaching steeping-out moisture of 41 %. The germination occurred after 120 h at 15 °C and 95 % of relative humidity, then the samples were dried and kilned for 34,5 h as follow: 3 h at 55 °C, 12 h at 60 °C, 10 h at 65 °C, 5 h at 70 °C, and 4,5 h at 75 °C. The barley samples were malted according to the following the malting conditions: 500 g of grains were placed in steeped in water at 15 °C for 10 h, followed by 12 h of air-rest, and further 6 h in water, reaching steeping-out moisture of 42 %. The germination occurred after 90 h at 15 °C and 95 % of relative humidity, then the samples were dried and kilned for 24 h as follow: 3 h at 55 °C, 9 h at 60 °C, 6 h at 65 °C, 2 h at 75 °C, and 4h at 85 °C. The analyses of malt and wort were performed in triplicate according to methods of Analytica European Brewery Convention (EBC). The </w:t>
      </w:r>
      <w:proofErr w:type="spellStart"/>
      <w:r w:rsidRPr="00D83DAF">
        <w:rPr>
          <w:lang w:val="en-GB"/>
        </w:rPr>
        <w:t>Megazyme</w:t>
      </w:r>
      <w:proofErr w:type="spellEnd"/>
      <w:r w:rsidRPr="00D83DAF">
        <w:rPr>
          <w:lang w:val="en-GB"/>
        </w:rPr>
        <w:t xml:space="preserve"> assay kits (</w:t>
      </w:r>
      <w:proofErr w:type="spellStart"/>
      <w:r w:rsidRPr="00D83DAF">
        <w:rPr>
          <w:lang w:val="en-GB"/>
        </w:rPr>
        <w:t>Megazyme</w:t>
      </w:r>
      <w:proofErr w:type="spellEnd"/>
      <w:r w:rsidRPr="00D83DAF">
        <w:rPr>
          <w:lang w:val="en-GB"/>
        </w:rPr>
        <w:t xml:space="preserve"> International, Ireland) were used for total starch (</w:t>
      </w:r>
      <w:proofErr w:type="spellStart"/>
      <w:r w:rsidRPr="00D83DAF">
        <w:rPr>
          <w:lang w:val="en-GB"/>
        </w:rPr>
        <w:t>db</w:t>
      </w:r>
      <w:proofErr w:type="spellEnd"/>
      <w:r w:rsidRPr="00D83DAF">
        <w:rPr>
          <w:lang w:val="en-GB"/>
        </w:rPr>
        <w:t>%), α- and β- amylases (respectively T-STARCH following the AOAC Method 996.11 and K-MALTA).</w:t>
      </w:r>
    </w:p>
    <w:p w14:paraId="7B7F4BDD" w14:textId="6EB1F82F" w:rsidR="00512D9B" w:rsidRPr="00D83DAF" w:rsidRDefault="00FB589C" w:rsidP="00D83DAF">
      <w:pPr>
        <w:pStyle w:val="Titolo1"/>
        <w:spacing w:before="240" w:after="120"/>
        <w:ind w:right="0"/>
        <w:jc w:val="both"/>
        <w:rPr>
          <w:b/>
          <w:bCs/>
          <w:color w:val="000000"/>
          <w:sz w:val="24"/>
          <w:lang w:val="en-GB"/>
        </w:rPr>
      </w:pPr>
      <w:r>
        <w:rPr>
          <w:b/>
          <w:bCs/>
          <w:color w:val="000000"/>
          <w:sz w:val="24"/>
          <w:lang w:val="en-GB"/>
        </w:rPr>
        <w:t>3. Results and Discussion</w:t>
      </w:r>
    </w:p>
    <w:p w14:paraId="16CF7778" w14:textId="293F00F2" w:rsidR="00AE017A" w:rsidRPr="00AE017A" w:rsidRDefault="00D83DAF" w:rsidP="00AE017A">
      <w:pPr>
        <w:jc w:val="both"/>
        <w:rPr>
          <w:lang w:val="en-GB"/>
        </w:rPr>
      </w:pPr>
      <w:r w:rsidRPr="00D83DAF">
        <w:rPr>
          <w:lang w:val="en-GB"/>
        </w:rPr>
        <w:t xml:space="preserve">The malt samples were </w:t>
      </w:r>
      <w:proofErr w:type="spellStart"/>
      <w:r w:rsidRPr="00D83DAF">
        <w:rPr>
          <w:lang w:val="en-GB"/>
        </w:rPr>
        <w:t>analyzed</w:t>
      </w:r>
      <w:proofErr w:type="spellEnd"/>
      <w:r w:rsidRPr="00D83DAF">
        <w:rPr>
          <w:lang w:val="en-GB"/>
        </w:rPr>
        <w:t xml:space="preserve">, and the main parameters studied were summarized in Table 1. The choice of a cereal for malting considers the parameters that ensure the production of a high-quality malt, among them: thousand kernel weight (TKW), germination energy and protein content. TKW is a valuable parameter to maltsters and millers that is correlated with larger kernel size, homogeneous </w:t>
      </w:r>
      <w:proofErr w:type="gramStart"/>
      <w:r w:rsidRPr="00D83DAF">
        <w:rPr>
          <w:lang w:val="en-GB"/>
        </w:rPr>
        <w:t>milling</w:t>
      </w:r>
      <w:proofErr w:type="gramEnd"/>
      <w:r w:rsidRPr="00D83DAF">
        <w:rPr>
          <w:lang w:val="en-GB"/>
        </w:rPr>
        <w:t xml:space="preserve"> and proportionally higher endosperm (Armstrong et al., 2002). In the cereals studied, the TKW was between 31.5 g and 39.7 g; the lowest value was for </w:t>
      </w:r>
      <w:proofErr w:type="spellStart"/>
      <w:r w:rsidRPr="00D83DAF">
        <w:rPr>
          <w:lang w:val="en-GB"/>
        </w:rPr>
        <w:lastRenderedPageBreak/>
        <w:t>Maiorca</w:t>
      </w:r>
      <w:proofErr w:type="spellEnd"/>
      <w:r w:rsidRPr="00D83DAF">
        <w:rPr>
          <w:lang w:val="en-GB"/>
        </w:rPr>
        <w:t xml:space="preserve"> wheat while among barley the lowest was for Concerto barley and the highest for Fortuna barley. Germination energy was evaluated to understand the health status of the seeds and their sensitivity to water (Briggs, 1998; Rani &amp; Bhardwaj, 2021; </w:t>
      </w:r>
      <w:proofErr w:type="spellStart"/>
      <w:r w:rsidRPr="00D83DAF">
        <w:rPr>
          <w:lang w:val="en-GB"/>
        </w:rPr>
        <w:t>Domin</w:t>
      </w:r>
      <w:proofErr w:type="spellEnd"/>
      <w:r w:rsidRPr="00D83DAF">
        <w:rPr>
          <w:lang w:val="en-GB"/>
        </w:rPr>
        <w:t xml:space="preserve"> et al., 2019). The varieties studied showed high germinability values, all exceeding 97%. Regarding protein content, </w:t>
      </w:r>
      <w:proofErr w:type="spellStart"/>
      <w:r w:rsidRPr="00D83DAF">
        <w:rPr>
          <w:lang w:val="en-GB"/>
        </w:rPr>
        <w:t>Maiorca</w:t>
      </w:r>
      <w:proofErr w:type="spellEnd"/>
      <w:r w:rsidRPr="00D83DAF">
        <w:rPr>
          <w:lang w:val="en-GB"/>
        </w:rPr>
        <w:t xml:space="preserve"> malt showed a higher protein content than barley varieties, specifically 12.34 %db. The protein content in the barleys varied between 9.1 and 10.2%db. The protein content of the studied samples was generally in line with the values found in the literature recommended for wheat malt and barley malt (</w:t>
      </w:r>
      <w:proofErr w:type="spellStart"/>
      <w:r w:rsidRPr="00D83DAF">
        <w:rPr>
          <w:lang w:val="en-GB"/>
        </w:rPr>
        <w:t>Faltermaier</w:t>
      </w:r>
      <w:proofErr w:type="spellEnd"/>
      <w:r w:rsidRPr="00D83DAF">
        <w:rPr>
          <w:lang w:val="en-GB"/>
        </w:rPr>
        <w:t xml:space="preserve"> et al., 2014). Concerning malt quality parameters, </w:t>
      </w:r>
      <w:proofErr w:type="spellStart"/>
      <w:r w:rsidRPr="00D83DAF">
        <w:rPr>
          <w:lang w:val="en-GB"/>
        </w:rPr>
        <w:t>Maiorca</w:t>
      </w:r>
      <w:proofErr w:type="spellEnd"/>
      <w:r w:rsidRPr="00D83DAF">
        <w:rPr>
          <w:lang w:val="en-GB"/>
        </w:rPr>
        <w:t xml:space="preserve"> wheat malt showed values comparable to studies conducted previously by </w:t>
      </w:r>
      <w:proofErr w:type="spellStart"/>
      <w:r w:rsidRPr="00D83DAF">
        <w:rPr>
          <w:lang w:val="en-GB"/>
        </w:rPr>
        <w:t>Alfeo</w:t>
      </w:r>
      <w:proofErr w:type="spellEnd"/>
      <w:r w:rsidRPr="00D83DAF">
        <w:rPr>
          <w:lang w:val="en-GB"/>
        </w:rPr>
        <w:t xml:space="preserve"> et al, 2021 on Sicilian wheat landraces. The malting programs tested on wheat and barleys were suitable to ensure a good degree of grain modification and high malt quality that showed high values for: extract, fermentability, </w:t>
      </w:r>
      <w:proofErr w:type="spellStart"/>
      <w:r w:rsidRPr="00D83DAF">
        <w:rPr>
          <w:lang w:val="en-GB"/>
        </w:rPr>
        <w:t>Kolbach</w:t>
      </w:r>
      <w:proofErr w:type="spellEnd"/>
      <w:r w:rsidRPr="00D83DAF">
        <w:rPr>
          <w:lang w:val="en-GB"/>
        </w:rPr>
        <w:t xml:space="preserve"> Index, total starch, alpha and beta amylase and diastatic power. Extract on dry basis were for all samples above 82%, the highest value was for </w:t>
      </w:r>
      <w:proofErr w:type="spellStart"/>
      <w:r w:rsidRPr="00D83DAF">
        <w:rPr>
          <w:lang w:val="en-GB"/>
        </w:rPr>
        <w:t>Maoirca</w:t>
      </w:r>
      <w:proofErr w:type="spellEnd"/>
      <w:r w:rsidRPr="00D83DAF">
        <w:rPr>
          <w:lang w:val="en-GB"/>
        </w:rPr>
        <w:t xml:space="preserve"> malt in which it was around 84%db with a fermentability of 81.9%, thus showing a high amylolytic activity of amylase enzymes. </w:t>
      </w:r>
      <w:proofErr w:type="spellStart"/>
      <w:r w:rsidRPr="00D83DAF">
        <w:rPr>
          <w:lang w:val="en-GB"/>
        </w:rPr>
        <w:t>Maiorca</w:t>
      </w:r>
      <w:proofErr w:type="spellEnd"/>
      <w:r w:rsidRPr="00D83DAF">
        <w:rPr>
          <w:lang w:val="en-GB"/>
        </w:rPr>
        <w:t xml:space="preserve"> malt showed a diastatic power of 374.59 °WK positively correlated with β-amylase content which was 39.03 (BU g-1 </w:t>
      </w:r>
      <w:proofErr w:type="spellStart"/>
      <w:r w:rsidRPr="00D83DAF">
        <w:rPr>
          <w:lang w:val="en-GB"/>
        </w:rPr>
        <w:t>db</w:t>
      </w:r>
      <w:proofErr w:type="spellEnd"/>
      <w:r w:rsidRPr="00D83DAF">
        <w:rPr>
          <w:lang w:val="en-GB"/>
        </w:rPr>
        <w:t xml:space="preserve">). The α-amylases that typically develop during malting starting from the second day was 200.95 (CU g-1 </w:t>
      </w:r>
      <w:proofErr w:type="spellStart"/>
      <w:r w:rsidRPr="00D83DAF">
        <w:rPr>
          <w:lang w:val="en-GB"/>
        </w:rPr>
        <w:t>db</w:t>
      </w:r>
      <w:proofErr w:type="spellEnd"/>
      <w:r w:rsidRPr="00D83DAF">
        <w:rPr>
          <w:lang w:val="en-GB"/>
        </w:rPr>
        <w:t xml:space="preserve">). The barley samples studied also showed extract values above 82% with fermentability between 80 and 81.7%. The diastatic power of the barley malts was between 287 and 322 °WK, it showed an adequate enzyme content developed by the malting process. Concerning enzymes content, the content of α-amylase in barley malt samples was in range between 210 and 236 (CU g-1 </w:t>
      </w:r>
      <w:proofErr w:type="spellStart"/>
      <w:r w:rsidRPr="00D83DAF">
        <w:rPr>
          <w:lang w:val="en-GB"/>
        </w:rPr>
        <w:t>db</w:t>
      </w:r>
      <w:proofErr w:type="spellEnd"/>
      <w:r w:rsidRPr="00D83DAF">
        <w:rPr>
          <w:lang w:val="en-GB"/>
        </w:rPr>
        <w:t xml:space="preserve">), respectively for Concerto and </w:t>
      </w:r>
      <w:proofErr w:type="spellStart"/>
      <w:r w:rsidRPr="00D83DAF">
        <w:rPr>
          <w:lang w:val="en-GB"/>
        </w:rPr>
        <w:t>Fandaga</w:t>
      </w:r>
      <w:proofErr w:type="spellEnd"/>
      <w:r w:rsidRPr="00D83DAF">
        <w:rPr>
          <w:lang w:val="en-GB"/>
        </w:rPr>
        <w:t xml:space="preserve">. Compared to </w:t>
      </w:r>
      <w:proofErr w:type="spellStart"/>
      <w:r w:rsidRPr="00D83DAF">
        <w:rPr>
          <w:lang w:val="en-GB"/>
        </w:rPr>
        <w:t>Maiorca</w:t>
      </w:r>
      <w:proofErr w:type="spellEnd"/>
      <w:r w:rsidRPr="00D83DAF">
        <w:rPr>
          <w:lang w:val="en-GB"/>
        </w:rPr>
        <w:t xml:space="preserve"> malt, lower values were found for β-amylases. The β-amylase content in barley malts was between 13.55 and 15.75 (BU g-1 </w:t>
      </w:r>
      <w:proofErr w:type="spellStart"/>
      <w:r w:rsidRPr="00D83DAF">
        <w:rPr>
          <w:lang w:val="en-GB"/>
        </w:rPr>
        <w:t>db</w:t>
      </w:r>
      <w:proofErr w:type="spellEnd"/>
      <w:r w:rsidRPr="00D83DAF">
        <w:rPr>
          <w:lang w:val="en-GB"/>
        </w:rPr>
        <w:t xml:space="preserve">) respectively for </w:t>
      </w:r>
      <w:proofErr w:type="spellStart"/>
      <w:r w:rsidRPr="00D83DAF">
        <w:rPr>
          <w:lang w:val="en-GB"/>
        </w:rPr>
        <w:t>Fandaga</w:t>
      </w:r>
      <w:proofErr w:type="spellEnd"/>
      <w:r w:rsidRPr="00D83DAF">
        <w:rPr>
          <w:lang w:val="en-GB"/>
        </w:rPr>
        <w:t xml:space="preserve"> and Planet. In all samples, the adequate grain modification was highlighted by the </w:t>
      </w:r>
      <w:proofErr w:type="spellStart"/>
      <w:r w:rsidRPr="00D83DAF">
        <w:rPr>
          <w:lang w:val="en-GB"/>
        </w:rPr>
        <w:t>Kolbach</w:t>
      </w:r>
      <w:proofErr w:type="spellEnd"/>
      <w:r w:rsidRPr="00D83DAF">
        <w:rPr>
          <w:lang w:val="en-GB"/>
        </w:rPr>
        <w:t xml:space="preserve"> Index, which had optimum values between 34.5% and 38.29% for Concerto barley variety and </w:t>
      </w:r>
      <w:proofErr w:type="spellStart"/>
      <w:r w:rsidRPr="00D83DAF">
        <w:rPr>
          <w:lang w:val="en-GB"/>
        </w:rPr>
        <w:t>Maiorca</w:t>
      </w:r>
      <w:proofErr w:type="spellEnd"/>
      <w:r w:rsidRPr="00D83DAF">
        <w:rPr>
          <w:lang w:val="en-GB"/>
        </w:rPr>
        <w:t xml:space="preserve"> malt, respectively. In conclusion, it was seen that all the varieties studied showed a good response to the malting parameters used; all varieties have the parameters evaluated by </w:t>
      </w:r>
      <w:r w:rsidR="00AE017A">
        <w:rPr>
          <w:lang w:val="en-GB"/>
        </w:rPr>
        <w:t>maltsters a</w:t>
      </w:r>
      <w:r w:rsidRPr="00D83DAF">
        <w:rPr>
          <w:lang w:val="en-GB"/>
        </w:rPr>
        <w:t>nd brewers within the optimal ranges resulting good for brewing purpose.</w:t>
      </w:r>
      <w:r w:rsidR="00AE017A" w:rsidRPr="00AE017A">
        <w:rPr>
          <w:b/>
          <w:bCs/>
          <w:i/>
          <w:iCs/>
          <w:lang w:val="en-GB"/>
        </w:rPr>
        <w:t xml:space="preserve"> </w:t>
      </w:r>
    </w:p>
    <w:tbl>
      <w:tblPr>
        <w:tblStyle w:val="Grigliatabella"/>
        <w:tblpPr w:leftFromText="141" w:rightFromText="141" w:vertAnchor="text" w:horzAnchor="margin" w:tblpY="638"/>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276"/>
        <w:gridCol w:w="1338"/>
        <w:gridCol w:w="1185"/>
        <w:gridCol w:w="1185"/>
        <w:gridCol w:w="1252"/>
      </w:tblGrid>
      <w:tr w:rsidR="00AE017A" w:rsidRPr="006F4C94" w14:paraId="551DBD44" w14:textId="77777777" w:rsidTr="00AE017A">
        <w:trPr>
          <w:trHeight w:val="257"/>
        </w:trPr>
        <w:tc>
          <w:tcPr>
            <w:tcW w:w="2835" w:type="dxa"/>
            <w:tcBorders>
              <w:top w:val="single" w:sz="4" w:space="0" w:color="auto"/>
              <w:bottom w:val="single" w:sz="4" w:space="0" w:color="auto"/>
            </w:tcBorders>
            <w:noWrap/>
            <w:vAlign w:val="center"/>
          </w:tcPr>
          <w:p w14:paraId="752C2DB4" w14:textId="77777777" w:rsidR="00AE017A" w:rsidRPr="006F4C94" w:rsidRDefault="00AE017A" w:rsidP="00AE017A">
            <w:pPr>
              <w:rPr>
                <w:b/>
                <w:bCs/>
                <w:sz w:val="18"/>
                <w:szCs w:val="18"/>
              </w:rPr>
            </w:pPr>
            <w:proofErr w:type="spellStart"/>
            <w:r w:rsidRPr="00DD589B">
              <w:rPr>
                <w:b/>
                <w:bCs/>
                <w:sz w:val="18"/>
                <w:szCs w:val="18"/>
              </w:rPr>
              <w:t>Parameter</w:t>
            </w:r>
            <w:proofErr w:type="spellEnd"/>
          </w:p>
        </w:tc>
        <w:tc>
          <w:tcPr>
            <w:tcW w:w="1276" w:type="dxa"/>
            <w:tcBorders>
              <w:top w:val="single" w:sz="4" w:space="0" w:color="auto"/>
              <w:bottom w:val="single" w:sz="4" w:space="0" w:color="auto"/>
            </w:tcBorders>
            <w:noWrap/>
            <w:vAlign w:val="center"/>
            <w:hideMark/>
          </w:tcPr>
          <w:p w14:paraId="3AE24F26" w14:textId="77777777" w:rsidR="00AE017A" w:rsidRPr="006F4C94" w:rsidRDefault="00AE017A" w:rsidP="00AE017A">
            <w:pPr>
              <w:jc w:val="center"/>
              <w:rPr>
                <w:b/>
                <w:bCs/>
                <w:sz w:val="18"/>
                <w:szCs w:val="18"/>
              </w:rPr>
            </w:pPr>
            <w:r w:rsidRPr="006F4C94">
              <w:rPr>
                <w:b/>
                <w:bCs/>
                <w:sz w:val="18"/>
                <w:szCs w:val="18"/>
              </w:rPr>
              <w:t>Maiorca</w:t>
            </w:r>
          </w:p>
        </w:tc>
        <w:tc>
          <w:tcPr>
            <w:tcW w:w="1338" w:type="dxa"/>
            <w:tcBorders>
              <w:top w:val="single" w:sz="4" w:space="0" w:color="auto"/>
              <w:bottom w:val="single" w:sz="4" w:space="0" w:color="auto"/>
            </w:tcBorders>
            <w:noWrap/>
            <w:vAlign w:val="center"/>
            <w:hideMark/>
          </w:tcPr>
          <w:p w14:paraId="170328EB" w14:textId="77777777" w:rsidR="00AE017A" w:rsidRPr="006F4C94" w:rsidRDefault="00AE017A" w:rsidP="00AE017A">
            <w:pPr>
              <w:jc w:val="center"/>
              <w:rPr>
                <w:b/>
                <w:bCs/>
                <w:sz w:val="18"/>
                <w:szCs w:val="18"/>
              </w:rPr>
            </w:pPr>
            <w:r w:rsidRPr="006F4C94">
              <w:rPr>
                <w:b/>
                <w:bCs/>
                <w:sz w:val="18"/>
                <w:szCs w:val="18"/>
              </w:rPr>
              <w:t>Fortuna</w:t>
            </w:r>
          </w:p>
        </w:tc>
        <w:tc>
          <w:tcPr>
            <w:tcW w:w="1185" w:type="dxa"/>
            <w:tcBorders>
              <w:top w:val="single" w:sz="4" w:space="0" w:color="auto"/>
              <w:bottom w:val="single" w:sz="4" w:space="0" w:color="auto"/>
            </w:tcBorders>
            <w:noWrap/>
            <w:vAlign w:val="center"/>
            <w:hideMark/>
          </w:tcPr>
          <w:p w14:paraId="6F45771D" w14:textId="77777777" w:rsidR="00AE017A" w:rsidRPr="006F4C94" w:rsidRDefault="00AE017A" w:rsidP="00AE017A">
            <w:pPr>
              <w:jc w:val="center"/>
              <w:rPr>
                <w:b/>
                <w:bCs/>
                <w:sz w:val="18"/>
                <w:szCs w:val="18"/>
              </w:rPr>
            </w:pPr>
            <w:proofErr w:type="spellStart"/>
            <w:r w:rsidRPr="006F4C94">
              <w:rPr>
                <w:b/>
                <w:bCs/>
                <w:sz w:val="18"/>
                <w:szCs w:val="18"/>
              </w:rPr>
              <w:t>Fandaga</w:t>
            </w:r>
            <w:proofErr w:type="spellEnd"/>
          </w:p>
        </w:tc>
        <w:tc>
          <w:tcPr>
            <w:tcW w:w="1185" w:type="dxa"/>
            <w:tcBorders>
              <w:top w:val="single" w:sz="4" w:space="0" w:color="auto"/>
              <w:bottom w:val="single" w:sz="4" w:space="0" w:color="auto"/>
            </w:tcBorders>
            <w:noWrap/>
            <w:vAlign w:val="center"/>
            <w:hideMark/>
          </w:tcPr>
          <w:p w14:paraId="56F79922" w14:textId="77777777" w:rsidR="00AE017A" w:rsidRPr="006F4C94" w:rsidRDefault="00AE017A" w:rsidP="00AE017A">
            <w:pPr>
              <w:jc w:val="center"/>
              <w:rPr>
                <w:b/>
                <w:bCs/>
                <w:sz w:val="18"/>
                <w:szCs w:val="18"/>
              </w:rPr>
            </w:pPr>
            <w:r w:rsidRPr="006F4C94">
              <w:rPr>
                <w:b/>
                <w:bCs/>
                <w:sz w:val="18"/>
                <w:szCs w:val="18"/>
              </w:rPr>
              <w:t>Concerto</w:t>
            </w:r>
          </w:p>
        </w:tc>
        <w:tc>
          <w:tcPr>
            <w:tcW w:w="1252" w:type="dxa"/>
            <w:tcBorders>
              <w:top w:val="single" w:sz="4" w:space="0" w:color="auto"/>
              <w:bottom w:val="single" w:sz="4" w:space="0" w:color="auto"/>
            </w:tcBorders>
            <w:noWrap/>
            <w:vAlign w:val="center"/>
            <w:hideMark/>
          </w:tcPr>
          <w:p w14:paraId="73BA8218" w14:textId="77777777" w:rsidR="00AE017A" w:rsidRPr="006F4C94" w:rsidRDefault="00AE017A" w:rsidP="00AE017A">
            <w:pPr>
              <w:jc w:val="center"/>
              <w:rPr>
                <w:b/>
                <w:bCs/>
                <w:sz w:val="18"/>
                <w:szCs w:val="18"/>
              </w:rPr>
            </w:pPr>
            <w:r w:rsidRPr="006F4C94">
              <w:rPr>
                <w:b/>
                <w:bCs/>
                <w:sz w:val="18"/>
                <w:szCs w:val="18"/>
              </w:rPr>
              <w:t>Planet</w:t>
            </w:r>
          </w:p>
        </w:tc>
      </w:tr>
      <w:tr w:rsidR="00AE017A" w:rsidRPr="006F4C94" w14:paraId="1232470A" w14:textId="77777777" w:rsidTr="00AE017A">
        <w:trPr>
          <w:trHeight w:val="257"/>
        </w:trPr>
        <w:tc>
          <w:tcPr>
            <w:tcW w:w="2835" w:type="dxa"/>
            <w:tcBorders>
              <w:top w:val="single" w:sz="4" w:space="0" w:color="auto"/>
            </w:tcBorders>
            <w:noWrap/>
            <w:hideMark/>
          </w:tcPr>
          <w:p w14:paraId="70F2BEEE" w14:textId="77777777" w:rsidR="00AE017A" w:rsidRPr="006F4C94" w:rsidRDefault="00AE017A" w:rsidP="00AE017A">
            <w:pPr>
              <w:rPr>
                <w:sz w:val="18"/>
                <w:szCs w:val="18"/>
              </w:rPr>
            </w:pPr>
            <w:proofErr w:type="spellStart"/>
            <w:r w:rsidRPr="006F4C94">
              <w:rPr>
                <w:sz w:val="18"/>
                <w:szCs w:val="18"/>
              </w:rPr>
              <w:t>Thousand</w:t>
            </w:r>
            <w:proofErr w:type="spellEnd"/>
            <w:r w:rsidRPr="006F4C94">
              <w:rPr>
                <w:sz w:val="18"/>
                <w:szCs w:val="18"/>
              </w:rPr>
              <w:t xml:space="preserve"> </w:t>
            </w:r>
            <w:proofErr w:type="spellStart"/>
            <w:r w:rsidRPr="006F4C94">
              <w:rPr>
                <w:sz w:val="18"/>
                <w:szCs w:val="18"/>
              </w:rPr>
              <w:t>Corn</w:t>
            </w:r>
            <w:proofErr w:type="spellEnd"/>
            <w:r w:rsidRPr="006F4C94">
              <w:rPr>
                <w:sz w:val="18"/>
                <w:szCs w:val="18"/>
              </w:rPr>
              <w:t xml:space="preserve"> Weight (g)</w:t>
            </w:r>
          </w:p>
        </w:tc>
        <w:tc>
          <w:tcPr>
            <w:tcW w:w="1276" w:type="dxa"/>
            <w:tcBorders>
              <w:top w:val="single" w:sz="4" w:space="0" w:color="auto"/>
            </w:tcBorders>
            <w:noWrap/>
            <w:hideMark/>
          </w:tcPr>
          <w:p w14:paraId="2B939983" w14:textId="77777777" w:rsidR="00AE017A" w:rsidRPr="006F4C94" w:rsidRDefault="00AE017A" w:rsidP="00AE017A">
            <w:pPr>
              <w:jc w:val="center"/>
              <w:rPr>
                <w:sz w:val="18"/>
                <w:szCs w:val="18"/>
              </w:rPr>
            </w:pPr>
            <w:r w:rsidRPr="006F4C94">
              <w:rPr>
                <w:sz w:val="18"/>
                <w:szCs w:val="18"/>
              </w:rPr>
              <w:t>31</w:t>
            </w:r>
            <w:r>
              <w:rPr>
                <w:sz w:val="18"/>
                <w:szCs w:val="18"/>
              </w:rPr>
              <w:t>.</w:t>
            </w:r>
            <w:r w:rsidRPr="006F4C94">
              <w:rPr>
                <w:sz w:val="18"/>
                <w:szCs w:val="18"/>
              </w:rPr>
              <w:t>5</w:t>
            </w:r>
            <w:r>
              <w:rPr>
                <w:sz w:val="18"/>
                <w:szCs w:val="18"/>
              </w:rPr>
              <w:t>0</w:t>
            </w:r>
            <w:r w:rsidRPr="006F4C94">
              <w:rPr>
                <w:sz w:val="18"/>
                <w:szCs w:val="18"/>
              </w:rPr>
              <w:t>±0</w:t>
            </w:r>
            <w:r>
              <w:rPr>
                <w:sz w:val="18"/>
                <w:szCs w:val="18"/>
              </w:rPr>
              <w:t>.</w:t>
            </w:r>
            <w:r w:rsidRPr="006F4C94">
              <w:rPr>
                <w:sz w:val="18"/>
                <w:szCs w:val="18"/>
              </w:rPr>
              <w:t>10</w:t>
            </w:r>
          </w:p>
        </w:tc>
        <w:tc>
          <w:tcPr>
            <w:tcW w:w="1338" w:type="dxa"/>
            <w:tcBorders>
              <w:top w:val="single" w:sz="4" w:space="0" w:color="auto"/>
            </w:tcBorders>
            <w:noWrap/>
            <w:hideMark/>
          </w:tcPr>
          <w:p w14:paraId="5875038A" w14:textId="77777777" w:rsidR="00AE017A" w:rsidRPr="006F4C94" w:rsidRDefault="00AE017A" w:rsidP="00AE017A">
            <w:pPr>
              <w:jc w:val="center"/>
              <w:rPr>
                <w:sz w:val="18"/>
                <w:szCs w:val="18"/>
              </w:rPr>
            </w:pPr>
            <w:r w:rsidRPr="006F4C94">
              <w:rPr>
                <w:sz w:val="18"/>
                <w:szCs w:val="18"/>
              </w:rPr>
              <w:t>39</w:t>
            </w:r>
            <w:r>
              <w:rPr>
                <w:sz w:val="18"/>
                <w:szCs w:val="18"/>
              </w:rPr>
              <w:t>.</w:t>
            </w:r>
            <w:r w:rsidRPr="006F4C94">
              <w:rPr>
                <w:sz w:val="18"/>
                <w:szCs w:val="18"/>
              </w:rPr>
              <w:t>7</w:t>
            </w:r>
            <w:r>
              <w:rPr>
                <w:sz w:val="18"/>
                <w:szCs w:val="18"/>
              </w:rPr>
              <w:t>0</w:t>
            </w:r>
            <w:r w:rsidRPr="006F4C94">
              <w:rPr>
                <w:sz w:val="18"/>
                <w:szCs w:val="18"/>
              </w:rPr>
              <w:t>±0</w:t>
            </w:r>
            <w:r>
              <w:rPr>
                <w:sz w:val="18"/>
                <w:szCs w:val="18"/>
              </w:rPr>
              <w:t>.</w:t>
            </w:r>
            <w:r w:rsidRPr="006F4C94">
              <w:rPr>
                <w:sz w:val="18"/>
                <w:szCs w:val="18"/>
              </w:rPr>
              <w:t>36</w:t>
            </w:r>
          </w:p>
        </w:tc>
        <w:tc>
          <w:tcPr>
            <w:tcW w:w="1185" w:type="dxa"/>
            <w:tcBorders>
              <w:top w:val="single" w:sz="4" w:space="0" w:color="auto"/>
            </w:tcBorders>
            <w:noWrap/>
            <w:hideMark/>
          </w:tcPr>
          <w:p w14:paraId="1C15B3E1" w14:textId="77777777" w:rsidR="00AE017A" w:rsidRPr="006F4C94" w:rsidRDefault="00AE017A" w:rsidP="00AE017A">
            <w:pPr>
              <w:jc w:val="center"/>
              <w:rPr>
                <w:sz w:val="18"/>
                <w:szCs w:val="18"/>
              </w:rPr>
            </w:pPr>
            <w:r w:rsidRPr="006F4C94">
              <w:rPr>
                <w:sz w:val="18"/>
                <w:szCs w:val="18"/>
              </w:rPr>
              <w:t>37±0</w:t>
            </w:r>
            <w:r>
              <w:rPr>
                <w:sz w:val="18"/>
                <w:szCs w:val="18"/>
              </w:rPr>
              <w:t>.</w:t>
            </w:r>
            <w:r w:rsidRPr="006F4C94">
              <w:rPr>
                <w:sz w:val="18"/>
                <w:szCs w:val="18"/>
              </w:rPr>
              <w:t>12</w:t>
            </w:r>
          </w:p>
        </w:tc>
        <w:tc>
          <w:tcPr>
            <w:tcW w:w="1185" w:type="dxa"/>
            <w:tcBorders>
              <w:top w:val="single" w:sz="4" w:space="0" w:color="auto"/>
            </w:tcBorders>
            <w:noWrap/>
            <w:hideMark/>
          </w:tcPr>
          <w:p w14:paraId="07A2840D" w14:textId="77777777" w:rsidR="00AE017A" w:rsidRPr="006F4C94" w:rsidRDefault="00AE017A" w:rsidP="00AE017A">
            <w:pPr>
              <w:jc w:val="center"/>
              <w:rPr>
                <w:sz w:val="18"/>
                <w:szCs w:val="18"/>
              </w:rPr>
            </w:pPr>
            <w:r w:rsidRPr="006F4C94">
              <w:rPr>
                <w:sz w:val="18"/>
                <w:szCs w:val="18"/>
              </w:rPr>
              <w:t>33</w:t>
            </w:r>
            <w:r>
              <w:rPr>
                <w:sz w:val="18"/>
                <w:szCs w:val="18"/>
              </w:rPr>
              <w:t>.</w:t>
            </w:r>
            <w:r w:rsidRPr="006F4C94">
              <w:rPr>
                <w:sz w:val="18"/>
                <w:szCs w:val="18"/>
              </w:rPr>
              <w:t>5</w:t>
            </w:r>
            <w:r>
              <w:rPr>
                <w:sz w:val="18"/>
                <w:szCs w:val="18"/>
              </w:rPr>
              <w:t>0</w:t>
            </w:r>
            <w:r w:rsidRPr="006F4C94">
              <w:rPr>
                <w:sz w:val="18"/>
                <w:szCs w:val="18"/>
              </w:rPr>
              <w:t>±0</w:t>
            </w:r>
            <w:r>
              <w:rPr>
                <w:sz w:val="18"/>
                <w:szCs w:val="18"/>
              </w:rPr>
              <w:t>.</w:t>
            </w:r>
            <w:r w:rsidRPr="006F4C94">
              <w:rPr>
                <w:sz w:val="18"/>
                <w:szCs w:val="18"/>
              </w:rPr>
              <w:t>18</w:t>
            </w:r>
          </w:p>
        </w:tc>
        <w:tc>
          <w:tcPr>
            <w:tcW w:w="1252" w:type="dxa"/>
            <w:tcBorders>
              <w:top w:val="single" w:sz="4" w:space="0" w:color="auto"/>
            </w:tcBorders>
            <w:noWrap/>
            <w:hideMark/>
          </w:tcPr>
          <w:p w14:paraId="00B09AE0" w14:textId="77777777" w:rsidR="00AE017A" w:rsidRPr="006F4C94" w:rsidRDefault="00AE017A" w:rsidP="00AE017A">
            <w:pPr>
              <w:jc w:val="center"/>
              <w:rPr>
                <w:sz w:val="18"/>
                <w:szCs w:val="18"/>
              </w:rPr>
            </w:pPr>
            <w:r w:rsidRPr="006F4C94">
              <w:rPr>
                <w:sz w:val="18"/>
                <w:szCs w:val="18"/>
              </w:rPr>
              <w:t>37±0</w:t>
            </w:r>
            <w:r>
              <w:rPr>
                <w:sz w:val="18"/>
                <w:szCs w:val="18"/>
              </w:rPr>
              <w:t>.</w:t>
            </w:r>
            <w:r w:rsidRPr="006F4C94">
              <w:rPr>
                <w:sz w:val="18"/>
                <w:szCs w:val="18"/>
              </w:rPr>
              <w:t>57</w:t>
            </w:r>
          </w:p>
        </w:tc>
      </w:tr>
      <w:tr w:rsidR="00AE017A" w:rsidRPr="006F4C94" w14:paraId="2E2D20EC" w14:textId="77777777" w:rsidTr="00AE017A">
        <w:trPr>
          <w:trHeight w:val="257"/>
        </w:trPr>
        <w:tc>
          <w:tcPr>
            <w:tcW w:w="2835" w:type="dxa"/>
            <w:noWrap/>
            <w:hideMark/>
          </w:tcPr>
          <w:p w14:paraId="2DDBFEEF" w14:textId="77777777" w:rsidR="00AE017A" w:rsidRPr="006F4C94" w:rsidRDefault="00AE017A" w:rsidP="00AE017A">
            <w:pPr>
              <w:rPr>
                <w:sz w:val="18"/>
                <w:szCs w:val="18"/>
              </w:rPr>
            </w:pPr>
            <w:proofErr w:type="spellStart"/>
            <w:r w:rsidRPr="006F4C94">
              <w:rPr>
                <w:sz w:val="18"/>
                <w:szCs w:val="18"/>
              </w:rPr>
              <w:t>Germination</w:t>
            </w:r>
            <w:proofErr w:type="spellEnd"/>
            <w:r w:rsidRPr="006F4C94">
              <w:rPr>
                <w:sz w:val="18"/>
                <w:szCs w:val="18"/>
              </w:rPr>
              <w:t xml:space="preserve"> energy (%)</w:t>
            </w:r>
          </w:p>
        </w:tc>
        <w:tc>
          <w:tcPr>
            <w:tcW w:w="1276" w:type="dxa"/>
            <w:noWrap/>
            <w:hideMark/>
          </w:tcPr>
          <w:p w14:paraId="6BCFF3EC" w14:textId="77777777" w:rsidR="00AE017A" w:rsidRPr="006F4C94" w:rsidRDefault="00AE017A" w:rsidP="00AE017A">
            <w:pPr>
              <w:jc w:val="center"/>
              <w:rPr>
                <w:sz w:val="18"/>
                <w:szCs w:val="18"/>
              </w:rPr>
            </w:pPr>
            <w:r w:rsidRPr="006F4C94">
              <w:rPr>
                <w:sz w:val="18"/>
                <w:szCs w:val="18"/>
              </w:rPr>
              <w:t>97</w:t>
            </w:r>
            <w:r>
              <w:rPr>
                <w:sz w:val="18"/>
                <w:szCs w:val="18"/>
              </w:rPr>
              <w:t>.</w:t>
            </w:r>
            <w:r w:rsidRPr="006F4C94">
              <w:rPr>
                <w:sz w:val="18"/>
                <w:szCs w:val="18"/>
              </w:rPr>
              <w:t>5</w:t>
            </w:r>
            <w:r>
              <w:rPr>
                <w:sz w:val="18"/>
                <w:szCs w:val="18"/>
              </w:rPr>
              <w:t>0</w:t>
            </w:r>
            <w:r w:rsidRPr="006F4C94">
              <w:rPr>
                <w:sz w:val="18"/>
                <w:szCs w:val="18"/>
              </w:rPr>
              <w:t>±0</w:t>
            </w:r>
            <w:r>
              <w:rPr>
                <w:sz w:val="18"/>
                <w:szCs w:val="18"/>
              </w:rPr>
              <w:t>.</w:t>
            </w:r>
            <w:r w:rsidRPr="006F4C94">
              <w:rPr>
                <w:sz w:val="18"/>
                <w:szCs w:val="18"/>
              </w:rPr>
              <w:t>01</w:t>
            </w:r>
          </w:p>
        </w:tc>
        <w:tc>
          <w:tcPr>
            <w:tcW w:w="1338" w:type="dxa"/>
            <w:noWrap/>
            <w:hideMark/>
          </w:tcPr>
          <w:p w14:paraId="23CD85CE" w14:textId="77777777" w:rsidR="00AE017A" w:rsidRPr="006F4C94" w:rsidRDefault="00AE017A" w:rsidP="00AE017A">
            <w:pPr>
              <w:jc w:val="center"/>
              <w:rPr>
                <w:sz w:val="18"/>
                <w:szCs w:val="18"/>
              </w:rPr>
            </w:pPr>
            <w:r w:rsidRPr="006F4C94">
              <w:rPr>
                <w:sz w:val="18"/>
                <w:szCs w:val="18"/>
              </w:rPr>
              <w:t>98±0</w:t>
            </w:r>
            <w:r>
              <w:rPr>
                <w:sz w:val="18"/>
                <w:szCs w:val="18"/>
              </w:rPr>
              <w:t>.</w:t>
            </w:r>
            <w:r w:rsidRPr="006F4C94">
              <w:rPr>
                <w:sz w:val="18"/>
                <w:szCs w:val="18"/>
              </w:rPr>
              <w:t>08</w:t>
            </w:r>
          </w:p>
        </w:tc>
        <w:tc>
          <w:tcPr>
            <w:tcW w:w="1185" w:type="dxa"/>
            <w:noWrap/>
            <w:hideMark/>
          </w:tcPr>
          <w:p w14:paraId="1E9302A2" w14:textId="77777777" w:rsidR="00AE017A" w:rsidRPr="006F4C94" w:rsidRDefault="00AE017A" w:rsidP="00AE017A">
            <w:pPr>
              <w:jc w:val="center"/>
              <w:rPr>
                <w:sz w:val="18"/>
                <w:szCs w:val="18"/>
              </w:rPr>
            </w:pPr>
            <w:r w:rsidRPr="006F4C94">
              <w:rPr>
                <w:sz w:val="18"/>
                <w:szCs w:val="18"/>
              </w:rPr>
              <w:t>97</w:t>
            </w:r>
            <w:r>
              <w:rPr>
                <w:sz w:val="18"/>
                <w:szCs w:val="18"/>
              </w:rPr>
              <w:t>.</w:t>
            </w:r>
            <w:r w:rsidRPr="006F4C94">
              <w:rPr>
                <w:sz w:val="18"/>
                <w:szCs w:val="18"/>
              </w:rPr>
              <w:t>5±0</w:t>
            </w:r>
            <w:r>
              <w:rPr>
                <w:sz w:val="18"/>
                <w:szCs w:val="18"/>
              </w:rPr>
              <w:t>.</w:t>
            </w:r>
            <w:r w:rsidRPr="006F4C94">
              <w:rPr>
                <w:sz w:val="18"/>
                <w:szCs w:val="18"/>
              </w:rPr>
              <w:t>04</w:t>
            </w:r>
          </w:p>
        </w:tc>
        <w:tc>
          <w:tcPr>
            <w:tcW w:w="1185" w:type="dxa"/>
            <w:noWrap/>
            <w:hideMark/>
          </w:tcPr>
          <w:p w14:paraId="08D8CFAE" w14:textId="77777777" w:rsidR="00AE017A" w:rsidRPr="006F4C94" w:rsidRDefault="00AE017A" w:rsidP="00AE017A">
            <w:pPr>
              <w:jc w:val="center"/>
              <w:rPr>
                <w:sz w:val="18"/>
                <w:szCs w:val="18"/>
              </w:rPr>
            </w:pPr>
            <w:r w:rsidRPr="006F4C94">
              <w:rPr>
                <w:sz w:val="18"/>
                <w:szCs w:val="18"/>
              </w:rPr>
              <w:t>97±0</w:t>
            </w:r>
            <w:r>
              <w:rPr>
                <w:sz w:val="18"/>
                <w:szCs w:val="18"/>
              </w:rPr>
              <w:t>.</w:t>
            </w:r>
            <w:r w:rsidRPr="006F4C94">
              <w:rPr>
                <w:sz w:val="18"/>
                <w:szCs w:val="18"/>
              </w:rPr>
              <w:t>09</w:t>
            </w:r>
          </w:p>
        </w:tc>
        <w:tc>
          <w:tcPr>
            <w:tcW w:w="1252" w:type="dxa"/>
            <w:noWrap/>
            <w:hideMark/>
          </w:tcPr>
          <w:p w14:paraId="00A3FCFD" w14:textId="77777777" w:rsidR="00AE017A" w:rsidRPr="006F4C94" w:rsidRDefault="00AE017A" w:rsidP="00AE017A">
            <w:pPr>
              <w:jc w:val="center"/>
              <w:rPr>
                <w:sz w:val="18"/>
                <w:szCs w:val="18"/>
              </w:rPr>
            </w:pPr>
            <w:r w:rsidRPr="006F4C94">
              <w:rPr>
                <w:sz w:val="18"/>
                <w:szCs w:val="18"/>
              </w:rPr>
              <w:t>97</w:t>
            </w:r>
            <w:r>
              <w:rPr>
                <w:sz w:val="18"/>
                <w:szCs w:val="18"/>
              </w:rPr>
              <w:t>.</w:t>
            </w:r>
            <w:r w:rsidRPr="006F4C94">
              <w:rPr>
                <w:sz w:val="18"/>
                <w:szCs w:val="18"/>
              </w:rPr>
              <w:t>5</w:t>
            </w:r>
            <w:r>
              <w:rPr>
                <w:sz w:val="18"/>
                <w:szCs w:val="18"/>
              </w:rPr>
              <w:t>0</w:t>
            </w:r>
            <w:r w:rsidRPr="006F4C94">
              <w:rPr>
                <w:sz w:val="18"/>
                <w:szCs w:val="18"/>
              </w:rPr>
              <w:t>±0</w:t>
            </w:r>
            <w:r>
              <w:rPr>
                <w:sz w:val="18"/>
                <w:szCs w:val="18"/>
              </w:rPr>
              <w:t>.</w:t>
            </w:r>
            <w:r w:rsidRPr="006F4C94">
              <w:rPr>
                <w:sz w:val="18"/>
                <w:szCs w:val="18"/>
              </w:rPr>
              <w:t>04</w:t>
            </w:r>
          </w:p>
        </w:tc>
      </w:tr>
      <w:tr w:rsidR="00AE017A" w:rsidRPr="006F4C94" w14:paraId="302CB469" w14:textId="77777777" w:rsidTr="00AE017A">
        <w:trPr>
          <w:trHeight w:val="257"/>
        </w:trPr>
        <w:tc>
          <w:tcPr>
            <w:tcW w:w="2835" w:type="dxa"/>
            <w:noWrap/>
            <w:hideMark/>
          </w:tcPr>
          <w:p w14:paraId="1454BB41" w14:textId="77777777" w:rsidR="00AE017A" w:rsidRPr="006F4C94" w:rsidRDefault="00AE017A" w:rsidP="00AE017A">
            <w:pPr>
              <w:rPr>
                <w:sz w:val="18"/>
                <w:szCs w:val="18"/>
              </w:rPr>
            </w:pPr>
            <w:proofErr w:type="spellStart"/>
            <w:r w:rsidRPr="006F4C94">
              <w:rPr>
                <w:sz w:val="18"/>
                <w:szCs w:val="18"/>
              </w:rPr>
              <w:t>Moinsture</w:t>
            </w:r>
            <w:proofErr w:type="spellEnd"/>
            <w:r w:rsidRPr="006F4C94">
              <w:rPr>
                <w:sz w:val="18"/>
                <w:szCs w:val="18"/>
              </w:rPr>
              <w:t xml:space="preserve"> (% ww-1)</w:t>
            </w:r>
          </w:p>
        </w:tc>
        <w:tc>
          <w:tcPr>
            <w:tcW w:w="1276" w:type="dxa"/>
            <w:noWrap/>
            <w:hideMark/>
          </w:tcPr>
          <w:p w14:paraId="11A07077" w14:textId="77777777" w:rsidR="00AE017A" w:rsidRPr="006F4C94" w:rsidRDefault="00AE017A" w:rsidP="00AE017A">
            <w:pPr>
              <w:jc w:val="center"/>
              <w:rPr>
                <w:sz w:val="18"/>
                <w:szCs w:val="18"/>
              </w:rPr>
            </w:pPr>
            <w:r w:rsidRPr="006F4C94">
              <w:rPr>
                <w:sz w:val="18"/>
                <w:szCs w:val="18"/>
              </w:rPr>
              <w:t>5.29±0.33</w:t>
            </w:r>
          </w:p>
        </w:tc>
        <w:tc>
          <w:tcPr>
            <w:tcW w:w="1338" w:type="dxa"/>
            <w:noWrap/>
            <w:hideMark/>
          </w:tcPr>
          <w:p w14:paraId="530737C5" w14:textId="77777777" w:rsidR="00AE017A" w:rsidRPr="006F4C94" w:rsidRDefault="00AE017A" w:rsidP="00AE017A">
            <w:pPr>
              <w:jc w:val="center"/>
              <w:rPr>
                <w:sz w:val="18"/>
                <w:szCs w:val="18"/>
              </w:rPr>
            </w:pPr>
            <w:r w:rsidRPr="006F4C94">
              <w:rPr>
                <w:sz w:val="18"/>
                <w:szCs w:val="18"/>
              </w:rPr>
              <w:t>2</w:t>
            </w:r>
            <w:r>
              <w:rPr>
                <w:sz w:val="18"/>
                <w:szCs w:val="18"/>
              </w:rPr>
              <w:t>.</w:t>
            </w:r>
            <w:r w:rsidRPr="006F4C94">
              <w:rPr>
                <w:sz w:val="18"/>
                <w:szCs w:val="18"/>
              </w:rPr>
              <w:t>02±0</w:t>
            </w:r>
            <w:r>
              <w:rPr>
                <w:sz w:val="18"/>
                <w:szCs w:val="18"/>
              </w:rPr>
              <w:t>.</w:t>
            </w:r>
            <w:r w:rsidRPr="006F4C94">
              <w:rPr>
                <w:sz w:val="18"/>
                <w:szCs w:val="18"/>
              </w:rPr>
              <w:t>04</w:t>
            </w:r>
          </w:p>
        </w:tc>
        <w:tc>
          <w:tcPr>
            <w:tcW w:w="1185" w:type="dxa"/>
            <w:noWrap/>
            <w:hideMark/>
          </w:tcPr>
          <w:p w14:paraId="56F35B0B" w14:textId="77777777" w:rsidR="00AE017A" w:rsidRPr="006F4C94" w:rsidRDefault="00AE017A" w:rsidP="00AE017A">
            <w:pPr>
              <w:jc w:val="center"/>
              <w:rPr>
                <w:sz w:val="18"/>
                <w:szCs w:val="18"/>
              </w:rPr>
            </w:pPr>
            <w:r w:rsidRPr="006F4C94">
              <w:rPr>
                <w:sz w:val="18"/>
                <w:szCs w:val="18"/>
              </w:rPr>
              <w:t>2</w:t>
            </w:r>
            <w:r>
              <w:rPr>
                <w:sz w:val="18"/>
                <w:szCs w:val="18"/>
              </w:rPr>
              <w:t>.</w:t>
            </w:r>
            <w:r w:rsidRPr="006F4C94">
              <w:rPr>
                <w:sz w:val="18"/>
                <w:szCs w:val="18"/>
              </w:rPr>
              <w:t>47±0</w:t>
            </w:r>
            <w:r>
              <w:rPr>
                <w:sz w:val="18"/>
                <w:szCs w:val="18"/>
              </w:rPr>
              <w:t>.</w:t>
            </w:r>
            <w:r w:rsidRPr="006F4C94">
              <w:rPr>
                <w:sz w:val="18"/>
                <w:szCs w:val="18"/>
              </w:rPr>
              <w:t>05</w:t>
            </w:r>
          </w:p>
        </w:tc>
        <w:tc>
          <w:tcPr>
            <w:tcW w:w="1185" w:type="dxa"/>
            <w:noWrap/>
            <w:hideMark/>
          </w:tcPr>
          <w:p w14:paraId="50F88851" w14:textId="77777777" w:rsidR="00AE017A" w:rsidRPr="006F4C94" w:rsidRDefault="00AE017A" w:rsidP="00AE017A">
            <w:pPr>
              <w:jc w:val="center"/>
              <w:rPr>
                <w:sz w:val="18"/>
                <w:szCs w:val="18"/>
              </w:rPr>
            </w:pPr>
            <w:r w:rsidRPr="006F4C94">
              <w:rPr>
                <w:sz w:val="18"/>
                <w:szCs w:val="18"/>
              </w:rPr>
              <w:t>2</w:t>
            </w:r>
            <w:r>
              <w:rPr>
                <w:sz w:val="18"/>
                <w:szCs w:val="18"/>
              </w:rPr>
              <w:t>.</w:t>
            </w:r>
            <w:r w:rsidRPr="006F4C94">
              <w:rPr>
                <w:sz w:val="18"/>
                <w:szCs w:val="18"/>
              </w:rPr>
              <w:t>25±0</w:t>
            </w:r>
            <w:r>
              <w:rPr>
                <w:sz w:val="18"/>
                <w:szCs w:val="18"/>
              </w:rPr>
              <w:t>.</w:t>
            </w:r>
            <w:r w:rsidRPr="006F4C94">
              <w:rPr>
                <w:sz w:val="18"/>
                <w:szCs w:val="18"/>
              </w:rPr>
              <w:t>04</w:t>
            </w:r>
          </w:p>
        </w:tc>
        <w:tc>
          <w:tcPr>
            <w:tcW w:w="1252" w:type="dxa"/>
            <w:noWrap/>
            <w:hideMark/>
          </w:tcPr>
          <w:p w14:paraId="699264AA" w14:textId="77777777" w:rsidR="00AE017A" w:rsidRPr="006F4C94" w:rsidRDefault="00AE017A" w:rsidP="00AE017A">
            <w:pPr>
              <w:jc w:val="center"/>
              <w:rPr>
                <w:sz w:val="18"/>
                <w:szCs w:val="18"/>
              </w:rPr>
            </w:pPr>
            <w:r w:rsidRPr="006F4C94">
              <w:rPr>
                <w:sz w:val="18"/>
                <w:szCs w:val="18"/>
              </w:rPr>
              <w:t>2</w:t>
            </w:r>
            <w:r>
              <w:rPr>
                <w:sz w:val="18"/>
                <w:szCs w:val="18"/>
              </w:rPr>
              <w:t>.</w:t>
            </w:r>
            <w:r w:rsidRPr="006F4C94">
              <w:rPr>
                <w:sz w:val="18"/>
                <w:szCs w:val="18"/>
              </w:rPr>
              <w:t>06±0</w:t>
            </w:r>
            <w:r>
              <w:rPr>
                <w:sz w:val="18"/>
                <w:szCs w:val="18"/>
              </w:rPr>
              <w:t>.</w:t>
            </w:r>
            <w:r w:rsidRPr="006F4C94">
              <w:rPr>
                <w:sz w:val="18"/>
                <w:szCs w:val="18"/>
              </w:rPr>
              <w:t>04</w:t>
            </w:r>
          </w:p>
        </w:tc>
      </w:tr>
      <w:tr w:rsidR="00AE017A" w:rsidRPr="006F4C94" w14:paraId="064D85AF" w14:textId="77777777" w:rsidTr="00AE017A">
        <w:trPr>
          <w:trHeight w:val="257"/>
        </w:trPr>
        <w:tc>
          <w:tcPr>
            <w:tcW w:w="2835" w:type="dxa"/>
            <w:noWrap/>
            <w:hideMark/>
          </w:tcPr>
          <w:p w14:paraId="3E11F424" w14:textId="77777777" w:rsidR="00AE017A" w:rsidRPr="006F4C94" w:rsidRDefault="00AE017A" w:rsidP="00AE017A">
            <w:pPr>
              <w:rPr>
                <w:sz w:val="18"/>
                <w:szCs w:val="18"/>
              </w:rPr>
            </w:pPr>
            <w:proofErr w:type="spellStart"/>
            <w:r w:rsidRPr="006F4C94">
              <w:rPr>
                <w:sz w:val="18"/>
                <w:szCs w:val="18"/>
              </w:rPr>
              <w:t>Extract</w:t>
            </w:r>
            <w:proofErr w:type="spellEnd"/>
            <w:r w:rsidRPr="006F4C94">
              <w:rPr>
                <w:sz w:val="18"/>
                <w:szCs w:val="18"/>
              </w:rPr>
              <w:t xml:space="preserve"> (%</w:t>
            </w:r>
            <w:proofErr w:type="spellStart"/>
            <w:r w:rsidRPr="006F4C94">
              <w:rPr>
                <w:sz w:val="18"/>
                <w:szCs w:val="18"/>
              </w:rPr>
              <w:t>db</w:t>
            </w:r>
            <w:proofErr w:type="spellEnd"/>
            <w:r w:rsidRPr="006F4C94">
              <w:rPr>
                <w:sz w:val="18"/>
                <w:szCs w:val="18"/>
              </w:rPr>
              <w:t>)</w:t>
            </w:r>
          </w:p>
        </w:tc>
        <w:tc>
          <w:tcPr>
            <w:tcW w:w="1276" w:type="dxa"/>
            <w:noWrap/>
            <w:hideMark/>
          </w:tcPr>
          <w:p w14:paraId="51CFD44E" w14:textId="77777777" w:rsidR="00AE017A" w:rsidRPr="006F4C94" w:rsidRDefault="00AE017A" w:rsidP="00AE017A">
            <w:pPr>
              <w:jc w:val="center"/>
              <w:rPr>
                <w:sz w:val="18"/>
                <w:szCs w:val="18"/>
              </w:rPr>
            </w:pPr>
            <w:r w:rsidRPr="006F4C94">
              <w:rPr>
                <w:sz w:val="18"/>
                <w:szCs w:val="18"/>
              </w:rPr>
              <w:t>84.65±0</w:t>
            </w:r>
            <w:r>
              <w:rPr>
                <w:sz w:val="18"/>
                <w:szCs w:val="18"/>
              </w:rPr>
              <w:t>.</w:t>
            </w:r>
            <w:r w:rsidRPr="006F4C94">
              <w:rPr>
                <w:sz w:val="18"/>
                <w:szCs w:val="18"/>
              </w:rPr>
              <w:t>53</w:t>
            </w:r>
          </w:p>
        </w:tc>
        <w:tc>
          <w:tcPr>
            <w:tcW w:w="1338" w:type="dxa"/>
            <w:noWrap/>
            <w:hideMark/>
          </w:tcPr>
          <w:p w14:paraId="2D109C43" w14:textId="77777777" w:rsidR="00AE017A" w:rsidRPr="006F4C94" w:rsidRDefault="00AE017A" w:rsidP="00AE017A">
            <w:pPr>
              <w:jc w:val="center"/>
              <w:rPr>
                <w:sz w:val="18"/>
                <w:szCs w:val="18"/>
              </w:rPr>
            </w:pPr>
            <w:r w:rsidRPr="006F4C94">
              <w:rPr>
                <w:sz w:val="18"/>
                <w:szCs w:val="18"/>
              </w:rPr>
              <w:t>82</w:t>
            </w:r>
            <w:r>
              <w:rPr>
                <w:sz w:val="18"/>
                <w:szCs w:val="18"/>
              </w:rPr>
              <w:t>.</w:t>
            </w:r>
            <w:r w:rsidRPr="006F4C94">
              <w:rPr>
                <w:sz w:val="18"/>
                <w:szCs w:val="18"/>
              </w:rPr>
              <w:t>32±1</w:t>
            </w:r>
            <w:r>
              <w:rPr>
                <w:sz w:val="18"/>
                <w:szCs w:val="18"/>
              </w:rPr>
              <w:t>.</w:t>
            </w:r>
            <w:r w:rsidRPr="006F4C94">
              <w:rPr>
                <w:sz w:val="18"/>
                <w:szCs w:val="18"/>
              </w:rPr>
              <w:t>64</w:t>
            </w:r>
          </w:p>
        </w:tc>
        <w:tc>
          <w:tcPr>
            <w:tcW w:w="1185" w:type="dxa"/>
            <w:noWrap/>
            <w:hideMark/>
          </w:tcPr>
          <w:p w14:paraId="71478DB4" w14:textId="77777777" w:rsidR="00AE017A" w:rsidRPr="006F4C94" w:rsidRDefault="00AE017A" w:rsidP="00AE017A">
            <w:pPr>
              <w:jc w:val="center"/>
              <w:rPr>
                <w:sz w:val="18"/>
                <w:szCs w:val="18"/>
              </w:rPr>
            </w:pPr>
            <w:r w:rsidRPr="006F4C94">
              <w:rPr>
                <w:sz w:val="18"/>
                <w:szCs w:val="18"/>
              </w:rPr>
              <w:t>83</w:t>
            </w:r>
            <w:r>
              <w:rPr>
                <w:sz w:val="18"/>
                <w:szCs w:val="18"/>
              </w:rPr>
              <w:t>.</w:t>
            </w:r>
            <w:r w:rsidRPr="006F4C94">
              <w:rPr>
                <w:sz w:val="18"/>
                <w:szCs w:val="18"/>
              </w:rPr>
              <w:t>69±1</w:t>
            </w:r>
            <w:r>
              <w:rPr>
                <w:sz w:val="18"/>
                <w:szCs w:val="18"/>
              </w:rPr>
              <w:t>.</w:t>
            </w:r>
            <w:r w:rsidRPr="006F4C94">
              <w:rPr>
                <w:sz w:val="18"/>
                <w:szCs w:val="18"/>
              </w:rPr>
              <w:t>67</w:t>
            </w:r>
          </w:p>
        </w:tc>
        <w:tc>
          <w:tcPr>
            <w:tcW w:w="1185" w:type="dxa"/>
            <w:noWrap/>
            <w:hideMark/>
          </w:tcPr>
          <w:p w14:paraId="61142AA6" w14:textId="77777777" w:rsidR="00AE017A" w:rsidRPr="006F4C94" w:rsidRDefault="00AE017A" w:rsidP="00AE017A">
            <w:pPr>
              <w:jc w:val="center"/>
              <w:rPr>
                <w:sz w:val="18"/>
                <w:szCs w:val="18"/>
              </w:rPr>
            </w:pPr>
            <w:r w:rsidRPr="006F4C94">
              <w:rPr>
                <w:sz w:val="18"/>
                <w:szCs w:val="18"/>
              </w:rPr>
              <w:t>82</w:t>
            </w:r>
            <w:r>
              <w:rPr>
                <w:sz w:val="18"/>
                <w:szCs w:val="18"/>
              </w:rPr>
              <w:t>.</w:t>
            </w:r>
            <w:r w:rsidRPr="006F4C94">
              <w:rPr>
                <w:sz w:val="18"/>
                <w:szCs w:val="18"/>
              </w:rPr>
              <w:t>32±1</w:t>
            </w:r>
            <w:r>
              <w:rPr>
                <w:sz w:val="18"/>
                <w:szCs w:val="18"/>
              </w:rPr>
              <w:t>.</w:t>
            </w:r>
            <w:r w:rsidRPr="006F4C94">
              <w:rPr>
                <w:sz w:val="18"/>
                <w:szCs w:val="18"/>
              </w:rPr>
              <w:t>64</w:t>
            </w:r>
          </w:p>
        </w:tc>
        <w:tc>
          <w:tcPr>
            <w:tcW w:w="1252" w:type="dxa"/>
            <w:noWrap/>
            <w:hideMark/>
          </w:tcPr>
          <w:p w14:paraId="5DB510AC" w14:textId="77777777" w:rsidR="00AE017A" w:rsidRPr="006F4C94" w:rsidRDefault="00AE017A" w:rsidP="00AE017A">
            <w:pPr>
              <w:jc w:val="center"/>
              <w:rPr>
                <w:sz w:val="18"/>
                <w:szCs w:val="18"/>
              </w:rPr>
            </w:pPr>
            <w:r w:rsidRPr="006F4C94">
              <w:rPr>
                <w:sz w:val="18"/>
                <w:szCs w:val="18"/>
              </w:rPr>
              <w:t>82</w:t>
            </w:r>
            <w:r>
              <w:rPr>
                <w:sz w:val="18"/>
                <w:szCs w:val="18"/>
              </w:rPr>
              <w:t>.</w:t>
            </w:r>
            <w:r w:rsidRPr="006F4C94">
              <w:rPr>
                <w:sz w:val="18"/>
                <w:szCs w:val="18"/>
              </w:rPr>
              <w:t>41±1</w:t>
            </w:r>
            <w:r>
              <w:rPr>
                <w:sz w:val="18"/>
                <w:szCs w:val="18"/>
              </w:rPr>
              <w:t>.</w:t>
            </w:r>
            <w:r w:rsidRPr="006F4C94">
              <w:rPr>
                <w:sz w:val="18"/>
                <w:szCs w:val="18"/>
              </w:rPr>
              <w:t>64</w:t>
            </w:r>
          </w:p>
        </w:tc>
      </w:tr>
      <w:tr w:rsidR="00AE017A" w:rsidRPr="006F4C94" w14:paraId="48E7844C" w14:textId="77777777" w:rsidTr="00AE017A">
        <w:trPr>
          <w:trHeight w:val="257"/>
        </w:trPr>
        <w:tc>
          <w:tcPr>
            <w:tcW w:w="2835" w:type="dxa"/>
            <w:noWrap/>
            <w:hideMark/>
          </w:tcPr>
          <w:p w14:paraId="670E2CF7" w14:textId="77777777" w:rsidR="00AE017A" w:rsidRPr="006F4C94" w:rsidRDefault="00AE017A" w:rsidP="00AE017A">
            <w:pPr>
              <w:rPr>
                <w:sz w:val="18"/>
                <w:szCs w:val="18"/>
              </w:rPr>
            </w:pPr>
            <w:proofErr w:type="gramStart"/>
            <w:r w:rsidRPr="006F4C94">
              <w:rPr>
                <w:sz w:val="18"/>
                <w:szCs w:val="18"/>
              </w:rPr>
              <w:t>pH  20</w:t>
            </w:r>
            <w:proofErr w:type="gramEnd"/>
            <w:r w:rsidRPr="006F4C94">
              <w:rPr>
                <w:sz w:val="18"/>
                <w:szCs w:val="18"/>
              </w:rPr>
              <w:t>°C</w:t>
            </w:r>
          </w:p>
        </w:tc>
        <w:tc>
          <w:tcPr>
            <w:tcW w:w="1276" w:type="dxa"/>
            <w:noWrap/>
            <w:hideMark/>
          </w:tcPr>
          <w:p w14:paraId="25DFE7E2" w14:textId="77777777" w:rsidR="00AE017A" w:rsidRPr="006F4C94" w:rsidRDefault="00AE017A" w:rsidP="00AE017A">
            <w:pPr>
              <w:jc w:val="center"/>
              <w:rPr>
                <w:sz w:val="18"/>
                <w:szCs w:val="18"/>
              </w:rPr>
            </w:pPr>
            <w:r w:rsidRPr="006F4C94">
              <w:rPr>
                <w:sz w:val="18"/>
                <w:szCs w:val="18"/>
              </w:rPr>
              <w:t>6.13±0.04</w:t>
            </w:r>
          </w:p>
        </w:tc>
        <w:tc>
          <w:tcPr>
            <w:tcW w:w="1338" w:type="dxa"/>
            <w:noWrap/>
            <w:hideMark/>
          </w:tcPr>
          <w:p w14:paraId="19CF8F03" w14:textId="77777777" w:rsidR="00AE017A" w:rsidRPr="006F4C94" w:rsidRDefault="00AE017A" w:rsidP="00AE017A">
            <w:pPr>
              <w:jc w:val="center"/>
              <w:rPr>
                <w:sz w:val="18"/>
                <w:szCs w:val="18"/>
              </w:rPr>
            </w:pPr>
            <w:r w:rsidRPr="006F4C94">
              <w:rPr>
                <w:sz w:val="18"/>
                <w:szCs w:val="18"/>
              </w:rPr>
              <w:t>5</w:t>
            </w:r>
            <w:r>
              <w:rPr>
                <w:sz w:val="18"/>
                <w:szCs w:val="18"/>
              </w:rPr>
              <w:t>.</w:t>
            </w:r>
            <w:r w:rsidRPr="006F4C94">
              <w:rPr>
                <w:sz w:val="18"/>
                <w:szCs w:val="18"/>
              </w:rPr>
              <w:t>98±0</w:t>
            </w:r>
            <w:r>
              <w:rPr>
                <w:sz w:val="18"/>
                <w:szCs w:val="18"/>
              </w:rPr>
              <w:t>.</w:t>
            </w:r>
            <w:r w:rsidRPr="006F4C94">
              <w:rPr>
                <w:sz w:val="18"/>
                <w:szCs w:val="18"/>
              </w:rPr>
              <w:t>07</w:t>
            </w:r>
          </w:p>
        </w:tc>
        <w:tc>
          <w:tcPr>
            <w:tcW w:w="1185" w:type="dxa"/>
            <w:noWrap/>
            <w:hideMark/>
          </w:tcPr>
          <w:p w14:paraId="4AAE2B9F" w14:textId="77777777" w:rsidR="00AE017A" w:rsidRPr="006F4C94" w:rsidRDefault="00AE017A" w:rsidP="00AE017A">
            <w:pPr>
              <w:jc w:val="center"/>
              <w:rPr>
                <w:sz w:val="18"/>
                <w:szCs w:val="18"/>
              </w:rPr>
            </w:pPr>
            <w:r w:rsidRPr="006F4C94">
              <w:rPr>
                <w:sz w:val="18"/>
                <w:szCs w:val="18"/>
              </w:rPr>
              <w:t>5</w:t>
            </w:r>
            <w:r>
              <w:rPr>
                <w:sz w:val="18"/>
                <w:szCs w:val="18"/>
              </w:rPr>
              <w:t>.</w:t>
            </w:r>
            <w:r w:rsidRPr="006F4C94">
              <w:rPr>
                <w:sz w:val="18"/>
                <w:szCs w:val="18"/>
              </w:rPr>
              <w:t>78±0</w:t>
            </w:r>
            <w:r>
              <w:rPr>
                <w:sz w:val="18"/>
                <w:szCs w:val="18"/>
              </w:rPr>
              <w:t>.</w:t>
            </w:r>
            <w:r w:rsidRPr="006F4C94">
              <w:rPr>
                <w:sz w:val="18"/>
                <w:szCs w:val="18"/>
              </w:rPr>
              <w:t>11</w:t>
            </w:r>
          </w:p>
        </w:tc>
        <w:tc>
          <w:tcPr>
            <w:tcW w:w="1185" w:type="dxa"/>
            <w:noWrap/>
            <w:hideMark/>
          </w:tcPr>
          <w:p w14:paraId="16CC622F" w14:textId="77777777" w:rsidR="00AE017A" w:rsidRPr="006F4C94" w:rsidRDefault="00AE017A" w:rsidP="00AE017A">
            <w:pPr>
              <w:jc w:val="center"/>
              <w:rPr>
                <w:sz w:val="18"/>
                <w:szCs w:val="18"/>
              </w:rPr>
            </w:pPr>
            <w:r w:rsidRPr="006F4C94">
              <w:rPr>
                <w:sz w:val="18"/>
                <w:szCs w:val="18"/>
              </w:rPr>
              <w:t>5</w:t>
            </w:r>
            <w:r>
              <w:rPr>
                <w:sz w:val="18"/>
                <w:szCs w:val="18"/>
              </w:rPr>
              <w:t>.</w:t>
            </w:r>
            <w:r w:rsidRPr="006F4C94">
              <w:rPr>
                <w:sz w:val="18"/>
                <w:szCs w:val="18"/>
              </w:rPr>
              <w:t>38 ±0</w:t>
            </w:r>
            <w:r>
              <w:rPr>
                <w:sz w:val="18"/>
                <w:szCs w:val="18"/>
              </w:rPr>
              <w:t>.</w:t>
            </w:r>
            <w:r w:rsidRPr="006F4C94">
              <w:rPr>
                <w:sz w:val="18"/>
                <w:szCs w:val="18"/>
              </w:rPr>
              <w:t>10</w:t>
            </w:r>
          </w:p>
        </w:tc>
        <w:tc>
          <w:tcPr>
            <w:tcW w:w="1252" w:type="dxa"/>
            <w:noWrap/>
            <w:hideMark/>
          </w:tcPr>
          <w:p w14:paraId="39DF5C5F" w14:textId="77777777" w:rsidR="00AE017A" w:rsidRPr="006F4C94" w:rsidRDefault="00AE017A" w:rsidP="00AE017A">
            <w:pPr>
              <w:jc w:val="center"/>
              <w:rPr>
                <w:sz w:val="18"/>
                <w:szCs w:val="18"/>
              </w:rPr>
            </w:pPr>
            <w:r w:rsidRPr="006F4C94">
              <w:rPr>
                <w:sz w:val="18"/>
                <w:szCs w:val="18"/>
              </w:rPr>
              <w:t>5</w:t>
            </w:r>
            <w:r>
              <w:rPr>
                <w:sz w:val="18"/>
                <w:szCs w:val="18"/>
              </w:rPr>
              <w:t>.</w:t>
            </w:r>
            <w:r w:rsidRPr="006F4C94">
              <w:rPr>
                <w:sz w:val="18"/>
                <w:szCs w:val="18"/>
              </w:rPr>
              <w:t>78±0</w:t>
            </w:r>
            <w:r>
              <w:rPr>
                <w:sz w:val="18"/>
                <w:szCs w:val="18"/>
              </w:rPr>
              <w:t>.</w:t>
            </w:r>
            <w:r w:rsidRPr="006F4C94">
              <w:rPr>
                <w:sz w:val="18"/>
                <w:szCs w:val="18"/>
              </w:rPr>
              <w:t>23</w:t>
            </w:r>
          </w:p>
        </w:tc>
      </w:tr>
      <w:tr w:rsidR="00AE017A" w:rsidRPr="006F4C94" w14:paraId="03600C2A" w14:textId="77777777" w:rsidTr="00AE017A">
        <w:trPr>
          <w:trHeight w:val="257"/>
        </w:trPr>
        <w:tc>
          <w:tcPr>
            <w:tcW w:w="2835" w:type="dxa"/>
            <w:noWrap/>
            <w:hideMark/>
          </w:tcPr>
          <w:p w14:paraId="74CB4500" w14:textId="77777777" w:rsidR="00AE017A" w:rsidRPr="006F4C94" w:rsidRDefault="00AE017A" w:rsidP="00AE017A">
            <w:pPr>
              <w:rPr>
                <w:sz w:val="18"/>
                <w:szCs w:val="18"/>
              </w:rPr>
            </w:pPr>
            <w:proofErr w:type="spellStart"/>
            <w:r w:rsidRPr="006F4C94">
              <w:rPr>
                <w:sz w:val="18"/>
                <w:szCs w:val="18"/>
              </w:rPr>
              <w:t>Saccarification</w:t>
            </w:r>
            <w:proofErr w:type="spellEnd"/>
            <w:r w:rsidRPr="006F4C94">
              <w:rPr>
                <w:sz w:val="18"/>
                <w:szCs w:val="18"/>
              </w:rPr>
              <w:t xml:space="preserve"> time (min)</w:t>
            </w:r>
          </w:p>
        </w:tc>
        <w:tc>
          <w:tcPr>
            <w:tcW w:w="1276" w:type="dxa"/>
            <w:noWrap/>
            <w:hideMark/>
          </w:tcPr>
          <w:p w14:paraId="352318B2" w14:textId="77777777" w:rsidR="00AE017A" w:rsidRPr="006F4C94" w:rsidRDefault="00AE017A" w:rsidP="00AE017A">
            <w:pPr>
              <w:jc w:val="center"/>
              <w:rPr>
                <w:sz w:val="18"/>
                <w:szCs w:val="18"/>
              </w:rPr>
            </w:pPr>
            <w:r w:rsidRPr="006F4C94">
              <w:rPr>
                <w:sz w:val="18"/>
                <w:szCs w:val="18"/>
              </w:rPr>
              <w:t>&lt;10</w:t>
            </w:r>
          </w:p>
        </w:tc>
        <w:tc>
          <w:tcPr>
            <w:tcW w:w="1338" w:type="dxa"/>
            <w:noWrap/>
            <w:hideMark/>
          </w:tcPr>
          <w:p w14:paraId="1E773CB5" w14:textId="77777777" w:rsidR="00AE017A" w:rsidRPr="006F4C94" w:rsidRDefault="00AE017A" w:rsidP="00AE017A">
            <w:pPr>
              <w:jc w:val="center"/>
              <w:rPr>
                <w:sz w:val="18"/>
                <w:szCs w:val="18"/>
              </w:rPr>
            </w:pPr>
            <w:r w:rsidRPr="006F4C94">
              <w:rPr>
                <w:sz w:val="18"/>
                <w:szCs w:val="18"/>
              </w:rPr>
              <w:t xml:space="preserve">&lt; 10 </w:t>
            </w:r>
          </w:p>
        </w:tc>
        <w:tc>
          <w:tcPr>
            <w:tcW w:w="1185" w:type="dxa"/>
            <w:noWrap/>
            <w:hideMark/>
          </w:tcPr>
          <w:p w14:paraId="5F60AFA3" w14:textId="77777777" w:rsidR="00AE017A" w:rsidRPr="006F4C94" w:rsidRDefault="00AE017A" w:rsidP="00AE017A">
            <w:pPr>
              <w:jc w:val="center"/>
              <w:rPr>
                <w:sz w:val="18"/>
                <w:szCs w:val="18"/>
              </w:rPr>
            </w:pPr>
            <w:r w:rsidRPr="006F4C94">
              <w:rPr>
                <w:sz w:val="18"/>
                <w:szCs w:val="18"/>
              </w:rPr>
              <w:t>&lt; 10</w:t>
            </w:r>
          </w:p>
        </w:tc>
        <w:tc>
          <w:tcPr>
            <w:tcW w:w="1185" w:type="dxa"/>
            <w:noWrap/>
            <w:hideMark/>
          </w:tcPr>
          <w:p w14:paraId="1B3EEFC9" w14:textId="77777777" w:rsidR="00AE017A" w:rsidRPr="006F4C94" w:rsidRDefault="00AE017A" w:rsidP="00AE017A">
            <w:pPr>
              <w:jc w:val="center"/>
              <w:rPr>
                <w:sz w:val="18"/>
                <w:szCs w:val="18"/>
              </w:rPr>
            </w:pPr>
            <w:r w:rsidRPr="006F4C94">
              <w:rPr>
                <w:sz w:val="18"/>
                <w:szCs w:val="18"/>
              </w:rPr>
              <w:t xml:space="preserve">&lt; 10 </w:t>
            </w:r>
          </w:p>
        </w:tc>
        <w:tc>
          <w:tcPr>
            <w:tcW w:w="1252" w:type="dxa"/>
            <w:noWrap/>
            <w:hideMark/>
          </w:tcPr>
          <w:p w14:paraId="5881B741" w14:textId="77777777" w:rsidR="00AE017A" w:rsidRPr="006F4C94" w:rsidRDefault="00AE017A" w:rsidP="00AE017A">
            <w:pPr>
              <w:jc w:val="center"/>
              <w:rPr>
                <w:sz w:val="18"/>
                <w:szCs w:val="18"/>
              </w:rPr>
            </w:pPr>
            <w:r w:rsidRPr="006F4C94">
              <w:rPr>
                <w:sz w:val="18"/>
                <w:szCs w:val="18"/>
              </w:rPr>
              <w:t xml:space="preserve">&lt; 10 </w:t>
            </w:r>
          </w:p>
        </w:tc>
      </w:tr>
      <w:tr w:rsidR="00AE017A" w:rsidRPr="006F4C94" w14:paraId="735EBF61" w14:textId="77777777" w:rsidTr="00AE017A">
        <w:trPr>
          <w:trHeight w:val="257"/>
        </w:trPr>
        <w:tc>
          <w:tcPr>
            <w:tcW w:w="2835" w:type="dxa"/>
            <w:noWrap/>
            <w:hideMark/>
          </w:tcPr>
          <w:p w14:paraId="16BF48AE" w14:textId="77777777" w:rsidR="00AE017A" w:rsidRPr="006F4C94" w:rsidRDefault="00AE017A" w:rsidP="00AE017A">
            <w:pPr>
              <w:rPr>
                <w:sz w:val="18"/>
                <w:szCs w:val="18"/>
              </w:rPr>
            </w:pPr>
            <w:r w:rsidRPr="006F4C94">
              <w:rPr>
                <w:sz w:val="18"/>
                <w:szCs w:val="18"/>
              </w:rPr>
              <w:t xml:space="preserve">Colour (EBC </w:t>
            </w:r>
            <w:proofErr w:type="spellStart"/>
            <w:r w:rsidRPr="006F4C94">
              <w:rPr>
                <w:sz w:val="18"/>
                <w:szCs w:val="18"/>
              </w:rPr>
              <w:t>unit</w:t>
            </w:r>
            <w:proofErr w:type="spellEnd"/>
            <w:r w:rsidRPr="006F4C94">
              <w:rPr>
                <w:sz w:val="18"/>
                <w:szCs w:val="18"/>
              </w:rPr>
              <w:t xml:space="preserve">) </w:t>
            </w:r>
          </w:p>
        </w:tc>
        <w:tc>
          <w:tcPr>
            <w:tcW w:w="1276" w:type="dxa"/>
            <w:noWrap/>
            <w:hideMark/>
          </w:tcPr>
          <w:p w14:paraId="4353EF23" w14:textId="77777777" w:rsidR="00AE017A" w:rsidRPr="006F4C94" w:rsidRDefault="00AE017A" w:rsidP="00AE017A">
            <w:pPr>
              <w:jc w:val="center"/>
              <w:rPr>
                <w:sz w:val="18"/>
                <w:szCs w:val="18"/>
              </w:rPr>
            </w:pPr>
            <w:r w:rsidRPr="006F4C94">
              <w:rPr>
                <w:sz w:val="18"/>
                <w:szCs w:val="18"/>
              </w:rPr>
              <w:t>4.87±0.11</w:t>
            </w:r>
          </w:p>
        </w:tc>
        <w:tc>
          <w:tcPr>
            <w:tcW w:w="1338" w:type="dxa"/>
            <w:noWrap/>
            <w:hideMark/>
          </w:tcPr>
          <w:p w14:paraId="0609E6D6" w14:textId="77777777" w:rsidR="00AE017A" w:rsidRPr="006F4C94" w:rsidRDefault="00AE017A" w:rsidP="00AE017A">
            <w:pPr>
              <w:jc w:val="center"/>
              <w:rPr>
                <w:sz w:val="18"/>
                <w:szCs w:val="18"/>
              </w:rPr>
            </w:pPr>
            <w:r w:rsidRPr="006F4C94">
              <w:rPr>
                <w:sz w:val="18"/>
                <w:szCs w:val="18"/>
              </w:rPr>
              <w:t>3</w:t>
            </w:r>
            <w:r>
              <w:rPr>
                <w:sz w:val="18"/>
                <w:szCs w:val="18"/>
              </w:rPr>
              <w:t>.</w:t>
            </w:r>
            <w:r w:rsidRPr="006F4C94">
              <w:rPr>
                <w:sz w:val="18"/>
                <w:szCs w:val="18"/>
              </w:rPr>
              <w:t>7</w:t>
            </w:r>
            <w:r>
              <w:rPr>
                <w:sz w:val="18"/>
                <w:szCs w:val="18"/>
              </w:rPr>
              <w:t>0</w:t>
            </w:r>
            <w:r w:rsidRPr="006F4C94">
              <w:rPr>
                <w:sz w:val="18"/>
                <w:szCs w:val="18"/>
              </w:rPr>
              <w:t>±0.18</w:t>
            </w:r>
          </w:p>
        </w:tc>
        <w:tc>
          <w:tcPr>
            <w:tcW w:w="1185" w:type="dxa"/>
            <w:noWrap/>
            <w:hideMark/>
          </w:tcPr>
          <w:p w14:paraId="44E96068" w14:textId="77777777" w:rsidR="00AE017A" w:rsidRPr="006F4C94" w:rsidRDefault="00AE017A" w:rsidP="00AE017A">
            <w:pPr>
              <w:jc w:val="center"/>
              <w:rPr>
                <w:sz w:val="18"/>
                <w:szCs w:val="18"/>
              </w:rPr>
            </w:pPr>
            <w:r w:rsidRPr="006F4C94">
              <w:rPr>
                <w:sz w:val="18"/>
                <w:szCs w:val="18"/>
              </w:rPr>
              <w:t>3</w:t>
            </w:r>
            <w:r>
              <w:rPr>
                <w:sz w:val="18"/>
                <w:szCs w:val="18"/>
              </w:rPr>
              <w:t>.</w:t>
            </w:r>
            <w:r w:rsidRPr="006F4C94">
              <w:rPr>
                <w:sz w:val="18"/>
                <w:szCs w:val="18"/>
              </w:rPr>
              <w:t>78±0.26</w:t>
            </w:r>
          </w:p>
        </w:tc>
        <w:tc>
          <w:tcPr>
            <w:tcW w:w="1185" w:type="dxa"/>
            <w:noWrap/>
            <w:hideMark/>
          </w:tcPr>
          <w:p w14:paraId="48244641" w14:textId="77777777" w:rsidR="00AE017A" w:rsidRPr="006F4C94" w:rsidRDefault="00AE017A" w:rsidP="00AE017A">
            <w:pPr>
              <w:jc w:val="center"/>
              <w:rPr>
                <w:sz w:val="18"/>
                <w:szCs w:val="18"/>
              </w:rPr>
            </w:pPr>
            <w:r w:rsidRPr="006F4C94">
              <w:rPr>
                <w:sz w:val="18"/>
                <w:szCs w:val="18"/>
              </w:rPr>
              <w:t>3</w:t>
            </w:r>
            <w:r>
              <w:rPr>
                <w:sz w:val="18"/>
                <w:szCs w:val="18"/>
              </w:rPr>
              <w:t>.</w:t>
            </w:r>
            <w:r w:rsidRPr="006F4C94">
              <w:rPr>
                <w:sz w:val="18"/>
                <w:szCs w:val="18"/>
              </w:rPr>
              <w:t>27±0.08</w:t>
            </w:r>
          </w:p>
        </w:tc>
        <w:tc>
          <w:tcPr>
            <w:tcW w:w="1252" w:type="dxa"/>
            <w:noWrap/>
            <w:hideMark/>
          </w:tcPr>
          <w:p w14:paraId="32A8089A" w14:textId="77777777" w:rsidR="00AE017A" w:rsidRPr="006F4C94" w:rsidRDefault="00AE017A" w:rsidP="00AE017A">
            <w:pPr>
              <w:jc w:val="center"/>
              <w:rPr>
                <w:sz w:val="18"/>
                <w:szCs w:val="18"/>
              </w:rPr>
            </w:pPr>
            <w:r w:rsidRPr="006F4C94">
              <w:rPr>
                <w:sz w:val="18"/>
                <w:szCs w:val="18"/>
              </w:rPr>
              <w:t>5</w:t>
            </w:r>
            <w:r>
              <w:rPr>
                <w:sz w:val="18"/>
                <w:szCs w:val="18"/>
              </w:rPr>
              <w:t>.</w:t>
            </w:r>
            <w:r w:rsidRPr="006F4C94">
              <w:rPr>
                <w:sz w:val="18"/>
                <w:szCs w:val="18"/>
              </w:rPr>
              <w:t>69±0.10</w:t>
            </w:r>
          </w:p>
        </w:tc>
      </w:tr>
      <w:tr w:rsidR="00AE017A" w:rsidRPr="006F4C94" w14:paraId="358E72AF" w14:textId="77777777" w:rsidTr="00AE017A">
        <w:trPr>
          <w:trHeight w:val="257"/>
        </w:trPr>
        <w:tc>
          <w:tcPr>
            <w:tcW w:w="2835" w:type="dxa"/>
            <w:noWrap/>
            <w:hideMark/>
          </w:tcPr>
          <w:p w14:paraId="14E0D85D" w14:textId="77777777" w:rsidR="00AE017A" w:rsidRPr="006F4C94" w:rsidRDefault="00AE017A" w:rsidP="00AE017A">
            <w:pPr>
              <w:rPr>
                <w:sz w:val="18"/>
                <w:szCs w:val="18"/>
              </w:rPr>
            </w:pPr>
            <w:proofErr w:type="spellStart"/>
            <w:r w:rsidRPr="006F4C94">
              <w:rPr>
                <w:sz w:val="18"/>
                <w:szCs w:val="18"/>
              </w:rPr>
              <w:t>Fermentability</w:t>
            </w:r>
            <w:proofErr w:type="spellEnd"/>
            <w:r w:rsidRPr="006F4C94">
              <w:rPr>
                <w:sz w:val="18"/>
                <w:szCs w:val="18"/>
              </w:rPr>
              <w:t xml:space="preserve"> (%)</w:t>
            </w:r>
          </w:p>
        </w:tc>
        <w:tc>
          <w:tcPr>
            <w:tcW w:w="1276" w:type="dxa"/>
            <w:noWrap/>
            <w:hideMark/>
          </w:tcPr>
          <w:p w14:paraId="10D91F76" w14:textId="77777777" w:rsidR="00AE017A" w:rsidRPr="006F4C94" w:rsidRDefault="00AE017A" w:rsidP="00AE017A">
            <w:pPr>
              <w:jc w:val="center"/>
              <w:rPr>
                <w:sz w:val="18"/>
                <w:szCs w:val="18"/>
              </w:rPr>
            </w:pPr>
            <w:r w:rsidRPr="006F4C94">
              <w:rPr>
                <w:sz w:val="18"/>
                <w:szCs w:val="18"/>
              </w:rPr>
              <w:t>81</w:t>
            </w:r>
            <w:r>
              <w:rPr>
                <w:sz w:val="18"/>
                <w:szCs w:val="18"/>
              </w:rPr>
              <w:t>.</w:t>
            </w:r>
            <w:r w:rsidRPr="006F4C94">
              <w:rPr>
                <w:sz w:val="18"/>
                <w:szCs w:val="18"/>
              </w:rPr>
              <w:t>9</w:t>
            </w:r>
            <w:r>
              <w:rPr>
                <w:sz w:val="18"/>
                <w:szCs w:val="18"/>
              </w:rPr>
              <w:t>0</w:t>
            </w:r>
            <w:r w:rsidRPr="006F4C94">
              <w:rPr>
                <w:sz w:val="18"/>
                <w:szCs w:val="18"/>
              </w:rPr>
              <w:t>±0</w:t>
            </w:r>
            <w:r>
              <w:rPr>
                <w:sz w:val="18"/>
                <w:szCs w:val="18"/>
              </w:rPr>
              <w:t>.</w:t>
            </w:r>
            <w:r w:rsidRPr="006F4C94">
              <w:rPr>
                <w:sz w:val="18"/>
                <w:szCs w:val="18"/>
              </w:rPr>
              <w:t>15</w:t>
            </w:r>
          </w:p>
        </w:tc>
        <w:tc>
          <w:tcPr>
            <w:tcW w:w="1338" w:type="dxa"/>
            <w:noWrap/>
            <w:hideMark/>
          </w:tcPr>
          <w:p w14:paraId="7498A3C4" w14:textId="77777777" w:rsidR="00AE017A" w:rsidRPr="006F4C94" w:rsidRDefault="00AE017A" w:rsidP="00AE017A">
            <w:pPr>
              <w:jc w:val="center"/>
              <w:rPr>
                <w:sz w:val="18"/>
                <w:szCs w:val="18"/>
              </w:rPr>
            </w:pPr>
            <w:r w:rsidRPr="006F4C94">
              <w:rPr>
                <w:sz w:val="18"/>
                <w:szCs w:val="18"/>
              </w:rPr>
              <w:t>80</w:t>
            </w:r>
            <w:r>
              <w:rPr>
                <w:sz w:val="18"/>
                <w:szCs w:val="18"/>
              </w:rPr>
              <w:t>.</w:t>
            </w:r>
            <w:r w:rsidRPr="006F4C94">
              <w:rPr>
                <w:sz w:val="18"/>
                <w:szCs w:val="18"/>
              </w:rPr>
              <w:t>7</w:t>
            </w:r>
            <w:r>
              <w:rPr>
                <w:sz w:val="18"/>
                <w:szCs w:val="18"/>
              </w:rPr>
              <w:t>0</w:t>
            </w:r>
            <w:r w:rsidRPr="006F4C94">
              <w:rPr>
                <w:sz w:val="18"/>
                <w:szCs w:val="18"/>
              </w:rPr>
              <w:t>±0</w:t>
            </w:r>
            <w:r>
              <w:rPr>
                <w:sz w:val="18"/>
                <w:szCs w:val="18"/>
              </w:rPr>
              <w:t>.</w:t>
            </w:r>
            <w:r w:rsidRPr="006F4C94">
              <w:rPr>
                <w:sz w:val="18"/>
                <w:szCs w:val="18"/>
              </w:rPr>
              <w:t>24</w:t>
            </w:r>
          </w:p>
        </w:tc>
        <w:tc>
          <w:tcPr>
            <w:tcW w:w="1185" w:type="dxa"/>
            <w:noWrap/>
            <w:hideMark/>
          </w:tcPr>
          <w:p w14:paraId="1ECF955C" w14:textId="77777777" w:rsidR="00AE017A" w:rsidRPr="006F4C94" w:rsidRDefault="00AE017A" w:rsidP="00AE017A">
            <w:pPr>
              <w:jc w:val="center"/>
              <w:rPr>
                <w:sz w:val="18"/>
                <w:szCs w:val="18"/>
              </w:rPr>
            </w:pPr>
            <w:r w:rsidRPr="006F4C94">
              <w:rPr>
                <w:sz w:val="18"/>
                <w:szCs w:val="18"/>
              </w:rPr>
              <w:t>80</w:t>
            </w:r>
            <w:r>
              <w:rPr>
                <w:sz w:val="18"/>
                <w:szCs w:val="18"/>
              </w:rPr>
              <w:t>.</w:t>
            </w:r>
            <w:r w:rsidRPr="006F4C94">
              <w:rPr>
                <w:sz w:val="18"/>
                <w:szCs w:val="18"/>
              </w:rPr>
              <w:t>3</w:t>
            </w:r>
            <w:r>
              <w:rPr>
                <w:sz w:val="18"/>
                <w:szCs w:val="18"/>
              </w:rPr>
              <w:t>0</w:t>
            </w:r>
            <w:r w:rsidRPr="006F4C94">
              <w:rPr>
                <w:sz w:val="18"/>
                <w:szCs w:val="18"/>
              </w:rPr>
              <w:t>±0</w:t>
            </w:r>
            <w:r>
              <w:rPr>
                <w:sz w:val="18"/>
                <w:szCs w:val="18"/>
              </w:rPr>
              <w:t>.</w:t>
            </w:r>
            <w:r w:rsidRPr="006F4C94">
              <w:rPr>
                <w:sz w:val="18"/>
                <w:szCs w:val="18"/>
              </w:rPr>
              <w:t>68</w:t>
            </w:r>
          </w:p>
        </w:tc>
        <w:tc>
          <w:tcPr>
            <w:tcW w:w="1185" w:type="dxa"/>
            <w:noWrap/>
            <w:hideMark/>
          </w:tcPr>
          <w:p w14:paraId="1CA1A757" w14:textId="77777777" w:rsidR="00AE017A" w:rsidRPr="006F4C94" w:rsidRDefault="00AE017A" w:rsidP="00AE017A">
            <w:pPr>
              <w:jc w:val="center"/>
              <w:rPr>
                <w:sz w:val="18"/>
                <w:szCs w:val="18"/>
              </w:rPr>
            </w:pPr>
            <w:r w:rsidRPr="006F4C94">
              <w:rPr>
                <w:sz w:val="18"/>
                <w:szCs w:val="18"/>
              </w:rPr>
              <w:t>81</w:t>
            </w:r>
            <w:r>
              <w:rPr>
                <w:sz w:val="18"/>
                <w:szCs w:val="18"/>
              </w:rPr>
              <w:t>.</w:t>
            </w:r>
            <w:r w:rsidRPr="006F4C94">
              <w:rPr>
                <w:sz w:val="18"/>
                <w:szCs w:val="18"/>
              </w:rPr>
              <w:t>7</w:t>
            </w:r>
            <w:r>
              <w:rPr>
                <w:sz w:val="18"/>
                <w:szCs w:val="18"/>
              </w:rPr>
              <w:t>0</w:t>
            </w:r>
            <w:r w:rsidRPr="006F4C94">
              <w:rPr>
                <w:sz w:val="18"/>
                <w:szCs w:val="18"/>
              </w:rPr>
              <w:t>±0</w:t>
            </w:r>
            <w:r>
              <w:rPr>
                <w:sz w:val="18"/>
                <w:szCs w:val="18"/>
              </w:rPr>
              <w:t>.</w:t>
            </w:r>
            <w:r w:rsidRPr="006F4C94">
              <w:rPr>
                <w:sz w:val="18"/>
                <w:szCs w:val="18"/>
              </w:rPr>
              <w:t>38</w:t>
            </w:r>
          </w:p>
        </w:tc>
        <w:tc>
          <w:tcPr>
            <w:tcW w:w="1252" w:type="dxa"/>
            <w:noWrap/>
            <w:hideMark/>
          </w:tcPr>
          <w:p w14:paraId="009D81F0" w14:textId="77777777" w:rsidR="00AE017A" w:rsidRPr="006F4C94" w:rsidRDefault="00AE017A" w:rsidP="00AE017A">
            <w:pPr>
              <w:jc w:val="center"/>
              <w:rPr>
                <w:sz w:val="18"/>
                <w:szCs w:val="18"/>
              </w:rPr>
            </w:pPr>
            <w:r w:rsidRPr="006F4C94">
              <w:rPr>
                <w:sz w:val="18"/>
                <w:szCs w:val="18"/>
              </w:rPr>
              <w:t>81</w:t>
            </w:r>
            <w:r>
              <w:rPr>
                <w:sz w:val="18"/>
                <w:szCs w:val="18"/>
              </w:rPr>
              <w:t>.</w:t>
            </w:r>
            <w:r w:rsidRPr="006F4C94">
              <w:rPr>
                <w:sz w:val="18"/>
                <w:szCs w:val="18"/>
              </w:rPr>
              <w:t>2</w:t>
            </w:r>
            <w:r>
              <w:rPr>
                <w:sz w:val="18"/>
                <w:szCs w:val="18"/>
              </w:rPr>
              <w:t>0</w:t>
            </w:r>
            <w:r w:rsidRPr="006F4C94">
              <w:rPr>
                <w:sz w:val="18"/>
                <w:szCs w:val="18"/>
              </w:rPr>
              <w:t>±0</w:t>
            </w:r>
            <w:r>
              <w:rPr>
                <w:sz w:val="18"/>
                <w:szCs w:val="18"/>
              </w:rPr>
              <w:t>.</w:t>
            </w:r>
            <w:r w:rsidRPr="006F4C94">
              <w:rPr>
                <w:sz w:val="18"/>
                <w:szCs w:val="18"/>
              </w:rPr>
              <w:t>08</w:t>
            </w:r>
          </w:p>
        </w:tc>
      </w:tr>
      <w:tr w:rsidR="00AE017A" w:rsidRPr="006F4C94" w14:paraId="75779E91" w14:textId="77777777" w:rsidTr="00AE017A">
        <w:trPr>
          <w:trHeight w:val="257"/>
        </w:trPr>
        <w:tc>
          <w:tcPr>
            <w:tcW w:w="2835" w:type="dxa"/>
            <w:noWrap/>
            <w:hideMark/>
          </w:tcPr>
          <w:p w14:paraId="34D27AA5" w14:textId="77777777" w:rsidR="00AE017A" w:rsidRPr="006F4C94" w:rsidRDefault="00AE017A" w:rsidP="00AE017A">
            <w:pPr>
              <w:rPr>
                <w:sz w:val="18"/>
                <w:szCs w:val="18"/>
              </w:rPr>
            </w:pPr>
            <w:proofErr w:type="spellStart"/>
            <w:r w:rsidRPr="006F4C94">
              <w:rPr>
                <w:sz w:val="18"/>
                <w:szCs w:val="18"/>
              </w:rPr>
              <w:t>Proteins</w:t>
            </w:r>
            <w:proofErr w:type="spellEnd"/>
            <w:r w:rsidRPr="006F4C94">
              <w:rPr>
                <w:sz w:val="18"/>
                <w:szCs w:val="18"/>
              </w:rPr>
              <w:t xml:space="preserve"> (%</w:t>
            </w:r>
            <w:proofErr w:type="spellStart"/>
            <w:r w:rsidRPr="006F4C94">
              <w:rPr>
                <w:sz w:val="18"/>
                <w:szCs w:val="18"/>
              </w:rPr>
              <w:t>db</w:t>
            </w:r>
            <w:proofErr w:type="spellEnd"/>
            <w:r w:rsidRPr="006F4C94">
              <w:rPr>
                <w:sz w:val="18"/>
                <w:szCs w:val="18"/>
              </w:rPr>
              <w:t xml:space="preserve">) </w:t>
            </w:r>
          </w:p>
        </w:tc>
        <w:tc>
          <w:tcPr>
            <w:tcW w:w="1276" w:type="dxa"/>
            <w:noWrap/>
            <w:hideMark/>
          </w:tcPr>
          <w:p w14:paraId="09B7CD6F" w14:textId="77777777" w:rsidR="00AE017A" w:rsidRPr="006F4C94" w:rsidRDefault="00AE017A" w:rsidP="00AE017A">
            <w:pPr>
              <w:jc w:val="center"/>
              <w:rPr>
                <w:sz w:val="18"/>
                <w:szCs w:val="18"/>
              </w:rPr>
            </w:pPr>
            <w:r w:rsidRPr="006F4C94">
              <w:rPr>
                <w:sz w:val="18"/>
                <w:szCs w:val="18"/>
              </w:rPr>
              <w:t>12.34±0.44</w:t>
            </w:r>
          </w:p>
        </w:tc>
        <w:tc>
          <w:tcPr>
            <w:tcW w:w="1338" w:type="dxa"/>
            <w:noWrap/>
            <w:hideMark/>
          </w:tcPr>
          <w:p w14:paraId="6B50C55B" w14:textId="77777777" w:rsidR="00AE017A" w:rsidRPr="006F4C94" w:rsidRDefault="00AE017A" w:rsidP="00AE017A">
            <w:pPr>
              <w:jc w:val="center"/>
              <w:rPr>
                <w:sz w:val="18"/>
                <w:szCs w:val="18"/>
              </w:rPr>
            </w:pPr>
            <w:r w:rsidRPr="006F4C94">
              <w:rPr>
                <w:sz w:val="18"/>
                <w:szCs w:val="18"/>
              </w:rPr>
              <w:t>9</w:t>
            </w:r>
            <w:r>
              <w:rPr>
                <w:sz w:val="18"/>
                <w:szCs w:val="18"/>
              </w:rPr>
              <w:t>.</w:t>
            </w:r>
            <w:r w:rsidRPr="006F4C94">
              <w:rPr>
                <w:sz w:val="18"/>
                <w:szCs w:val="18"/>
              </w:rPr>
              <w:t>1</w:t>
            </w:r>
            <w:r>
              <w:rPr>
                <w:sz w:val="18"/>
                <w:szCs w:val="18"/>
              </w:rPr>
              <w:t>0</w:t>
            </w:r>
            <w:r w:rsidRPr="006F4C94">
              <w:rPr>
                <w:sz w:val="18"/>
                <w:szCs w:val="18"/>
              </w:rPr>
              <w:t>±0</w:t>
            </w:r>
            <w:r>
              <w:rPr>
                <w:sz w:val="18"/>
                <w:szCs w:val="18"/>
              </w:rPr>
              <w:t>.</w:t>
            </w:r>
            <w:r w:rsidRPr="006F4C94">
              <w:rPr>
                <w:sz w:val="18"/>
                <w:szCs w:val="18"/>
              </w:rPr>
              <w:t>17</w:t>
            </w:r>
          </w:p>
        </w:tc>
        <w:tc>
          <w:tcPr>
            <w:tcW w:w="1185" w:type="dxa"/>
            <w:noWrap/>
            <w:hideMark/>
          </w:tcPr>
          <w:p w14:paraId="14B03071" w14:textId="77777777" w:rsidR="00AE017A" w:rsidRPr="006F4C94" w:rsidRDefault="00AE017A" w:rsidP="00AE017A">
            <w:pPr>
              <w:jc w:val="center"/>
              <w:rPr>
                <w:sz w:val="18"/>
                <w:szCs w:val="18"/>
              </w:rPr>
            </w:pPr>
            <w:r w:rsidRPr="006F4C94">
              <w:rPr>
                <w:sz w:val="18"/>
                <w:szCs w:val="18"/>
              </w:rPr>
              <w:t>9</w:t>
            </w:r>
            <w:r>
              <w:rPr>
                <w:sz w:val="18"/>
                <w:szCs w:val="18"/>
              </w:rPr>
              <w:t>.</w:t>
            </w:r>
            <w:r w:rsidRPr="006F4C94">
              <w:rPr>
                <w:sz w:val="18"/>
                <w:szCs w:val="18"/>
              </w:rPr>
              <w:t>2±0</w:t>
            </w:r>
            <w:r>
              <w:rPr>
                <w:sz w:val="18"/>
                <w:szCs w:val="18"/>
              </w:rPr>
              <w:t>.</w:t>
            </w:r>
            <w:r w:rsidRPr="006F4C94">
              <w:rPr>
                <w:sz w:val="18"/>
                <w:szCs w:val="18"/>
              </w:rPr>
              <w:t>18</w:t>
            </w:r>
          </w:p>
        </w:tc>
        <w:tc>
          <w:tcPr>
            <w:tcW w:w="1185" w:type="dxa"/>
            <w:noWrap/>
            <w:hideMark/>
          </w:tcPr>
          <w:p w14:paraId="463F269B" w14:textId="77777777" w:rsidR="00AE017A" w:rsidRPr="006F4C94" w:rsidRDefault="00AE017A" w:rsidP="00AE017A">
            <w:pPr>
              <w:jc w:val="center"/>
              <w:rPr>
                <w:sz w:val="18"/>
                <w:szCs w:val="18"/>
              </w:rPr>
            </w:pPr>
            <w:r w:rsidRPr="006F4C94">
              <w:rPr>
                <w:sz w:val="18"/>
                <w:szCs w:val="18"/>
              </w:rPr>
              <w:t>10</w:t>
            </w:r>
            <w:r>
              <w:rPr>
                <w:sz w:val="18"/>
                <w:szCs w:val="18"/>
              </w:rPr>
              <w:t>.</w:t>
            </w:r>
            <w:r w:rsidRPr="006F4C94">
              <w:rPr>
                <w:sz w:val="18"/>
                <w:szCs w:val="18"/>
              </w:rPr>
              <w:t>2±0</w:t>
            </w:r>
            <w:r>
              <w:rPr>
                <w:sz w:val="18"/>
                <w:szCs w:val="18"/>
              </w:rPr>
              <w:t>.</w:t>
            </w:r>
            <w:r w:rsidRPr="006F4C94">
              <w:rPr>
                <w:sz w:val="18"/>
                <w:szCs w:val="18"/>
              </w:rPr>
              <w:t>20</w:t>
            </w:r>
          </w:p>
        </w:tc>
        <w:tc>
          <w:tcPr>
            <w:tcW w:w="1252" w:type="dxa"/>
            <w:noWrap/>
            <w:hideMark/>
          </w:tcPr>
          <w:p w14:paraId="7FB8F40D" w14:textId="77777777" w:rsidR="00AE017A" w:rsidRPr="006F4C94" w:rsidRDefault="00AE017A" w:rsidP="00AE017A">
            <w:pPr>
              <w:jc w:val="center"/>
              <w:rPr>
                <w:sz w:val="18"/>
                <w:szCs w:val="18"/>
              </w:rPr>
            </w:pPr>
            <w:r w:rsidRPr="006F4C94">
              <w:rPr>
                <w:sz w:val="18"/>
                <w:szCs w:val="18"/>
              </w:rPr>
              <w:t>10</w:t>
            </w:r>
            <w:r>
              <w:rPr>
                <w:sz w:val="18"/>
                <w:szCs w:val="18"/>
              </w:rPr>
              <w:t>.</w:t>
            </w:r>
            <w:r w:rsidRPr="006F4C94">
              <w:rPr>
                <w:sz w:val="18"/>
                <w:szCs w:val="18"/>
              </w:rPr>
              <w:t>1</w:t>
            </w:r>
            <w:r>
              <w:rPr>
                <w:sz w:val="18"/>
                <w:szCs w:val="18"/>
              </w:rPr>
              <w:t>0</w:t>
            </w:r>
            <w:r w:rsidRPr="006F4C94">
              <w:rPr>
                <w:sz w:val="18"/>
                <w:szCs w:val="18"/>
              </w:rPr>
              <w:t>±0</w:t>
            </w:r>
            <w:r>
              <w:rPr>
                <w:sz w:val="18"/>
                <w:szCs w:val="18"/>
              </w:rPr>
              <w:t>.</w:t>
            </w:r>
            <w:r w:rsidRPr="006F4C94">
              <w:rPr>
                <w:sz w:val="18"/>
                <w:szCs w:val="18"/>
              </w:rPr>
              <w:t>19</w:t>
            </w:r>
          </w:p>
        </w:tc>
      </w:tr>
      <w:tr w:rsidR="00AE017A" w:rsidRPr="006F4C94" w14:paraId="7B8C9B10" w14:textId="77777777" w:rsidTr="00AE017A">
        <w:trPr>
          <w:trHeight w:val="257"/>
        </w:trPr>
        <w:tc>
          <w:tcPr>
            <w:tcW w:w="2835" w:type="dxa"/>
            <w:noWrap/>
            <w:hideMark/>
          </w:tcPr>
          <w:p w14:paraId="090B06A8" w14:textId="77777777" w:rsidR="00AE017A" w:rsidRPr="006F4C94" w:rsidRDefault="00AE017A" w:rsidP="00AE017A">
            <w:pPr>
              <w:rPr>
                <w:sz w:val="18"/>
                <w:szCs w:val="18"/>
              </w:rPr>
            </w:pPr>
            <w:proofErr w:type="spellStart"/>
            <w:r w:rsidRPr="006F4C94">
              <w:rPr>
                <w:sz w:val="18"/>
                <w:szCs w:val="18"/>
              </w:rPr>
              <w:t>Sol.Proteins</w:t>
            </w:r>
            <w:proofErr w:type="spellEnd"/>
            <w:r w:rsidRPr="006F4C94">
              <w:rPr>
                <w:sz w:val="18"/>
                <w:szCs w:val="18"/>
              </w:rPr>
              <w:t xml:space="preserve"> (%</w:t>
            </w:r>
            <w:proofErr w:type="spellStart"/>
            <w:r w:rsidRPr="006F4C94">
              <w:rPr>
                <w:sz w:val="18"/>
                <w:szCs w:val="18"/>
              </w:rPr>
              <w:t>db</w:t>
            </w:r>
            <w:proofErr w:type="spellEnd"/>
            <w:r w:rsidRPr="006F4C94">
              <w:rPr>
                <w:sz w:val="18"/>
                <w:szCs w:val="18"/>
              </w:rPr>
              <w:t xml:space="preserve">) </w:t>
            </w:r>
          </w:p>
        </w:tc>
        <w:tc>
          <w:tcPr>
            <w:tcW w:w="1276" w:type="dxa"/>
            <w:noWrap/>
            <w:hideMark/>
          </w:tcPr>
          <w:p w14:paraId="070B16C1" w14:textId="77777777" w:rsidR="00AE017A" w:rsidRPr="006F4C94" w:rsidRDefault="00AE017A" w:rsidP="00AE017A">
            <w:pPr>
              <w:jc w:val="center"/>
              <w:rPr>
                <w:sz w:val="18"/>
                <w:szCs w:val="18"/>
              </w:rPr>
            </w:pPr>
            <w:r w:rsidRPr="006F4C94">
              <w:rPr>
                <w:sz w:val="18"/>
                <w:szCs w:val="18"/>
              </w:rPr>
              <w:t>4.71±0.14</w:t>
            </w:r>
          </w:p>
        </w:tc>
        <w:tc>
          <w:tcPr>
            <w:tcW w:w="1338" w:type="dxa"/>
            <w:noWrap/>
            <w:hideMark/>
          </w:tcPr>
          <w:p w14:paraId="4F7494AC" w14:textId="77777777" w:rsidR="00AE017A" w:rsidRPr="006F4C94" w:rsidRDefault="00AE017A" w:rsidP="00AE017A">
            <w:pPr>
              <w:jc w:val="center"/>
              <w:rPr>
                <w:sz w:val="18"/>
                <w:szCs w:val="18"/>
              </w:rPr>
            </w:pPr>
            <w:r w:rsidRPr="006F4C94">
              <w:rPr>
                <w:sz w:val="18"/>
                <w:szCs w:val="18"/>
              </w:rPr>
              <w:t>3</w:t>
            </w:r>
            <w:r>
              <w:rPr>
                <w:sz w:val="18"/>
                <w:szCs w:val="18"/>
              </w:rPr>
              <w:t>.</w:t>
            </w:r>
            <w:r w:rsidRPr="006F4C94">
              <w:rPr>
                <w:sz w:val="18"/>
                <w:szCs w:val="18"/>
              </w:rPr>
              <w:t>51±0</w:t>
            </w:r>
            <w:r>
              <w:rPr>
                <w:sz w:val="18"/>
                <w:szCs w:val="18"/>
              </w:rPr>
              <w:t>.</w:t>
            </w:r>
            <w:r w:rsidRPr="006F4C94">
              <w:rPr>
                <w:sz w:val="18"/>
                <w:szCs w:val="18"/>
              </w:rPr>
              <w:t>07</w:t>
            </w:r>
          </w:p>
        </w:tc>
        <w:tc>
          <w:tcPr>
            <w:tcW w:w="1185" w:type="dxa"/>
            <w:noWrap/>
            <w:hideMark/>
          </w:tcPr>
          <w:p w14:paraId="46786AEB" w14:textId="77777777" w:rsidR="00AE017A" w:rsidRPr="006F4C94" w:rsidRDefault="00AE017A" w:rsidP="00AE017A">
            <w:pPr>
              <w:jc w:val="center"/>
              <w:rPr>
                <w:sz w:val="18"/>
                <w:szCs w:val="18"/>
              </w:rPr>
            </w:pPr>
            <w:r w:rsidRPr="006F4C94">
              <w:rPr>
                <w:sz w:val="18"/>
                <w:szCs w:val="18"/>
              </w:rPr>
              <w:t>3</w:t>
            </w:r>
            <w:r>
              <w:rPr>
                <w:sz w:val="18"/>
                <w:szCs w:val="18"/>
              </w:rPr>
              <w:t>.</w:t>
            </w:r>
            <w:r w:rsidRPr="006F4C94">
              <w:rPr>
                <w:sz w:val="18"/>
                <w:szCs w:val="18"/>
              </w:rPr>
              <w:t>46±0</w:t>
            </w:r>
            <w:r>
              <w:rPr>
                <w:sz w:val="18"/>
                <w:szCs w:val="18"/>
              </w:rPr>
              <w:t>.</w:t>
            </w:r>
            <w:r w:rsidRPr="006F4C94">
              <w:rPr>
                <w:sz w:val="18"/>
                <w:szCs w:val="18"/>
              </w:rPr>
              <w:t>07</w:t>
            </w:r>
          </w:p>
        </w:tc>
        <w:tc>
          <w:tcPr>
            <w:tcW w:w="1185" w:type="dxa"/>
            <w:noWrap/>
            <w:hideMark/>
          </w:tcPr>
          <w:p w14:paraId="14AA8A72" w14:textId="77777777" w:rsidR="00AE017A" w:rsidRPr="006F4C94" w:rsidRDefault="00AE017A" w:rsidP="00AE017A">
            <w:pPr>
              <w:jc w:val="center"/>
              <w:rPr>
                <w:sz w:val="18"/>
                <w:szCs w:val="18"/>
              </w:rPr>
            </w:pPr>
            <w:r w:rsidRPr="006F4C94">
              <w:rPr>
                <w:sz w:val="18"/>
                <w:szCs w:val="18"/>
              </w:rPr>
              <w:t>3</w:t>
            </w:r>
            <w:r>
              <w:rPr>
                <w:sz w:val="18"/>
                <w:szCs w:val="18"/>
              </w:rPr>
              <w:t>.</w:t>
            </w:r>
            <w:r w:rsidRPr="006F4C94">
              <w:rPr>
                <w:sz w:val="18"/>
                <w:szCs w:val="18"/>
              </w:rPr>
              <w:t>52±0</w:t>
            </w:r>
            <w:r>
              <w:rPr>
                <w:sz w:val="18"/>
                <w:szCs w:val="18"/>
              </w:rPr>
              <w:t>.</w:t>
            </w:r>
            <w:r w:rsidRPr="006F4C94">
              <w:rPr>
                <w:sz w:val="18"/>
                <w:szCs w:val="18"/>
              </w:rPr>
              <w:t>07</w:t>
            </w:r>
          </w:p>
        </w:tc>
        <w:tc>
          <w:tcPr>
            <w:tcW w:w="1252" w:type="dxa"/>
            <w:noWrap/>
            <w:hideMark/>
          </w:tcPr>
          <w:p w14:paraId="6D8DFF6B" w14:textId="77777777" w:rsidR="00AE017A" w:rsidRPr="006F4C94" w:rsidRDefault="00AE017A" w:rsidP="00AE017A">
            <w:pPr>
              <w:jc w:val="center"/>
              <w:rPr>
                <w:sz w:val="18"/>
                <w:szCs w:val="18"/>
              </w:rPr>
            </w:pPr>
            <w:r w:rsidRPr="006F4C94">
              <w:rPr>
                <w:sz w:val="18"/>
                <w:szCs w:val="18"/>
              </w:rPr>
              <w:t>3</w:t>
            </w:r>
            <w:r>
              <w:rPr>
                <w:sz w:val="18"/>
                <w:szCs w:val="18"/>
              </w:rPr>
              <w:t>.</w:t>
            </w:r>
            <w:r w:rsidRPr="006F4C94">
              <w:rPr>
                <w:sz w:val="18"/>
                <w:szCs w:val="18"/>
              </w:rPr>
              <w:t>59±0</w:t>
            </w:r>
            <w:r>
              <w:rPr>
                <w:sz w:val="18"/>
                <w:szCs w:val="18"/>
              </w:rPr>
              <w:t>.</w:t>
            </w:r>
            <w:r w:rsidRPr="006F4C94">
              <w:rPr>
                <w:sz w:val="18"/>
                <w:szCs w:val="18"/>
              </w:rPr>
              <w:t>06</w:t>
            </w:r>
          </w:p>
        </w:tc>
      </w:tr>
      <w:tr w:rsidR="00AE017A" w:rsidRPr="006F4C94" w14:paraId="21DD5F17" w14:textId="77777777" w:rsidTr="00AE017A">
        <w:trPr>
          <w:trHeight w:val="257"/>
        </w:trPr>
        <w:tc>
          <w:tcPr>
            <w:tcW w:w="2835" w:type="dxa"/>
            <w:noWrap/>
            <w:hideMark/>
          </w:tcPr>
          <w:p w14:paraId="5C25A3EE" w14:textId="77777777" w:rsidR="00AE017A" w:rsidRPr="006F4C94" w:rsidRDefault="00AE017A" w:rsidP="00AE017A">
            <w:pPr>
              <w:rPr>
                <w:sz w:val="18"/>
                <w:szCs w:val="18"/>
              </w:rPr>
            </w:pPr>
            <w:proofErr w:type="spellStart"/>
            <w:r w:rsidRPr="006F4C94">
              <w:rPr>
                <w:sz w:val="18"/>
                <w:szCs w:val="18"/>
              </w:rPr>
              <w:t>Kolbach</w:t>
            </w:r>
            <w:proofErr w:type="spellEnd"/>
            <w:r w:rsidRPr="006F4C94">
              <w:rPr>
                <w:sz w:val="18"/>
                <w:szCs w:val="18"/>
              </w:rPr>
              <w:t xml:space="preserve"> Index (%)</w:t>
            </w:r>
          </w:p>
        </w:tc>
        <w:tc>
          <w:tcPr>
            <w:tcW w:w="1276" w:type="dxa"/>
            <w:noWrap/>
            <w:hideMark/>
          </w:tcPr>
          <w:p w14:paraId="2B0EC9B0" w14:textId="77777777" w:rsidR="00AE017A" w:rsidRPr="006F4C94" w:rsidRDefault="00AE017A" w:rsidP="00AE017A">
            <w:pPr>
              <w:jc w:val="center"/>
              <w:rPr>
                <w:sz w:val="18"/>
                <w:szCs w:val="18"/>
              </w:rPr>
            </w:pPr>
            <w:r w:rsidRPr="006F4C94">
              <w:rPr>
                <w:sz w:val="18"/>
                <w:szCs w:val="18"/>
              </w:rPr>
              <w:t>38.29±2.54</w:t>
            </w:r>
          </w:p>
        </w:tc>
        <w:tc>
          <w:tcPr>
            <w:tcW w:w="1338" w:type="dxa"/>
            <w:noWrap/>
            <w:hideMark/>
          </w:tcPr>
          <w:p w14:paraId="715C31D0" w14:textId="77777777" w:rsidR="00AE017A" w:rsidRPr="006F4C94" w:rsidRDefault="00AE017A" w:rsidP="00AE017A">
            <w:pPr>
              <w:jc w:val="center"/>
              <w:rPr>
                <w:sz w:val="18"/>
                <w:szCs w:val="18"/>
              </w:rPr>
            </w:pPr>
            <w:r w:rsidRPr="006F4C94">
              <w:rPr>
                <w:sz w:val="18"/>
                <w:szCs w:val="18"/>
              </w:rPr>
              <w:t>38</w:t>
            </w:r>
            <w:r>
              <w:rPr>
                <w:sz w:val="18"/>
                <w:szCs w:val="18"/>
              </w:rPr>
              <w:t>.</w:t>
            </w:r>
            <w:r w:rsidRPr="006F4C94">
              <w:rPr>
                <w:sz w:val="18"/>
                <w:szCs w:val="18"/>
              </w:rPr>
              <w:t>12±0</w:t>
            </w:r>
            <w:r>
              <w:rPr>
                <w:sz w:val="18"/>
                <w:szCs w:val="18"/>
              </w:rPr>
              <w:t>.</w:t>
            </w:r>
            <w:r w:rsidRPr="006F4C94">
              <w:rPr>
                <w:sz w:val="18"/>
                <w:szCs w:val="18"/>
              </w:rPr>
              <w:t>70</w:t>
            </w:r>
          </w:p>
        </w:tc>
        <w:tc>
          <w:tcPr>
            <w:tcW w:w="1185" w:type="dxa"/>
            <w:noWrap/>
            <w:hideMark/>
          </w:tcPr>
          <w:p w14:paraId="78EFE056" w14:textId="77777777" w:rsidR="00AE017A" w:rsidRPr="006F4C94" w:rsidRDefault="00AE017A" w:rsidP="00AE017A">
            <w:pPr>
              <w:jc w:val="center"/>
              <w:rPr>
                <w:sz w:val="18"/>
                <w:szCs w:val="18"/>
              </w:rPr>
            </w:pPr>
            <w:r w:rsidRPr="006F4C94">
              <w:rPr>
                <w:sz w:val="18"/>
                <w:szCs w:val="18"/>
              </w:rPr>
              <w:t>37</w:t>
            </w:r>
            <w:r>
              <w:rPr>
                <w:sz w:val="18"/>
                <w:szCs w:val="18"/>
              </w:rPr>
              <w:t>.</w:t>
            </w:r>
            <w:r w:rsidRPr="006F4C94">
              <w:rPr>
                <w:sz w:val="18"/>
                <w:szCs w:val="18"/>
              </w:rPr>
              <w:t>39±0</w:t>
            </w:r>
            <w:r>
              <w:rPr>
                <w:sz w:val="18"/>
                <w:szCs w:val="18"/>
              </w:rPr>
              <w:t>.</w:t>
            </w:r>
            <w:r w:rsidRPr="006F4C94">
              <w:rPr>
                <w:sz w:val="18"/>
                <w:szCs w:val="18"/>
              </w:rPr>
              <w:t>70</w:t>
            </w:r>
          </w:p>
        </w:tc>
        <w:tc>
          <w:tcPr>
            <w:tcW w:w="1185" w:type="dxa"/>
            <w:noWrap/>
            <w:hideMark/>
          </w:tcPr>
          <w:p w14:paraId="257E331D" w14:textId="77777777" w:rsidR="00AE017A" w:rsidRPr="006F4C94" w:rsidRDefault="00AE017A" w:rsidP="00AE017A">
            <w:pPr>
              <w:jc w:val="center"/>
              <w:rPr>
                <w:sz w:val="18"/>
                <w:szCs w:val="18"/>
              </w:rPr>
            </w:pPr>
            <w:r w:rsidRPr="006F4C94">
              <w:rPr>
                <w:sz w:val="18"/>
                <w:szCs w:val="18"/>
              </w:rPr>
              <w:t>34</w:t>
            </w:r>
            <w:r>
              <w:rPr>
                <w:sz w:val="18"/>
                <w:szCs w:val="18"/>
              </w:rPr>
              <w:t>.</w:t>
            </w:r>
            <w:r w:rsidRPr="006F4C94">
              <w:rPr>
                <w:sz w:val="18"/>
                <w:szCs w:val="18"/>
              </w:rPr>
              <w:t>50±0</w:t>
            </w:r>
            <w:r>
              <w:rPr>
                <w:sz w:val="18"/>
                <w:szCs w:val="18"/>
              </w:rPr>
              <w:t>.</w:t>
            </w:r>
            <w:r w:rsidRPr="006F4C94">
              <w:rPr>
                <w:sz w:val="18"/>
                <w:szCs w:val="18"/>
              </w:rPr>
              <w:t>69</w:t>
            </w:r>
          </w:p>
        </w:tc>
        <w:tc>
          <w:tcPr>
            <w:tcW w:w="1252" w:type="dxa"/>
            <w:noWrap/>
            <w:hideMark/>
          </w:tcPr>
          <w:p w14:paraId="757B9A5A" w14:textId="77777777" w:rsidR="00AE017A" w:rsidRPr="006F4C94" w:rsidRDefault="00AE017A" w:rsidP="00AE017A">
            <w:pPr>
              <w:jc w:val="center"/>
              <w:rPr>
                <w:sz w:val="18"/>
                <w:szCs w:val="18"/>
              </w:rPr>
            </w:pPr>
            <w:r w:rsidRPr="006F4C94">
              <w:rPr>
                <w:sz w:val="18"/>
                <w:szCs w:val="18"/>
              </w:rPr>
              <w:t>35</w:t>
            </w:r>
            <w:r>
              <w:rPr>
                <w:sz w:val="18"/>
                <w:szCs w:val="18"/>
              </w:rPr>
              <w:t>.</w:t>
            </w:r>
            <w:r w:rsidRPr="006F4C94">
              <w:rPr>
                <w:sz w:val="18"/>
                <w:szCs w:val="18"/>
              </w:rPr>
              <w:t>52±0</w:t>
            </w:r>
            <w:r>
              <w:rPr>
                <w:sz w:val="18"/>
                <w:szCs w:val="18"/>
              </w:rPr>
              <w:t>.</w:t>
            </w:r>
            <w:r w:rsidRPr="006F4C94">
              <w:rPr>
                <w:sz w:val="18"/>
                <w:szCs w:val="18"/>
              </w:rPr>
              <w:t>69</w:t>
            </w:r>
          </w:p>
        </w:tc>
      </w:tr>
      <w:tr w:rsidR="00AE017A" w:rsidRPr="006F4C94" w14:paraId="6167B9A5" w14:textId="77777777" w:rsidTr="00AE017A">
        <w:trPr>
          <w:trHeight w:val="285"/>
        </w:trPr>
        <w:tc>
          <w:tcPr>
            <w:tcW w:w="2835" w:type="dxa"/>
            <w:noWrap/>
            <w:hideMark/>
          </w:tcPr>
          <w:p w14:paraId="4495BA84" w14:textId="77777777" w:rsidR="00AE017A" w:rsidRPr="006F4C94" w:rsidRDefault="00AE017A" w:rsidP="00AE017A">
            <w:pPr>
              <w:rPr>
                <w:sz w:val="18"/>
                <w:szCs w:val="18"/>
              </w:rPr>
            </w:pPr>
            <w:proofErr w:type="spellStart"/>
            <w:r w:rsidRPr="006F4C94">
              <w:rPr>
                <w:sz w:val="18"/>
                <w:szCs w:val="18"/>
              </w:rPr>
              <w:t>Starch</w:t>
            </w:r>
            <w:proofErr w:type="spellEnd"/>
            <w:r w:rsidRPr="006F4C94">
              <w:rPr>
                <w:sz w:val="18"/>
                <w:szCs w:val="18"/>
              </w:rPr>
              <w:t xml:space="preserve"> (%</w:t>
            </w:r>
            <w:proofErr w:type="spellStart"/>
            <w:r w:rsidRPr="006F4C94">
              <w:rPr>
                <w:sz w:val="18"/>
                <w:szCs w:val="18"/>
              </w:rPr>
              <w:t>db</w:t>
            </w:r>
            <w:proofErr w:type="spellEnd"/>
            <w:r w:rsidRPr="006F4C94">
              <w:rPr>
                <w:sz w:val="18"/>
                <w:szCs w:val="18"/>
              </w:rPr>
              <w:t xml:space="preserve">) </w:t>
            </w:r>
          </w:p>
        </w:tc>
        <w:tc>
          <w:tcPr>
            <w:tcW w:w="1276" w:type="dxa"/>
            <w:noWrap/>
            <w:hideMark/>
          </w:tcPr>
          <w:p w14:paraId="3F212688" w14:textId="77777777" w:rsidR="00AE017A" w:rsidRPr="006F4C94" w:rsidRDefault="00AE017A" w:rsidP="00AE017A">
            <w:pPr>
              <w:jc w:val="center"/>
              <w:rPr>
                <w:sz w:val="18"/>
                <w:szCs w:val="18"/>
              </w:rPr>
            </w:pPr>
            <w:r w:rsidRPr="006F4C94">
              <w:rPr>
                <w:sz w:val="18"/>
                <w:szCs w:val="18"/>
              </w:rPr>
              <w:t>62.60±0.88</w:t>
            </w:r>
          </w:p>
        </w:tc>
        <w:tc>
          <w:tcPr>
            <w:tcW w:w="1338" w:type="dxa"/>
            <w:noWrap/>
            <w:hideMark/>
          </w:tcPr>
          <w:p w14:paraId="75CFFB4E" w14:textId="77777777" w:rsidR="00AE017A" w:rsidRPr="006F4C94" w:rsidRDefault="00AE017A" w:rsidP="00AE017A">
            <w:pPr>
              <w:jc w:val="center"/>
              <w:rPr>
                <w:sz w:val="18"/>
                <w:szCs w:val="18"/>
              </w:rPr>
            </w:pPr>
            <w:r w:rsidRPr="006F4C94">
              <w:rPr>
                <w:sz w:val="18"/>
                <w:szCs w:val="18"/>
              </w:rPr>
              <w:t>56</w:t>
            </w:r>
            <w:r>
              <w:rPr>
                <w:sz w:val="18"/>
                <w:szCs w:val="18"/>
              </w:rPr>
              <w:t>.</w:t>
            </w:r>
            <w:r w:rsidRPr="006F4C94">
              <w:rPr>
                <w:sz w:val="18"/>
                <w:szCs w:val="18"/>
              </w:rPr>
              <w:t>82±2.05</w:t>
            </w:r>
          </w:p>
        </w:tc>
        <w:tc>
          <w:tcPr>
            <w:tcW w:w="1185" w:type="dxa"/>
            <w:noWrap/>
            <w:hideMark/>
          </w:tcPr>
          <w:p w14:paraId="46E8DF9D" w14:textId="77777777" w:rsidR="00AE017A" w:rsidRPr="006F4C94" w:rsidRDefault="00AE017A" w:rsidP="00AE017A">
            <w:pPr>
              <w:jc w:val="center"/>
              <w:rPr>
                <w:sz w:val="18"/>
                <w:szCs w:val="18"/>
              </w:rPr>
            </w:pPr>
            <w:r w:rsidRPr="006F4C94">
              <w:rPr>
                <w:sz w:val="18"/>
                <w:szCs w:val="18"/>
              </w:rPr>
              <w:t>52</w:t>
            </w:r>
            <w:r>
              <w:rPr>
                <w:sz w:val="18"/>
                <w:szCs w:val="18"/>
              </w:rPr>
              <w:t>.</w:t>
            </w:r>
            <w:r w:rsidRPr="006F4C94">
              <w:rPr>
                <w:sz w:val="18"/>
                <w:szCs w:val="18"/>
              </w:rPr>
              <w:t>62±1</w:t>
            </w:r>
            <w:r>
              <w:rPr>
                <w:sz w:val="18"/>
                <w:szCs w:val="18"/>
              </w:rPr>
              <w:t>.</w:t>
            </w:r>
            <w:r w:rsidRPr="006F4C94">
              <w:rPr>
                <w:sz w:val="18"/>
                <w:szCs w:val="18"/>
              </w:rPr>
              <w:t>05</w:t>
            </w:r>
          </w:p>
        </w:tc>
        <w:tc>
          <w:tcPr>
            <w:tcW w:w="1185" w:type="dxa"/>
            <w:noWrap/>
            <w:hideMark/>
          </w:tcPr>
          <w:p w14:paraId="6ED762AC" w14:textId="77777777" w:rsidR="00AE017A" w:rsidRPr="006F4C94" w:rsidRDefault="00AE017A" w:rsidP="00AE017A">
            <w:pPr>
              <w:jc w:val="center"/>
              <w:rPr>
                <w:sz w:val="18"/>
                <w:szCs w:val="18"/>
              </w:rPr>
            </w:pPr>
            <w:r w:rsidRPr="006F4C94">
              <w:rPr>
                <w:sz w:val="18"/>
                <w:szCs w:val="18"/>
              </w:rPr>
              <w:t>53.27±1.45</w:t>
            </w:r>
          </w:p>
        </w:tc>
        <w:tc>
          <w:tcPr>
            <w:tcW w:w="1252" w:type="dxa"/>
            <w:noWrap/>
            <w:hideMark/>
          </w:tcPr>
          <w:p w14:paraId="57F15C1D" w14:textId="77777777" w:rsidR="00AE017A" w:rsidRPr="006F4C94" w:rsidRDefault="00AE017A" w:rsidP="00AE017A">
            <w:pPr>
              <w:jc w:val="center"/>
              <w:rPr>
                <w:sz w:val="18"/>
                <w:szCs w:val="18"/>
              </w:rPr>
            </w:pPr>
            <w:r w:rsidRPr="006F4C94">
              <w:rPr>
                <w:sz w:val="18"/>
                <w:szCs w:val="18"/>
              </w:rPr>
              <w:t>55.38±1</w:t>
            </w:r>
            <w:r>
              <w:rPr>
                <w:sz w:val="18"/>
                <w:szCs w:val="18"/>
              </w:rPr>
              <w:t>.</w:t>
            </w:r>
            <w:r w:rsidRPr="006F4C94">
              <w:rPr>
                <w:sz w:val="18"/>
                <w:szCs w:val="18"/>
              </w:rPr>
              <w:t>08</w:t>
            </w:r>
          </w:p>
        </w:tc>
      </w:tr>
      <w:tr w:rsidR="00AE017A" w:rsidRPr="006F4C94" w14:paraId="1B99AB4B" w14:textId="77777777" w:rsidTr="00AE017A">
        <w:trPr>
          <w:trHeight w:val="257"/>
        </w:trPr>
        <w:tc>
          <w:tcPr>
            <w:tcW w:w="2835" w:type="dxa"/>
            <w:noWrap/>
            <w:hideMark/>
          </w:tcPr>
          <w:p w14:paraId="6349EB78" w14:textId="77777777" w:rsidR="00AE017A" w:rsidRPr="00DE6061" w:rsidRDefault="00AE017A" w:rsidP="00AE017A">
            <w:pPr>
              <w:rPr>
                <w:sz w:val="18"/>
                <w:szCs w:val="18"/>
                <w:lang w:val="en-US"/>
              </w:rPr>
            </w:pPr>
            <w:r w:rsidRPr="006F4C94">
              <w:rPr>
                <w:sz w:val="18"/>
                <w:szCs w:val="18"/>
              </w:rPr>
              <w:t>α</w:t>
            </w:r>
            <w:r w:rsidRPr="006F4C94">
              <w:rPr>
                <w:sz w:val="18"/>
                <w:szCs w:val="18"/>
                <w:lang w:val="en-US"/>
              </w:rPr>
              <w:t xml:space="preserve">-amylase (BU g-1 </w:t>
            </w:r>
            <w:proofErr w:type="spellStart"/>
            <w:r w:rsidRPr="006F4C94">
              <w:rPr>
                <w:sz w:val="18"/>
                <w:szCs w:val="18"/>
                <w:lang w:val="en-US"/>
              </w:rPr>
              <w:t>db</w:t>
            </w:r>
            <w:proofErr w:type="spellEnd"/>
            <w:r w:rsidRPr="006F4C94">
              <w:rPr>
                <w:sz w:val="18"/>
                <w:szCs w:val="18"/>
                <w:lang w:val="en-US"/>
              </w:rPr>
              <w:t>)</w:t>
            </w:r>
          </w:p>
        </w:tc>
        <w:tc>
          <w:tcPr>
            <w:tcW w:w="1276" w:type="dxa"/>
            <w:noWrap/>
            <w:hideMark/>
          </w:tcPr>
          <w:p w14:paraId="25DB5674" w14:textId="77777777" w:rsidR="00AE017A" w:rsidRPr="006F4C94" w:rsidRDefault="00AE017A" w:rsidP="00AE017A">
            <w:pPr>
              <w:jc w:val="center"/>
              <w:rPr>
                <w:sz w:val="18"/>
                <w:szCs w:val="18"/>
              </w:rPr>
            </w:pPr>
            <w:r w:rsidRPr="006F4C94">
              <w:rPr>
                <w:sz w:val="18"/>
                <w:szCs w:val="18"/>
              </w:rPr>
              <w:t>200.95±1.22</w:t>
            </w:r>
          </w:p>
        </w:tc>
        <w:tc>
          <w:tcPr>
            <w:tcW w:w="1338" w:type="dxa"/>
            <w:noWrap/>
            <w:hideMark/>
          </w:tcPr>
          <w:p w14:paraId="6A905D48" w14:textId="77777777" w:rsidR="00AE017A" w:rsidRPr="006F4C94" w:rsidRDefault="00AE017A" w:rsidP="00AE017A">
            <w:pPr>
              <w:jc w:val="center"/>
              <w:rPr>
                <w:sz w:val="18"/>
                <w:szCs w:val="18"/>
              </w:rPr>
            </w:pPr>
            <w:r w:rsidRPr="006F4C94">
              <w:rPr>
                <w:sz w:val="18"/>
                <w:szCs w:val="18"/>
              </w:rPr>
              <w:t>223</w:t>
            </w:r>
            <w:r>
              <w:rPr>
                <w:sz w:val="18"/>
                <w:szCs w:val="18"/>
              </w:rPr>
              <w:t>.</w:t>
            </w:r>
            <w:r w:rsidRPr="006F4C94">
              <w:rPr>
                <w:sz w:val="18"/>
                <w:szCs w:val="18"/>
              </w:rPr>
              <w:t>06±18</w:t>
            </w:r>
            <w:r>
              <w:rPr>
                <w:sz w:val="18"/>
                <w:szCs w:val="18"/>
              </w:rPr>
              <w:t>.</w:t>
            </w:r>
            <w:r w:rsidRPr="006F4C94">
              <w:rPr>
                <w:sz w:val="18"/>
                <w:szCs w:val="18"/>
              </w:rPr>
              <w:t>73</w:t>
            </w:r>
          </w:p>
        </w:tc>
        <w:tc>
          <w:tcPr>
            <w:tcW w:w="1185" w:type="dxa"/>
            <w:noWrap/>
            <w:hideMark/>
          </w:tcPr>
          <w:p w14:paraId="3F577563" w14:textId="77777777" w:rsidR="00AE017A" w:rsidRPr="006F4C94" w:rsidRDefault="00AE017A" w:rsidP="00AE017A">
            <w:pPr>
              <w:jc w:val="center"/>
              <w:rPr>
                <w:sz w:val="18"/>
                <w:szCs w:val="18"/>
              </w:rPr>
            </w:pPr>
            <w:r w:rsidRPr="006F4C94">
              <w:rPr>
                <w:sz w:val="18"/>
                <w:szCs w:val="18"/>
              </w:rPr>
              <w:t>236</w:t>
            </w:r>
            <w:r>
              <w:rPr>
                <w:sz w:val="18"/>
                <w:szCs w:val="18"/>
              </w:rPr>
              <w:t>.</w:t>
            </w:r>
            <w:r w:rsidRPr="006F4C94">
              <w:rPr>
                <w:sz w:val="18"/>
                <w:szCs w:val="18"/>
              </w:rPr>
              <w:t>98±1</w:t>
            </w:r>
            <w:r>
              <w:rPr>
                <w:sz w:val="18"/>
                <w:szCs w:val="18"/>
              </w:rPr>
              <w:t>.</w:t>
            </w:r>
            <w:r w:rsidRPr="006F4C94">
              <w:rPr>
                <w:sz w:val="18"/>
                <w:szCs w:val="18"/>
              </w:rPr>
              <w:t>63</w:t>
            </w:r>
          </w:p>
        </w:tc>
        <w:tc>
          <w:tcPr>
            <w:tcW w:w="1185" w:type="dxa"/>
            <w:noWrap/>
            <w:hideMark/>
          </w:tcPr>
          <w:p w14:paraId="193F35D4" w14:textId="77777777" w:rsidR="00AE017A" w:rsidRPr="006F4C94" w:rsidRDefault="00AE017A" w:rsidP="00AE017A">
            <w:pPr>
              <w:jc w:val="center"/>
              <w:rPr>
                <w:sz w:val="18"/>
                <w:szCs w:val="18"/>
              </w:rPr>
            </w:pPr>
            <w:r w:rsidRPr="006F4C94">
              <w:rPr>
                <w:sz w:val="18"/>
                <w:szCs w:val="18"/>
              </w:rPr>
              <w:t>210</w:t>
            </w:r>
            <w:r>
              <w:rPr>
                <w:sz w:val="18"/>
                <w:szCs w:val="18"/>
              </w:rPr>
              <w:t>.</w:t>
            </w:r>
            <w:r w:rsidRPr="006F4C94">
              <w:rPr>
                <w:sz w:val="18"/>
                <w:szCs w:val="18"/>
              </w:rPr>
              <w:t>16±1</w:t>
            </w:r>
            <w:r>
              <w:rPr>
                <w:sz w:val="18"/>
                <w:szCs w:val="18"/>
              </w:rPr>
              <w:t>.</w:t>
            </w:r>
            <w:r w:rsidRPr="006F4C94">
              <w:rPr>
                <w:sz w:val="18"/>
                <w:szCs w:val="18"/>
              </w:rPr>
              <w:t>80</w:t>
            </w:r>
          </w:p>
        </w:tc>
        <w:tc>
          <w:tcPr>
            <w:tcW w:w="1252" w:type="dxa"/>
            <w:noWrap/>
            <w:hideMark/>
          </w:tcPr>
          <w:p w14:paraId="2900B7D8" w14:textId="77777777" w:rsidR="00AE017A" w:rsidRPr="006F4C94" w:rsidRDefault="00AE017A" w:rsidP="00AE017A">
            <w:pPr>
              <w:jc w:val="center"/>
              <w:rPr>
                <w:sz w:val="18"/>
                <w:szCs w:val="18"/>
              </w:rPr>
            </w:pPr>
            <w:r w:rsidRPr="006F4C94">
              <w:rPr>
                <w:sz w:val="18"/>
                <w:szCs w:val="18"/>
              </w:rPr>
              <w:t>214</w:t>
            </w:r>
            <w:r>
              <w:rPr>
                <w:sz w:val="18"/>
                <w:szCs w:val="18"/>
              </w:rPr>
              <w:t>.</w:t>
            </w:r>
            <w:r w:rsidRPr="006F4C94">
              <w:rPr>
                <w:sz w:val="18"/>
                <w:szCs w:val="18"/>
              </w:rPr>
              <w:t>27±0</w:t>
            </w:r>
            <w:r>
              <w:rPr>
                <w:sz w:val="18"/>
                <w:szCs w:val="18"/>
              </w:rPr>
              <w:t>.</w:t>
            </w:r>
            <w:r w:rsidRPr="006F4C94">
              <w:rPr>
                <w:sz w:val="18"/>
                <w:szCs w:val="18"/>
              </w:rPr>
              <w:t>16</w:t>
            </w:r>
          </w:p>
        </w:tc>
      </w:tr>
      <w:tr w:rsidR="00AE017A" w:rsidRPr="006F4C94" w14:paraId="0815ABDB" w14:textId="77777777" w:rsidTr="00AE017A">
        <w:trPr>
          <w:trHeight w:val="257"/>
        </w:trPr>
        <w:tc>
          <w:tcPr>
            <w:tcW w:w="2835" w:type="dxa"/>
            <w:noWrap/>
            <w:hideMark/>
          </w:tcPr>
          <w:p w14:paraId="714D1D35" w14:textId="77777777" w:rsidR="00AE017A" w:rsidRPr="00DE6061" w:rsidRDefault="00AE017A" w:rsidP="00AE017A">
            <w:pPr>
              <w:rPr>
                <w:sz w:val="18"/>
                <w:szCs w:val="18"/>
                <w:lang w:val="en-US"/>
              </w:rPr>
            </w:pPr>
            <w:r w:rsidRPr="006F4C94">
              <w:rPr>
                <w:sz w:val="18"/>
                <w:szCs w:val="18"/>
              </w:rPr>
              <w:t>β</w:t>
            </w:r>
            <w:r w:rsidRPr="006F4C94">
              <w:rPr>
                <w:sz w:val="18"/>
                <w:szCs w:val="18"/>
                <w:lang w:val="en-US"/>
              </w:rPr>
              <w:t xml:space="preserve">-amylase (BU g-1 </w:t>
            </w:r>
            <w:proofErr w:type="spellStart"/>
            <w:r w:rsidRPr="006F4C94">
              <w:rPr>
                <w:sz w:val="18"/>
                <w:szCs w:val="18"/>
                <w:lang w:val="en-US"/>
              </w:rPr>
              <w:t>db</w:t>
            </w:r>
            <w:proofErr w:type="spellEnd"/>
            <w:r w:rsidRPr="006F4C94">
              <w:rPr>
                <w:sz w:val="18"/>
                <w:szCs w:val="18"/>
                <w:lang w:val="en-US"/>
              </w:rPr>
              <w:t>)</w:t>
            </w:r>
          </w:p>
        </w:tc>
        <w:tc>
          <w:tcPr>
            <w:tcW w:w="1276" w:type="dxa"/>
            <w:noWrap/>
            <w:hideMark/>
          </w:tcPr>
          <w:p w14:paraId="3666669A" w14:textId="77777777" w:rsidR="00AE017A" w:rsidRPr="006F4C94" w:rsidRDefault="00AE017A" w:rsidP="00AE017A">
            <w:pPr>
              <w:jc w:val="center"/>
              <w:rPr>
                <w:sz w:val="18"/>
                <w:szCs w:val="18"/>
              </w:rPr>
            </w:pPr>
            <w:r w:rsidRPr="006F4C94">
              <w:rPr>
                <w:sz w:val="18"/>
                <w:szCs w:val="18"/>
              </w:rPr>
              <w:t>39.03±0.08</w:t>
            </w:r>
          </w:p>
        </w:tc>
        <w:tc>
          <w:tcPr>
            <w:tcW w:w="1338" w:type="dxa"/>
            <w:noWrap/>
            <w:hideMark/>
          </w:tcPr>
          <w:p w14:paraId="117AEE9A" w14:textId="77777777" w:rsidR="00AE017A" w:rsidRPr="006F4C94" w:rsidRDefault="00AE017A" w:rsidP="00AE017A">
            <w:pPr>
              <w:jc w:val="center"/>
              <w:rPr>
                <w:sz w:val="18"/>
                <w:szCs w:val="18"/>
              </w:rPr>
            </w:pPr>
            <w:r w:rsidRPr="006F4C94">
              <w:rPr>
                <w:sz w:val="18"/>
                <w:szCs w:val="18"/>
              </w:rPr>
              <w:t>14</w:t>
            </w:r>
            <w:r>
              <w:rPr>
                <w:sz w:val="18"/>
                <w:szCs w:val="18"/>
              </w:rPr>
              <w:t>.</w:t>
            </w:r>
            <w:r w:rsidRPr="006F4C94">
              <w:rPr>
                <w:sz w:val="18"/>
                <w:szCs w:val="18"/>
              </w:rPr>
              <w:t>91±4</w:t>
            </w:r>
            <w:r>
              <w:rPr>
                <w:sz w:val="18"/>
                <w:szCs w:val="18"/>
              </w:rPr>
              <w:t>.</w:t>
            </w:r>
            <w:r w:rsidRPr="006F4C94">
              <w:rPr>
                <w:sz w:val="18"/>
                <w:szCs w:val="18"/>
              </w:rPr>
              <w:t>05</w:t>
            </w:r>
          </w:p>
        </w:tc>
        <w:tc>
          <w:tcPr>
            <w:tcW w:w="1185" w:type="dxa"/>
            <w:noWrap/>
            <w:hideMark/>
          </w:tcPr>
          <w:p w14:paraId="34203674" w14:textId="77777777" w:rsidR="00AE017A" w:rsidRPr="006F4C94" w:rsidRDefault="00AE017A" w:rsidP="00AE017A">
            <w:pPr>
              <w:jc w:val="center"/>
              <w:rPr>
                <w:sz w:val="18"/>
                <w:szCs w:val="18"/>
              </w:rPr>
            </w:pPr>
            <w:r w:rsidRPr="006F4C94">
              <w:rPr>
                <w:sz w:val="18"/>
                <w:szCs w:val="18"/>
              </w:rPr>
              <w:t>13</w:t>
            </w:r>
            <w:r>
              <w:rPr>
                <w:sz w:val="18"/>
                <w:szCs w:val="18"/>
              </w:rPr>
              <w:t>.</w:t>
            </w:r>
            <w:r w:rsidRPr="006F4C94">
              <w:rPr>
                <w:sz w:val="18"/>
                <w:szCs w:val="18"/>
              </w:rPr>
              <w:t>55±0</w:t>
            </w:r>
            <w:r>
              <w:rPr>
                <w:sz w:val="18"/>
                <w:szCs w:val="18"/>
              </w:rPr>
              <w:t>.</w:t>
            </w:r>
            <w:r w:rsidRPr="006F4C94">
              <w:rPr>
                <w:sz w:val="18"/>
                <w:szCs w:val="18"/>
              </w:rPr>
              <w:t>12</w:t>
            </w:r>
          </w:p>
        </w:tc>
        <w:tc>
          <w:tcPr>
            <w:tcW w:w="1185" w:type="dxa"/>
            <w:noWrap/>
            <w:hideMark/>
          </w:tcPr>
          <w:p w14:paraId="52D5D5EF" w14:textId="77777777" w:rsidR="00AE017A" w:rsidRPr="006F4C94" w:rsidRDefault="00AE017A" w:rsidP="00AE017A">
            <w:pPr>
              <w:jc w:val="center"/>
              <w:rPr>
                <w:sz w:val="18"/>
                <w:szCs w:val="18"/>
              </w:rPr>
            </w:pPr>
            <w:r w:rsidRPr="006F4C94">
              <w:rPr>
                <w:sz w:val="18"/>
                <w:szCs w:val="18"/>
              </w:rPr>
              <w:t>13</w:t>
            </w:r>
            <w:r>
              <w:rPr>
                <w:sz w:val="18"/>
                <w:szCs w:val="18"/>
              </w:rPr>
              <w:t>.</w:t>
            </w:r>
            <w:r w:rsidRPr="006F4C94">
              <w:rPr>
                <w:sz w:val="18"/>
                <w:szCs w:val="18"/>
              </w:rPr>
              <w:t>76±0</w:t>
            </w:r>
            <w:r>
              <w:rPr>
                <w:sz w:val="18"/>
                <w:szCs w:val="18"/>
              </w:rPr>
              <w:t>.</w:t>
            </w:r>
            <w:r w:rsidRPr="006F4C94">
              <w:rPr>
                <w:sz w:val="18"/>
                <w:szCs w:val="18"/>
              </w:rPr>
              <w:t>92</w:t>
            </w:r>
          </w:p>
        </w:tc>
        <w:tc>
          <w:tcPr>
            <w:tcW w:w="1252" w:type="dxa"/>
            <w:noWrap/>
            <w:hideMark/>
          </w:tcPr>
          <w:p w14:paraId="707D0AD6" w14:textId="77777777" w:rsidR="00AE017A" w:rsidRPr="006F4C94" w:rsidRDefault="00AE017A" w:rsidP="00AE017A">
            <w:pPr>
              <w:jc w:val="center"/>
              <w:rPr>
                <w:sz w:val="18"/>
                <w:szCs w:val="18"/>
              </w:rPr>
            </w:pPr>
            <w:r w:rsidRPr="006F4C94">
              <w:rPr>
                <w:sz w:val="18"/>
                <w:szCs w:val="18"/>
              </w:rPr>
              <w:t>15</w:t>
            </w:r>
            <w:r>
              <w:rPr>
                <w:sz w:val="18"/>
                <w:szCs w:val="18"/>
              </w:rPr>
              <w:t>.</w:t>
            </w:r>
            <w:r w:rsidRPr="006F4C94">
              <w:rPr>
                <w:sz w:val="18"/>
                <w:szCs w:val="18"/>
              </w:rPr>
              <w:t>75±0</w:t>
            </w:r>
            <w:r>
              <w:rPr>
                <w:sz w:val="18"/>
                <w:szCs w:val="18"/>
              </w:rPr>
              <w:t>.</w:t>
            </w:r>
            <w:r w:rsidRPr="006F4C94">
              <w:rPr>
                <w:sz w:val="18"/>
                <w:szCs w:val="18"/>
              </w:rPr>
              <w:t>73</w:t>
            </w:r>
          </w:p>
        </w:tc>
      </w:tr>
      <w:tr w:rsidR="00AE017A" w:rsidRPr="006F4C94" w14:paraId="41B76AB8" w14:textId="77777777" w:rsidTr="00AE017A">
        <w:trPr>
          <w:trHeight w:val="257"/>
        </w:trPr>
        <w:tc>
          <w:tcPr>
            <w:tcW w:w="2835" w:type="dxa"/>
            <w:tcBorders>
              <w:bottom w:val="single" w:sz="4" w:space="0" w:color="auto"/>
            </w:tcBorders>
            <w:hideMark/>
          </w:tcPr>
          <w:p w14:paraId="426EAAA1" w14:textId="77777777" w:rsidR="00AE017A" w:rsidRPr="006F4C94" w:rsidRDefault="00AE017A" w:rsidP="00AE017A">
            <w:pPr>
              <w:rPr>
                <w:sz w:val="18"/>
                <w:szCs w:val="18"/>
                <w:lang w:val="en-US"/>
              </w:rPr>
            </w:pPr>
            <w:proofErr w:type="spellStart"/>
            <w:r w:rsidRPr="006F4C94">
              <w:rPr>
                <w:sz w:val="18"/>
                <w:szCs w:val="18"/>
              </w:rPr>
              <w:t>Diastatic</w:t>
            </w:r>
            <w:proofErr w:type="spellEnd"/>
            <w:r w:rsidRPr="006F4C94">
              <w:rPr>
                <w:sz w:val="18"/>
                <w:szCs w:val="18"/>
              </w:rPr>
              <w:t xml:space="preserve"> power (°WK) </w:t>
            </w:r>
          </w:p>
        </w:tc>
        <w:tc>
          <w:tcPr>
            <w:tcW w:w="1276" w:type="dxa"/>
            <w:tcBorders>
              <w:bottom w:val="single" w:sz="4" w:space="0" w:color="auto"/>
            </w:tcBorders>
            <w:noWrap/>
            <w:hideMark/>
          </w:tcPr>
          <w:p w14:paraId="2A94B390" w14:textId="77777777" w:rsidR="00AE017A" w:rsidRPr="006F4C94" w:rsidRDefault="00AE017A" w:rsidP="00AE017A">
            <w:pPr>
              <w:jc w:val="center"/>
              <w:rPr>
                <w:sz w:val="18"/>
                <w:szCs w:val="18"/>
              </w:rPr>
            </w:pPr>
            <w:r w:rsidRPr="006F4C94">
              <w:rPr>
                <w:sz w:val="18"/>
                <w:szCs w:val="18"/>
              </w:rPr>
              <w:t>375</w:t>
            </w:r>
            <w:r>
              <w:rPr>
                <w:sz w:val="18"/>
                <w:szCs w:val="18"/>
              </w:rPr>
              <w:t>.</w:t>
            </w:r>
            <w:r w:rsidRPr="006F4C94">
              <w:rPr>
                <w:sz w:val="18"/>
                <w:szCs w:val="18"/>
              </w:rPr>
              <w:t>59±2</w:t>
            </w:r>
            <w:r>
              <w:rPr>
                <w:sz w:val="18"/>
                <w:szCs w:val="18"/>
              </w:rPr>
              <w:t>.</w:t>
            </w:r>
            <w:r w:rsidRPr="006F4C94">
              <w:rPr>
                <w:sz w:val="18"/>
                <w:szCs w:val="18"/>
              </w:rPr>
              <w:t>53</w:t>
            </w:r>
          </w:p>
        </w:tc>
        <w:tc>
          <w:tcPr>
            <w:tcW w:w="1338" w:type="dxa"/>
            <w:tcBorders>
              <w:bottom w:val="single" w:sz="4" w:space="0" w:color="auto"/>
            </w:tcBorders>
            <w:noWrap/>
            <w:hideMark/>
          </w:tcPr>
          <w:p w14:paraId="25B96352" w14:textId="77777777" w:rsidR="00AE017A" w:rsidRPr="006F4C94" w:rsidRDefault="00AE017A" w:rsidP="00AE017A">
            <w:pPr>
              <w:jc w:val="center"/>
              <w:rPr>
                <w:sz w:val="18"/>
                <w:szCs w:val="18"/>
              </w:rPr>
            </w:pPr>
            <w:r w:rsidRPr="006F4C94">
              <w:rPr>
                <w:sz w:val="18"/>
                <w:szCs w:val="18"/>
              </w:rPr>
              <w:t>290</w:t>
            </w:r>
            <w:r>
              <w:rPr>
                <w:sz w:val="18"/>
                <w:szCs w:val="18"/>
              </w:rPr>
              <w:t>.</w:t>
            </w:r>
            <w:r w:rsidRPr="006F4C94">
              <w:rPr>
                <w:sz w:val="18"/>
                <w:szCs w:val="18"/>
              </w:rPr>
              <w:t>25±4</w:t>
            </w:r>
            <w:r>
              <w:rPr>
                <w:sz w:val="18"/>
                <w:szCs w:val="18"/>
              </w:rPr>
              <w:t>.</w:t>
            </w:r>
            <w:r w:rsidRPr="006F4C94">
              <w:rPr>
                <w:sz w:val="18"/>
                <w:szCs w:val="18"/>
              </w:rPr>
              <w:t>19</w:t>
            </w:r>
          </w:p>
        </w:tc>
        <w:tc>
          <w:tcPr>
            <w:tcW w:w="1185" w:type="dxa"/>
            <w:tcBorders>
              <w:bottom w:val="single" w:sz="4" w:space="0" w:color="auto"/>
            </w:tcBorders>
            <w:noWrap/>
            <w:hideMark/>
          </w:tcPr>
          <w:p w14:paraId="5424099E" w14:textId="77777777" w:rsidR="00AE017A" w:rsidRPr="006F4C94" w:rsidRDefault="00AE017A" w:rsidP="00AE017A">
            <w:pPr>
              <w:jc w:val="center"/>
              <w:rPr>
                <w:sz w:val="18"/>
                <w:szCs w:val="18"/>
              </w:rPr>
            </w:pPr>
            <w:r w:rsidRPr="006F4C94">
              <w:rPr>
                <w:sz w:val="18"/>
                <w:szCs w:val="18"/>
              </w:rPr>
              <w:t>322</w:t>
            </w:r>
            <w:r>
              <w:rPr>
                <w:sz w:val="18"/>
                <w:szCs w:val="18"/>
              </w:rPr>
              <w:t>.</w:t>
            </w:r>
            <w:r w:rsidRPr="006F4C94">
              <w:rPr>
                <w:sz w:val="18"/>
                <w:szCs w:val="18"/>
              </w:rPr>
              <w:t>09±5</w:t>
            </w:r>
            <w:r>
              <w:rPr>
                <w:sz w:val="18"/>
                <w:szCs w:val="18"/>
              </w:rPr>
              <w:t>.</w:t>
            </w:r>
            <w:r w:rsidRPr="006F4C94">
              <w:rPr>
                <w:sz w:val="18"/>
                <w:szCs w:val="18"/>
              </w:rPr>
              <w:t>70</w:t>
            </w:r>
          </w:p>
        </w:tc>
        <w:tc>
          <w:tcPr>
            <w:tcW w:w="1185" w:type="dxa"/>
            <w:tcBorders>
              <w:bottom w:val="single" w:sz="4" w:space="0" w:color="auto"/>
            </w:tcBorders>
            <w:noWrap/>
            <w:hideMark/>
          </w:tcPr>
          <w:p w14:paraId="0591E185" w14:textId="77777777" w:rsidR="00AE017A" w:rsidRPr="006F4C94" w:rsidRDefault="00AE017A" w:rsidP="00AE017A">
            <w:pPr>
              <w:jc w:val="center"/>
              <w:rPr>
                <w:sz w:val="18"/>
                <w:szCs w:val="18"/>
              </w:rPr>
            </w:pPr>
            <w:r w:rsidRPr="006F4C94">
              <w:rPr>
                <w:sz w:val="18"/>
                <w:szCs w:val="18"/>
              </w:rPr>
              <w:t>287</w:t>
            </w:r>
            <w:r>
              <w:rPr>
                <w:sz w:val="18"/>
                <w:szCs w:val="18"/>
              </w:rPr>
              <w:t>.</w:t>
            </w:r>
            <w:r w:rsidRPr="006F4C94">
              <w:rPr>
                <w:sz w:val="18"/>
                <w:szCs w:val="18"/>
              </w:rPr>
              <w:t>13±4</w:t>
            </w:r>
            <w:r>
              <w:rPr>
                <w:sz w:val="18"/>
                <w:szCs w:val="18"/>
              </w:rPr>
              <w:t>.</w:t>
            </w:r>
            <w:r w:rsidRPr="006F4C94">
              <w:rPr>
                <w:sz w:val="18"/>
                <w:szCs w:val="18"/>
              </w:rPr>
              <w:t>63</w:t>
            </w:r>
          </w:p>
        </w:tc>
        <w:tc>
          <w:tcPr>
            <w:tcW w:w="1252" w:type="dxa"/>
            <w:tcBorders>
              <w:bottom w:val="single" w:sz="4" w:space="0" w:color="auto"/>
            </w:tcBorders>
            <w:noWrap/>
            <w:hideMark/>
          </w:tcPr>
          <w:p w14:paraId="48856D1A" w14:textId="77777777" w:rsidR="00AE017A" w:rsidRPr="006F4C94" w:rsidRDefault="00AE017A" w:rsidP="00AE017A">
            <w:pPr>
              <w:jc w:val="center"/>
              <w:rPr>
                <w:sz w:val="18"/>
                <w:szCs w:val="18"/>
              </w:rPr>
            </w:pPr>
            <w:r w:rsidRPr="006F4C94">
              <w:rPr>
                <w:sz w:val="18"/>
                <w:szCs w:val="18"/>
              </w:rPr>
              <w:t>304</w:t>
            </w:r>
            <w:r>
              <w:rPr>
                <w:sz w:val="18"/>
                <w:szCs w:val="18"/>
              </w:rPr>
              <w:t>.</w:t>
            </w:r>
            <w:r w:rsidRPr="006F4C94">
              <w:rPr>
                <w:sz w:val="18"/>
                <w:szCs w:val="18"/>
              </w:rPr>
              <w:t>13±4</w:t>
            </w:r>
            <w:r>
              <w:rPr>
                <w:sz w:val="18"/>
                <w:szCs w:val="18"/>
              </w:rPr>
              <w:t>.</w:t>
            </w:r>
            <w:r w:rsidRPr="006F4C94">
              <w:rPr>
                <w:sz w:val="18"/>
                <w:szCs w:val="18"/>
              </w:rPr>
              <w:t>48</w:t>
            </w:r>
          </w:p>
        </w:tc>
      </w:tr>
    </w:tbl>
    <w:p w14:paraId="66D2057F" w14:textId="1C3ACCCC" w:rsidR="00AE017A" w:rsidRPr="009E6F5D" w:rsidRDefault="00AE017A" w:rsidP="00AE017A">
      <w:pPr>
        <w:spacing w:before="300" w:after="120"/>
        <w:jc w:val="both"/>
        <w:rPr>
          <w:sz w:val="18"/>
          <w:szCs w:val="18"/>
          <w:lang w:val="en-GB"/>
        </w:rPr>
      </w:pPr>
      <w:r w:rsidRPr="009E6F5D">
        <w:rPr>
          <w:b/>
          <w:bCs/>
          <w:i/>
          <w:iCs/>
          <w:sz w:val="18"/>
          <w:szCs w:val="18"/>
          <w:lang w:val="en-GB"/>
        </w:rPr>
        <w:t>Table 1</w:t>
      </w:r>
      <w:r w:rsidRPr="009E6F5D">
        <w:rPr>
          <w:i/>
          <w:iCs/>
          <w:sz w:val="18"/>
          <w:szCs w:val="18"/>
          <w:lang w:val="en-GB"/>
        </w:rPr>
        <w:t xml:space="preserve"> Malts quality parameters.</w:t>
      </w:r>
    </w:p>
    <w:p w14:paraId="4A28FD62" w14:textId="77777777" w:rsidR="00512D9B" w:rsidRPr="00FC2671" w:rsidRDefault="00FB589C" w:rsidP="00FC2671">
      <w:pPr>
        <w:pStyle w:val="Titolo1"/>
        <w:spacing w:before="240" w:after="120"/>
        <w:ind w:right="0"/>
        <w:jc w:val="both"/>
        <w:rPr>
          <w:b/>
          <w:bCs/>
          <w:color w:val="000000"/>
          <w:sz w:val="24"/>
          <w:lang w:val="it-IT"/>
        </w:rPr>
      </w:pPr>
      <w:r w:rsidRPr="00FC2671">
        <w:rPr>
          <w:b/>
          <w:bCs/>
          <w:color w:val="000000"/>
          <w:sz w:val="24"/>
          <w:lang w:val="it-IT"/>
        </w:rPr>
        <w:t xml:space="preserve">4. </w:t>
      </w:r>
      <w:proofErr w:type="spellStart"/>
      <w:r w:rsidRPr="00FC2671">
        <w:rPr>
          <w:b/>
          <w:bCs/>
          <w:color w:val="000000"/>
          <w:sz w:val="24"/>
          <w:lang w:val="it-IT"/>
        </w:rPr>
        <w:t>References</w:t>
      </w:r>
      <w:proofErr w:type="spellEnd"/>
    </w:p>
    <w:p w14:paraId="2BCEBC9A" w14:textId="77777777" w:rsidR="00DF33C2" w:rsidRPr="00FC2671" w:rsidRDefault="00DF33C2" w:rsidP="00FC2671">
      <w:pPr>
        <w:ind w:left="425" w:hanging="425"/>
        <w:jc w:val="both"/>
        <w:rPr>
          <w:sz w:val="18"/>
          <w:szCs w:val="18"/>
          <w:lang w:val="en-GB"/>
        </w:rPr>
      </w:pPr>
      <w:r w:rsidRPr="00FC2671">
        <w:rPr>
          <w:sz w:val="18"/>
          <w:szCs w:val="18"/>
        </w:rPr>
        <w:t xml:space="preserve">Alfeo V., De Francesco G., </w:t>
      </w:r>
      <w:proofErr w:type="spellStart"/>
      <w:r w:rsidRPr="00FC2671">
        <w:rPr>
          <w:sz w:val="18"/>
          <w:szCs w:val="18"/>
        </w:rPr>
        <w:t>Sileoni</w:t>
      </w:r>
      <w:proofErr w:type="spellEnd"/>
      <w:r w:rsidRPr="00FC2671">
        <w:rPr>
          <w:sz w:val="18"/>
          <w:szCs w:val="18"/>
        </w:rPr>
        <w:t xml:space="preserve"> V., </w:t>
      </w:r>
      <w:proofErr w:type="spellStart"/>
      <w:r w:rsidRPr="00FC2671">
        <w:rPr>
          <w:sz w:val="18"/>
          <w:szCs w:val="18"/>
        </w:rPr>
        <w:t>Blangiforti</w:t>
      </w:r>
      <w:proofErr w:type="spellEnd"/>
      <w:r w:rsidRPr="00FC2671">
        <w:rPr>
          <w:sz w:val="18"/>
          <w:szCs w:val="18"/>
        </w:rPr>
        <w:t xml:space="preserve"> S., Palmeri R., Aerts G., ... </w:t>
      </w:r>
      <w:r w:rsidRPr="00FC2671">
        <w:rPr>
          <w:sz w:val="18"/>
          <w:szCs w:val="18"/>
          <w:lang w:val="en-GB"/>
        </w:rPr>
        <w:t>&amp; Todaro A. (2021). Physicochemical properties, sugar profile, and non-starch polysaccharides characterization of old wheat malt landraces. Journal of Food Composition and Analysis, 102, 103997.</w:t>
      </w:r>
    </w:p>
    <w:p w14:paraId="35263331" w14:textId="77777777" w:rsidR="00DF33C2" w:rsidRPr="00FC2671" w:rsidRDefault="00DF33C2" w:rsidP="00FC2671">
      <w:pPr>
        <w:ind w:left="425" w:hanging="425"/>
        <w:jc w:val="both"/>
        <w:rPr>
          <w:sz w:val="18"/>
          <w:szCs w:val="18"/>
          <w:lang w:val="en-GB"/>
        </w:rPr>
      </w:pPr>
      <w:proofErr w:type="spellStart"/>
      <w:r w:rsidRPr="00FC2671">
        <w:rPr>
          <w:sz w:val="18"/>
          <w:szCs w:val="18"/>
          <w:lang w:val="en-GB"/>
        </w:rPr>
        <w:t>Alfeo</w:t>
      </w:r>
      <w:proofErr w:type="spellEnd"/>
      <w:r w:rsidRPr="00FC2671">
        <w:rPr>
          <w:sz w:val="18"/>
          <w:szCs w:val="18"/>
          <w:lang w:val="en-GB"/>
        </w:rPr>
        <w:t xml:space="preserve"> V., </w:t>
      </w:r>
      <w:proofErr w:type="spellStart"/>
      <w:r w:rsidRPr="00FC2671">
        <w:rPr>
          <w:sz w:val="18"/>
          <w:szCs w:val="18"/>
          <w:lang w:val="en-GB"/>
        </w:rPr>
        <w:t>Jaskula-Goiris</w:t>
      </w:r>
      <w:proofErr w:type="spellEnd"/>
      <w:r w:rsidRPr="00FC2671">
        <w:rPr>
          <w:sz w:val="18"/>
          <w:szCs w:val="18"/>
          <w:lang w:val="en-GB"/>
        </w:rPr>
        <w:t xml:space="preserve"> B., </w:t>
      </w:r>
      <w:proofErr w:type="spellStart"/>
      <w:r w:rsidRPr="00FC2671">
        <w:rPr>
          <w:sz w:val="18"/>
          <w:szCs w:val="18"/>
          <w:lang w:val="en-GB"/>
        </w:rPr>
        <w:t>Venora</w:t>
      </w:r>
      <w:proofErr w:type="spellEnd"/>
      <w:r w:rsidRPr="00FC2671">
        <w:rPr>
          <w:sz w:val="18"/>
          <w:szCs w:val="18"/>
          <w:lang w:val="en-GB"/>
        </w:rPr>
        <w:t xml:space="preserve"> G., </w:t>
      </w:r>
      <w:proofErr w:type="spellStart"/>
      <w:r w:rsidRPr="00FC2671">
        <w:rPr>
          <w:sz w:val="18"/>
          <w:szCs w:val="18"/>
          <w:lang w:val="en-GB"/>
        </w:rPr>
        <w:t>Schimmenti</w:t>
      </w:r>
      <w:proofErr w:type="spellEnd"/>
      <w:r w:rsidRPr="00FC2671">
        <w:rPr>
          <w:sz w:val="18"/>
          <w:szCs w:val="18"/>
          <w:lang w:val="en-GB"/>
        </w:rPr>
        <w:t xml:space="preserve"> E., </w:t>
      </w:r>
      <w:proofErr w:type="spellStart"/>
      <w:r w:rsidRPr="00FC2671">
        <w:rPr>
          <w:sz w:val="18"/>
          <w:szCs w:val="18"/>
          <w:lang w:val="en-GB"/>
        </w:rPr>
        <w:t>Aerts</w:t>
      </w:r>
      <w:proofErr w:type="spellEnd"/>
      <w:r w:rsidRPr="00FC2671">
        <w:rPr>
          <w:sz w:val="18"/>
          <w:szCs w:val="18"/>
          <w:lang w:val="en-GB"/>
        </w:rPr>
        <w:t xml:space="preserve"> G., &amp; Todaro A. (2018). Screening of durum wheat landraces (Triticum turgidum subsp. durum) for the malting suitability. Journal of Cereal Science, 83, 101-109.</w:t>
      </w:r>
    </w:p>
    <w:p w14:paraId="1586B113" w14:textId="77777777" w:rsidR="00DF33C2" w:rsidRPr="00FC2671" w:rsidRDefault="00DF33C2" w:rsidP="00FC2671">
      <w:pPr>
        <w:ind w:left="425" w:hanging="425"/>
        <w:jc w:val="both"/>
        <w:rPr>
          <w:sz w:val="18"/>
          <w:szCs w:val="18"/>
          <w:lang w:val="en-GB"/>
        </w:rPr>
      </w:pPr>
      <w:r w:rsidRPr="00FC2671">
        <w:rPr>
          <w:sz w:val="18"/>
          <w:szCs w:val="18"/>
          <w:lang w:val="en-GB"/>
        </w:rPr>
        <w:t>Analytica‐EBC. (2008). European Brewery Convention: Analytica‐EBC.</w:t>
      </w:r>
    </w:p>
    <w:p w14:paraId="6B43EA4F" w14:textId="77777777" w:rsidR="00DF33C2" w:rsidRPr="00FC2671" w:rsidRDefault="00DF33C2" w:rsidP="00FC2671">
      <w:pPr>
        <w:ind w:left="425" w:hanging="425"/>
        <w:jc w:val="both"/>
        <w:rPr>
          <w:sz w:val="18"/>
          <w:szCs w:val="18"/>
          <w:lang w:val="en-GB"/>
        </w:rPr>
      </w:pPr>
      <w:r w:rsidRPr="00FC2671">
        <w:rPr>
          <w:sz w:val="18"/>
          <w:szCs w:val="18"/>
          <w:lang w:val="en-GB"/>
        </w:rPr>
        <w:t xml:space="preserve">Armstrong B., Weiss M., Grieg R., &amp; </w:t>
      </w:r>
      <w:proofErr w:type="spellStart"/>
      <w:r w:rsidRPr="00FC2671">
        <w:rPr>
          <w:sz w:val="18"/>
          <w:szCs w:val="18"/>
          <w:lang w:val="en-GB"/>
        </w:rPr>
        <w:t>Aldred</w:t>
      </w:r>
      <w:proofErr w:type="spellEnd"/>
      <w:r w:rsidRPr="00FC2671">
        <w:rPr>
          <w:sz w:val="18"/>
          <w:szCs w:val="18"/>
          <w:lang w:val="en-GB"/>
        </w:rPr>
        <w:t xml:space="preserve"> G. (2002). Using digital image analysis to accurately determine the thousand kernel weight of randomly distributed barley, </w:t>
      </w:r>
      <w:proofErr w:type="gramStart"/>
      <w:r w:rsidRPr="00FC2671">
        <w:rPr>
          <w:sz w:val="18"/>
          <w:szCs w:val="18"/>
          <w:lang w:val="en-GB"/>
        </w:rPr>
        <w:t>malt</w:t>
      </w:r>
      <w:proofErr w:type="gramEnd"/>
      <w:r w:rsidRPr="00FC2671">
        <w:rPr>
          <w:sz w:val="18"/>
          <w:szCs w:val="18"/>
          <w:lang w:val="en-GB"/>
        </w:rPr>
        <w:t xml:space="preserve"> and wheat samples. Cereal proceedings, 115-118.</w:t>
      </w:r>
    </w:p>
    <w:p w14:paraId="2780D2AF" w14:textId="77777777" w:rsidR="00DF33C2" w:rsidRPr="00FC2671" w:rsidRDefault="00DF33C2" w:rsidP="00FC2671">
      <w:pPr>
        <w:ind w:left="425" w:hanging="425"/>
        <w:jc w:val="both"/>
        <w:rPr>
          <w:sz w:val="18"/>
          <w:szCs w:val="18"/>
          <w:lang w:val="en-GB"/>
        </w:rPr>
      </w:pPr>
      <w:r w:rsidRPr="00FC2671">
        <w:rPr>
          <w:sz w:val="18"/>
          <w:szCs w:val="18"/>
          <w:lang w:val="en-GB"/>
        </w:rPr>
        <w:t>Briggs D. E. (1998). Malts and malting. Springer Science &amp; Business Media.</w:t>
      </w:r>
    </w:p>
    <w:p w14:paraId="141F5254" w14:textId="77777777" w:rsidR="00DF33C2" w:rsidRPr="00FC2671" w:rsidRDefault="00DF33C2" w:rsidP="00FC2671">
      <w:pPr>
        <w:ind w:left="425" w:hanging="425"/>
        <w:jc w:val="both"/>
        <w:rPr>
          <w:sz w:val="18"/>
          <w:szCs w:val="18"/>
          <w:lang w:val="en-GB"/>
        </w:rPr>
      </w:pPr>
      <w:proofErr w:type="spellStart"/>
      <w:r w:rsidRPr="00FC2671">
        <w:rPr>
          <w:sz w:val="18"/>
          <w:szCs w:val="18"/>
          <w:lang w:val="en-GB"/>
        </w:rPr>
        <w:t>Domin</w:t>
      </w:r>
      <w:proofErr w:type="spellEnd"/>
      <w:r w:rsidRPr="00FC2671">
        <w:rPr>
          <w:sz w:val="18"/>
          <w:szCs w:val="18"/>
          <w:lang w:val="en-GB"/>
        </w:rPr>
        <w:t xml:space="preserve"> M., </w:t>
      </w:r>
      <w:proofErr w:type="spellStart"/>
      <w:r w:rsidRPr="00FC2671">
        <w:rPr>
          <w:sz w:val="18"/>
          <w:szCs w:val="18"/>
          <w:lang w:val="en-GB"/>
        </w:rPr>
        <w:t>Kluza</w:t>
      </w:r>
      <w:proofErr w:type="spellEnd"/>
      <w:r w:rsidRPr="00FC2671">
        <w:rPr>
          <w:sz w:val="18"/>
          <w:szCs w:val="18"/>
          <w:lang w:val="en-GB"/>
        </w:rPr>
        <w:t xml:space="preserve"> F., </w:t>
      </w:r>
      <w:proofErr w:type="spellStart"/>
      <w:r w:rsidRPr="00FC2671">
        <w:rPr>
          <w:sz w:val="18"/>
          <w:szCs w:val="18"/>
          <w:lang w:val="en-GB"/>
        </w:rPr>
        <w:t>Góral</w:t>
      </w:r>
      <w:proofErr w:type="spellEnd"/>
      <w:r w:rsidRPr="00FC2671">
        <w:rPr>
          <w:sz w:val="18"/>
          <w:szCs w:val="18"/>
          <w:lang w:val="en-GB"/>
        </w:rPr>
        <w:t xml:space="preserve"> D., </w:t>
      </w:r>
      <w:proofErr w:type="spellStart"/>
      <w:r w:rsidRPr="00FC2671">
        <w:rPr>
          <w:sz w:val="18"/>
          <w:szCs w:val="18"/>
          <w:lang w:val="en-GB"/>
        </w:rPr>
        <w:t>Nazarewicz</w:t>
      </w:r>
      <w:proofErr w:type="spellEnd"/>
      <w:r w:rsidRPr="00FC2671">
        <w:rPr>
          <w:sz w:val="18"/>
          <w:szCs w:val="18"/>
          <w:lang w:val="en-GB"/>
        </w:rPr>
        <w:t xml:space="preserve"> S., </w:t>
      </w:r>
      <w:proofErr w:type="spellStart"/>
      <w:r w:rsidRPr="00FC2671">
        <w:rPr>
          <w:sz w:val="18"/>
          <w:szCs w:val="18"/>
          <w:lang w:val="en-GB"/>
        </w:rPr>
        <w:t>Kozłowicz</w:t>
      </w:r>
      <w:proofErr w:type="spellEnd"/>
      <w:r w:rsidRPr="00FC2671">
        <w:rPr>
          <w:sz w:val="18"/>
          <w:szCs w:val="18"/>
          <w:lang w:val="en-GB"/>
        </w:rPr>
        <w:t xml:space="preserve"> K., </w:t>
      </w:r>
      <w:proofErr w:type="spellStart"/>
      <w:r w:rsidRPr="00FC2671">
        <w:rPr>
          <w:sz w:val="18"/>
          <w:szCs w:val="18"/>
          <w:lang w:val="en-GB"/>
        </w:rPr>
        <w:t>Szmigielski</w:t>
      </w:r>
      <w:proofErr w:type="spellEnd"/>
      <w:r w:rsidRPr="00FC2671">
        <w:rPr>
          <w:sz w:val="18"/>
          <w:szCs w:val="18"/>
          <w:lang w:val="en-GB"/>
        </w:rPr>
        <w:t xml:space="preserve"> M., &amp; </w:t>
      </w:r>
      <w:proofErr w:type="spellStart"/>
      <w:r w:rsidRPr="00FC2671">
        <w:rPr>
          <w:sz w:val="18"/>
          <w:szCs w:val="18"/>
          <w:lang w:val="en-GB"/>
        </w:rPr>
        <w:t>Ślaska-Grzywna</w:t>
      </w:r>
      <w:proofErr w:type="spellEnd"/>
      <w:r w:rsidRPr="00FC2671">
        <w:rPr>
          <w:sz w:val="18"/>
          <w:szCs w:val="18"/>
          <w:lang w:val="en-GB"/>
        </w:rPr>
        <w:t xml:space="preserve"> B. (2019). Germination energy and capacity of maize seeds following low-temperature short storage. Sustainability, 12(1), 46.</w:t>
      </w:r>
    </w:p>
    <w:p w14:paraId="10A61053" w14:textId="77777777" w:rsidR="00DF33C2" w:rsidRPr="00FC2671" w:rsidRDefault="00DF33C2" w:rsidP="00FC2671">
      <w:pPr>
        <w:ind w:left="425" w:hanging="425"/>
        <w:jc w:val="both"/>
        <w:rPr>
          <w:sz w:val="18"/>
          <w:szCs w:val="18"/>
          <w:lang w:val="en-GB"/>
        </w:rPr>
      </w:pPr>
      <w:proofErr w:type="spellStart"/>
      <w:r w:rsidRPr="00FC2671">
        <w:rPr>
          <w:sz w:val="18"/>
          <w:szCs w:val="18"/>
          <w:lang w:val="en-GB"/>
        </w:rPr>
        <w:t>Faltermaier</w:t>
      </w:r>
      <w:proofErr w:type="spellEnd"/>
      <w:r w:rsidRPr="00FC2671">
        <w:rPr>
          <w:sz w:val="18"/>
          <w:szCs w:val="18"/>
          <w:lang w:val="en-GB"/>
        </w:rPr>
        <w:t xml:space="preserve"> A., Waters D., Becker T., Arendt E., &amp; </w:t>
      </w:r>
      <w:proofErr w:type="spellStart"/>
      <w:r w:rsidRPr="00FC2671">
        <w:rPr>
          <w:sz w:val="18"/>
          <w:szCs w:val="18"/>
          <w:lang w:val="en-GB"/>
        </w:rPr>
        <w:t>Gastl</w:t>
      </w:r>
      <w:proofErr w:type="spellEnd"/>
      <w:r w:rsidRPr="00FC2671">
        <w:rPr>
          <w:sz w:val="18"/>
          <w:szCs w:val="18"/>
          <w:lang w:val="en-GB"/>
        </w:rPr>
        <w:t xml:space="preserve"> M. (2014). Common wheat (Triticum </w:t>
      </w:r>
      <w:proofErr w:type="spellStart"/>
      <w:r w:rsidRPr="00FC2671">
        <w:rPr>
          <w:sz w:val="18"/>
          <w:szCs w:val="18"/>
          <w:lang w:val="en-GB"/>
        </w:rPr>
        <w:t>aestivum</w:t>
      </w:r>
      <w:proofErr w:type="spellEnd"/>
      <w:r w:rsidRPr="00FC2671">
        <w:rPr>
          <w:sz w:val="18"/>
          <w:szCs w:val="18"/>
          <w:lang w:val="en-GB"/>
        </w:rPr>
        <w:t xml:space="preserve"> L.) and its use as a brewing cereal–a review. Journal of the Institute of Brewing, 120(1), 1-15.</w:t>
      </w:r>
    </w:p>
    <w:p w14:paraId="4DCCEF48" w14:textId="77777777" w:rsidR="00DF33C2" w:rsidRPr="00FC2671" w:rsidRDefault="00DF33C2" w:rsidP="00FC2671">
      <w:pPr>
        <w:ind w:left="425" w:hanging="425"/>
        <w:jc w:val="both"/>
        <w:rPr>
          <w:sz w:val="18"/>
          <w:szCs w:val="18"/>
          <w:lang w:val="en-GB"/>
        </w:rPr>
      </w:pPr>
      <w:r w:rsidRPr="00FC2671">
        <w:rPr>
          <w:sz w:val="18"/>
          <w:szCs w:val="18"/>
          <w:lang w:val="en-GB"/>
        </w:rPr>
        <w:t xml:space="preserve">Rani H., &amp; Bhardwaj R. D. (2021). Quality attributes for barley </w:t>
      </w:r>
      <w:proofErr w:type="spellStart"/>
      <w:proofErr w:type="gramStart"/>
      <w:r w:rsidRPr="00FC2671">
        <w:rPr>
          <w:sz w:val="18"/>
          <w:szCs w:val="18"/>
          <w:lang w:val="en-GB"/>
        </w:rPr>
        <w:t>malt:“</w:t>
      </w:r>
      <w:proofErr w:type="gramEnd"/>
      <w:r w:rsidRPr="00FC2671">
        <w:rPr>
          <w:sz w:val="18"/>
          <w:szCs w:val="18"/>
          <w:lang w:val="en-GB"/>
        </w:rPr>
        <w:t>The</w:t>
      </w:r>
      <w:proofErr w:type="spellEnd"/>
      <w:r w:rsidRPr="00FC2671">
        <w:rPr>
          <w:sz w:val="18"/>
          <w:szCs w:val="18"/>
          <w:lang w:val="en-GB"/>
        </w:rPr>
        <w:t xml:space="preserve"> backbone of beer”. Journal of Food Science, 86(8), 3322-3340.</w:t>
      </w:r>
    </w:p>
    <w:sectPr w:rsidR="00DF33C2" w:rsidRPr="00FC2671" w:rsidSect="00D8191D">
      <w:type w:val="continuous"/>
      <w:pgSz w:w="11906" w:h="16838"/>
      <w:pgMar w:top="113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A1013" w14:textId="77777777" w:rsidR="004D59D8" w:rsidRDefault="004D59D8">
      <w:r>
        <w:separator/>
      </w:r>
    </w:p>
  </w:endnote>
  <w:endnote w:type="continuationSeparator" w:id="0">
    <w:p w14:paraId="3C2CD056" w14:textId="77777777" w:rsidR="004D59D8" w:rsidRDefault="004D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980F1" w14:textId="77777777" w:rsidR="004D59D8" w:rsidRDefault="004D59D8">
      <w:r>
        <w:separator/>
      </w:r>
    </w:p>
  </w:footnote>
  <w:footnote w:type="continuationSeparator" w:id="0">
    <w:p w14:paraId="4DE2F220" w14:textId="77777777" w:rsidR="004D59D8" w:rsidRDefault="004D5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Titolo7"/>
      <w:lvlText w:val="%7"/>
      <w:lvlJc w:val="left"/>
      <w:pPr>
        <w:tabs>
          <w:tab w:val="num" w:pos="1296"/>
        </w:tabs>
        <w:ind w:left="1296" w:hanging="1296"/>
      </w:pPr>
    </w:lvl>
    <w:lvl w:ilvl="7">
      <w:start w:val="1"/>
      <w:numFmt w:val="decimal"/>
      <w:pStyle w:val="Titolo8"/>
      <w:lvlText w:val="%7.%8"/>
      <w:lvlJc w:val="left"/>
      <w:pPr>
        <w:tabs>
          <w:tab w:val="num" w:pos="1440"/>
        </w:tabs>
        <w:ind w:left="1440" w:hanging="1440"/>
      </w:pPr>
    </w:lvl>
    <w:lvl w:ilvl="8">
      <w:start w:val="1"/>
      <w:numFmt w:val="decimal"/>
      <w:pStyle w:val="Titolo9"/>
      <w:lvlText w:val="%7.%8.%9"/>
      <w:lvlJc w:val="left"/>
      <w:pPr>
        <w:tabs>
          <w:tab w:val="num" w:pos="1584"/>
        </w:tabs>
        <w:ind w:left="1584" w:hanging="1584"/>
      </w:pPr>
    </w:lvl>
  </w:abstractNum>
  <w:abstractNum w:abstractNumId="2" w15:restartNumberingAfterBreak="0">
    <w:nsid w:val="6CC04484"/>
    <w:multiLevelType w:val="hybridMultilevel"/>
    <w:tmpl w:val="8C1215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70273782">
    <w:abstractNumId w:val="1"/>
  </w:num>
  <w:num w:numId="2" w16cid:durableId="1518273166">
    <w:abstractNumId w:val="0"/>
  </w:num>
  <w:num w:numId="3" w16cid:durableId="1558936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9B"/>
    <w:rsid w:val="00040FD2"/>
    <w:rsid w:val="00167719"/>
    <w:rsid w:val="00217A66"/>
    <w:rsid w:val="002B160D"/>
    <w:rsid w:val="002B60D3"/>
    <w:rsid w:val="00322A23"/>
    <w:rsid w:val="003642F2"/>
    <w:rsid w:val="003D5923"/>
    <w:rsid w:val="00432AC7"/>
    <w:rsid w:val="004D378B"/>
    <w:rsid w:val="004D59D8"/>
    <w:rsid w:val="00512D9B"/>
    <w:rsid w:val="0067728F"/>
    <w:rsid w:val="00746B7D"/>
    <w:rsid w:val="007E1A6E"/>
    <w:rsid w:val="009854CA"/>
    <w:rsid w:val="009E6F5D"/>
    <w:rsid w:val="00AE017A"/>
    <w:rsid w:val="00AE0AB1"/>
    <w:rsid w:val="00B57A40"/>
    <w:rsid w:val="00BD138C"/>
    <w:rsid w:val="00C8497F"/>
    <w:rsid w:val="00D76006"/>
    <w:rsid w:val="00D8191D"/>
    <w:rsid w:val="00D83DAF"/>
    <w:rsid w:val="00DB66C7"/>
    <w:rsid w:val="00DD589B"/>
    <w:rsid w:val="00DF33C2"/>
    <w:rsid w:val="00EB6316"/>
    <w:rsid w:val="00FB589C"/>
    <w:rsid w:val="00FC267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Times New Roman" w:eastAsia="Times New Roman" w:hAnsi="Times New Roman" w:cs="Times New Roman"/>
      <w:sz w:val="20"/>
      <w:szCs w:val="20"/>
      <w:lang w:bidi="ar-SA"/>
    </w:rPr>
  </w:style>
  <w:style w:type="paragraph" w:styleId="Titolo1">
    <w:name w:val="heading 1"/>
    <w:basedOn w:val="Normale"/>
    <w:next w:val="Normale"/>
    <w:uiPriority w:val="9"/>
    <w:qFormat/>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uiPriority w:val="9"/>
    <w:unhideWhenUsed/>
    <w:qFormat/>
    <w:pPr>
      <w:keepNext/>
      <w:outlineLvl w:val="1"/>
    </w:pPr>
    <w:rPr>
      <w:sz w:val="32"/>
    </w:rPr>
  </w:style>
  <w:style w:type="paragraph" w:styleId="Titolo3">
    <w:name w:val="heading 3"/>
    <w:basedOn w:val="Normale"/>
    <w:next w:val="Normale"/>
    <w:uiPriority w:val="9"/>
    <w:unhideWhenUsed/>
    <w:qFormat/>
    <w:pPr>
      <w:keepNext/>
      <w:outlineLvl w:val="2"/>
    </w:pPr>
    <w:rPr>
      <w:sz w:val="28"/>
      <w:lang w:val="en-US"/>
    </w:rPr>
  </w:style>
  <w:style w:type="paragraph" w:styleId="Titolo4">
    <w:name w:val="heading 4"/>
    <w:basedOn w:val="Normale"/>
    <w:next w:val="Normale"/>
    <w:uiPriority w:val="9"/>
    <w:semiHidden/>
    <w:unhideWhenUsed/>
    <w:qFormat/>
    <w:pPr>
      <w:keepNext/>
      <w:widowControl/>
      <w:outlineLvl w:val="3"/>
    </w:pPr>
    <w:rPr>
      <w:color w:val="000000"/>
      <w:sz w:val="24"/>
    </w:rPr>
  </w:style>
  <w:style w:type="paragraph" w:styleId="Titolo5">
    <w:name w:val="heading 5"/>
    <w:basedOn w:val="Normale"/>
    <w:next w:val="Normale"/>
    <w:uiPriority w:val="9"/>
    <w:semiHidden/>
    <w:unhideWhenUsed/>
    <w:qFormat/>
    <w:pPr>
      <w:keepNext/>
      <w:spacing w:line="684" w:lineRule="exact"/>
      <w:textAlignment w:val="baseline"/>
      <w:outlineLvl w:val="4"/>
    </w:pPr>
    <w:rPr>
      <w:color w:val="000000"/>
      <w:sz w:val="72"/>
      <w:vertAlign w:val="subscript"/>
    </w:rPr>
  </w:style>
  <w:style w:type="paragraph" w:styleId="Titolo6">
    <w:name w:val="heading 6"/>
    <w:basedOn w:val="Normale"/>
    <w:next w:val="Normale"/>
    <w:uiPriority w:val="9"/>
    <w:semiHidden/>
    <w:unhideWhenUsed/>
    <w:qFormat/>
    <w:pPr>
      <w:keepNext/>
      <w:spacing w:line="684" w:lineRule="exact"/>
      <w:textAlignment w:val="baseline"/>
      <w:outlineLvl w:val="5"/>
    </w:pPr>
    <w:rPr>
      <w:b/>
      <w:bCs/>
      <w:color w:val="4D4D4D"/>
      <w:sz w:val="72"/>
      <w:szCs w:val="40"/>
      <w:vertAlign w:val="subscript"/>
    </w:rPr>
  </w:style>
  <w:style w:type="paragraph" w:styleId="Titolo7">
    <w:name w:val="heading 7"/>
    <w:basedOn w:val="Normale"/>
    <w:next w:val="Normale"/>
    <w:qFormat/>
    <w:pPr>
      <w:widowControl/>
      <w:numPr>
        <w:ilvl w:val="6"/>
        <w:numId w:val="1"/>
      </w:numPr>
      <w:spacing w:before="240" w:after="60" w:line="264" w:lineRule="auto"/>
      <w:jc w:val="both"/>
      <w:outlineLvl w:val="6"/>
    </w:pPr>
    <w:rPr>
      <w:rFonts w:ascii="Arial" w:hAnsi="Arial" w:cs="Arial"/>
      <w:kern w:val="2"/>
      <w:lang w:val="nl-NL"/>
    </w:rPr>
  </w:style>
  <w:style w:type="paragraph" w:styleId="Titolo8">
    <w:name w:val="heading 8"/>
    <w:basedOn w:val="Normale"/>
    <w:next w:val="Normale"/>
    <w:qFormat/>
    <w:pPr>
      <w:widowControl/>
      <w:numPr>
        <w:ilvl w:val="7"/>
        <w:numId w:val="1"/>
      </w:numPr>
      <w:spacing w:before="240" w:after="60" w:line="264" w:lineRule="auto"/>
      <w:jc w:val="both"/>
      <w:outlineLvl w:val="7"/>
    </w:pPr>
    <w:rPr>
      <w:rFonts w:ascii="Arial" w:hAnsi="Arial" w:cs="Arial"/>
      <w:i/>
      <w:kern w:val="2"/>
      <w:lang w:val="nl-NL"/>
    </w:rPr>
  </w:style>
  <w:style w:type="paragraph" w:styleId="Titolo9">
    <w:name w:val="heading 9"/>
    <w:basedOn w:val="Normale"/>
    <w:next w:val="Normale"/>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Rimandocommento">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olo">
    <w:name w:val="Title"/>
    <w:basedOn w:val="Normale"/>
    <w:next w:val="Normale"/>
    <w:uiPriority w:val="10"/>
    <w:qFormat/>
    <w:pPr>
      <w:widowControl/>
      <w:spacing w:before="720" w:after="120" w:line="264" w:lineRule="auto"/>
      <w:jc w:val="center"/>
    </w:pPr>
    <w:rPr>
      <w:b/>
      <w:kern w:val="2"/>
      <w:sz w:val="28"/>
      <w:lang w:val="nl-NL"/>
    </w:rPr>
  </w:style>
  <w:style w:type="paragraph" w:styleId="Corpotesto">
    <w:name w:val="Body Text"/>
    <w:basedOn w:val="Normale"/>
    <w:rPr>
      <w:i/>
      <w:iCs/>
      <w:sz w:val="32"/>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styleId="Corpodeltesto2">
    <w:name w:val="Body Text 2"/>
    <w:basedOn w:val="Normale"/>
    <w:qFormat/>
    <w:pPr>
      <w:shd w:val="clear" w:color="auto" w:fill="FFFFFF"/>
    </w:pPr>
    <w:rPr>
      <w:b/>
      <w:bCs/>
      <w:i/>
      <w:iCs/>
      <w:sz w:val="28"/>
    </w:rPr>
  </w:style>
  <w:style w:type="paragraph" w:styleId="Corpodeltesto3">
    <w:name w:val="Body Text 3"/>
    <w:basedOn w:val="Normale"/>
    <w:qFormat/>
    <w:pPr>
      <w:jc w:val="center"/>
    </w:pPr>
    <w:rPr>
      <w:sz w:val="36"/>
    </w:rPr>
  </w:style>
  <w:style w:type="paragraph" w:customStyle="1" w:styleId="NumberedList">
    <w:name w:val="Numbered List"/>
    <w:basedOn w:val="Normale"/>
    <w:qFormat/>
    <w:pPr>
      <w:widowControl/>
      <w:spacing w:line="264" w:lineRule="auto"/>
      <w:jc w:val="both"/>
    </w:pPr>
    <w:rPr>
      <w:kern w:val="2"/>
      <w:lang w:val="en-GB"/>
    </w:rPr>
  </w:style>
  <w:style w:type="paragraph" w:customStyle="1" w:styleId="paragrafo">
    <w:name w:val="paragrafo"/>
    <w:basedOn w:val="Normale"/>
    <w:qFormat/>
    <w:pPr>
      <w:widowControl/>
      <w:spacing w:line="360" w:lineRule="auto"/>
      <w:ind w:firstLine="567"/>
      <w:jc w:val="both"/>
      <w:textAlignment w:val="baseline"/>
    </w:pPr>
    <w:rPr>
      <w:color w:val="000000"/>
      <w:sz w:val="24"/>
    </w:rPr>
  </w:style>
  <w:style w:type="paragraph" w:styleId="Numeroelenco">
    <w:name w:val="List Number"/>
    <w:basedOn w:val="Normale"/>
    <w:qFormat/>
    <w:pPr>
      <w:widowControl/>
      <w:textAlignment w:val="baseline"/>
    </w:pPr>
  </w:style>
  <w:style w:type="paragraph" w:styleId="Numeroelenco2">
    <w:name w:val="List Number 2"/>
    <w:basedOn w:val="Normale"/>
    <w:qFormat/>
    <w:pPr>
      <w:widowControl/>
      <w:textAlignment w:val="baseline"/>
    </w:pPr>
  </w:style>
  <w:style w:type="paragraph" w:styleId="Numeroelenco3">
    <w:name w:val="List Number 3"/>
    <w:basedOn w:val="Normale"/>
    <w:qFormat/>
    <w:pPr>
      <w:widowControl/>
      <w:textAlignment w:val="baseline"/>
    </w:pPr>
  </w:style>
  <w:style w:type="paragraph" w:styleId="Numeroelenco4">
    <w:name w:val="List Number 4"/>
    <w:basedOn w:val="Normale"/>
    <w:qFormat/>
    <w:pPr>
      <w:widowControl/>
      <w:textAlignment w:val="baseline"/>
    </w:pPr>
  </w:style>
  <w:style w:type="paragraph" w:styleId="Numeroelenco5">
    <w:name w:val="List Number 5"/>
    <w:basedOn w:val="Normale"/>
    <w:qFormat/>
    <w:pPr>
      <w:widowControl/>
      <w:textAlignment w:val="baseline"/>
    </w:pPr>
  </w:style>
  <w:style w:type="paragraph" w:styleId="Puntoelenco">
    <w:name w:val="List Bullet"/>
    <w:basedOn w:val="Normale"/>
    <w:qFormat/>
    <w:pPr>
      <w:widowControl/>
      <w:textAlignment w:val="baseline"/>
    </w:pPr>
  </w:style>
  <w:style w:type="paragraph" w:styleId="Puntoelenco2">
    <w:name w:val="List Bullet 2"/>
    <w:basedOn w:val="Normale"/>
    <w:qFormat/>
    <w:pPr>
      <w:widowControl/>
      <w:textAlignment w:val="baseline"/>
    </w:pPr>
  </w:style>
  <w:style w:type="paragraph" w:styleId="Puntoelenco3">
    <w:name w:val="List Bullet 3"/>
    <w:basedOn w:val="Normale"/>
    <w:qFormat/>
    <w:pPr>
      <w:widowControl/>
      <w:textAlignment w:val="baseline"/>
    </w:pPr>
  </w:style>
  <w:style w:type="paragraph" w:styleId="Puntoelenco4">
    <w:name w:val="List Bullet 4"/>
    <w:basedOn w:val="Normale"/>
    <w:qFormat/>
    <w:pPr>
      <w:widowControl/>
      <w:textAlignment w:val="baseline"/>
    </w:pPr>
  </w:style>
  <w:style w:type="paragraph" w:styleId="Puntoelenco5">
    <w:name w:val="List Bullet 5"/>
    <w:basedOn w:val="Normale"/>
    <w:qFormat/>
    <w:pPr>
      <w:widowControl/>
      <w:textAlignment w:val="baseline"/>
    </w:pPr>
  </w:style>
  <w:style w:type="paragraph" w:customStyle="1" w:styleId="Intestazioneepidipagina">
    <w:name w:val="Intestazione e piè di pagina"/>
    <w:basedOn w:val="Normale"/>
    <w:qFormat/>
    <w:pPr>
      <w:suppressLineNumbers/>
      <w:tabs>
        <w:tab w:val="center" w:pos="4986"/>
        <w:tab w:val="right" w:pos="9972"/>
      </w:tabs>
    </w:pPr>
  </w:style>
  <w:style w:type="paragraph" w:styleId="Intestazione">
    <w:name w:val="header"/>
    <w:basedOn w:val="Normale"/>
    <w:pPr>
      <w:widowControl/>
      <w:tabs>
        <w:tab w:val="center" w:pos="4819"/>
        <w:tab w:val="right" w:pos="9638"/>
      </w:tabs>
      <w:spacing w:line="264" w:lineRule="auto"/>
      <w:jc w:val="both"/>
    </w:pPr>
    <w:rPr>
      <w:kern w:val="2"/>
      <w:lang w:val="nl-NL"/>
    </w:rPr>
  </w:style>
  <w:style w:type="paragraph" w:styleId="Rientrocorpodeltesto2">
    <w:name w:val="Body Text Indent 2"/>
    <w:basedOn w:val="Normale"/>
    <w:qFormat/>
    <w:pPr>
      <w:widowControl/>
      <w:ind w:firstLine="426"/>
      <w:jc w:val="both"/>
      <w:textAlignment w:val="baseline"/>
    </w:pPr>
    <w:rPr>
      <w:bCs/>
      <w:sz w:val="24"/>
      <w:lang w:val="en-GB"/>
    </w:rPr>
  </w:style>
  <w:style w:type="paragraph" w:styleId="Rientrocorpodeltesto">
    <w:name w:val="Body Text Indent"/>
    <w:basedOn w:val="Normale"/>
    <w:pPr>
      <w:widowControl/>
      <w:spacing w:line="264" w:lineRule="auto"/>
      <w:ind w:left="284" w:hanging="284"/>
      <w:jc w:val="both"/>
    </w:pPr>
    <w:rPr>
      <w:kern w:val="2"/>
      <w:lang w:val="en-GB"/>
    </w:rPr>
  </w:style>
  <w:style w:type="paragraph" w:styleId="Pidipagina">
    <w:name w:val="footer"/>
    <w:basedOn w:val="Normale"/>
    <w:pPr>
      <w:tabs>
        <w:tab w:val="center" w:pos="4153"/>
        <w:tab w:val="right" w:pos="8306"/>
      </w:tabs>
    </w:pPr>
  </w:style>
  <w:style w:type="paragraph" w:styleId="Rientrocorpodeltesto3">
    <w:name w:val="Body Text Indent 3"/>
    <w:basedOn w:val="Normale"/>
    <w:qFormat/>
    <w:pPr>
      <w:widowControl/>
      <w:spacing w:after="120"/>
      <w:ind w:left="283"/>
      <w:textAlignment w:val="baseline"/>
    </w:pPr>
    <w:rPr>
      <w:sz w:val="16"/>
      <w:szCs w:val="16"/>
    </w:rPr>
  </w:style>
  <w:style w:type="paragraph" w:styleId="Testocommento">
    <w:name w:val="annotation text"/>
    <w:basedOn w:val="Normale"/>
    <w:qFormat/>
  </w:style>
  <w:style w:type="paragraph" w:styleId="Testofumetto">
    <w:name w:val="Balloon Text"/>
    <w:basedOn w:val="Normale"/>
    <w:qFormat/>
    <w:rPr>
      <w:rFonts w:ascii="Tahoma" w:hAnsi="Tahoma" w:cs="Tahoma"/>
      <w:sz w:val="16"/>
      <w:szCs w:val="16"/>
    </w:rPr>
  </w:style>
  <w:style w:type="paragraph" w:styleId="Soggettocommento">
    <w:name w:val="annotation subject"/>
    <w:basedOn w:val="Testocommento"/>
    <w:next w:val="Testocommento"/>
    <w:qFormat/>
    <w:rPr>
      <w:b/>
      <w:bCs/>
    </w:rPr>
  </w:style>
  <w:style w:type="paragraph" w:styleId="Testonotaapidipagina">
    <w:name w:val="footnote text"/>
    <w:basedOn w:val="Normale"/>
    <w:rPr>
      <w:sz w:val="24"/>
      <w:szCs w:val="24"/>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e"/>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paragraph" w:styleId="Paragrafoelenco">
    <w:name w:val="List Paragraph"/>
    <w:basedOn w:val="Normale"/>
    <w:uiPriority w:val="34"/>
    <w:qFormat/>
    <w:rsid w:val="00D83DAF"/>
    <w:pPr>
      <w:ind w:left="720"/>
      <w:contextualSpacing/>
    </w:pPr>
  </w:style>
  <w:style w:type="table" w:styleId="Grigliatabella">
    <w:name w:val="Table Grid"/>
    <w:basedOn w:val="Tabellanormale"/>
    <w:uiPriority w:val="39"/>
    <w:rsid w:val="00D83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873F2-EC9D-4FCA-AA17-C5C513CF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1455</Words>
  <Characters>8296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IGNAZIO MARIA GUGINO</cp:lastModifiedBy>
  <cp:revision>19</cp:revision>
  <cp:lastPrinted>2023-02-24T09:51:00Z</cp:lastPrinted>
  <dcterms:created xsi:type="dcterms:W3CDTF">2023-06-26T06:36:00Z</dcterms:created>
  <dcterms:modified xsi:type="dcterms:W3CDTF">2023-06-26T07:24:00Z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GrammarlyDocumentId">
    <vt:lpwstr>7c8b603334507af9e8bb2bc4bc087ec79facaa02657f6918c2bcaf6c589ae480</vt:lpwstr>
  </property>
</Properties>
</file>