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BF8D7B" w14:textId="77777777" w:rsidR="005F06FD" w:rsidRPr="00883FD1" w:rsidRDefault="005F06FD" w:rsidP="00883FD1">
      <w:pPr>
        <w:pStyle w:val="Titolo"/>
        <w:spacing w:before="600"/>
        <w:rPr>
          <w:rFonts w:eastAsiaTheme="minorHAnsi"/>
        </w:rPr>
      </w:pPr>
      <w:r w:rsidRPr="00883FD1">
        <w:t>Assessment of the Stability and Efficacy of a Newly Developed Probiotic Blend in the Context of IBS through a Pilot Multicentre Study</w:t>
      </w:r>
    </w:p>
    <w:p w14:paraId="15A3918F" w14:textId="77777777" w:rsidR="005F06FD" w:rsidRPr="00E60E11" w:rsidRDefault="005F06FD" w:rsidP="005F06FD">
      <w:pPr>
        <w:autoSpaceDE w:val="0"/>
        <w:autoSpaceDN w:val="0"/>
        <w:adjustRightInd w:val="0"/>
        <w:jc w:val="center"/>
        <w:rPr>
          <w:rFonts w:cs="TimesNewRomanPSMT"/>
        </w:rPr>
      </w:pPr>
      <w:r w:rsidRPr="00E60E11">
        <w:rPr>
          <w:rFonts w:cs="TimesNewRomanPSMT"/>
        </w:rPr>
        <w:t>Laura Brunelli (Laura.Brunelli@unimi.it)</w:t>
      </w:r>
    </w:p>
    <w:p w14:paraId="3F13E7C0" w14:textId="77777777" w:rsidR="005F06FD" w:rsidRPr="00380137" w:rsidRDefault="005F06FD" w:rsidP="005F06FD">
      <w:pPr>
        <w:autoSpaceDE w:val="0"/>
        <w:autoSpaceDN w:val="0"/>
        <w:adjustRightInd w:val="0"/>
        <w:jc w:val="center"/>
        <w:rPr>
          <w:rFonts w:cs="TimesNewRomanPSMT"/>
          <w:lang w:val="en-GB"/>
        </w:rPr>
      </w:pPr>
      <w:r w:rsidRPr="00380137">
        <w:rPr>
          <w:rFonts w:cs="TimesNewRomanPSMT"/>
          <w:lang w:val="en-GB"/>
        </w:rPr>
        <w:t>Dept. of Food, Environmental and Nutritional Sciences, University of Milan, Milan, Italy</w:t>
      </w:r>
    </w:p>
    <w:p w14:paraId="6A313B9A" w14:textId="35C762FA" w:rsidR="005F06FD" w:rsidRPr="00380137" w:rsidRDefault="005F06FD" w:rsidP="00EF512E">
      <w:pPr>
        <w:jc w:val="center"/>
        <w:rPr>
          <w:rFonts w:cs="TimesNewRomanPSMT"/>
          <w:lang w:val="en-GB"/>
        </w:rPr>
      </w:pPr>
      <w:r w:rsidRPr="00380137">
        <w:rPr>
          <w:rFonts w:cs="TimesNewRomanPSMT"/>
          <w:lang w:val="en-GB"/>
        </w:rPr>
        <w:t>Tutor: Prof. Simone Guglielmetti</w:t>
      </w:r>
    </w:p>
    <w:p w14:paraId="7DC882B2" w14:textId="77777777" w:rsidR="005F06FD" w:rsidRPr="00380137" w:rsidRDefault="005F06FD" w:rsidP="005F06FD">
      <w:pPr>
        <w:tabs>
          <w:tab w:val="left" w:pos="0"/>
        </w:tabs>
        <w:jc w:val="both"/>
        <w:rPr>
          <w:lang w:val="en-GB"/>
        </w:rPr>
      </w:pPr>
    </w:p>
    <w:p w14:paraId="41BEEFE7" w14:textId="249266B3" w:rsidR="0077752C" w:rsidRPr="00380137" w:rsidRDefault="005F06FD" w:rsidP="004602AB">
      <w:pPr>
        <w:tabs>
          <w:tab w:val="left" w:pos="0"/>
        </w:tabs>
        <w:jc w:val="both"/>
        <w:rPr>
          <w:rFonts w:ascii="Arial" w:hAnsi="Arial" w:cs="Arial"/>
          <w:vanish/>
          <w:lang w:val="en-GB" w:eastAsia="it-IT"/>
        </w:rPr>
      </w:pPr>
      <w:r w:rsidRPr="00380137">
        <w:rPr>
          <w:lang w:val="en-GB"/>
        </w:rPr>
        <w:t xml:space="preserve">The first two activities of the PhD thesis project are described. Firstly, </w:t>
      </w:r>
      <w:r w:rsidR="00A05E43" w:rsidRPr="00380137">
        <w:rPr>
          <w:lang w:val="en-GB"/>
        </w:rPr>
        <w:t xml:space="preserve">the adhesion and antioxidant abilities of </w:t>
      </w:r>
      <w:r w:rsidR="00BB6C02" w:rsidRPr="00380137">
        <w:rPr>
          <w:lang w:val="en-GB"/>
        </w:rPr>
        <w:t>bacteria</w:t>
      </w:r>
      <w:r w:rsidR="00A05E43" w:rsidRPr="00380137">
        <w:rPr>
          <w:lang w:val="en-GB"/>
        </w:rPr>
        <w:t xml:space="preserve"> </w:t>
      </w:r>
      <w:r w:rsidR="0077752C" w:rsidRPr="00380137">
        <w:rPr>
          <w:lang w:val="en-GB"/>
        </w:rPr>
        <w:t xml:space="preserve">that </w:t>
      </w:r>
      <w:r w:rsidR="00A05E43" w:rsidRPr="00380137">
        <w:rPr>
          <w:lang w:val="en-GB"/>
        </w:rPr>
        <w:t xml:space="preserve">composed the probiotic blend were assessed. These are two of the main probiotic properties </w:t>
      </w:r>
      <w:r w:rsidR="00C01E9C" w:rsidRPr="00380137">
        <w:rPr>
          <w:lang w:val="en-GB"/>
        </w:rPr>
        <w:t>evaluated</w:t>
      </w:r>
      <w:r w:rsidR="00A05E43" w:rsidRPr="00380137">
        <w:rPr>
          <w:lang w:val="en-GB"/>
        </w:rPr>
        <w:t xml:space="preserve"> to</w:t>
      </w:r>
      <w:r w:rsidR="00A05E43" w:rsidRPr="00380137">
        <w:rPr>
          <w:rFonts w:cs="TimesNewRomanPSMT"/>
          <w:i/>
          <w:lang w:val="en-GB"/>
        </w:rPr>
        <w:t xml:space="preserve"> </w:t>
      </w:r>
      <w:r w:rsidR="00A05E43" w:rsidRPr="00380137">
        <w:rPr>
          <w:rFonts w:cs="TimesNewRomanPSMT"/>
          <w:lang w:val="en-GB"/>
        </w:rPr>
        <w:t xml:space="preserve">characterize </w:t>
      </w:r>
      <w:r w:rsidR="0077752C" w:rsidRPr="00380137">
        <w:rPr>
          <w:rFonts w:cs="TimesNewRomanPSMT"/>
          <w:lang w:val="en-GB"/>
        </w:rPr>
        <w:t xml:space="preserve">the bacterial </w:t>
      </w:r>
      <w:r w:rsidR="00A05E43" w:rsidRPr="00380137">
        <w:rPr>
          <w:rFonts w:cs="TimesNewRomanPSMT"/>
          <w:lang w:val="en-GB"/>
        </w:rPr>
        <w:t>strains from the functional point of view</w:t>
      </w:r>
      <w:r w:rsidR="0077752C" w:rsidRPr="00380137">
        <w:rPr>
          <w:rFonts w:cs="TimesNewRomanPSMT"/>
          <w:i/>
          <w:lang w:val="en-GB"/>
        </w:rPr>
        <w:t xml:space="preserve"> in vitro</w:t>
      </w:r>
      <w:r w:rsidR="00BB6C02" w:rsidRPr="00380137">
        <w:rPr>
          <w:lang w:val="en-GB"/>
        </w:rPr>
        <w:t xml:space="preserve">. </w:t>
      </w:r>
      <w:r w:rsidRPr="00380137">
        <w:rPr>
          <w:lang w:val="en-GB"/>
        </w:rPr>
        <w:t xml:space="preserve">Secondly, </w:t>
      </w:r>
      <w:r w:rsidR="00BB6C02" w:rsidRPr="00380137">
        <w:rPr>
          <w:lang w:val="en-GB"/>
        </w:rPr>
        <w:t xml:space="preserve">the </w:t>
      </w:r>
      <w:r w:rsidR="00BB6C02" w:rsidRPr="00380137">
        <w:rPr>
          <w:rFonts w:cs="TimesNewRomanPSMT"/>
          <w:lang w:val="en-GB"/>
        </w:rPr>
        <w:t xml:space="preserve">effect of the probiotic multi-strains supplement </w:t>
      </w:r>
      <w:r w:rsidR="0077752C" w:rsidRPr="00380137">
        <w:rPr>
          <w:rFonts w:cs="TimesNewRomanPSMT"/>
          <w:lang w:val="en-GB"/>
        </w:rPr>
        <w:t xml:space="preserve">on non-constipated </w:t>
      </w:r>
      <w:r w:rsidR="00BB6C02" w:rsidRPr="00380137">
        <w:rPr>
          <w:rFonts w:cs="TimesNewRomanPSMT"/>
          <w:lang w:val="en-GB"/>
        </w:rPr>
        <w:t>IBS</w:t>
      </w:r>
      <w:r w:rsidR="001A446B" w:rsidRPr="00380137">
        <w:rPr>
          <w:rFonts w:cs="TimesNewRomanPSMT"/>
          <w:lang w:val="en-GB"/>
        </w:rPr>
        <w:t xml:space="preserve"> </w:t>
      </w:r>
      <w:r w:rsidR="0077752C" w:rsidRPr="00380137">
        <w:rPr>
          <w:rFonts w:cs="TimesNewRomanPSMT"/>
          <w:lang w:val="en-GB"/>
        </w:rPr>
        <w:t xml:space="preserve">patients </w:t>
      </w:r>
      <w:r w:rsidR="001A446B" w:rsidRPr="00380137">
        <w:rPr>
          <w:rFonts w:cs="TimesNewRomanPSMT"/>
          <w:lang w:val="en-GB"/>
        </w:rPr>
        <w:t xml:space="preserve">was </w:t>
      </w:r>
      <w:r w:rsidR="0077752C" w:rsidRPr="00380137">
        <w:rPr>
          <w:lang w:val="en-GB"/>
        </w:rPr>
        <w:t>assessed</w:t>
      </w:r>
      <w:r w:rsidR="00BB6C02" w:rsidRPr="00380137">
        <w:rPr>
          <w:rFonts w:cs="TimesNewRomanPSMT"/>
          <w:lang w:val="en-GB"/>
        </w:rPr>
        <w:t>,</w:t>
      </w:r>
      <w:r w:rsidR="00BB6C02" w:rsidRPr="00380137">
        <w:rPr>
          <w:lang w:val="en-GB" w:eastAsia="it-IT"/>
        </w:rPr>
        <w:t xml:space="preserve"> </w:t>
      </w:r>
      <w:r w:rsidR="0077752C" w:rsidRPr="00380137">
        <w:rPr>
          <w:lang w:val="en-GB" w:eastAsia="it-IT"/>
        </w:rPr>
        <w:t xml:space="preserve">and the </w:t>
      </w:r>
      <w:r w:rsidR="00BB6C02" w:rsidRPr="00380137">
        <w:rPr>
          <w:rFonts w:cs="TimesNewRomanPSMT"/>
          <w:lang w:val="en-GB"/>
        </w:rPr>
        <w:t xml:space="preserve">results obtained from the </w:t>
      </w:r>
      <w:proofErr w:type="spellStart"/>
      <w:r w:rsidR="00BB6C02" w:rsidRPr="00380137">
        <w:rPr>
          <w:rFonts w:cs="TimesNewRomanPSMT"/>
          <w:lang w:val="en-GB"/>
        </w:rPr>
        <w:t>microbiomic</w:t>
      </w:r>
      <w:proofErr w:type="spellEnd"/>
      <w:r w:rsidR="00BB6C02" w:rsidRPr="00380137">
        <w:rPr>
          <w:rFonts w:cs="TimesNewRomanPSMT"/>
          <w:lang w:val="en-GB"/>
        </w:rPr>
        <w:t xml:space="preserve"> and metabolite analysis of the </w:t>
      </w:r>
      <w:r w:rsidR="009669C9" w:rsidRPr="00380137">
        <w:rPr>
          <w:rFonts w:cs="TimesNewRomanPSMT"/>
          <w:lang w:val="en-GB"/>
        </w:rPr>
        <w:t>faecal</w:t>
      </w:r>
      <w:r w:rsidR="00BB6C02" w:rsidRPr="00380137">
        <w:rPr>
          <w:rFonts w:cs="TimesNewRomanPSMT"/>
          <w:lang w:val="en-GB"/>
        </w:rPr>
        <w:t xml:space="preserve"> samples collected during the clinical study</w:t>
      </w:r>
      <w:r w:rsidR="0077752C" w:rsidRPr="00380137">
        <w:rPr>
          <w:rFonts w:cs="TimesNewRomanPSMT"/>
          <w:lang w:val="en-GB"/>
        </w:rPr>
        <w:t xml:space="preserve"> are described</w:t>
      </w:r>
      <w:r w:rsidR="004602AB" w:rsidRPr="00380137">
        <w:rPr>
          <w:rFonts w:cs="TimesNewRomanPSMT"/>
          <w:lang w:val="en-GB"/>
        </w:rPr>
        <w:t>.</w:t>
      </w:r>
      <w:r w:rsidR="0077752C" w:rsidRPr="00380137">
        <w:rPr>
          <w:rFonts w:ascii="Arial" w:hAnsi="Arial" w:cs="Arial"/>
          <w:vanish/>
          <w:lang w:val="en-GB" w:eastAsia="it-IT"/>
        </w:rPr>
        <w:t>Bottom of Form</w:t>
      </w:r>
    </w:p>
    <w:p w14:paraId="1C9AA7F5" w14:textId="77777777" w:rsidR="0077752C" w:rsidRPr="00380137" w:rsidRDefault="0077752C" w:rsidP="005F06FD">
      <w:pPr>
        <w:tabs>
          <w:tab w:val="left" w:pos="0"/>
        </w:tabs>
        <w:jc w:val="both"/>
        <w:rPr>
          <w:rFonts w:cs="TimesNewRomanPSMT"/>
          <w:lang w:val="en-GB"/>
        </w:rPr>
      </w:pPr>
    </w:p>
    <w:p w14:paraId="0D66A001" w14:textId="1E7D14BB" w:rsidR="00E87DFB" w:rsidRPr="00380137" w:rsidRDefault="00E87DFB" w:rsidP="00E87DFB">
      <w:pPr>
        <w:autoSpaceDE w:val="0"/>
        <w:autoSpaceDN w:val="0"/>
        <w:adjustRightInd w:val="0"/>
        <w:spacing w:before="240" w:after="120"/>
        <w:jc w:val="center"/>
        <w:rPr>
          <w:rFonts w:cs="TimesNewRomanPS-BoldMT"/>
          <w:b/>
          <w:bCs/>
          <w:sz w:val="24"/>
          <w:szCs w:val="24"/>
        </w:rPr>
      </w:pPr>
      <w:bookmarkStart w:id="0" w:name="_Hlk106184884"/>
      <w:r w:rsidRPr="00380137">
        <w:rPr>
          <w:rFonts w:cs="TimesNewRomanPS-BoldMT"/>
          <w:b/>
          <w:bCs/>
          <w:sz w:val="24"/>
          <w:szCs w:val="24"/>
        </w:rPr>
        <w:t>Valutazione della stabilità e dell’efficacia di un nuovo prodotto probiotico multi-ceppo nel contesto dell’IBS tramite uno studio pilota multicentrico</w:t>
      </w:r>
    </w:p>
    <w:bookmarkEnd w:id="0"/>
    <w:p w14:paraId="5DC69E81" w14:textId="38695459" w:rsidR="005F06FD" w:rsidRPr="00380137" w:rsidRDefault="00BB6C02" w:rsidP="005F06FD">
      <w:pPr>
        <w:tabs>
          <w:tab w:val="left" w:pos="0"/>
        </w:tabs>
        <w:jc w:val="both"/>
      </w:pPr>
      <w:r w:rsidRPr="00380137">
        <w:t>Sono descritte l</w:t>
      </w:r>
      <w:r w:rsidR="005F06FD" w:rsidRPr="00380137">
        <w:t xml:space="preserve">e prime </w:t>
      </w:r>
      <w:r w:rsidRPr="00380137">
        <w:t xml:space="preserve">due </w:t>
      </w:r>
      <w:r w:rsidR="005F06FD" w:rsidRPr="00380137">
        <w:t xml:space="preserve">attività del progetto di tesi di dottorato. Sono state determinate la </w:t>
      </w:r>
      <w:r w:rsidRPr="00380137">
        <w:t>capacità adesiva e antiossidante dei batteri contenuti nel blend probiotico</w:t>
      </w:r>
      <w:r w:rsidR="005F06FD" w:rsidRPr="00380137">
        <w:t xml:space="preserve">, </w:t>
      </w:r>
      <w:r w:rsidRPr="00380137">
        <w:t xml:space="preserve">le quali rappresentano due delle principali proprietà utilizzate per caratterizzare </w:t>
      </w:r>
      <w:r w:rsidRPr="00380137">
        <w:rPr>
          <w:i/>
          <w:iCs/>
        </w:rPr>
        <w:t>in vitro</w:t>
      </w:r>
      <w:r w:rsidRPr="00380137">
        <w:t xml:space="preserve"> la funzionalità dei ceppi. </w:t>
      </w:r>
      <w:r w:rsidR="005F06FD" w:rsidRPr="00380137">
        <w:t xml:space="preserve">Si è </w:t>
      </w:r>
      <w:r w:rsidRPr="00380137">
        <w:t>poi valutato l’effetto del probiotico multi-ceppo</w:t>
      </w:r>
      <w:r w:rsidR="005F06FD" w:rsidRPr="00380137">
        <w:t xml:space="preserve"> </w:t>
      </w:r>
      <w:r w:rsidRPr="00380137">
        <w:t>in soggetti con IBS</w:t>
      </w:r>
      <w:r w:rsidR="007A0C56">
        <w:t xml:space="preserve"> non costipati</w:t>
      </w:r>
      <w:r w:rsidRPr="00380137">
        <w:t xml:space="preserve">, descrivendo i risultati ottenuti dall’analisi </w:t>
      </w:r>
      <w:proofErr w:type="spellStart"/>
      <w:r w:rsidRPr="00380137">
        <w:t>microbiomica</w:t>
      </w:r>
      <w:proofErr w:type="spellEnd"/>
      <w:r w:rsidRPr="00380137">
        <w:t xml:space="preserve"> e dei metaboliti a partire dai campioni fecali raccolti nello studio clinico.</w:t>
      </w:r>
    </w:p>
    <w:p w14:paraId="67383607" w14:textId="77777777" w:rsidR="005F06FD" w:rsidRPr="00380137" w:rsidRDefault="005F06FD" w:rsidP="005F06FD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 w:rsidRPr="00380137">
        <w:rPr>
          <w:b/>
          <w:bCs/>
          <w:color w:val="000000"/>
          <w:sz w:val="24"/>
          <w:lang w:val="en-GB"/>
        </w:rPr>
        <w:t>1. Introduction</w:t>
      </w:r>
    </w:p>
    <w:p w14:paraId="727D9BFB" w14:textId="4304D485" w:rsidR="005F06FD" w:rsidRPr="00380137" w:rsidRDefault="005F06FD" w:rsidP="005F06FD">
      <w:pPr>
        <w:jc w:val="both"/>
        <w:rPr>
          <w:lang w:val="en-GB"/>
        </w:rPr>
      </w:pPr>
      <w:r w:rsidRPr="00380137">
        <w:rPr>
          <w:lang w:val="en-GB"/>
        </w:rPr>
        <w:t xml:space="preserve">In accordance with the PhD project, this poster reports the main results of the first </w:t>
      </w:r>
      <w:r w:rsidR="004602AB" w:rsidRPr="00380137">
        <w:rPr>
          <w:lang w:val="en-GB"/>
        </w:rPr>
        <w:t xml:space="preserve">2 </w:t>
      </w:r>
      <w:r w:rsidRPr="00380137">
        <w:rPr>
          <w:lang w:val="en-GB"/>
        </w:rPr>
        <w:t>activities</w:t>
      </w:r>
      <w:r w:rsidR="0077752C" w:rsidRPr="00380137">
        <w:rPr>
          <w:lang w:val="en-GB"/>
        </w:rPr>
        <w:t>, which are as follows</w:t>
      </w:r>
      <w:r w:rsidRPr="00380137">
        <w:rPr>
          <w:lang w:val="en-GB"/>
        </w:rPr>
        <w:t xml:space="preserve">: </w:t>
      </w:r>
    </w:p>
    <w:p w14:paraId="57D5EC89" w14:textId="728C87C6" w:rsidR="005F06FD" w:rsidRPr="00380137" w:rsidRDefault="005F06FD" w:rsidP="0077752C">
      <w:pPr>
        <w:tabs>
          <w:tab w:val="left" w:pos="567"/>
        </w:tabs>
        <w:ind w:left="567" w:hanging="567"/>
        <w:jc w:val="both"/>
        <w:rPr>
          <w:lang w:val="en-GB"/>
        </w:rPr>
      </w:pPr>
      <w:r w:rsidRPr="00380137">
        <w:rPr>
          <w:lang w:val="en-GB"/>
        </w:rPr>
        <w:t xml:space="preserve">(A1) </w:t>
      </w:r>
      <w:r w:rsidRPr="00380137">
        <w:rPr>
          <w:lang w:val="en-GB"/>
        </w:rPr>
        <w:tab/>
      </w:r>
      <w:r w:rsidR="000B2550" w:rsidRPr="00380137">
        <w:rPr>
          <w:rFonts w:cs="TimesNewRomanPSMT"/>
          <w:i/>
          <w:lang w:val="en-GB"/>
        </w:rPr>
        <w:t>in vitro</w:t>
      </w:r>
      <w:r w:rsidR="000B2550" w:rsidRPr="00380137">
        <w:rPr>
          <w:rFonts w:cs="TimesNewRomanPSMT"/>
          <w:lang w:val="en-GB"/>
        </w:rPr>
        <w:t xml:space="preserve"> characterization of strains’ probiotic properties from the functional </w:t>
      </w:r>
      <w:r w:rsidR="0077752C" w:rsidRPr="00380137">
        <w:rPr>
          <w:rFonts w:cs="TimesNewRomanPSMT"/>
          <w:lang w:val="en-GB"/>
        </w:rPr>
        <w:t>perspective</w:t>
      </w:r>
      <w:r w:rsidR="000B2550" w:rsidRPr="00380137">
        <w:rPr>
          <w:lang w:val="en-GB"/>
        </w:rPr>
        <w:t>, particular</w:t>
      </w:r>
      <w:r w:rsidR="0077752C" w:rsidRPr="00380137">
        <w:rPr>
          <w:lang w:val="en-GB"/>
        </w:rPr>
        <w:t>ly</w:t>
      </w:r>
      <w:r w:rsidR="000B2550" w:rsidRPr="00380137">
        <w:rPr>
          <w:lang w:val="en-GB"/>
        </w:rPr>
        <w:t xml:space="preserve"> by </w:t>
      </w:r>
      <w:r w:rsidR="0077752C" w:rsidRPr="00380137">
        <w:rPr>
          <w:lang w:val="en-GB"/>
        </w:rPr>
        <w:t xml:space="preserve">evaluating </w:t>
      </w:r>
      <w:r w:rsidR="000B2550" w:rsidRPr="00380137">
        <w:rPr>
          <w:lang w:val="en-GB"/>
        </w:rPr>
        <w:t xml:space="preserve">adhesion and antioxidant abilities of </w:t>
      </w:r>
      <w:r w:rsidR="00684C57" w:rsidRPr="00380137">
        <w:rPr>
          <w:lang w:val="en-GB"/>
        </w:rPr>
        <w:t>bacterial</w:t>
      </w:r>
      <w:r w:rsidR="000B2550" w:rsidRPr="00380137">
        <w:rPr>
          <w:lang w:val="en-GB"/>
        </w:rPr>
        <w:t xml:space="preserve"> strains</w:t>
      </w:r>
      <w:r w:rsidRPr="00380137">
        <w:rPr>
          <w:lang w:val="en-GB"/>
        </w:rPr>
        <w:t>;</w:t>
      </w:r>
    </w:p>
    <w:p w14:paraId="62DD9A59" w14:textId="371AD756" w:rsidR="0077752C" w:rsidRPr="00380137" w:rsidRDefault="005F06FD" w:rsidP="00971583">
      <w:pPr>
        <w:tabs>
          <w:tab w:val="left" w:pos="567"/>
        </w:tabs>
        <w:ind w:left="567" w:hanging="567"/>
        <w:jc w:val="both"/>
        <w:rPr>
          <w:lang w:val="en-GB"/>
        </w:rPr>
      </w:pPr>
      <w:r w:rsidRPr="00380137">
        <w:rPr>
          <w:lang w:val="en-GB"/>
        </w:rPr>
        <w:t xml:space="preserve">(A2) </w:t>
      </w:r>
      <w:r w:rsidRPr="00380137">
        <w:rPr>
          <w:lang w:val="en-GB"/>
        </w:rPr>
        <w:tab/>
      </w:r>
      <w:r w:rsidR="0023745B">
        <w:rPr>
          <w:lang w:val="en-GB"/>
        </w:rPr>
        <w:t>a</w:t>
      </w:r>
      <w:r w:rsidR="00675369" w:rsidRPr="00380137">
        <w:rPr>
          <w:lang w:val="en-GB"/>
        </w:rPr>
        <w:t xml:space="preserve">ssessment of the effect of the probiotic multi-strain supplement in non-constipated IBS patients, with the primary endpoint being the modulation of the </w:t>
      </w:r>
      <w:r w:rsidR="009669C9" w:rsidRPr="00380137">
        <w:rPr>
          <w:lang w:val="en-GB"/>
        </w:rPr>
        <w:t>faecal</w:t>
      </w:r>
      <w:r w:rsidR="00675369" w:rsidRPr="00380137">
        <w:rPr>
          <w:lang w:val="en-GB"/>
        </w:rPr>
        <w:t xml:space="preserve"> bacterial community structure and metabolites.</w:t>
      </w:r>
    </w:p>
    <w:p w14:paraId="65BCF141" w14:textId="77777777" w:rsidR="005F06FD" w:rsidRPr="00380137" w:rsidRDefault="005F06FD" w:rsidP="005F06FD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 w:rsidRPr="00380137">
        <w:rPr>
          <w:b/>
          <w:bCs/>
          <w:color w:val="000000"/>
          <w:sz w:val="24"/>
          <w:lang w:val="en-GB"/>
        </w:rPr>
        <w:t>2. Materials and Methods</w:t>
      </w:r>
    </w:p>
    <w:p w14:paraId="6E0E9CB5" w14:textId="25B55CE3" w:rsidR="00C52DA3" w:rsidRPr="00380137" w:rsidRDefault="00C52DA3" w:rsidP="00675369">
      <w:pPr>
        <w:jc w:val="both"/>
        <w:rPr>
          <w:lang w:val="en-GB"/>
        </w:rPr>
      </w:pPr>
      <w:r w:rsidRPr="00380137">
        <w:rPr>
          <w:u w:val="single"/>
          <w:lang w:val="en-GB"/>
        </w:rPr>
        <w:t>Bacterial adhesion to Caco-2 cell line</w:t>
      </w:r>
      <w:r w:rsidRPr="00380137">
        <w:rPr>
          <w:lang w:val="en-GB"/>
        </w:rPr>
        <w:t>: 2</w:t>
      </w:r>
      <w:r w:rsidR="00675369" w:rsidRPr="00380137">
        <w:rPr>
          <w:lang w:val="en-GB"/>
        </w:rPr>
        <w:t>.0×</w:t>
      </w:r>
      <w:r w:rsidRPr="00380137">
        <w:rPr>
          <w:lang w:val="en-GB"/>
        </w:rPr>
        <w:t>10</w:t>
      </w:r>
      <w:r w:rsidRPr="00380137">
        <w:rPr>
          <w:vertAlign w:val="superscript"/>
          <w:lang w:val="en-GB"/>
        </w:rPr>
        <w:t>8</w:t>
      </w:r>
      <w:r w:rsidRPr="00380137">
        <w:rPr>
          <w:lang w:val="en-GB"/>
        </w:rPr>
        <w:t xml:space="preserve"> </w:t>
      </w:r>
      <w:r w:rsidR="006D650D" w:rsidRPr="00380137">
        <w:rPr>
          <w:lang w:val="en-GB"/>
        </w:rPr>
        <w:t>bacteria</w:t>
      </w:r>
      <w:r w:rsidRPr="00380137">
        <w:rPr>
          <w:lang w:val="en-GB"/>
        </w:rPr>
        <w:t xml:space="preserve"> for each strain were incubated </w:t>
      </w:r>
      <w:r w:rsidR="006D650D" w:rsidRPr="00380137">
        <w:rPr>
          <w:lang w:val="en-GB"/>
        </w:rPr>
        <w:t>for 1</w:t>
      </w:r>
      <w:r w:rsidR="00675369" w:rsidRPr="00380137">
        <w:rPr>
          <w:lang w:val="en-GB"/>
        </w:rPr>
        <w:t xml:space="preserve"> </w:t>
      </w:r>
      <w:r w:rsidR="006D650D" w:rsidRPr="00380137">
        <w:rPr>
          <w:lang w:val="en-GB"/>
        </w:rPr>
        <w:t xml:space="preserve">h at 37°C </w:t>
      </w:r>
      <w:r w:rsidRPr="00380137">
        <w:rPr>
          <w:lang w:val="en-GB"/>
        </w:rPr>
        <w:t>with a fully differentiated monolayer</w:t>
      </w:r>
      <w:r w:rsidR="006D650D" w:rsidRPr="00380137">
        <w:rPr>
          <w:lang w:val="en-GB"/>
        </w:rPr>
        <w:t>, then</w:t>
      </w:r>
      <w:r w:rsidRPr="00380137">
        <w:rPr>
          <w:lang w:val="en-GB"/>
        </w:rPr>
        <w:t xml:space="preserve"> washed </w:t>
      </w:r>
      <w:r w:rsidR="00EF512E" w:rsidRPr="00380137">
        <w:rPr>
          <w:lang w:val="en-GB"/>
        </w:rPr>
        <w:t>three</w:t>
      </w:r>
      <w:r w:rsidRPr="00380137">
        <w:rPr>
          <w:lang w:val="en-GB"/>
        </w:rPr>
        <w:t xml:space="preserve"> times with PBS and incubated with 3 ml of methanol for 8 min.</w:t>
      </w:r>
      <w:r w:rsidR="006D650D" w:rsidRPr="00380137">
        <w:rPr>
          <w:lang w:val="en-GB"/>
        </w:rPr>
        <w:t xml:space="preserve"> Afterwards</w:t>
      </w:r>
      <w:r w:rsidRPr="00380137">
        <w:rPr>
          <w:lang w:val="en-GB"/>
        </w:rPr>
        <w:t>, cells were stained with 3 mL of Giemsa solution</w:t>
      </w:r>
      <w:r w:rsidR="006D650D" w:rsidRPr="00380137">
        <w:rPr>
          <w:lang w:val="en-GB"/>
        </w:rPr>
        <w:t xml:space="preserve"> </w:t>
      </w:r>
      <w:r w:rsidR="00A52ACE" w:rsidRPr="00380137">
        <w:rPr>
          <w:lang w:val="en-GB"/>
        </w:rPr>
        <w:t xml:space="preserve">(1:20) </w:t>
      </w:r>
      <w:r w:rsidRPr="00380137">
        <w:rPr>
          <w:lang w:val="en-GB"/>
        </w:rPr>
        <w:t>and left 30 min at room temperature in the dark</w:t>
      </w:r>
      <w:r w:rsidR="006D650D" w:rsidRPr="00380137">
        <w:rPr>
          <w:lang w:val="en-GB"/>
        </w:rPr>
        <w:t xml:space="preserve">. Finally, </w:t>
      </w:r>
      <w:r w:rsidRPr="00380137">
        <w:rPr>
          <w:lang w:val="en-GB"/>
        </w:rPr>
        <w:t>monolayers were washed and examined microscopically.</w:t>
      </w:r>
    </w:p>
    <w:p w14:paraId="1DD20EB4" w14:textId="7E643C52" w:rsidR="00A52ACE" w:rsidRPr="00380137" w:rsidRDefault="005215AD" w:rsidP="00EF512E">
      <w:pPr>
        <w:jc w:val="both"/>
        <w:rPr>
          <w:lang w:val="en-GB"/>
        </w:rPr>
      </w:pPr>
      <w:r w:rsidRPr="00380137">
        <w:rPr>
          <w:u w:val="single"/>
          <w:lang w:val="en-GB"/>
        </w:rPr>
        <w:t>Evaluation</w:t>
      </w:r>
      <w:r w:rsidR="00A52ACE" w:rsidRPr="00380137">
        <w:rPr>
          <w:u w:val="single"/>
          <w:lang w:val="en-GB"/>
        </w:rPr>
        <w:t xml:space="preserve"> of antioxidant activity </w:t>
      </w:r>
      <w:r w:rsidRPr="00380137">
        <w:rPr>
          <w:u w:val="single"/>
          <w:lang w:val="en-GB"/>
        </w:rPr>
        <w:t xml:space="preserve">of </w:t>
      </w:r>
      <w:r w:rsidR="00675369" w:rsidRPr="00380137">
        <w:rPr>
          <w:u w:val="single"/>
          <w:lang w:val="en-GB"/>
        </w:rPr>
        <w:t xml:space="preserve">probiotic </w:t>
      </w:r>
      <w:r w:rsidR="00A52ACE" w:rsidRPr="00380137">
        <w:rPr>
          <w:u w:val="single"/>
          <w:lang w:val="en-GB"/>
        </w:rPr>
        <w:t>bacteria</w:t>
      </w:r>
      <w:r w:rsidRPr="00380137">
        <w:rPr>
          <w:lang w:val="en-GB"/>
        </w:rPr>
        <w:t xml:space="preserve">: </w:t>
      </w:r>
      <w:r w:rsidR="00D15955" w:rsidRPr="00380137">
        <w:rPr>
          <w:lang w:val="en-GB"/>
        </w:rPr>
        <w:t xml:space="preserve">free radical scavenging activity of strains was measured by mixing 500 </w:t>
      </w:r>
      <w:proofErr w:type="spellStart"/>
      <w:r w:rsidR="00D15955" w:rsidRPr="00380137">
        <w:rPr>
          <w:lang w:val="en-GB"/>
        </w:rPr>
        <w:t>μl</w:t>
      </w:r>
      <w:proofErr w:type="spellEnd"/>
      <w:r w:rsidR="00D15955" w:rsidRPr="00380137">
        <w:rPr>
          <w:lang w:val="en-GB"/>
        </w:rPr>
        <w:t xml:space="preserve"> of each </w:t>
      </w:r>
      <w:r w:rsidR="00675369" w:rsidRPr="00380137">
        <w:rPr>
          <w:lang w:val="en-GB"/>
        </w:rPr>
        <w:t xml:space="preserve">bacterial cell </w:t>
      </w:r>
      <w:r w:rsidR="00D15955" w:rsidRPr="00380137">
        <w:rPr>
          <w:lang w:val="en-GB"/>
        </w:rPr>
        <w:t>concentration (1</w:t>
      </w:r>
      <w:r w:rsidR="00675369" w:rsidRPr="00380137">
        <w:rPr>
          <w:lang w:val="en-GB"/>
        </w:rPr>
        <w:t>.0×</w:t>
      </w:r>
      <w:r w:rsidR="00D15955" w:rsidRPr="00380137">
        <w:rPr>
          <w:lang w:val="en-GB"/>
        </w:rPr>
        <w:t>10</w:t>
      </w:r>
      <w:r w:rsidR="00D15955" w:rsidRPr="00380137">
        <w:rPr>
          <w:vertAlign w:val="superscript"/>
          <w:lang w:val="en-GB"/>
        </w:rPr>
        <w:t>10</w:t>
      </w:r>
      <w:r w:rsidR="00D15955" w:rsidRPr="00380137">
        <w:rPr>
          <w:lang w:val="en-GB"/>
        </w:rPr>
        <w:t>, 5</w:t>
      </w:r>
      <w:r w:rsidR="00675369" w:rsidRPr="00380137">
        <w:rPr>
          <w:lang w:val="en-GB"/>
        </w:rPr>
        <w:t>.0×</w:t>
      </w:r>
      <w:r w:rsidR="00D15955" w:rsidRPr="00380137">
        <w:rPr>
          <w:lang w:val="en-GB"/>
        </w:rPr>
        <w:t>10</w:t>
      </w:r>
      <w:r w:rsidR="00D15955" w:rsidRPr="00380137">
        <w:rPr>
          <w:vertAlign w:val="superscript"/>
          <w:lang w:val="en-GB"/>
        </w:rPr>
        <w:t>9</w:t>
      </w:r>
      <w:r w:rsidR="00D15955" w:rsidRPr="00380137">
        <w:rPr>
          <w:lang w:val="en-GB"/>
        </w:rPr>
        <w:t>, 2</w:t>
      </w:r>
      <w:r w:rsidR="00675369" w:rsidRPr="00380137">
        <w:rPr>
          <w:lang w:val="en-GB"/>
        </w:rPr>
        <w:t>.</w:t>
      </w:r>
      <w:r w:rsidR="00D15955" w:rsidRPr="00380137">
        <w:rPr>
          <w:lang w:val="en-GB"/>
        </w:rPr>
        <w:t>5</w:t>
      </w:r>
      <w:r w:rsidR="00675369" w:rsidRPr="00380137">
        <w:rPr>
          <w:lang w:val="en-GB"/>
        </w:rPr>
        <w:t>×</w:t>
      </w:r>
      <w:r w:rsidR="00D15955" w:rsidRPr="00380137">
        <w:rPr>
          <w:lang w:val="en-GB"/>
        </w:rPr>
        <w:t>10</w:t>
      </w:r>
      <w:r w:rsidR="00D15955" w:rsidRPr="00380137">
        <w:rPr>
          <w:vertAlign w:val="superscript"/>
          <w:lang w:val="en-GB"/>
        </w:rPr>
        <w:t>9</w:t>
      </w:r>
      <w:r w:rsidR="00D15955" w:rsidRPr="00380137">
        <w:rPr>
          <w:lang w:val="en-GB"/>
        </w:rPr>
        <w:t>, 1</w:t>
      </w:r>
      <w:r w:rsidR="00675369" w:rsidRPr="00380137">
        <w:rPr>
          <w:lang w:val="en-GB"/>
        </w:rPr>
        <w:t>.0×</w:t>
      </w:r>
      <w:r w:rsidR="00D15955" w:rsidRPr="00380137">
        <w:rPr>
          <w:lang w:val="en-GB"/>
        </w:rPr>
        <w:t>10</w:t>
      </w:r>
      <w:r w:rsidR="00D15955" w:rsidRPr="00380137">
        <w:rPr>
          <w:vertAlign w:val="superscript"/>
          <w:lang w:val="en-GB"/>
        </w:rPr>
        <w:t>9</w:t>
      </w:r>
      <w:r w:rsidR="000A2643" w:rsidRPr="00380137">
        <w:rPr>
          <w:lang w:val="en-GB"/>
        </w:rPr>
        <w:t xml:space="preserve"> cells/mL</w:t>
      </w:r>
      <w:r w:rsidR="00D15955" w:rsidRPr="00380137">
        <w:rPr>
          <w:lang w:val="en-GB"/>
        </w:rPr>
        <w:t>)</w:t>
      </w:r>
      <w:r w:rsidR="000A2643" w:rsidRPr="00380137">
        <w:rPr>
          <w:lang w:val="en-GB"/>
        </w:rPr>
        <w:t xml:space="preserve"> with 500 </w:t>
      </w:r>
      <w:proofErr w:type="spellStart"/>
      <w:r w:rsidR="000A2643" w:rsidRPr="00380137">
        <w:rPr>
          <w:lang w:val="en-GB"/>
        </w:rPr>
        <w:t>μl</w:t>
      </w:r>
      <w:proofErr w:type="spellEnd"/>
      <w:r w:rsidR="000A2643" w:rsidRPr="00380137">
        <w:rPr>
          <w:lang w:val="en-GB"/>
        </w:rPr>
        <w:t xml:space="preserve"> of 0.4 mM DPPH-ethanol solution. </w:t>
      </w:r>
      <w:r w:rsidR="00EF512E" w:rsidRPr="00380137">
        <w:rPr>
          <w:lang w:val="en-GB"/>
        </w:rPr>
        <w:t xml:space="preserve">The control group included 0.1 M phosphate buffer and DPPH-ethanol solution, while blank group contained sample and ethanol. The mixtures were incubated at 37°C in the dark for 30 min, then the optical absorbance was measured at 517 nm after </w:t>
      </w:r>
      <w:r w:rsidR="0091178A" w:rsidRPr="00380137">
        <w:rPr>
          <w:lang w:val="en-GB"/>
        </w:rPr>
        <w:t xml:space="preserve">samples </w:t>
      </w:r>
      <w:r w:rsidR="00EF512E" w:rsidRPr="00380137">
        <w:rPr>
          <w:lang w:val="en-GB"/>
        </w:rPr>
        <w:t xml:space="preserve">centrifugation at 10000 × </w:t>
      </w:r>
      <w:r w:rsidR="00EF512E" w:rsidRPr="00380137">
        <w:rPr>
          <w:i/>
          <w:iCs/>
          <w:lang w:val="en-GB"/>
        </w:rPr>
        <w:t xml:space="preserve">g </w:t>
      </w:r>
      <w:r w:rsidR="00EF512E" w:rsidRPr="00380137">
        <w:rPr>
          <w:lang w:val="en-GB"/>
        </w:rPr>
        <w:t>for 3 min.</w:t>
      </w:r>
    </w:p>
    <w:p w14:paraId="48F73BC3" w14:textId="2CDB45B3" w:rsidR="002B7297" w:rsidRPr="00380137" w:rsidRDefault="00A52ACE" w:rsidP="002B7297">
      <w:pPr>
        <w:jc w:val="both"/>
        <w:rPr>
          <w:lang w:val="en-GB"/>
        </w:rPr>
      </w:pPr>
      <w:r w:rsidRPr="00380137">
        <w:rPr>
          <w:u w:val="single"/>
          <w:lang w:val="en-GB"/>
        </w:rPr>
        <w:t>Assessment of the cellular antioxidant activity in Caco-2 cells</w:t>
      </w:r>
      <w:r w:rsidRPr="00380137">
        <w:rPr>
          <w:lang w:val="en-GB"/>
        </w:rPr>
        <w:t xml:space="preserve">: </w:t>
      </w:r>
      <w:r w:rsidR="009D3F31" w:rsidRPr="00380137">
        <w:rPr>
          <w:lang w:val="en-GB"/>
        </w:rPr>
        <w:t>after 15 days of growth, Caco-2 seeded at 1</w:t>
      </w:r>
      <w:r w:rsidR="00675369" w:rsidRPr="00380137">
        <w:rPr>
          <w:lang w:val="en-GB"/>
        </w:rPr>
        <w:t>.0×</w:t>
      </w:r>
      <w:r w:rsidR="009D3F31" w:rsidRPr="00380137">
        <w:rPr>
          <w:lang w:val="en-GB"/>
        </w:rPr>
        <w:t>10</w:t>
      </w:r>
      <w:r w:rsidR="009D3F31" w:rsidRPr="00380137">
        <w:rPr>
          <w:vertAlign w:val="superscript"/>
          <w:lang w:val="en-GB"/>
        </w:rPr>
        <w:t>4</w:t>
      </w:r>
      <w:r w:rsidR="009D3F31" w:rsidRPr="00380137">
        <w:rPr>
          <w:lang w:val="en-GB"/>
        </w:rPr>
        <w:t xml:space="preserve"> cells/well on a black 96-well microplate were treated with 100</w:t>
      </w:r>
      <w:r w:rsidR="009D3F31" w:rsidRPr="00380137">
        <w:rPr>
          <w:rFonts w:ascii="AdvOT1ef757c0+03" w:eastAsia="Bitstream Vera Sans" w:hAnsi="AdvOT1ef757c0+03" w:cs="AdvOT1ef757c0+03"/>
          <w:sz w:val="18"/>
          <w:szCs w:val="18"/>
          <w:lang w:val="en-GB"/>
        </w:rPr>
        <w:t xml:space="preserve"> </w:t>
      </w:r>
      <w:proofErr w:type="spellStart"/>
      <w:r w:rsidR="009D3F31" w:rsidRPr="00380137">
        <w:rPr>
          <w:lang w:val="en-GB"/>
        </w:rPr>
        <w:t>μl</w:t>
      </w:r>
      <w:proofErr w:type="spellEnd"/>
      <w:r w:rsidR="009D3F31" w:rsidRPr="00380137">
        <w:rPr>
          <w:lang w:val="en-GB"/>
        </w:rPr>
        <w:t xml:space="preserve"> of 10 </w:t>
      </w:r>
      <w:proofErr w:type="spellStart"/>
      <w:r w:rsidR="009D3F31" w:rsidRPr="00380137">
        <w:rPr>
          <w:lang w:val="en-GB"/>
        </w:rPr>
        <w:t>μM</w:t>
      </w:r>
      <w:proofErr w:type="spellEnd"/>
      <w:r w:rsidR="009D3F31" w:rsidRPr="00380137">
        <w:rPr>
          <w:lang w:val="en-GB"/>
        </w:rPr>
        <w:t xml:space="preserve"> DCFH-DA up to 30 min at 37°C. Subsequently, the cells were washed with PBS and treated with 100 </w:t>
      </w:r>
      <w:proofErr w:type="spellStart"/>
      <w:r w:rsidR="009D3F31" w:rsidRPr="00380137">
        <w:rPr>
          <w:lang w:val="en-GB"/>
        </w:rPr>
        <w:t>μl</w:t>
      </w:r>
      <w:proofErr w:type="spellEnd"/>
      <w:r w:rsidR="009D3F31" w:rsidRPr="00380137">
        <w:rPr>
          <w:lang w:val="en-GB"/>
        </w:rPr>
        <w:t xml:space="preserve"> of 0.</w:t>
      </w:r>
      <w:r w:rsidR="00D15955" w:rsidRPr="00380137">
        <w:rPr>
          <w:lang w:val="en-GB"/>
        </w:rPr>
        <w:t>6</w:t>
      </w:r>
      <w:r w:rsidR="009D3F31" w:rsidRPr="00380137">
        <w:rPr>
          <w:lang w:val="en-GB"/>
        </w:rPr>
        <w:t xml:space="preserve"> mM ABAP together with bacterial suspensions at MOI of 50, 100, 20</w:t>
      </w:r>
      <w:r w:rsidR="002B7297" w:rsidRPr="00380137">
        <w:rPr>
          <w:lang w:val="en-GB"/>
        </w:rPr>
        <w:t>0 and fluorescence was measured for 13 cycles at 5-min intervals (λ excitation = 485 nm and λ emission = 538 nm). N-acetyl cysteine was used as positive control.</w:t>
      </w:r>
    </w:p>
    <w:p w14:paraId="3FB365DD" w14:textId="5F308CAD" w:rsidR="00F524B5" w:rsidRPr="00380137" w:rsidRDefault="009669C9" w:rsidP="005F06FD">
      <w:pPr>
        <w:jc w:val="both"/>
        <w:rPr>
          <w:lang w:val="en-GB"/>
        </w:rPr>
      </w:pPr>
      <w:r w:rsidRPr="00380137">
        <w:rPr>
          <w:u w:val="single"/>
          <w:lang w:val="en-GB"/>
        </w:rPr>
        <w:t>Faecal</w:t>
      </w:r>
      <w:r w:rsidR="00F97DB2" w:rsidRPr="00380137">
        <w:rPr>
          <w:u w:val="single"/>
          <w:lang w:val="en-GB"/>
        </w:rPr>
        <w:t xml:space="preserve"> microbiome analysis</w:t>
      </w:r>
      <w:r w:rsidR="00F97DB2" w:rsidRPr="00380137">
        <w:rPr>
          <w:lang w:val="en-GB"/>
        </w:rPr>
        <w:t xml:space="preserve">: the bacterial community structure of </w:t>
      </w:r>
      <w:r w:rsidRPr="00380137">
        <w:rPr>
          <w:lang w:val="en-GB"/>
        </w:rPr>
        <w:t>faecal</w:t>
      </w:r>
      <w:r w:rsidR="00F97DB2" w:rsidRPr="00380137">
        <w:rPr>
          <w:lang w:val="en-GB"/>
        </w:rPr>
        <w:t xml:space="preserve"> samples was studied by 16S rRNA gene profiling</w:t>
      </w:r>
      <w:r w:rsidR="00675369" w:rsidRPr="00380137">
        <w:rPr>
          <w:lang w:val="en-GB"/>
        </w:rPr>
        <w:t xml:space="preserve"> with Illumina </w:t>
      </w:r>
      <w:proofErr w:type="spellStart"/>
      <w:r w:rsidR="00675369" w:rsidRPr="00380137">
        <w:rPr>
          <w:lang w:val="en-GB"/>
        </w:rPr>
        <w:t>HiSeq</w:t>
      </w:r>
      <w:proofErr w:type="spellEnd"/>
      <w:r w:rsidR="00675369" w:rsidRPr="00380137">
        <w:rPr>
          <w:lang w:val="en-GB"/>
        </w:rPr>
        <w:t xml:space="preserve"> technology</w:t>
      </w:r>
      <w:r w:rsidR="00F97DB2" w:rsidRPr="00380137">
        <w:rPr>
          <w:lang w:val="en-GB"/>
        </w:rPr>
        <w:t xml:space="preserve">. </w:t>
      </w:r>
      <w:r w:rsidR="00F524B5" w:rsidRPr="00380137">
        <w:rPr>
          <w:lang w:val="en-GB"/>
        </w:rPr>
        <w:t>After the extraction of the t</w:t>
      </w:r>
      <w:r w:rsidR="00F97DB2" w:rsidRPr="00380137">
        <w:rPr>
          <w:lang w:val="en-GB"/>
        </w:rPr>
        <w:t xml:space="preserve">otal DNA from 150 mg of </w:t>
      </w:r>
      <w:r w:rsidRPr="00380137">
        <w:rPr>
          <w:lang w:val="en-GB"/>
        </w:rPr>
        <w:t>faeces</w:t>
      </w:r>
      <w:r w:rsidR="00F524B5" w:rsidRPr="00380137">
        <w:rPr>
          <w:lang w:val="en-GB"/>
        </w:rPr>
        <w:t xml:space="preserve">, </w:t>
      </w:r>
      <w:r w:rsidR="00F97DB2" w:rsidRPr="00380137">
        <w:rPr>
          <w:lang w:val="en-GB"/>
        </w:rPr>
        <w:t xml:space="preserve">the 16S rRNA gene amplicons encompassing the V3 and V4 variable regions </w:t>
      </w:r>
      <w:r w:rsidR="00F524B5" w:rsidRPr="00380137">
        <w:rPr>
          <w:lang w:val="en-GB"/>
        </w:rPr>
        <w:t xml:space="preserve">were sequenced. Moreover, </w:t>
      </w:r>
      <w:r w:rsidR="00422192" w:rsidRPr="00380137">
        <w:rPr>
          <w:lang w:val="en-GB"/>
        </w:rPr>
        <w:t>the c</w:t>
      </w:r>
      <w:r w:rsidR="00BD46EB" w:rsidRPr="00380137">
        <w:rPr>
          <w:lang w:val="en-GB"/>
        </w:rPr>
        <w:t xml:space="preserve">oncentration of </w:t>
      </w:r>
      <w:r w:rsidR="00675369" w:rsidRPr="00380137">
        <w:rPr>
          <w:lang w:val="en-GB"/>
        </w:rPr>
        <w:t>short-</w:t>
      </w:r>
      <w:r w:rsidR="00BD46EB" w:rsidRPr="00380137">
        <w:rPr>
          <w:lang w:val="en-GB"/>
        </w:rPr>
        <w:t>chain fatty acids (SCFAs</w:t>
      </w:r>
      <w:r w:rsidR="00675369" w:rsidRPr="00380137">
        <w:rPr>
          <w:lang w:val="en-GB"/>
        </w:rPr>
        <w:t xml:space="preserve">; </w:t>
      </w:r>
      <w:r w:rsidR="00F524B5" w:rsidRPr="00380137">
        <w:rPr>
          <w:lang w:val="en-GB"/>
        </w:rPr>
        <w:t>acetate, butyrate, propionate, valerate, isovalerate</w:t>
      </w:r>
      <w:r w:rsidR="00675369" w:rsidRPr="00380137">
        <w:rPr>
          <w:lang w:val="en-GB"/>
        </w:rPr>
        <w:t>)</w:t>
      </w:r>
      <w:r w:rsidR="00F524B5" w:rsidRPr="00380137">
        <w:rPr>
          <w:lang w:val="en-GB"/>
        </w:rPr>
        <w:t xml:space="preserve"> </w:t>
      </w:r>
      <w:r w:rsidR="00BD46EB" w:rsidRPr="00380137">
        <w:rPr>
          <w:lang w:val="en-GB"/>
        </w:rPr>
        <w:t xml:space="preserve">and organic acids </w:t>
      </w:r>
      <w:r w:rsidR="00675369" w:rsidRPr="00380137">
        <w:rPr>
          <w:lang w:val="en-GB"/>
        </w:rPr>
        <w:t>(</w:t>
      </w:r>
      <w:r w:rsidR="00F524B5" w:rsidRPr="00380137">
        <w:rPr>
          <w:lang w:val="en-GB"/>
        </w:rPr>
        <w:t>lactate and succinate</w:t>
      </w:r>
      <w:r w:rsidR="00675369" w:rsidRPr="00380137">
        <w:rPr>
          <w:lang w:val="en-GB"/>
        </w:rPr>
        <w:t>)</w:t>
      </w:r>
      <w:r w:rsidR="00F524B5" w:rsidRPr="00380137">
        <w:rPr>
          <w:lang w:val="en-GB"/>
        </w:rPr>
        <w:t xml:space="preserve"> w</w:t>
      </w:r>
      <w:r w:rsidR="00BD46EB" w:rsidRPr="00380137">
        <w:rPr>
          <w:lang w:val="en-GB"/>
        </w:rPr>
        <w:t>as</w:t>
      </w:r>
      <w:r w:rsidR="00F524B5" w:rsidRPr="00380137">
        <w:rPr>
          <w:lang w:val="en-GB"/>
        </w:rPr>
        <w:t xml:space="preserve"> quantified in </w:t>
      </w:r>
      <w:r w:rsidRPr="00380137">
        <w:rPr>
          <w:lang w:val="en-GB"/>
        </w:rPr>
        <w:t>faecal</w:t>
      </w:r>
      <w:r w:rsidR="00F524B5" w:rsidRPr="00380137">
        <w:rPr>
          <w:lang w:val="en-GB"/>
        </w:rPr>
        <w:t xml:space="preserve"> samples by UPLC-MS.</w:t>
      </w:r>
    </w:p>
    <w:p w14:paraId="7E841F76" w14:textId="77777777" w:rsidR="005F06FD" w:rsidRPr="00380137" w:rsidRDefault="005F06FD" w:rsidP="00963D96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 w:rsidRPr="00380137">
        <w:rPr>
          <w:b/>
          <w:bCs/>
          <w:color w:val="000000"/>
          <w:sz w:val="24"/>
          <w:lang w:val="en-GB"/>
        </w:rPr>
        <w:t>3. Results and Discussion</w:t>
      </w:r>
    </w:p>
    <w:p w14:paraId="2DB7DDD7" w14:textId="75F74C6D" w:rsidR="005F06FD" w:rsidRPr="00380137" w:rsidRDefault="005F06FD" w:rsidP="005F06FD">
      <w:pPr>
        <w:pStyle w:val="Titolo2"/>
        <w:jc w:val="both"/>
        <w:rPr>
          <w:b/>
          <w:bCs/>
          <w:sz w:val="20"/>
          <w:lang w:val="en-GB"/>
        </w:rPr>
      </w:pPr>
      <w:r w:rsidRPr="00380137">
        <w:rPr>
          <w:b/>
          <w:bCs/>
          <w:sz w:val="20"/>
          <w:lang w:val="en-GB"/>
        </w:rPr>
        <w:t xml:space="preserve">3.1 </w:t>
      </w:r>
      <w:r w:rsidR="006740CD" w:rsidRPr="00380137">
        <w:rPr>
          <w:b/>
          <w:bCs/>
          <w:sz w:val="20"/>
          <w:lang w:val="en-GB"/>
        </w:rPr>
        <w:t>Definition and microbiological characterization of the probiotic blend</w:t>
      </w:r>
    </w:p>
    <w:p w14:paraId="18401FDB" w14:textId="0C4FAC87" w:rsidR="00B11AA4" w:rsidRPr="00380137" w:rsidRDefault="00A05E43" w:rsidP="005F06FD">
      <w:pPr>
        <w:tabs>
          <w:tab w:val="left" w:pos="567"/>
          <w:tab w:val="right" w:pos="7938"/>
        </w:tabs>
        <w:jc w:val="both"/>
        <w:rPr>
          <w:lang w:val="en-GB"/>
        </w:rPr>
      </w:pPr>
      <w:r w:rsidRPr="00380137">
        <w:rPr>
          <w:lang w:val="en-GB"/>
        </w:rPr>
        <w:t>T</w:t>
      </w:r>
      <w:r w:rsidR="006F69C7" w:rsidRPr="00380137">
        <w:rPr>
          <w:lang w:val="en-GB"/>
        </w:rPr>
        <w:t>he differentiated Caco-2 epithelial cell layer was used to test the potential ability of the bacterial cells to adhere on human enterocytes.</w:t>
      </w:r>
      <w:r w:rsidR="00180EDB" w:rsidRPr="00380137">
        <w:rPr>
          <w:lang w:val="en-GB"/>
        </w:rPr>
        <w:t xml:space="preserve"> As expected</w:t>
      </w:r>
      <w:r w:rsidR="006F69C7" w:rsidRPr="00380137">
        <w:rPr>
          <w:lang w:val="en-GB"/>
        </w:rPr>
        <w:t xml:space="preserve">, </w:t>
      </w:r>
      <w:r w:rsidR="00180EDB" w:rsidRPr="00380137">
        <w:rPr>
          <w:lang w:val="en-GB"/>
        </w:rPr>
        <w:t xml:space="preserve">since </w:t>
      </w:r>
      <w:r w:rsidR="006F69C7" w:rsidRPr="00380137">
        <w:rPr>
          <w:i/>
          <w:iCs/>
          <w:lang w:val="en-GB"/>
        </w:rPr>
        <w:t>Bifidobacterium bifidum</w:t>
      </w:r>
      <w:r w:rsidR="00180EDB" w:rsidRPr="00380137">
        <w:rPr>
          <w:lang w:val="en-GB"/>
        </w:rPr>
        <w:t xml:space="preserve"> </w:t>
      </w:r>
      <w:r w:rsidR="006F69C7" w:rsidRPr="00380137">
        <w:rPr>
          <w:lang w:val="en-GB"/>
        </w:rPr>
        <w:t>MIMBb23sg ha</w:t>
      </w:r>
      <w:r w:rsidR="00180EDB" w:rsidRPr="00380137">
        <w:rPr>
          <w:lang w:val="en-GB"/>
        </w:rPr>
        <w:t>s</w:t>
      </w:r>
      <w:r w:rsidR="006F69C7" w:rsidRPr="00380137">
        <w:rPr>
          <w:lang w:val="en-GB"/>
        </w:rPr>
        <w:t xml:space="preserve"> been previously demonstrated to be strongly adhesive</w:t>
      </w:r>
      <w:r w:rsidR="007D5F9C" w:rsidRPr="00380137">
        <w:rPr>
          <w:lang w:val="en-GB"/>
        </w:rPr>
        <w:t>, it resulted</w:t>
      </w:r>
      <w:r w:rsidR="006F69C7" w:rsidRPr="00380137">
        <w:rPr>
          <w:lang w:val="en-GB"/>
        </w:rPr>
        <w:t xml:space="preserve"> with </w:t>
      </w:r>
      <w:r w:rsidR="007D5F9C" w:rsidRPr="00380137">
        <w:rPr>
          <w:lang w:val="en-GB"/>
        </w:rPr>
        <w:t>the higher</w:t>
      </w:r>
      <w:r w:rsidR="006F69C7" w:rsidRPr="00380137">
        <w:rPr>
          <w:lang w:val="en-GB"/>
        </w:rPr>
        <w:t xml:space="preserve"> adhesion index (i.e., bacterial cells per 100 Caco-2 cells)</w:t>
      </w:r>
      <w:r w:rsidR="007D5F9C" w:rsidRPr="00380137">
        <w:rPr>
          <w:lang w:val="en-GB"/>
        </w:rPr>
        <w:t xml:space="preserve"> </w:t>
      </w:r>
      <w:r w:rsidR="00BF5778" w:rsidRPr="00380137">
        <w:rPr>
          <w:lang w:val="en-GB"/>
        </w:rPr>
        <w:t xml:space="preserve">compared to the other strains </w:t>
      </w:r>
      <w:r w:rsidR="006F69C7" w:rsidRPr="00380137">
        <w:rPr>
          <w:lang w:val="en-GB"/>
        </w:rPr>
        <w:t>(</w:t>
      </w:r>
      <w:r w:rsidR="00272D08" w:rsidRPr="00380137">
        <w:rPr>
          <w:lang w:val="en-GB"/>
        </w:rPr>
        <w:t>Table</w:t>
      </w:r>
      <w:r w:rsidR="006F69C7" w:rsidRPr="00380137">
        <w:rPr>
          <w:lang w:val="en-GB"/>
        </w:rPr>
        <w:t xml:space="preserve"> 1)</w:t>
      </w:r>
      <w:r w:rsidR="0068273E" w:rsidRPr="00380137">
        <w:rPr>
          <w:lang w:val="en-GB"/>
        </w:rPr>
        <w:t xml:space="preserve">, </w:t>
      </w:r>
      <w:r w:rsidR="00675369" w:rsidRPr="00380137">
        <w:rPr>
          <w:lang w:val="en-GB"/>
        </w:rPr>
        <w:t xml:space="preserve">and </w:t>
      </w:r>
      <w:r w:rsidR="0068273E" w:rsidRPr="00380137">
        <w:rPr>
          <w:lang w:val="en-GB"/>
        </w:rPr>
        <w:t xml:space="preserve">this </w:t>
      </w:r>
      <w:r w:rsidR="007D5F9C" w:rsidRPr="00380137">
        <w:rPr>
          <w:lang w:val="en-GB"/>
        </w:rPr>
        <w:t>may play a pivotal role in increasing the intestinal barrier</w:t>
      </w:r>
      <w:r w:rsidR="0068273E" w:rsidRPr="00380137">
        <w:rPr>
          <w:lang w:val="en-GB"/>
        </w:rPr>
        <w:t xml:space="preserve"> with a concurrent beneficial effect in IBS patients </w:t>
      </w:r>
      <w:r w:rsidR="007D5F9C" w:rsidRPr="00380137">
        <w:rPr>
          <w:lang w:val="en-GB"/>
        </w:rPr>
        <w:t>(Guglielmetti</w:t>
      </w:r>
      <w:r w:rsidR="009669C9" w:rsidRPr="00380137">
        <w:rPr>
          <w:lang w:val="en-GB"/>
        </w:rPr>
        <w:t xml:space="preserve"> et al.</w:t>
      </w:r>
      <w:r w:rsidR="007D5F9C" w:rsidRPr="00380137">
        <w:rPr>
          <w:lang w:val="en-GB"/>
        </w:rPr>
        <w:t>, 2011).</w:t>
      </w:r>
    </w:p>
    <w:p w14:paraId="3076CABA" w14:textId="77777777" w:rsidR="008C6871" w:rsidRPr="00380137" w:rsidRDefault="008C6871" w:rsidP="00BF5778">
      <w:pPr>
        <w:tabs>
          <w:tab w:val="left" w:pos="1134"/>
        </w:tabs>
        <w:spacing w:after="120"/>
        <w:ind w:left="1134" w:hanging="1134"/>
        <w:jc w:val="both"/>
        <w:rPr>
          <w:b/>
          <w:i/>
          <w:sz w:val="18"/>
          <w:lang w:val="en-GB"/>
        </w:rPr>
      </w:pPr>
    </w:p>
    <w:p w14:paraId="5665914B" w14:textId="05C7232B" w:rsidR="0068273E" w:rsidRPr="00380137" w:rsidRDefault="00BF5778" w:rsidP="00146F38">
      <w:pPr>
        <w:tabs>
          <w:tab w:val="left" w:pos="1134"/>
        </w:tabs>
        <w:spacing w:after="120"/>
        <w:ind w:left="1134" w:hanging="1134"/>
        <w:jc w:val="both"/>
        <w:rPr>
          <w:i/>
          <w:sz w:val="18"/>
          <w:lang w:val="en-GB"/>
        </w:rPr>
      </w:pPr>
      <w:r w:rsidRPr="00380137">
        <w:rPr>
          <w:b/>
          <w:i/>
          <w:sz w:val="18"/>
          <w:lang w:val="en-GB"/>
        </w:rPr>
        <w:t>Table 1</w:t>
      </w:r>
      <w:r w:rsidR="00792453" w:rsidRPr="00380137">
        <w:rPr>
          <w:i/>
          <w:sz w:val="18"/>
          <w:lang w:val="en-GB"/>
        </w:rPr>
        <w:t xml:space="preserve"> </w:t>
      </w:r>
      <w:r w:rsidRPr="00380137">
        <w:rPr>
          <w:i/>
          <w:sz w:val="18"/>
          <w:lang w:val="en-GB"/>
        </w:rPr>
        <w:t xml:space="preserve">Adhesion </w:t>
      </w:r>
      <w:r w:rsidR="00792453" w:rsidRPr="00380137">
        <w:rPr>
          <w:i/>
          <w:sz w:val="18"/>
          <w:lang w:val="en-GB"/>
        </w:rPr>
        <w:t xml:space="preserve">properties of </w:t>
      </w:r>
      <w:r w:rsidRPr="00380137">
        <w:rPr>
          <w:i/>
          <w:sz w:val="18"/>
          <w:lang w:val="en-GB"/>
        </w:rPr>
        <w:t xml:space="preserve">the </w:t>
      </w:r>
      <w:r w:rsidR="00792453" w:rsidRPr="00380137">
        <w:rPr>
          <w:i/>
          <w:sz w:val="18"/>
          <w:lang w:val="en-GB"/>
        </w:rPr>
        <w:t xml:space="preserve">probiotic </w:t>
      </w:r>
      <w:r w:rsidRPr="00380137">
        <w:rPr>
          <w:i/>
          <w:sz w:val="18"/>
          <w:lang w:val="en-GB"/>
        </w:rPr>
        <w:t>bacterial strains to a Caco-2 cell monolayer</w:t>
      </w:r>
      <w:r w:rsidR="00792453" w:rsidRPr="00380137">
        <w:rPr>
          <w:i/>
          <w:sz w:val="18"/>
          <w:lang w:val="en-GB"/>
        </w:rPr>
        <w:t>. Data are</w:t>
      </w:r>
      <w:r w:rsidRPr="00380137">
        <w:rPr>
          <w:i/>
          <w:sz w:val="18"/>
          <w:lang w:val="en-GB"/>
        </w:rPr>
        <w:t xml:space="preserve"> reported as adhesion index.</w:t>
      </w:r>
      <w:r w:rsidR="00792453" w:rsidRPr="00380137">
        <w:rPr>
          <w:i/>
          <w:sz w:val="18"/>
          <w:lang w:val="en-GB"/>
        </w:rPr>
        <w:t xml:space="preserve"> </w:t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417"/>
      </w:tblGrid>
      <w:tr w:rsidR="0001421C" w:rsidRPr="00380137" w14:paraId="765BB15F" w14:textId="77777777" w:rsidTr="00146F38">
        <w:trPr>
          <w:trHeight w:val="227"/>
        </w:trPr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B8CA92" w14:textId="22A70C06" w:rsidR="0001421C" w:rsidRPr="00380137" w:rsidRDefault="00112EE1" w:rsidP="00F525F7">
            <w:pPr>
              <w:jc w:val="both"/>
              <w:rPr>
                <w:b/>
                <w:bCs/>
                <w:lang w:val="en-GB"/>
              </w:rPr>
            </w:pPr>
            <w:proofErr w:type="spellStart"/>
            <w:r w:rsidRPr="00380137">
              <w:rPr>
                <w:b/>
                <w:bCs/>
                <w:lang w:val="en-GB"/>
              </w:rPr>
              <w:t>Enterolactis</w:t>
            </w:r>
            <w:proofErr w:type="spellEnd"/>
            <w:r w:rsidRPr="00380137">
              <w:rPr>
                <w:b/>
                <w:bCs/>
                <w:vertAlign w:val="superscript"/>
                <w:lang w:val="en-GB"/>
              </w:rPr>
              <w:t>®</w:t>
            </w:r>
            <w:r w:rsidRPr="00380137">
              <w:rPr>
                <w:b/>
                <w:bCs/>
                <w:lang w:val="en-GB"/>
              </w:rPr>
              <w:t xml:space="preserve"> Ultra </w:t>
            </w:r>
            <w:r w:rsidRPr="00380137">
              <w:rPr>
                <w:b/>
                <w:bCs/>
                <w:i/>
                <w:iCs/>
                <w:lang w:val="en-GB"/>
              </w:rPr>
              <w:t>s</w:t>
            </w:r>
            <w:r w:rsidR="0001421C" w:rsidRPr="00380137">
              <w:rPr>
                <w:b/>
                <w:bCs/>
                <w:i/>
                <w:iCs/>
                <w:lang w:val="en-GB"/>
              </w:rPr>
              <w:t>trains</w:t>
            </w:r>
            <w:r w:rsidR="0001421C" w:rsidRPr="00380137">
              <w:rPr>
                <w:b/>
                <w:bCs/>
                <w:lang w:val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118FA3" w14:textId="54ABC777" w:rsidR="0001421C" w:rsidRPr="00380137" w:rsidRDefault="0001421C" w:rsidP="00F525F7">
            <w:pPr>
              <w:jc w:val="both"/>
              <w:rPr>
                <w:b/>
                <w:bCs/>
                <w:i/>
                <w:iCs/>
                <w:lang w:val="en-GB"/>
              </w:rPr>
            </w:pPr>
            <w:r w:rsidRPr="00380137">
              <w:rPr>
                <w:b/>
                <w:bCs/>
                <w:i/>
                <w:iCs/>
                <w:lang w:val="en-GB"/>
              </w:rPr>
              <w:t>Adhesion index</w:t>
            </w:r>
          </w:p>
        </w:tc>
      </w:tr>
      <w:tr w:rsidR="0001421C" w:rsidRPr="00380137" w14:paraId="35BDBEFF" w14:textId="77777777" w:rsidTr="00AA5DD2">
        <w:trPr>
          <w:trHeight w:val="227"/>
        </w:trPr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0915C" w14:textId="2A356D9D" w:rsidR="0001421C" w:rsidRPr="00E60E11" w:rsidRDefault="0001421C" w:rsidP="0001421C">
            <w:pPr>
              <w:jc w:val="both"/>
            </w:pPr>
            <w:proofErr w:type="spellStart"/>
            <w:r w:rsidRPr="00E60E11">
              <w:rPr>
                <w:i/>
                <w:iCs/>
              </w:rPr>
              <w:t>Bifidobacterium</w:t>
            </w:r>
            <w:proofErr w:type="spellEnd"/>
            <w:r w:rsidRPr="00E60E11">
              <w:rPr>
                <w:i/>
                <w:iCs/>
              </w:rPr>
              <w:t xml:space="preserve"> </w:t>
            </w:r>
            <w:proofErr w:type="spellStart"/>
            <w:r w:rsidRPr="00E60E11">
              <w:rPr>
                <w:i/>
                <w:iCs/>
              </w:rPr>
              <w:t>bifidum</w:t>
            </w:r>
            <w:proofErr w:type="spellEnd"/>
            <w:r w:rsidRPr="00E60E11">
              <w:t xml:space="preserve"> MIMBb23sg</w:t>
            </w:r>
            <w:r w:rsidR="00CF60A7" w:rsidRPr="00E60E11">
              <w:t xml:space="preserve"> (</w:t>
            </w:r>
            <w:proofErr w:type="spellStart"/>
            <w:r w:rsidR="00CF60A7" w:rsidRPr="00E60E11">
              <w:rPr>
                <w:i/>
                <w:iCs/>
              </w:rPr>
              <w:t>Bifidobacterium</w:t>
            </w:r>
            <w:proofErr w:type="spellEnd"/>
            <w:r w:rsidR="00CF60A7" w:rsidRPr="00E60E11">
              <w:rPr>
                <w:i/>
                <w:iCs/>
              </w:rPr>
              <w:t xml:space="preserve"> </w:t>
            </w:r>
            <w:proofErr w:type="spellStart"/>
            <w:r w:rsidR="00CF60A7" w:rsidRPr="00E60E11">
              <w:rPr>
                <w:i/>
                <w:iCs/>
              </w:rPr>
              <w:t>bifidum</w:t>
            </w:r>
            <w:proofErr w:type="spellEnd"/>
            <w:r w:rsidR="00CF60A7" w:rsidRPr="00E60E11">
              <w:t xml:space="preserve"> BbfIBS01, DSM 32708)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A42C0" w14:textId="1E70F2F4" w:rsidR="0001421C" w:rsidRPr="00380137" w:rsidRDefault="0001421C" w:rsidP="00F525F7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&gt;2000</w:t>
            </w:r>
          </w:p>
        </w:tc>
      </w:tr>
      <w:tr w:rsidR="0001421C" w:rsidRPr="00380137" w14:paraId="5893A596" w14:textId="77777777" w:rsidTr="00CF60A7">
        <w:trPr>
          <w:trHeight w:val="22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51F2B" w14:textId="11D79DB1" w:rsidR="0001421C" w:rsidRPr="00380137" w:rsidRDefault="00CF60A7" w:rsidP="00F525F7">
            <w:pPr>
              <w:jc w:val="both"/>
              <w:rPr>
                <w:lang w:val="en-GB"/>
              </w:rPr>
            </w:pPr>
            <w:proofErr w:type="spellStart"/>
            <w:r w:rsidRPr="00380137">
              <w:rPr>
                <w:i/>
                <w:iCs/>
                <w:lang w:val="en-GB"/>
              </w:rPr>
              <w:t>Lacticaseibacillus</w:t>
            </w:r>
            <w:proofErr w:type="spellEnd"/>
            <w:r w:rsidRPr="00380137">
              <w:rPr>
                <w:i/>
                <w:iCs/>
                <w:lang w:val="en-GB"/>
              </w:rPr>
              <w:t xml:space="preserve"> </w:t>
            </w:r>
            <w:proofErr w:type="spellStart"/>
            <w:r w:rsidRPr="00380137">
              <w:rPr>
                <w:i/>
                <w:iCs/>
                <w:lang w:val="en-GB"/>
              </w:rPr>
              <w:t>paracasei</w:t>
            </w:r>
            <w:proofErr w:type="spellEnd"/>
            <w:r w:rsidRPr="00380137">
              <w:rPr>
                <w:lang w:val="en-GB"/>
              </w:rPr>
              <w:t xml:space="preserve"> </w:t>
            </w:r>
            <w:r w:rsidR="0001421C" w:rsidRPr="00380137">
              <w:rPr>
                <w:lang w:val="en-GB"/>
              </w:rPr>
              <w:t>DG I1572</w:t>
            </w:r>
            <w:r w:rsidR="00792453" w:rsidRPr="00380137">
              <w:rPr>
                <w:lang w:val="en-GB"/>
              </w:rPr>
              <w:t xml:space="preserve">; L. </w:t>
            </w:r>
            <w:proofErr w:type="spellStart"/>
            <w:r w:rsidR="00792453" w:rsidRPr="00380137">
              <w:rPr>
                <w:lang w:val="en-GB"/>
              </w:rPr>
              <w:t>casei</w:t>
            </w:r>
            <w:proofErr w:type="spellEnd"/>
            <w:r w:rsidR="00792453" w:rsidRPr="00380137">
              <w:rPr>
                <w:lang w:val="en-GB"/>
              </w:rPr>
              <w:t xml:space="preserve"> DG</w:t>
            </w:r>
            <w:r w:rsidR="00792453" w:rsidRPr="00380137">
              <w:rPr>
                <w:b/>
                <w:bCs/>
                <w:vertAlign w:val="superscript"/>
                <w:lang w:val="en-GB"/>
              </w:rPr>
              <w:t>®</w:t>
            </w:r>
            <w:r w:rsidR="00792453" w:rsidRPr="00380137">
              <w:rPr>
                <w:lang w:val="en-GB"/>
              </w:rPr>
              <w:t xml:space="preserve"> (</w:t>
            </w:r>
            <w:r w:rsidR="004266C1" w:rsidRPr="00380137">
              <w:rPr>
                <w:lang w:val="en-GB"/>
              </w:rPr>
              <w:t>DSM 34154</w:t>
            </w:r>
            <w:r w:rsidR="004F43EE" w:rsidRPr="00380137">
              <w:rPr>
                <w:lang w:val="en-GB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85382" w14:textId="1C91DE09" w:rsidR="0001421C" w:rsidRPr="00380137" w:rsidRDefault="0001421C" w:rsidP="00F525F7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&gt;50</w:t>
            </w:r>
          </w:p>
        </w:tc>
      </w:tr>
      <w:tr w:rsidR="0001421C" w:rsidRPr="00380137" w14:paraId="67C4F466" w14:textId="77777777" w:rsidTr="00CF60A7">
        <w:trPr>
          <w:trHeight w:val="22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459CA" w14:textId="2E656221" w:rsidR="0001421C" w:rsidRPr="00380137" w:rsidRDefault="0001421C" w:rsidP="00F525F7">
            <w:pPr>
              <w:jc w:val="both"/>
              <w:rPr>
                <w:lang w:val="en-GB"/>
              </w:rPr>
            </w:pPr>
            <w:r w:rsidRPr="00380137">
              <w:rPr>
                <w:i/>
                <w:iCs/>
                <w:lang w:val="en-GB"/>
              </w:rPr>
              <w:t>Bifidobacterium breve</w:t>
            </w:r>
            <w:r w:rsidRPr="00380137">
              <w:rPr>
                <w:lang w:val="en-GB"/>
              </w:rPr>
              <w:t xml:space="preserve"> BbIBS01</w:t>
            </w:r>
            <w:r w:rsidR="00792453" w:rsidRPr="00380137">
              <w:rPr>
                <w:lang w:val="en-GB"/>
              </w:rPr>
              <w:t xml:space="preserve"> (</w:t>
            </w:r>
            <w:r w:rsidR="004F43EE" w:rsidRPr="00380137">
              <w:rPr>
                <w:lang w:val="en-GB"/>
              </w:rPr>
              <w:t>DSM 33231</w:t>
            </w:r>
            <w:r w:rsidR="00AA5DD2" w:rsidRPr="00380137">
              <w:rPr>
                <w:lang w:val="en-GB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D859D" w14:textId="6A361E68" w:rsidR="0001421C" w:rsidRPr="00380137" w:rsidRDefault="0001421C" w:rsidP="00F525F7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&gt;60</w:t>
            </w:r>
          </w:p>
        </w:tc>
      </w:tr>
      <w:tr w:rsidR="0001421C" w:rsidRPr="00380137" w14:paraId="4508E051" w14:textId="77777777" w:rsidTr="00CF60A7">
        <w:trPr>
          <w:trHeight w:val="22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0E611" w14:textId="31A7C069" w:rsidR="0001421C" w:rsidRPr="00380137" w:rsidRDefault="0001421C" w:rsidP="00F525F7">
            <w:pPr>
              <w:jc w:val="both"/>
              <w:rPr>
                <w:lang w:val="en-GB"/>
              </w:rPr>
            </w:pPr>
            <w:r w:rsidRPr="00380137">
              <w:rPr>
                <w:i/>
                <w:iCs/>
                <w:lang w:val="en-GB"/>
              </w:rPr>
              <w:t>Bifidobacterium breve</w:t>
            </w:r>
            <w:r w:rsidRPr="00380137">
              <w:rPr>
                <w:lang w:val="en-GB"/>
              </w:rPr>
              <w:t xml:space="preserve"> BbIBS02</w:t>
            </w:r>
            <w:r w:rsidR="00792453" w:rsidRPr="00380137">
              <w:rPr>
                <w:lang w:val="en-GB"/>
              </w:rPr>
              <w:t xml:space="preserve"> (</w:t>
            </w:r>
            <w:r w:rsidR="004F43EE" w:rsidRPr="00380137">
              <w:rPr>
                <w:lang w:val="en-GB"/>
              </w:rPr>
              <w:t>DSM 33232</w:t>
            </w:r>
            <w:r w:rsidR="00792453" w:rsidRPr="00380137">
              <w:rPr>
                <w:lang w:val="en-GB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55A6D" w14:textId="2F10ECC7" w:rsidR="0001421C" w:rsidRPr="00380137" w:rsidRDefault="0001421C" w:rsidP="00F525F7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&gt;60</w:t>
            </w:r>
          </w:p>
        </w:tc>
      </w:tr>
      <w:tr w:rsidR="0001421C" w:rsidRPr="00380137" w14:paraId="57CB9D39" w14:textId="77777777" w:rsidTr="00AA5DD2">
        <w:trPr>
          <w:trHeight w:val="227"/>
        </w:trPr>
        <w:tc>
          <w:tcPr>
            <w:tcW w:w="72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26583" w14:textId="351CEFDA" w:rsidR="0001421C" w:rsidRPr="00380137" w:rsidRDefault="0001421C" w:rsidP="00F525F7">
            <w:pPr>
              <w:jc w:val="both"/>
              <w:rPr>
                <w:lang w:val="en-GB"/>
              </w:rPr>
            </w:pPr>
            <w:proofErr w:type="spellStart"/>
            <w:r w:rsidRPr="00380137">
              <w:rPr>
                <w:i/>
                <w:iCs/>
                <w:lang w:val="en-GB"/>
              </w:rPr>
              <w:t>Lactiplantibacillus</w:t>
            </w:r>
            <w:proofErr w:type="spellEnd"/>
            <w:r w:rsidRPr="00380137">
              <w:rPr>
                <w:i/>
                <w:iCs/>
                <w:lang w:val="en-GB"/>
              </w:rPr>
              <w:t xml:space="preserve"> plantarum</w:t>
            </w:r>
            <w:r w:rsidRPr="00380137">
              <w:rPr>
                <w:lang w:val="en-GB"/>
              </w:rPr>
              <w:t xml:space="preserve"> LpIBS01</w:t>
            </w:r>
            <w:r w:rsidR="00792453" w:rsidRPr="00380137">
              <w:rPr>
                <w:lang w:val="en-GB"/>
              </w:rPr>
              <w:t xml:space="preserve"> (</w:t>
            </w:r>
            <w:r w:rsidR="004F43EE" w:rsidRPr="00380137">
              <w:rPr>
                <w:lang w:val="en-GB"/>
              </w:rPr>
              <w:t>DSM 33234</w:t>
            </w:r>
            <w:r w:rsidR="00792453" w:rsidRPr="00380137">
              <w:rPr>
                <w:lang w:val="en-GB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CAFBC" w14:textId="7F2ECA9F" w:rsidR="0001421C" w:rsidRPr="00380137" w:rsidRDefault="0001421C" w:rsidP="00F525F7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&gt;100</w:t>
            </w:r>
          </w:p>
        </w:tc>
      </w:tr>
      <w:tr w:rsidR="0001421C" w:rsidRPr="00380137" w14:paraId="25E9A06B" w14:textId="77777777" w:rsidTr="00AA5DD2">
        <w:trPr>
          <w:trHeight w:val="227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B7830" w14:textId="43767D72" w:rsidR="0001421C" w:rsidRPr="00380137" w:rsidRDefault="0001421C" w:rsidP="00F525F7">
            <w:pPr>
              <w:jc w:val="both"/>
              <w:rPr>
                <w:lang w:val="en-GB"/>
              </w:rPr>
            </w:pPr>
            <w:r w:rsidRPr="00380137">
              <w:rPr>
                <w:i/>
                <w:iCs/>
                <w:lang w:val="en-GB"/>
              </w:rPr>
              <w:t xml:space="preserve">Bifidobacterium </w:t>
            </w:r>
            <w:proofErr w:type="spellStart"/>
            <w:r w:rsidRPr="00380137">
              <w:rPr>
                <w:i/>
                <w:iCs/>
                <w:lang w:val="en-GB"/>
              </w:rPr>
              <w:t>animalis</w:t>
            </w:r>
            <w:proofErr w:type="spellEnd"/>
            <w:r w:rsidRPr="00380137">
              <w:rPr>
                <w:lang w:val="en-GB"/>
              </w:rPr>
              <w:t xml:space="preserve"> sub</w:t>
            </w:r>
            <w:r w:rsidR="00792453" w:rsidRPr="00380137">
              <w:rPr>
                <w:lang w:val="en-GB"/>
              </w:rPr>
              <w:t>sp</w:t>
            </w:r>
            <w:r w:rsidRPr="00380137">
              <w:rPr>
                <w:lang w:val="en-GB"/>
              </w:rPr>
              <w:t xml:space="preserve">. </w:t>
            </w:r>
            <w:r w:rsidRPr="00380137">
              <w:rPr>
                <w:i/>
                <w:iCs/>
                <w:lang w:val="en-GB"/>
              </w:rPr>
              <w:t>lactis</w:t>
            </w:r>
            <w:r w:rsidRPr="00380137">
              <w:rPr>
                <w:lang w:val="en-GB"/>
              </w:rPr>
              <w:t xml:space="preserve"> BlIBS01</w:t>
            </w:r>
            <w:r w:rsidR="00792453" w:rsidRPr="00380137">
              <w:rPr>
                <w:lang w:val="en-GB"/>
              </w:rPr>
              <w:t xml:space="preserve"> (</w:t>
            </w:r>
            <w:r w:rsidR="004F43EE" w:rsidRPr="00380137">
              <w:rPr>
                <w:lang w:val="en-GB"/>
              </w:rPr>
              <w:t>DSM 33233</w:t>
            </w:r>
            <w:r w:rsidR="00792453" w:rsidRPr="00380137">
              <w:rPr>
                <w:lang w:val="en-GB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443C21" w14:textId="1F56A9A8" w:rsidR="0001421C" w:rsidRPr="00380137" w:rsidRDefault="0001421C" w:rsidP="00F525F7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&gt;100</w:t>
            </w:r>
          </w:p>
        </w:tc>
      </w:tr>
    </w:tbl>
    <w:p w14:paraId="38D5B627" w14:textId="0DEA0BA0" w:rsidR="00B07DA8" w:rsidRPr="00380137" w:rsidRDefault="00B07DA8" w:rsidP="005F06FD">
      <w:pPr>
        <w:tabs>
          <w:tab w:val="left" w:pos="567"/>
          <w:tab w:val="right" w:pos="7938"/>
        </w:tabs>
        <w:jc w:val="both"/>
        <w:rPr>
          <w:highlight w:val="yellow"/>
          <w:lang w:val="en-GB"/>
        </w:rPr>
      </w:pPr>
    </w:p>
    <w:p w14:paraId="5972FEBE" w14:textId="4B8CE373" w:rsidR="00883FD1" w:rsidRPr="00380137" w:rsidRDefault="00A12F03" w:rsidP="006A28F6">
      <w:pPr>
        <w:tabs>
          <w:tab w:val="left" w:pos="567"/>
          <w:tab w:val="right" w:pos="7938"/>
        </w:tabs>
        <w:jc w:val="both"/>
        <w:rPr>
          <w:lang w:val="en-GB"/>
        </w:rPr>
      </w:pPr>
      <w:r w:rsidRPr="00380137">
        <w:rPr>
          <w:lang w:val="en-GB"/>
        </w:rPr>
        <w:t xml:space="preserve">The DPPH </w:t>
      </w:r>
      <w:r w:rsidR="00991007" w:rsidRPr="00380137">
        <w:rPr>
          <w:lang w:val="en-GB"/>
        </w:rPr>
        <w:t>assay</w:t>
      </w:r>
      <w:r w:rsidRPr="00380137">
        <w:rPr>
          <w:lang w:val="en-GB"/>
        </w:rPr>
        <w:t xml:space="preserve"> was </w:t>
      </w:r>
      <w:r w:rsidR="00991007" w:rsidRPr="00380137">
        <w:rPr>
          <w:lang w:val="en-GB"/>
        </w:rPr>
        <w:t xml:space="preserve">used as a screening for assessing strains’ antioxidant abilities and was </w:t>
      </w:r>
      <w:r w:rsidRPr="00380137">
        <w:rPr>
          <w:lang w:val="en-GB"/>
        </w:rPr>
        <w:t>defined as scavenging activity</w:t>
      </w:r>
      <w:r w:rsidR="00DC067E">
        <w:rPr>
          <w:lang w:val="en-GB"/>
        </w:rPr>
        <w:t xml:space="preserve">, </w:t>
      </w:r>
      <w:r w:rsidR="00991007" w:rsidRPr="00380137">
        <w:rPr>
          <w:lang w:val="en-GB"/>
        </w:rPr>
        <w:t>while t</w:t>
      </w:r>
      <w:r w:rsidR="00BB2CB3" w:rsidRPr="00380137">
        <w:rPr>
          <w:lang w:val="en-GB"/>
        </w:rPr>
        <w:t xml:space="preserve">he </w:t>
      </w:r>
      <w:r w:rsidR="006A28F6" w:rsidRPr="00380137">
        <w:rPr>
          <w:lang w:val="en-GB"/>
        </w:rPr>
        <w:t xml:space="preserve">cellular antioxidant assays </w:t>
      </w:r>
      <w:r w:rsidR="00BB2CB3" w:rsidRPr="00380137">
        <w:rPr>
          <w:lang w:val="en-GB"/>
        </w:rPr>
        <w:t xml:space="preserve">was used to reveal the total antioxidative capacity of the </w:t>
      </w:r>
      <w:r w:rsidR="00991007" w:rsidRPr="00380137">
        <w:rPr>
          <w:lang w:val="en-GB"/>
        </w:rPr>
        <w:t>strains</w:t>
      </w:r>
      <w:r w:rsidR="00BB2CB3" w:rsidRPr="00380137">
        <w:rPr>
          <w:lang w:val="en-GB"/>
        </w:rPr>
        <w:t xml:space="preserve"> by measuring ROS accumulation in Caco-2 cells. </w:t>
      </w:r>
      <w:r w:rsidR="006A28F6" w:rsidRPr="00380137">
        <w:rPr>
          <w:lang w:val="en-GB"/>
        </w:rPr>
        <w:t>The ROS scavenging abilities were consistent with the CAA results</w:t>
      </w:r>
      <w:r w:rsidR="00646AF2" w:rsidRPr="00380137">
        <w:rPr>
          <w:lang w:val="en-GB"/>
        </w:rPr>
        <w:t>,</w:t>
      </w:r>
      <w:r w:rsidR="006A28F6" w:rsidRPr="00380137">
        <w:rPr>
          <w:lang w:val="en-GB"/>
        </w:rPr>
        <w:t xml:space="preserve"> showing that both MIMBb23sg and DG exert </w:t>
      </w:r>
      <w:r w:rsidR="002B5192" w:rsidRPr="00380137">
        <w:rPr>
          <w:lang w:val="en-GB"/>
        </w:rPr>
        <w:t xml:space="preserve">a statistically significant </w:t>
      </w:r>
      <w:r w:rsidR="00BB2CB3" w:rsidRPr="00380137">
        <w:rPr>
          <w:lang w:val="en-GB"/>
        </w:rPr>
        <w:t xml:space="preserve">ability to lower ROS </w:t>
      </w:r>
      <w:r w:rsidR="00B91E2B" w:rsidRPr="00380137">
        <w:rPr>
          <w:lang w:val="en-GB"/>
        </w:rPr>
        <w:t>in</w:t>
      </w:r>
      <w:r w:rsidR="00BB2CB3" w:rsidRPr="00380137">
        <w:rPr>
          <w:lang w:val="en-GB"/>
        </w:rPr>
        <w:t xml:space="preserve"> a </w:t>
      </w:r>
      <w:r w:rsidR="002B5192" w:rsidRPr="00380137">
        <w:rPr>
          <w:lang w:val="en-GB"/>
        </w:rPr>
        <w:t xml:space="preserve">dose-dependent manner. </w:t>
      </w:r>
      <w:r w:rsidR="006B2F29" w:rsidRPr="00380137">
        <w:rPr>
          <w:lang w:val="en-GB"/>
        </w:rPr>
        <w:t xml:space="preserve">The </w:t>
      </w:r>
      <w:r w:rsidR="00500CC2" w:rsidRPr="00380137">
        <w:rPr>
          <w:lang w:val="en-GB"/>
        </w:rPr>
        <w:t xml:space="preserve">free radical scavenging ability is </w:t>
      </w:r>
      <w:r w:rsidR="00792453" w:rsidRPr="00380137">
        <w:rPr>
          <w:lang w:val="en-GB"/>
        </w:rPr>
        <w:t>plausibly due to the properties of</w:t>
      </w:r>
      <w:r w:rsidR="00500CC2" w:rsidRPr="00380137">
        <w:rPr>
          <w:lang w:val="en-GB"/>
        </w:rPr>
        <w:t xml:space="preserve"> </w:t>
      </w:r>
      <w:r w:rsidR="00792453" w:rsidRPr="00380137">
        <w:rPr>
          <w:lang w:val="en-GB"/>
        </w:rPr>
        <w:t xml:space="preserve">the molecules on the bacterial </w:t>
      </w:r>
      <w:r w:rsidR="00500CC2" w:rsidRPr="00380137">
        <w:rPr>
          <w:lang w:val="en-GB"/>
        </w:rPr>
        <w:t xml:space="preserve">cell </w:t>
      </w:r>
      <w:r w:rsidR="00792453" w:rsidRPr="00380137">
        <w:rPr>
          <w:lang w:val="en-GB"/>
        </w:rPr>
        <w:t>outer surface (e</w:t>
      </w:r>
      <w:r w:rsidR="00476628" w:rsidRPr="00380137">
        <w:rPr>
          <w:lang w:val="en-GB"/>
        </w:rPr>
        <w:t>.</w:t>
      </w:r>
      <w:r w:rsidR="00792453" w:rsidRPr="00380137">
        <w:rPr>
          <w:lang w:val="en-GB"/>
        </w:rPr>
        <w:t>g</w:t>
      </w:r>
      <w:r w:rsidR="00476628" w:rsidRPr="00380137">
        <w:rPr>
          <w:lang w:val="en-GB"/>
        </w:rPr>
        <w:t>.,</w:t>
      </w:r>
      <w:r w:rsidR="00500CC2" w:rsidRPr="00380137">
        <w:rPr>
          <w:lang w:val="en-GB"/>
        </w:rPr>
        <w:t xml:space="preserve"> </w:t>
      </w:r>
      <w:r w:rsidR="00792453" w:rsidRPr="00380137">
        <w:rPr>
          <w:lang w:val="en-GB"/>
        </w:rPr>
        <w:t>the exo</w:t>
      </w:r>
      <w:r w:rsidR="00500CC2" w:rsidRPr="00380137">
        <w:rPr>
          <w:lang w:val="en-GB"/>
        </w:rPr>
        <w:t>polysaccharide</w:t>
      </w:r>
      <w:r w:rsidR="00792453" w:rsidRPr="00380137">
        <w:rPr>
          <w:lang w:val="en-GB"/>
        </w:rPr>
        <w:t xml:space="preserve"> of strain DG; </w:t>
      </w:r>
      <w:proofErr w:type="spellStart"/>
      <w:r w:rsidR="00350C64" w:rsidRPr="00380137">
        <w:rPr>
          <w:lang w:val="en-GB"/>
        </w:rPr>
        <w:t>Balzaretti</w:t>
      </w:r>
      <w:proofErr w:type="spellEnd"/>
      <w:r w:rsidR="009669C9" w:rsidRPr="00380137">
        <w:rPr>
          <w:lang w:val="en-GB"/>
        </w:rPr>
        <w:t xml:space="preserve"> et al.</w:t>
      </w:r>
      <w:r w:rsidR="00350C64" w:rsidRPr="00380137">
        <w:rPr>
          <w:lang w:val="en-GB"/>
        </w:rPr>
        <w:t xml:space="preserve">, 2017). </w:t>
      </w:r>
      <w:r w:rsidR="00792453" w:rsidRPr="00380137">
        <w:rPr>
          <w:lang w:val="en-GB"/>
        </w:rPr>
        <w:t>Reportedly</w:t>
      </w:r>
      <w:r w:rsidR="002B5192" w:rsidRPr="00380137">
        <w:rPr>
          <w:lang w:val="en-GB"/>
        </w:rPr>
        <w:t>, some probiotic strains are reported to scavenge oxygen free radicals protecting Caco-2 cells against damage, maintaining Caco-2 cell integrity by enhancing the expression of tight junction proteins to protect the host against ROS injury</w:t>
      </w:r>
      <w:r w:rsidR="00500CC2" w:rsidRPr="00380137">
        <w:rPr>
          <w:lang w:val="en-GB"/>
        </w:rPr>
        <w:t xml:space="preserve"> (Mu</w:t>
      </w:r>
      <w:r w:rsidR="00B569C6" w:rsidRPr="00380137">
        <w:rPr>
          <w:lang w:val="en-GB"/>
        </w:rPr>
        <w:t xml:space="preserve"> et al.</w:t>
      </w:r>
      <w:r w:rsidR="00500CC2" w:rsidRPr="00380137">
        <w:rPr>
          <w:lang w:val="en-GB"/>
        </w:rPr>
        <w:t>, 2019)</w:t>
      </w:r>
      <w:r w:rsidR="002B5192" w:rsidRPr="00380137">
        <w:rPr>
          <w:lang w:val="en-GB"/>
        </w:rPr>
        <w:t>.</w:t>
      </w:r>
      <w:r w:rsidR="00500CC2" w:rsidRPr="00380137">
        <w:rPr>
          <w:lang w:val="en-GB"/>
        </w:rPr>
        <w:t xml:space="preserve"> </w:t>
      </w:r>
    </w:p>
    <w:p w14:paraId="16A78E47" w14:textId="6B4DA4F4" w:rsidR="005F06FD" w:rsidRPr="00380137" w:rsidRDefault="005F06FD" w:rsidP="00DC067E">
      <w:pPr>
        <w:pStyle w:val="Titolo2"/>
        <w:jc w:val="both"/>
        <w:rPr>
          <w:b/>
          <w:bCs/>
          <w:sz w:val="20"/>
          <w:lang w:val="en-GB"/>
        </w:rPr>
      </w:pPr>
      <w:r w:rsidRPr="00380137">
        <w:rPr>
          <w:b/>
          <w:bCs/>
          <w:sz w:val="20"/>
          <w:lang w:val="en-GB"/>
        </w:rPr>
        <w:t xml:space="preserve">3.2 </w:t>
      </w:r>
      <w:r w:rsidR="006740CD" w:rsidRPr="00380137">
        <w:rPr>
          <w:b/>
          <w:bCs/>
          <w:i/>
          <w:sz w:val="20"/>
          <w:lang w:val="en-GB"/>
        </w:rPr>
        <w:t>In vivo</w:t>
      </w:r>
      <w:r w:rsidR="006740CD" w:rsidRPr="00380137">
        <w:rPr>
          <w:b/>
          <w:bCs/>
          <w:sz w:val="20"/>
          <w:lang w:val="en-GB"/>
        </w:rPr>
        <w:t xml:space="preserve"> clinical trial</w:t>
      </w:r>
    </w:p>
    <w:p w14:paraId="1A92B517" w14:textId="2D88C991" w:rsidR="006740CD" w:rsidRPr="00E27C7D" w:rsidRDefault="008A2AC0" w:rsidP="00E637DC">
      <w:pPr>
        <w:jc w:val="both"/>
        <w:rPr>
          <w:lang w:val="en-GB"/>
        </w:rPr>
      </w:pPr>
      <w:r w:rsidRPr="00E27C7D">
        <w:rPr>
          <w:lang w:val="en-GB"/>
        </w:rPr>
        <w:t>Regarding</w:t>
      </w:r>
      <w:r w:rsidR="006740CD" w:rsidRPr="00E27C7D">
        <w:rPr>
          <w:lang w:val="en-GB"/>
        </w:rPr>
        <w:t xml:space="preserve"> the effect of the probiotic treatment on faecal taxonomic diversity, α-diversity was not significantly changed</w:t>
      </w:r>
      <w:r w:rsidR="00E637DC" w:rsidRPr="00E27C7D">
        <w:rPr>
          <w:lang w:val="en-GB"/>
        </w:rPr>
        <w:t xml:space="preserve">. Furthermore, </w:t>
      </w:r>
      <w:r w:rsidR="006740CD" w:rsidRPr="00E27C7D">
        <w:rPr>
          <w:lang w:val="en-GB"/>
        </w:rPr>
        <w:t xml:space="preserve">the analysis of inter-sample biodiversity (β-diversity) </w:t>
      </w:r>
      <w:r w:rsidR="00E637DC" w:rsidRPr="00E27C7D">
        <w:rPr>
          <w:lang w:val="en-GB"/>
        </w:rPr>
        <w:t xml:space="preserve">indicated </w:t>
      </w:r>
      <w:r w:rsidR="006740CD" w:rsidRPr="00E27C7D">
        <w:rPr>
          <w:lang w:val="en-GB"/>
        </w:rPr>
        <w:t xml:space="preserve">that the treatments did not induce a significant </w:t>
      </w:r>
      <w:r w:rsidR="00E637DC" w:rsidRPr="00E27C7D">
        <w:rPr>
          <w:lang w:val="en-GB"/>
        </w:rPr>
        <w:t>alteration in</w:t>
      </w:r>
      <w:r w:rsidR="006740CD" w:rsidRPr="00E27C7D">
        <w:rPr>
          <w:lang w:val="en-GB"/>
        </w:rPr>
        <w:t xml:space="preserve"> the overall bacterial community structure of f</w:t>
      </w:r>
      <w:r w:rsidR="00E637DC" w:rsidRPr="00E27C7D">
        <w:rPr>
          <w:lang w:val="en-GB"/>
        </w:rPr>
        <w:t>a</w:t>
      </w:r>
      <w:r w:rsidR="006740CD" w:rsidRPr="00E27C7D">
        <w:rPr>
          <w:lang w:val="en-GB"/>
        </w:rPr>
        <w:t>ecal samples.</w:t>
      </w:r>
      <w:r w:rsidR="00E637DC" w:rsidRPr="00E27C7D">
        <w:rPr>
          <w:lang w:val="en-GB"/>
        </w:rPr>
        <w:t xml:space="preserve"> </w:t>
      </w:r>
      <w:r w:rsidR="00422192" w:rsidRPr="00E27C7D">
        <w:rPr>
          <w:lang w:val="en-GB"/>
        </w:rPr>
        <w:t>However</w:t>
      </w:r>
      <w:r w:rsidR="006740CD" w:rsidRPr="00E27C7D">
        <w:rPr>
          <w:lang w:val="en-GB"/>
        </w:rPr>
        <w:t xml:space="preserve">, </w:t>
      </w:r>
      <w:r w:rsidR="00E637DC" w:rsidRPr="00E27C7D">
        <w:rPr>
          <w:lang w:val="en-GB"/>
        </w:rPr>
        <w:t xml:space="preserve">concerning </w:t>
      </w:r>
      <w:r w:rsidR="006740CD" w:rsidRPr="00E27C7D">
        <w:rPr>
          <w:lang w:val="en-GB"/>
        </w:rPr>
        <w:t xml:space="preserve">the impact of the probiotic intervention on specific faecal bacterial taxa, the </w:t>
      </w:r>
      <w:r w:rsidR="00422192" w:rsidRPr="00E27C7D">
        <w:rPr>
          <w:lang w:val="en-GB"/>
        </w:rPr>
        <w:t>administration</w:t>
      </w:r>
      <w:r w:rsidR="006740CD" w:rsidRPr="00E27C7D">
        <w:rPr>
          <w:lang w:val="en-GB"/>
        </w:rPr>
        <w:t xml:space="preserve"> </w:t>
      </w:r>
      <w:r w:rsidR="00E637DC" w:rsidRPr="00E27C7D">
        <w:rPr>
          <w:lang w:val="en-GB"/>
        </w:rPr>
        <w:t xml:space="preserve">of probiotics resulted in </w:t>
      </w:r>
      <w:r w:rsidR="006740CD" w:rsidRPr="00E27C7D">
        <w:rPr>
          <w:lang w:val="en-GB"/>
        </w:rPr>
        <w:t xml:space="preserve">a significant decrease of the phylum </w:t>
      </w:r>
      <w:r w:rsidR="006740CD" w:rsidRPr="00E27C7D">
        <w:rPr>
          <w:i/>
          <w:iCs/>
          <w:lang w:val="en-GB"/>
        </w:rPr>
        <w:t>Actinobacteria</w:t>
      </w:r>
      <w:r w:rsidR="006740CD" w:rsidRPr="00E27C7D">
        <w:rPr>
          <w:lang w:val="en-GB"/>
        </w:rPr>
        <w:t xml:space="preserve"> and a significant increase of the phylum </w:t>
      </w:r>
      <w:r w:rsidR="006740CD" w:rsidRPr="00E27C7D">
        <w:rPr>
          <w:i/>
          <w:iCs/>
          <w:lang w:val="en-GB"/>
        </w:rPr>
        <w:t>Bacteroidetes</w:t>
      </w:r>
      <w:r w:rsidR="00230087" w:rsidRPr="00E27C7D">
        <w:rPr>
          <w:lang w:val="en-GB"/>
        </w:rPr>
        <w:t xml:space="preserve">. In addition, several taxa of the phylum </w:t>
      </w:r>
      <w:r w:rsidR="00230087" w:rsidRPr="00E27C7D">
        <w:rPr>
          <w:i/>
          <w:iCs/>
          <w:lang w:val="en-GB"/>
        </w:rPr>
        <w:t>Proteobacteria</w:t>
      </w:r>
      <w:r w:rsidR="00230087" w:rsidRPr="00E27C7D">
        <w:rPr>
          <w:lang w:val="en-GB"/>
        </w:rPr>
        <w:t xml:space="preserve">, </w:t>
      </w:r>
      <w:r w:rsidR="00E637DC" w:rsidRPr="00E27C7D">
        <w:rPr>
          <w:lang w:val="en-GB"/>
        </w:rPr>
        <w:t xml:space="preserve">such as </w:t>
      </w:r>
      <w:r w:rsidR="00230087" w:rsidRPr="00E27C7D">
        <w:rPr>
          <w:lang w:val="en-GB"/>
        </w:rPr>
        <w:t xml:space="preserve">the genera </w:t>
      </w:r>
      <w:proofErr w:type="spellStart"/>
      <w:r w:rsidR="00230087" w:rsidRPr="00E27C7D">
        <w:rPr>
          <w:i/>
          <w:iCs/>
          <w:lang w:val="en-GB"/>
        </w:rPr>
        <w:t>Paracoccus</w:t>
      </w:r>
      <w:proofErr w:type="spellEnd"/>
      <w:r w:rsidR="00230087" w:rsidRPr="00E27C7D">
        <w:rPr>
          <w:lang w:val="en-GB"/>
        </w:rPr>
        <w:t xml:space="preserve">, </w:t>
      </w:r>
      <w:proofErr w:type="spellStart"/>
      <w:r w:rsidR="00230087" w:rsidRPr="00E27C7D">
        <w:rPr>
          <w:i/>
          <w:iCs/>
          <w:lang w:val="en-GB"/>
        </w:rPr>
        <w:t>Ralstonia</w:t>
      </w:r>
      <w:proofErr w:type="spellEnd"/>
      <w:r w:rsidR="00230087" w:rsidRPr="00E27C7D">
        <w:rPr>
          <w:lang w:val="en-GB"/>
        </w:rPr>
        <w:t xml:space="preserve">, </w:t>
      </w:r>
      <w:proofErr w:type="spellStart"/>
      <w:r w:rsidR="00230087" w:rsidRPr="00E27C7D">
        <w:rPr>
          <w:i/>
          <w:iCs/>
          <w:lang w:val="en-GB"/>
        </w:rPr>
        <w:t>Halomonas</w:t>
      </w:r>
      <w:proofErr w:type="spellEnd"/>
      <w:r w:rsidR="00230087" w:rsidRPr="00E27C7D">
        <w:rPr>
          <w:lang w:val="en-GB"/>
        </w:rPr>
        <w:t xml:space="preserve"> and </w:t>
      </w:r>
      <w:r w:rsidR="00230087" w:rsidRPr="00E27C7D">
        <w:rPr>
          <w:i/>
          <w:iCs/>
          <w:lang w:val="en-GB"/>
        </w:rPr>
        <w:t>Vibrio</w:t>
      </w:r>
      <w:r w:rsidR="00E637DC" w:rsidRPr="00E27C7D">
        <w:rPr>
          <w:lang w:val="en-GB"/>
        </w:rPr>
        <w:t>, were significantly reduced after probiotic treatment compared to the placebo</w:t>
      </w:r>
      <w:r w:rsidR="00230087" w:rsidRPr="00E27C7D">
        <w:rPr>
          <w:lang w:val="en-GB"/>
        </w:rPr>
        <w:t>.</w:t>
      </w:r>
    </w:p>
    <w:p w14:paraId="3A12E6DA" w14:textId="7B81BD05" w:rsidR="007D5F9C" w:rsidRPr="00E27C7D" w:rsidRDefault="00C71256" w:rsidP="00E637DC">
      <w:pPr>
        <w:jc w:val="both"/>
        <w:rPr>
          <w:lang w:val="en-GB"/>
        </w:rPr>
      </w:pPr>
      <w:r w:rsidRPr="00E27C7D">
        <w:rPr>
          <w:lang w:val="en-GB"/>
        </w:rPr>
        <w:t>Therefore</w:t>
      </w:r>
      <w:r w:rsidR="00BD46EB" w:rsidRPr="00E27C7D">
        <w:rPr>
          <w:lang w:val="en-GB"/>
        </w:rPr>
        <w:t xml:space="preserve">, </w:t>
      </w:r>
      <w:r w:rsidR="00056977" w:rsidRPr="00E27C7D">
        <w:rPr>
          <w:lang w:val="en-GB"/>
        </w:rPr>
        <w:t xml:space="preserve">the daily intake of a sachet of </w:t>
      </w:r>
      <w:proofErr w:type="spellStart"/>
      <w:r w:rsidR="00056977" w:rsidRPr="00E27C7D">
        <w:rPr>
          <w:lang w:val="en-GB"/>
        </w:rPr>
        <w:t>Enterolactis</w:t>
      </w:r>
      <w:proofErr w:type="spellEnd"/>
      <w:r w:rsidR="00056977" w:rsidRPr="00E27C7D">
        <w:rPr>
          <w:vertAlign w:val="superscript"/>
          <w:lang w:val="en-GB"/>
        </w:rPr>
        <w:t>®</w:t>
      </w:r>
      <w:r w:rsidR="00056977" w:rsidRPr="00E27C7D">
        <w:rPr>
          <w:lang w:val="en-GB"/>
        </w:rPr>
        <w:t xml:space="preserve"> Ultra </w:t>
      </w:r>
      <w:r w:rsidRPr="00E27C7D">
        <w:rPr>
          <w:lang w:val="en-GB"/>
        </w:rPr>
        <w:t>modifies the intestinal microbial ecosystem of non-constipated IBS patients</w:t>
      </w:r>
      <w:r w:rsidR="00E637DC" w:rsidRPr="00E27C7D">
        <w:rPr>
          <w:lang w:val="en-GB"/>
        </w:rPr>
        <w:t xml:space="preserve">. It </w:t>
      </w:r>
      <w:r w:rsidR="006F69C7" w:rsidRPr="00E27C7D">
        <w:rPr>
          <w:lang w:val="en-GB"/>
        </w:rPr>
        <w:t xml:space="preserve">also </w:t>
      </w:r>
      <w:r w:rsidR="00E637DC" w:rsidRPr="00E27C7D">
        <w:rPr>
          <w:lang w:val="en-GB"/>
        </w:rPr>
        <w:t xml:space="preserve">led to </w:t>
      </w:r>
      <w:r w:rsidR="006F69C7" w:rsidRPr="00E27C7D">
        <w:rPr>
          <w:lang w:val="en-GB"/>
        </w:rPr>
        <w:t>a</w:t>
      </w:r>
      <w:r w:rsidRPr="00E27C7D">
        <w:rPr>
          <w:lang w:val="en-GB"/>
        </w:rPr>
        <w:t xml:space="preserve"> significant reduction </w:t>
      </w:r>
      <w:r w:rsidR="00E637DC" w:rsidRPr="00E27C7D">
        <w:rPr>
          <w:lang w:val="en-GB"/>
        </w:rPr>
        <w:t xml:space="preserve">in </w:t>
      </w:r>
      <w:r w:rsidRPr="00E27C7D">
        <w:rPr>
          <w:lang w:val="en-GB"/>
        </w:rPr>
        <w:t xml:space="preserve">the ratio between the </w:t>
      </w:r>
      <w:r w:rsidR="009669C9" w:rsidRPr="00E27C7D">
        <w:rPr>
          <w:lang w:val="en-GB"/>
        </w:rPr>
        <w:t>faecal</w:t>
      </w:r>
      <w:r w:rsidRPr="00E27C7D">
        <w:rPr>
          <w:lang w:val="en-GB"/>
        </w:rPr>
        <w:t xml:space="preserve"> levels of the SCFAs propionate and butyrate</w:t>
      </w:r>
      <w:r w:rsidR="007D5F9C" w:rsidRPr="00E27C7D">
        <w:rPr>
          <w:lang w:val="en-GB"/>
        </w:rPr>
        <w:t xml:space="preserve">, as reported in Table </w:t>
      </w:r>
      <w:r w:rsidR="00272D08" w:rsidRPr="00E27C7D">
        <w:rPr>
          <w:lang w:val="en-GB"/>
        </w:rPr>
        <w:t>2</w:t>
      </w:r>
      <w:r w:rsidRPr="00E27C7D">
        <w:rPr>
          <w:lang w:val="en-GB"/>
        </w:rPr>
        <w:t xml:space="preserve">. Notably, the </w:t>
      </w:r>
      <w:proofErr w:type="spellStart"/>
      <w:r w:rsidRPr="00E27C7D">
        <w:rPr>
          <w:lang w:val="en-GB"/>
        </w:rPr>
        <w:t>propionate:butyrate</w:t>
      </w:r>
      <w:proofErr w:type="spellEnd"/>
      <w:r w:rsidRPr="00E27C7D">
        <w:rPr>
          <w:lang w:val="en-GB"/>
        </w:rPr>
        <w:t xml:space="preserve"> ratio has </w:t>
      </w:r>
      <w:r w:rsidR="006F69C7" w:rsidRPr="00E27C7D">
        <w:rPr>
          <w:lang w:val="en-GB"/>
        </w:rPr>
        <w:t xml:space="preserve">already </w:t>
      </w:r>
      <w:r w:rsidRPr="00E27C7D">
        <w:rPr>
          <w:lang w:val="en-GB"/>
        </w:rPr>
        <w:t>been proposed as a potential biomarker for IBS</w:t>
      </w:r>
      <w:r w:rsidR="00FF46EF" w:rsidRPr="00E27C7D">
        <w:rPr>
          <w:lang w:val="en-GB"/>
        </w:rPr>
        <w:t xml:space="preserve"> in previous studies</w:t>
      </w:r>
      <w:r w:rsidR="00FF46EF" w:rsidRPr="00A92A82">
        <w:rPr>
          <w:lang w:val="en-GB" w:eastAsia="it-IT"/>
        </w:rPr>
        <w:t xml:space="preserve">, </w:t>
      </w:r>
      <w:r w:rsidRPr="00E27C7D">
        <w:rPr>
          <w:lang w:val="en-GB"/>
        </w:rPr>
        <w:t>show</w:t>
      </w:r>
      <w:r w:rsidR="00FF46EF" w:rsidRPr="00E27C7D">
        <w:rPr>
          <w:lang w:val="en-GB"/>
        </w:rPr>
        <w:t>ing</w:t>
      </w:r>
      <w:r w:rsidRPr="00E27C7D">
        <w:rPr>
          <w:lang w:val="en-GB"/>
        </w:rPr>
        <w:t xml:space="preserve"> that the difference between propionic acid and butyric acid (mmol/l) was significantly higher in </w:t>
      </w:r>
      <w:r w:rsidR="009669C9" w:rsidRPr="00E27C7D">
        <w:rPr>
          <w:lang w:val="en-GB"/>
        </w:rPr>
        <w:t>diarrhoea</w:t>
      </w:r>
      <w:r w:rsidRPr="00E27C7D">
        <w:rPr>
          <w:lang w:val="en-GB"/>
        </w:rPr>
        <w:t>-predominant IBS patients</w:t>
      </w:r>
      <w:r w:rsidR="00180EDB" w:rsidRPr="00E27C7D">
        <w:rPr>
          <w:lang w:val="en-GB"/>
        </w:rPr>
        <w:t xml:space="preserve"> (</w:t>
      </w:r>
      <w:proofErr w:type="spellStart"/>
      <w:r w:rsidR="00180EDB" w:rsidRPr="00E27C7D">
        <w:rPr>
          <w:lang w:val="en-GB"/>
        </w:rPr>
        <w:t>Farup</w:t>
      </w:r>
      <w:proofErr w:type="spellEnd"/>
      <w:r w:rsidR="009669C9" w:rsidRPr="00E27C7D">
        <w:rPr>
          <w:lang w:val="en-GB"/>
        </w:rPr>
        <w:t xml:space="preserve"> et al.</w:t>
      </w:r>
      <w:r w:rsidR="00180EDB" w:rsidRPr="00E27C7D">
        <w:rPr>
          <w:lang w:val="en-GB"/>
        </w:rPr>
        <w:t xml:space="preserve">, </w:t>
      </w:r>
      <w:r w:rsidR="00B569C6" w:rsidRPr="00E27C7D">
        <w:rPr>
          <w:lang w:val="en-GB"/>
        </w:rPr>
        <w:t>2016</w:t>
      </w:r>
      <w:r w:rsidR="00180EDB" w:rsidRPr="00E27C7D">
        <w:rPr>
          <w:lang w:val="en-GB"/>
        </w:rPr>
        <w:t>).</w:t>
      </w:r>
      <w:r w:rsidR="007D5F9C" w:rsidRPr="00E27C7D">
        <w:rPr>
          <w:lang w:val="en-GB"/>
        </w:rPr>
        <w:t xml:space="preserve"> </w:t>
      </w:r>
    </w:p>
    <w:p w14:paraId="2F4EB99A" w14:textId="77777777" w:rsidR="000B3EE2" w:rsidRPr="00E27C7D" w:rsidRDefault="00BB2CB3" w:rsidP="00BB2CB3">
      <w:pPr>
        <w:jc w:val="both"/>
        <w:rPr>
          <w:lang w:val="en-GB"/>
        </w:rPr>
      </w:pPr>
      <w:r w:rsidRPr="00E27C7D">
        <w:rPr>
          <w:lang w:val="en-GB"/>
        </w:rPr>
        <w:t xml:space="preserve">Finally, correlation analysis revealed significant positive associations of propionate and the propionate/butyrate ratio with several bacterial taxa that resulted significantly reduced by the probiotic intervention, including the genus </w:t>
      </w:r>
      <w:proofErr w:type="spellStart"/>
      <w:r w:rsidRPr="00E27C7D">
        <w:rPr>
          <w:i/>
          <w:iCs/>
          <w:lang w:val="en-GB"/>
        </w:rPr>
        <w:t>Collinsella</w:t>
      </w:r>
      <w:proofErr w:type="spellEnd"/>
      <w:r w:rsidRPr="00E27C7D">
        <w:rPr>
          <w:lang w:val="en-GB"/>
        </w:rPr>
        <w:t xml:space="preserve">, the family </w:t>
      </w:r>
      <w:proofErr w:type="spellStart"/>
      <w:r w:rsidRPr="00E27C7D">
        <w:rPr>
          <w:i/>
          <w:iCs/>
          <w:lang w:val="en-GB"/>
        </w:rPr>
        <w:t>Leuconostocaceae</w:t>
      </w:r>
      <w:proofErr w:type="spellEnd"/>
      <w:r w:rsidRPr="00E27C7D">
        <w:rPr>
          <w:lang w:val="en-GB"/>
        </w:rPr>
        <w:t xml:space="preserve"> and the genus </w:t>
      </w:r>
      <w:proofErr w:type="spellStart"/>
      <w:r w:rsidRPr="00E27C7D">
        <w:rPr>
          <w:i/>
          <w:iCs/>
          <w:lang w:val="en-GB"/>
        </w:rPr>
        <w:t>Coprobacillus</w:t>
      </w:r>
      <w:proofErr w:type="spellEnd"/>
      <w:r w:rsidRPr="00E27C7D">
        <w:rPr>
          <w:lang w:val="en-GB"/>
        </w:rPr>
        <w:t xml:space="preserve">, which resulted also </w:t>
      </w:r>
      <w:r w:rsidR="00E637DC" w:rsidRPr="00E27C7D">
        <w:rPr>
          <w:lang w:val="en-GB"/>
        </w:rPr>
        <w:t xml:space="preserve">showed negative correlation </w:t>
      </w:r>
      <w:r w:rsidRPr="00E27C7D">
        <w:rPr>
          <w:lang w:val="en-GB"/>
        </w:rPr>
        <w:t>with butyrate levels.</w:t>
      </w:r>
    </w:p>
    <w:p w14:paraId="3D3F238B" w14:textId="77777777" w:rsidR="00146F38" w:rsidRPr="00380137" w:rsidRDefault="00146F38" w:rsidP="00146F38">
      <w:pPr>
        <w:tabs>
          <w:tab w:val="left" w:pos="1134"/>
        </w:tabs>
        <w:spacing w:before="300" w:after="120"/>
        <w:jc w:val="both"/>
        <w:rPr>
          <w:i/>
          <w:sz w:val="18"/>
          <w:lang w:val="en-GB"/>
        </w:rPr>
      </w:pPr>
      <w:r w:rsidRPr="00380137">
        <w:rPr>
          <w:b/>
          <w:i/>
          <w:sz w:val="18"/>
          <w:lang w:val="en-GB"/>
        </w:rPr>
        <w:t xml:space="preserve">Table 2 </w:t>
      </w:r>
      <w:r w:rsidRPr="00380137">
        <w:rPr>
          <w:i/>
          <w:sz w:val="18"/>
          <w:lang w:val="en-GB"/>
        </w:rPr>
        <w:t>Faecal concentration of organic acids in patients participating to the clinical trial. Data are presented as median values and expressed as mmol/100 g of faeces. *, P&lt;0.05</w:t>
      </w:r>
      <w:r w:rsidRPr="00380137">
        <w:rPr>
          <w:iCs/>
          <w:sz w:val="18"/>
          <w:lang w:val="en-GB"/>
        </w:rPr>
        <w:t xml:space="preserve"> </w:t>
      </w:r>
      <w:r w:rsidRPr="00380137">
        <w:rPr>
          <w:i/>
          <w:sz w:val="18"/>
          <w:lang w:val="en-GB"/>
        </w:rPr>
        <w:t>based on non-parametric ANOVA.</w:t>
      </w:r>
    </w:p>
    <w:tbl>
      <w:tblPr>
        <w:tblpPr w:leftFromText="141" w:rightFromText="141" w:vertAnchor="text" w:horzAnchor="margin" w:tblpY="15"/>
        <w:tblW w:w="91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336"/>
        <w:gridCol w:w="728"/>
        <w:gridCol w:w="1616"/>
        <w:gridCol w:w="1559"/>
        <w:gridCol w:w="1417"/>
        <w:gridCol w:w="1418"/>
      </w:tblGrid>
      <w:tr w:rsidR="00146F38" w:rsidRPr="00380137" w14:paraId="5D59C4CE" w14:textId="77777777" w:rsidTr="00146F38">
        <w:trPr>
          <w:trHeight w:val="227"/>
        </w:trPr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4E63E0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5A5CF7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AD72B6" w14:textId="77777777" w:rsidR="00146F38" w:rsidRPr="00380137" w:rsidRDefault="00146F38" w:rsidP="00146F38">
            <w:pPr>
              <w:jc w:val="both"/>
              <w:rPr>
                <w:b/>
                <w:bCs/>
                <w:i/>
                <w:iCs/>
                <w:lang w:val="en-GB"/>
              </w:rPr>
            </w:pPr>
            <w:r w:rsidRPr="00380137">
              <w:rPr>
                <w:b/>
                <w:bCs/>
                <w:i/>
                <w:iCs/>
                <w:lang w:val="en-GB"/>
              </w:rPr>
              <w:t>P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650B6" w14:textId="77777777" w:rsidR="00146F38" w:rsidRPr="00380137" w:rsidRDefault="00146F38" w:rsidP="00146F38">
            <w:pPr>
              <w:jc w:val="both"/>
              <w:rPr>
                <w:b/>
                <w:bCs/>
                <w:lang w:val="en-GB"/>
              </w:rPr>
            </w:pPr>
            <w:r w:rsidRPr="00380137">
              <w:rPr>
                <w:b/>
                <w:bCs/>
                <w:lang w:val="en-GB"/>
              </w:rPr>
              <w:t>Before Probiotic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23307B" w14:textId="77777777" w:rsidR="00146F38" w:rsidRPr="00380137" w:rsidRDefault="00146F38" w:rsidP="00146F38">
            <w:pPr>
              <w:jc w:val="both"/>
              <w:rPr>
                <w:b/>
                <w:bCs/>
                <w:lang w:val="en-GB"/>
              </w:rPr>
            </w:pPr>
            <w:r w:rsidRPr="00380137">
              <w:rPr>
                <w:b/>
                <w:bCs/>
                <w:lang w:val="en-GB"/>
              </w:rPr>
              <w:t>After Probiotic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07BAC5" w14:textId="77777777" w:rsidR="00146F38" w:rsidRPr="00380137" w:rsidRDefault="00146F38" w:rsidP="00146F38">
            <w:pPr>
              <w:jc w:val="both"/>
              <w:rPr>
                <w:b/>
                <w:bCs/>
                <w:lang w:val="en-GB"/>
              </w:rPr>
            </w:pPr>
            <w:r w:rsidRPr="00380137">
              <w:rPr>
                <w:b/>
                <w:bCs/>
                <w:lang w:val="en-GB"/>
              </w:rPr>
              <w:t>Before Placebo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4FA79" w14:textId="77777777" w:rsidR="00146F38" w:rsidRPr="00380137" w:rsidRDefault="00146F38" w:rsidP="00146F38">
            <w:pPr>
              <w:jc w:val="both"/>
              <w:rPr>
                <w:b/>
                <w:bCs/>
                <w:lang w:val="en-GB"/>
              </w:rPr>
            </w:pPr>
            <w:r w:rsidRPr="00380137">
              <w:rPr>
                <w:b/>
                <w:bCs/>
                <w:lang w:val="en-GB"/>
              </w:rPr>
              <w:t>After Placebo</w:t>
            </w:r>
          </w:p>
        </w:tc>
      </w:tr>
      <w:tr w:rsidR="00146F38" w:rsidRPr="00380137" w14:paraId="40DBA9ED" w14:textId="77777777" w:rsidTr="00146F38">
        <w:trPr>
          <w:trHeight w:val="227"/>
        </w:trPr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FEC4D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Acetate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91B2B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40840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0.537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D71F8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3.66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9EE2A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4.21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2AE82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4.03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D5E69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3.93</w:t>
            </w:r>
          </w:p>
        </w:tc>
      </w:tr>
      <w:tr w:rsidR="00146F38" w:rsidRPr="00380137" w14:paraId="1498E90A" w14:textId="77777777" w:rsidTr="00146F38">
        <w:trPr>
          <w:trHeight w:val="227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2C363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Butyrate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E8215" w14:textId="77777777" w:rsidR="00146F38" w:rsidRPr="00380137" w:rsidRDefault="00146F38" w:rsidP="00146F38">
            <w:pPr>
              <w:jc w:val="both"/>
              <w:rPr>
                <w:b/>
                <w:bCs/>
                <w:lang w:val="en-GB"/>
              </w:rPr>
            </w:pPr>
            <w:r w:rsidRPr="00380137">
              <w:rPr>
                <w:b/>
                <w:bCs/>
                <w:lang w:val="en-GB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146A7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0.152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06B81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2.23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910FF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2.95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DFE60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3.98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46665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2.55</w:t>
            </w:r>
          </w:p>
        </w:tc>
      </w:tr>
      <w:tr w:rsidR="00146F38" w:rsidRPr="00380137" w14:paraId="20E0BBB3" w14:textId="77777777" w:rsidTr="00146F38">
        <w:trPr>
          <w:trHeight w:val="227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0EEE3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Propionate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95487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CA59F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0.100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A91DD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1.08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AA19B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67460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0.92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B6223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1.15</w:t>
            </w:r>
          </w:p>
        </w:tc>
      </w:tr>
      <w:tr w:rsidR="00146F38" w:rsidRPr="00380137" w14:paraId="05391D29" w14:textId="77777777" w:rsidTr="00146F38">
        <w:trPr>
          <w:trHeight w:val="227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D737A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Valerate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40B08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7E11C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0.140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3D9A4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1.24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16D20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1.13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44AE8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1.21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A5770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1.42</w:t>
            </w:r>
          </w:p>
        </w:tc>
      </w:tr>
      <w:tr w:rsidR="00146F38" w:rsidRPr="00380137" w14:paraId="6B85D892" w14:textId="77777777" w:rsidTr="00146F38">
        <w:trPr>
          <w:trHeight w:val="227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06D95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Succinate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8D61B" w14:textId="77777777" w:rsidR="00146F38" w:rsidRPr="00380137" w:rsidRDefault="00146F38" w:rsidP="00146F38">
            <w:pPr>
              <w:jc w:val="both"/>
              <w:rPr>
                <w:b/>
                <w:bCs/>
                <w:lang w:val="en-GB"/>
              </w:rPr>
            </w:pPr>
            <w:r w:rsidRPr="00380137">
              <w:rPr>
                <w:b/>
                <w:bCs/>
                <w:lang w:val="en-GB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A8FB8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0.555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84B60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0.09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0914C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2C7E9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0.10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BEB12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0.09</w:t>
            </w:r>
          </w:p>
        </w:tc>
      </w:tr>
      <w:tr w:rsidR="00146F38" w:rsidRPr="00380137" w14:paraId="37961554" w14:textId="77777777" w:rsidTr="00146F38">
        <w:trPr>
          <w:trHeight w:val="227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23A60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Isovalerate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6268E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1D978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0.478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0C029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0.56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8D07D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0.59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34551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0.57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72291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0.53</w:t>
            </w:r>
          </w:p>
        </w:tc>
      </w:tr>
      <w:tr w:rsidR="00146F38" w:rsidRPr="00380137" w14:paraId="37AA9EEF" w14:textId="77777777" w:rsidTr="00146F38">
        <w:trPr>
          <w:trHeight w:val="227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D0CA3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Lactate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A89E0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84D37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0.355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6ED9B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0.04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616C0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36EA6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89C8C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0.03</w:t>
            </w:r>
          </w:p>
        </w:tc>
      </w:tr>
      <w:tr w:rsidR="00146F38" w:rsidRPr="00380137" w14:paraId="4F1B73CE" w14:textId="77777777" w:rsidTr="00146F38">
        <w:trPr>
          <w:trHeight w:val="227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000A1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Acetate/Butyrate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44F71B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89FC0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0.468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55388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1.23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24686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84C6A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1.21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827CB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1.29</w:t>
            </w:r>
          </w:p>
        </w:tc>
      </w:tr>
      <w:tr w:rsidR="00146F38" w:rsidRPr="00380137" w14:paraId="3B0BBC11" w14:textId="77777777" w:rsidTr="00146F38">
        <w:trPr>
          <w:trHeight w:val="227"/>
        </w:trPr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36969A" w14:textId="77777777" w:rsidR="00146F38" w:rsidRPr="00380137" w:rsidRDefault="00146F38" w:rsidP="00146F38">
            <w:pPr>
              <w:jc w:val="both"/>
              <w:rPr>
                <w:lang w:val="en-GB"/>
              </w:rPr>
            </w:pPr>
            <w:r w:rsidRPr="00380137">
              <w:rPr>
                <w:lang w:val="en-GB"/>
              </w:rPr>
              <w:t>Propionate/Butyrate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3C79F3" w14:textId="77777777" w:rsidR="00146F38" w:rsidRPr="00380137" w:rsidRDefault="00146F38" w:rsidP="00146F38">
            <w:pPr>
              <w:jc w:val="both"/>
              <w:rPr>
                <w:b/>
                <w:bCs/>
                <w:lang w:val="en-GB"/>
              </w:rPr>
            </w:pPr>
            <w:r w:rsidRPr="00380137">
              <w:rPr>
                <w:b/>
                <w:bCs/>
                <w:lang w:val="en-GB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1F1740" w14:textId="77777777" w:rsidR="00146F38" w:rsidRPr="00380137" w:rsidRDefault="00146F38" w:rsidP="00146F38">
            <w:pPr>
              <w:jc w:val="both"/>
              <w:rPr>
                <w:b/>
                <w:bCs/>
                <w:lang w:val="en-GB"/>
              </w:rPr>
            </w:pPr>
            <w:r w:rsidRPr="00380137">
              <w:rPr>
                <w:b/>
                <w:bCs/>
                <w:lang w:val="en-GB"/>
              </w:rPr>
              <w:t>0.013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CBC006" w14:textId="77777777" w:rsidR="00146F38" w:rsidRPr="00380137" w:rsidRDefault="00146F38" w:rsidP="00146F38">
            <w:pPr>
              <w:jc w:val="both"/>
              <w:rPr>
                <w:b/>
                <w:bCs/>
                <w:lang w:val="en-GB"/>
              </w:rPr>
            </w:pPr>
            <w:r w:rsidRPr="00380137">
              <w:rPr>
                <w:b/>
                <w:bCs/>
                <w:lang w:val="en-GB"/>
              </w:rPr>
              <w:t>0.42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9294DA" w14:textId="77777777" w:rsidR="00146F38" w:rsidRPr="00380137" w:rsidRDefault="00146F38" w:rsidP="00146F38">
            <w:pPr>
              <w:jc w:val="both"/>
              <w:rPr>
                <w:b/>
                <w:bCs/>
                <w:lang w:val="en-GB"/>
              </w:rPr>
            </w:pPr>
            <w:r w:rsidRPr="00380137">
              <w:rPr>
                <w:b/>
                <w:bCs/>
                <w:lang w:val="en-GB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652D89" w14:textId="77777777" w:rsidR="00146F38" w:rsidRPr="00380137" w:rsidRDefault="00146F38" w:rsidP="00146F38">
            <w:pPr>
              <w:jc w:val="both"/>
              <w:rPr>
                <w:b/>
                <w:bCs/>
                <w:lang w:val="en-GB"/>
              </w:rPr>
            </w:pPr>
            <w:r w:rsidRPr="00380137">
              <w:rPr>
                <w:b/>
                <w:bCs/>
                <w:lang w:val="en-GB"/>
              </w:rPr>
              <w:t>0.26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0BF68" w14:textId="77777777" w:rsidR="00146F38" w:rsidRPr="00380137" w:rsidRDefault="00146F38" w:rsidP="00146F38">
            <w:pPr>
              <w:jc w:val="both"/>
              <w:rPr>
                <w:b/>
                <w:bCs/>
                <w:lang w:val="en-GB"/>
              </w:rPr>
            </w:pPr>
            <w:r w:rsidRPr="00380137">
              <w:rPr>
                <w:b/>
                <w:bCs/>
                <w:lang w:val="en-GB"/>
              </w:rPr>
              <w:t>0.38</w:t>
            </w:r>
          </w:p>
        </w:tc>
      </w:tr>
    </w:tbl>
    <w:p w14:paraId="265C2D80" w14:textId="77777777" w:rsidR="00146F38" w:rsidRPr="00380137" w:rsidRDefault="00146F38" w:rsidP="00963D96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 w:rsidRPr="00380137">
        <w:rPr>
          <w:b/>
          <w:bCs/>
          <w:color w:val="000000"/>
          <w:sz w:val="24"/>
          <w:lang w:val="en-GB"/>
        </w:rPr>
        <w:t>4. References</w:t>
      </w:r>
    </w:p>
    <w:p w14:paraId="394A3D39" w14:textId="77777777" w:rsidR="00146F38" w:rsidRPr="00E60E11" w:rsidRDefault="00146F38" w:rsidP="00146F38">
      <w:pPr>
        <w:ind w:left="425" w:hanging="425"/>
        <w:jc w:val="both"/>
        <w:rPr>
          <w:sz w:val="18"/>
          <w:szCs w:val="18"/>
        </w:rPr>
      </w:pPr>
      <w:r w:rsidRPr="00DC067E">
        <w:rPr>
          <w:sz w:val="18"/>
          <w:szCs w:val="18"/>
        </w:rPr>
        <w:t xml:space="preserve">Guglielmetti, S., Mora, D., </w:t>
      </w:r>
      <w:proofErr w:type="spellStart"/>
      <w:r w:rsidRPr="00DC067E">
        <w:rPr>
          <w:sz w:val="18"/>
          <w:szCs w:val="18"/>
        </w:rPr>
        <w:t>Gschwender</w:t>
      </w:r>
      <w:proofErr w:type="spellEnd"/>
      <w:r w:rsidRPr="00DC067E">
        <w:rPr>
          <w:sz w:val="18"/>
          <w:szCs w:val="18"/>
        </w:rPr>
        <w:t xml:space="preserve">, M., &amp; Popp, K. (2011). </w:t>
      </w:r>
      <w:r w:rsidRPr="00380137">
        <w:rPr>
          <w:sz w:val="18"/>
          <w:szCs w:val="18"/>
          <w:lang w:val="en-GB"/>
        </w:rPr>
        <w:t xml:space="preserve">Randomised clinical trial: </w:t>
      </w:r>
      <w:r w:rsidRPr="00380137">
        <w:rPr>
          <w:i/>
          <w:iCs/>
          <w:sz w:val="18"/>
          <w:szCs w:val="18"/>
          <w:lang w:val="en-GB"/>
        </w:rPr>
        <w:t>Bifidobacterium bifidum</w:t>
      </w:r>
      <w:r w:rsidRPr="00380137">
        <w:rPr>
          <w:sz w:val="18"/>
          <w:szCs w:val="18"/>
          <w:lang w:val="en-GB"/>
        </w:rPr>
        <w:t xml:space="preserve"> MIMBb75 significantly alleviates irritable bowel syndrome and improves quality of life--a double-blind, placebo-controlled study. </w:t>
      </w:r>
      <w:proofErr w:type="spellStart"/>
      <w:r w:rsidRPr="00E60E11">
        <w:rPr>
          <w:sz w:val="18"/>
          <w:szCs w:val="18"/>
        </w:rPr>
        <w:t>Alimentary</w:t>
      </w:r>
      <w:proofErr w:type="spellEnd"/>
      <w:r w:rsidRPr="00E60E11">
        <w:rPr>
          <w:sz w:val="18"/>
          <w:szCs w:val="18"/>
        </w:rPr>
        <w:t xml:space="preserve"> </w:t>
      </w:r>
      <w:proofErr w:type="spellStart"/>
      <w:r w:rsidRPr="00E60E11">
        <w:rPr>
          <w:sz w:val="18"/>
          <w:szCs w:val="18"/>
        </w:rPr>
        <w:t>pharmacology</w:t>
      </w:r>
      <w:proofErr w:type="spellEnd"/>
      <w:r w:rsidRPr="00E60E11">
        <w:rPr>
          <w:sz w:val="18"/>
          <w:szCs w:val="18"/>
        </w:rPr>
        <w:t xml:space="preserve"> &amp; </w:t>
      </w:r>
      <w:proofErr w:type="spellStart"/>
      <w:r w:rsidRPr="00E60E11">
        <w:rPr>
          <w:sz w:val="18"/>
          <w:szCs w:val="18"/>
        </w:rPr>
        <w:t>therapeutics</w:t>
      </w:r>
      <w:proofErr w:type="spellEnd"/>
      <w:r w:rsidRPr="00E60E11">
        <w:rPr>
          <w:sz w:val="18"/>
          <w:szCs w:val="18"/>
        </w:rPr>
        <w:t>, 33(10), 1123–1132.</w:t>
      </w:r>
    </w:p>
    <w:p w14:paraId="701B969C" w14:textId="77777777" w:rsidR="00146F38" w:rsidRPr="00380137" w:rsidRDefault="00146F38" w:rsidP="00146F38">
      <w:pPr>
        <w:ind w:left="425" w:hanging="425"/>
        <w:jc w:val="both"/>
        <w:rPr>
          <w:sz w:val="18"/>
          <w:szCs w:val="18"/>
          <w:lang w:val="en-GB"/>
        </w:rPr>
      </w:pPr>
      <w:r w:rsidRPr="00E60E11">
        <w:rPr>
          <w:sz w:val="18"/>
          <w:szCs w:val="18"/>
        </w:rPr>
        <w:t xml:space="preserve">Balzaretti, S., Taverniti, V., Guglielmetti, S., Fiore, W., Minuzzo, M., Ngo, H. N., </w:t>
      </w:r>
      <w:proofErr w:type="spellStart"/>
      <w:r w:rsidRPr="00E60E11">
        <w:rPr>
          <w:sz w:val="18"/>
          <w:szCs w:val="18"/>
        </w:rPr>
        <w:t>Ngere</w:t>
      </w:r>
      <w:proofErr w:type="spellEnd"/>
      <w:r w:rsidRPr="00E60E11">
        <w:rPr>
          <w:sz w:val="18"/>
          <w:szCs w:val="18"/>
        </w:rPr>
        <w:t xml:space="preserve">, J. B., Sadiq, S., Humphreys, P. N., &amp; </w:t>
      </w:r>
      <w:proofErr w:type="spellStart"/>
      <w:r w:rsidRPr="00E60E11">
        <w:rPr>
          <w:sz w:val="18"/>
          <w:szCs w:val="18"/>
        </w:rPr>
        <w:t>Laws</w:t>
      </w:r>
      <w:proofErr w:type="spellEnd"/>
      <w:r w:rsidRPr="00E60E11">
        <w:rPr>
          <w:sz w:val="18"/>
          <w:szCs w:val="18"/>
        </w:rPr>
        <w:t xml:space="preserve">, A. P. (2017). </w:t>
      </w:r>
      <w:r w:rsidRPr="00380137">
        <w:rPr>
          <w:sz w:val="18"/>
          <w:szCs w:val="18"/>
          <w:lang w:val="en-GB"/>
        </w:rPr>
        <w:t xml:space="preserve">A Novel Rhamnose-Rich Hetero-exopolysaccharide Isolated from </w:t>
      </w:r>
      <w:r w:rsidRPr="00380137">
        <w:rPr>
          <w:i/>
          <w:iCs/>
          <w:sz w:val="18"/>
          <w:szCs w:val="18"/>
          <w:lang w:val="en-GB"/>
        </w:rPr>
        <w:t xml:space="preserve">Lactobacillus </w:t>
      </w:r>
      <w:proofErr w:type="spellStart"/>
      <w:r w:rsidRPr="00380137">
        <w:rPr>
          <w:i/>
          <w:iCs/>
          <w:sz w:val="18"/>
          <w:szCs w:val="18"/>
          <w:lang w:val="en-GB"/>
        </w:rPr>
        <w:t>paracasei</w:t>
      </w:r>
      <w:proofErr w:type="spellEnd"/>
      <w:r w:rsidRPr="00380137">
        <w:rPr>
          <w:sz w:val="18"/>
          <w:szCs w:val="18"/>
          <w:lang w:val="en-GB"/>
        </w:rPr>
        <w:t xml:space="preserve"> DG Activates THP-1 Human Monocytic Cells. </w:t>
      </w:r>
      <w:r w:rsidRPr="00380137">
        <w:rPr>
          <w:i/>
          <w:iCs/>
          <w:sz w:val="18"/>
          <w:szCs w:val="18"/>
          <w:lang w:val="en-GB"/>
        </w:rPr>
        <w:t>Applied and environmental microbiology</w:t>
      </w:r>
      <w:r w:rsidRPr="00380137">
        <w:rPr>
          <w:sz w:val="18"/>
          <w:szCs w:val="18"/>
          <w:lang w:val="en-GB"/>
        </w:rPr>
        <w:t>, </w:t>
      </w:r>
      <w:r w:rsidRPr="00380137">
        <w:rPr>
          <w:i/>
          <w:iCs/>
          <w:sz w:val="18"/>
          <w:szCs w:val="18"/>
          <w:lang w:val="en-GB"/>
        </w:rPr>
        <w:t>83</w:t>
      </w:r>
      <w:r w:rsidRPr="00380137">
        <w:rPr>
          <w:sz w:val="18"/>
          <w:szCs w:val="18"/>
          <w:lang w:val="en-GB"/>
        </w:rPr>
        <w:t xml:space="preserve">(3), e02702-16. </w:t>
      </w:r>
    </w:p>
    <w:p w14:paraId="6D6DD5E1" w14:textId="77777777" w:rsidR="00146F38" w:rsidRPr="00380137" w:rsidRDefault="00146F38" w:rsidP="00146F38">
      <w:pPr>
        <w:ind w:left="425" w:hanging="425"/>
        <w:jc w:val="both"/>
        <w:rPr>
          <w:sz w:val="18"/>
          <w:szCs w:val="18"/>
          <w:lang w:val="en-GB"/>
        </w:rPr>
      </w:pPr>
      <w:r w:rsidRPr="00380137">
        <w:rPr>
          <w:sz w:val="18"/>
          <w:szCs w:val="18"/>
          <w:lang w:val="en-GB"/>
        </w:rPr>
        <w:t xml:space="preserve">Mu, G., Li, H., </w:t>
      </w:r>
      <w:proofErr w:type="spellStart"/>
      <w:r w:rsidRPr="00380137">
        <w:rPr>
          <w:sz w:val="18"/>
          <w:szCs w:val="18"/>
          <w:lang w:val="en-GB"/>
        </w:rPr>
        <w:t>Tuo</w:t>
      </w:r>
      <w:proofErr w:type="spellEnd"/>
      <w:r w:rsidRPr="00380137">
        <w:rPr>
          <w:sz w:val="18"/>
          <w:szCs w:val="18"/>
          <w:lang w:val="en-GB"/>
        </w:rPr>
        <w:t xml:space="preserve">, Y., Gao, Y., &amp; Zhang, Y. (2019). Antioxidative effect of </w:t>
      </w:r>
      <w:r w:rsidRPr="00380137">
        <w:rPr>
          <w:i/>
          <w:iCs/>
          <w:sz w:val="18"/>
          <w:szCs w:val="18"/>
          <w:lang w:val="en-GB"/>
        </w:rPr>
        <w:t>Lactobacillus plantarum</w:t>
      </w:r>
      <w:r w:rsidRPr="00380137">
        <w:rPr>
          <w:sz w:val="18"/>
          <w:szCs w:val="18"/>
          <w:lang w:val="en-GB"/>
        </w:rPr>
        <w:t xml:space="preserve"> Y44 on 2,2'-azobis(2-methylpropionamidine) dihydrochloride (ABAP)-damaged Caco-2 cells. </w:t>
      </w:r>
      <w:r w:rsidRPr="00380137">
        <w:rPr>
          <w:i/>
          <w:iCs/>
          <w:sz w:val="18"/>
          <w:szCs w:val="18"/>
          <w:lang w:val="en-GB"/>
        </w:rPr>
        <w:t>Journal of dairy science</w:t>
      </w:r>
      <w:r w:rsidRPr="00380137">
        <w:rPr>
          <w:sz w:val="18"/>
          <w:szCs w:val="18"/>
          <w:lang w:val="en-GB"/>
        </w:rPr>
        <w:t>, </w:t>
      </w:r>
      <w:r w:rsidRPr="00380137">
        <w:rPr>
          <w:i/>
          <w:iCs/>
          <w:sz w:val="18"/>
          <w:szCs w:val="18"/>
          <w:lang w:val="en-GB"/>
        </w:rPr>
        <w:t>102</w:t>
      </w:r>
      <w:r w:rsidRPr="00380137">
        <w:rPr>
          <w:sz w:val="18"/>
          <w:szCs w:val="18"/>
          <w:lang w:val="en-GB"/>
        </w:rPr>
        <w:t xml:space="preserve">(8), 6863–6875. </w:t>
      </w:r>
    </w:p>
    <w:p w14:paraId="3B3F61BC" w14:textId="5CEF9796" w:rsidR="007D5F9C" w:rsidRPr="00380137" w:rsidRDefault="00146F38" w:rsidP="00146F38">
      <w:pPr>
        <w:ind w:left="425" w:hanging="425"/>
        <w:jc w:val="both"/>
        <w:rPr>
          <w:sz w:val="18"/>
          <w:szCs w:val="18"/>
          <w:lang w:val="en-GB"/>
        </w:rPr>
      </w:pPr>
      <w:proofErr w:type="spellStart"/>
      <w:r w:rsidRPr="0023745B">
        <w:rPr>
          <w:sz w:val="18"/>
          <w:szCs w:val="18"/>
          <w:lang w:val="en-US"/>
        </w:rPr>
        <w:t>Farup</w:t>
      </w:r>
      <w:proofErr w:type="spellEnd"/>
      <w:r w:rsidRPr="0023745B">
        <w:rPr>
          <w:sz w:val="18"/>
          <w:szCs w:val="18"/>
          <w:lang w:val="en-US"/>
        </w:rPr>
        <w:t xml:space="preserve">, P. G., Rudi, K., &amp; </w:t>
      </w:r>
      <w:proofErr w:type="spellStart"/>
      <w:r w:rsidRPr="0023745B">
        <w:rPr>
          <w:sz w:val="18"/>
          <w:szCs w:val="18"/>
          <w:lang w:val="en-US"/>
        </w:rPr>
        <w:t>Hestad</w:t>
      </w:r>
      <w:proofErr w:type="spellEnd"/>
      <w:r w:rsidRPr="0023745B">
        <w:rPr>
          <w:sz w:val="18"/>
          <w:szCs w:val="18"/>
          <w:lang w:val="en-US"/>
        </w:rPr>
        <w:t xml:space="preserve">, K. (2016). </w:t>
      </w:r>
      <w:r w:rsidRPr="00380137">
        <w:rPr>
          <w:sz w:val="18"/>
          <w:szCs w:val="18"/>
          <w:lang w:val="en-GB"/>
        </w:rPr>
        <w:t>Faecal short-chain fatty acids - a diagnostic biomarker for irritable bowel syndrome? </w:t>
      </w:r>
      <w:r w:rsidRPr="00380137">
        <w:rPr>
          <w:i/>
          <w:iCs/>
          <w:sz w:val="18"/>
          <w:szCs w:val="18"/>
          <w:lang w:val="en-GB"/>
        </w:rPr>
        <w:t>BMC gastroenterology</w:t>
      </w:r>
      <w:r w:rsidRPr="00380137">
        <w:rPr>
          <w:sz w:val="18"/>
          <w:szCs w:val="18"/>
          <w:lang w:val="en-GB"/>
        </w:rPr>
        <w:t>, </w:t>
      </w:r>
      <w:r w:rsidRPr="00380137">
        <w:rPr>
          <w:i/>
          <w:iCs/>
          <w:sz w:val="18"/>
          <w:szCs w:val="18"/>
          <w:lang w:val="en-GB"/>
        </w:rPr>
        <w:t>16</w:t>
      </w:r>
      <w:r w:rsidRPr="00380137">
        <w:rPr>
          <w:sz w:val="18"/>
          <w:szCs w:val="18"/>
          <w:lang w:val="en-GB"/>
        </w:rPr>
        <w:t>(1), 51.</w:t>
      </w:r>
    </w:p>
    <w:sectPr w:rsidR="007D5F9C" w:rsidRPr="00380137" w:rsidSect="00AA5DD2">
      <w:type w:val="continuous"/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F804B" w14:textId="77777777" w:rsidR="009B69A1" w:rsidRDefault="009B69A1">
      <w:r>
        <w:separator/>
      </w:r>
    </w:p>
  </w:endnote>
  <w:endnote w:type="continuationSeparator" w:id="0">
    <w:p w14:paraId="6AFAF58F" w14:textId="77777777" w:rsidR="009B69A1" w:rsidRDefault="009B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Bitstream Vera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1ef757c0+03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3544C" w14:textId="77777777" w:rsidR="009B69A1" w:rsidRDefault="009B69A1">
      <w:r>
        <w:separator/>
      </w:r>
    </w:p>
  </w:footnote>
  <w:footnote w:type="continuationSeparator" w:id="0">
    <w:p w14:paraId="0EC68053" w14:textId="77777777" w:rsidR="009B69A1" w:rsidRDefault="009B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76859"/>
    <w:multiLevelType w:val="multilevel"/>
    <w:tmpl w:val="DA8493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6A17757"/>
    <w:multiLevelType w:val="multilevel"/>
    <w:tmpl w:val="16643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decimal"/>
      <w:pStyle w:val="Titolo7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7.%8.%9"/>
      <w:lvlJc w:val="left"/>
      <w:pPr>
        <w:tabs>
          <w:tab w:val="num" w:pos="1584"/>
        </w:tabs>
        <w:ind w:left="1584" w:hanging="1584"/>
      </w:pPr>
    </w:lvl>
  </w:abstractNum>
  <w:num w:numId="1" w16cid:durableId="1028798861">
    <w:abstractNumId w:val="1"/>
  </w:num>
  <w:num w:numId="2" w16cid:durableId="900023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trackRevisions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9B"/>
    <w:rsid w:val="000031B2"/>
    <w:rsid w:val="0001421C"/>
    <w:rsid w:val="00040818"/>
    <w:rsid w:val="00056977"/>
    <w:rsid w:val="00065615"/>
    <w:rsid w:val="000A2643"/>
    <w:rsid w:val="000B2550"/>
    <w:rsid w:val="000B3EE2"/>
    <w:rsid w:val="00104CA7"/>
    <w:rsid w:val="00112EE1"/>
    <w:rsid w:val="00146F38"/>
    <w:rsid w:val="00180EDB"/>
    <w:rsid w:val="001813D3"/>
    <w:rsid w:val="001925D4"/>
    <w:rsid w:val="001A446B"/>
    <w:rsid w:val="00210A35"/>
    <w:rsid w:val="00230087"/>
    <w:rsid w:val="0023745B"/>
    <w:rsid w:val="0026496E"/>
    <w:rsid w:val="00272D08"/>
    <w:rsid w:val="00294AC1"/>
    <w:rsid w:val="002A484D"/>
    <w:rsid w:val="002B5192"/>
    <w:rsid w:val="002B60D3"/>
    <w:rsid w:val="002B7297"/>
    <w:rsid w:val="002E6A15"/>
    <w:rsid w:val="00350C64"/>
    <w:rsid w:val="00362328"/>
    <w:rsid w:val="003642F2"/>
    <w:rsid w:val="00374D18"/>
    <w:rsid w:val="00380137"/>
    <w:rsid w:val="003A11FC"/>
    <w:rsid w:val="003E2144"/>
    <w:rsid w:val="003E7DF7"/>
    <w:rsid w:val="00422192"/>
    <w:rsid w:val="004266C1"/>
    <w:rsid w:val="00432AC7"/>
    <w:rsid w:val="004602AB"/>
    <w:rsid w:val="00476628"/>
    <w:rsid w:val="004F43EE"/>
    <w:rsid w:val="00500CC2"/>
    <w:rsid w:val="00511A48"/>
    <w:rsid w:val="00512D9B"/>
    <w:rsid w:val="005215AD"/>
    <w:rsid w:val="005D0808"/>
    <w:rsid w:val="005F06FD"/>
    <w:rsid w:val="005F22D2"/>
    <w:rsid w:val="006312D1"/>
    <w:rsid w:val="00646AF2"/>
    <w:rsid w:val="00653F4B"/>
    <w:rsid w:val="006740CD"/>
    <w:rsid w:val="00675369"/>
    <w:rsid w:val="0068273E"/>
    <w:rsid w:val="00684C57"/>
    <w:rsid w:val="006A28F6"/>
    <w:rsid w:val="006B2F29"/>
    <w:rsid w:val="006D1D0B"/>
    <w:rsid w:val="006D650D"/>
    <w:rsid w:val="006F69C7"/>
    <w:rsid w:val="00746B7D"/>
    <w:rsid w:val="0077752C"/>
    <w:rsid w:val="007777FF"/>
    <w:rsid w:val="00786563"/>
    <w:rsid w:val="00792453"/>
    <w:rsid w:val="007A0C56"/>
    <w:rsid w:val="007D5F9C"/>
    <w:rsid w:val="007E1A6E"/>
    <w:rsid w:val="007E5842"/>
    <w:rsid w:val="007E7027"/>
    <w:rsid w:val="008509ED"/>
    <w:rsid w:val="008552FB"/>
    <w:rsid w:val="00883FD1"/>
    <w:rsid w:val="008A2AC0"/>
    <w:rsid w:val="008C0827"/>
    <w:rsid w:val="008C6871"/>
    <w:rsid w:val="0091178A"/>
    <w:rsid w:val="00937F63"/>
    <w:rsid w:val="0095567C"/>
    <w:rsid w:val="00963D96"/>
    <w:rsid w:val="009669C9"/>
    <w:rsid w:val="00971583"/>
    <w:rsid w:val="009854CA"/>
    <w:rsid w:val="00991007"/>
    <w:rsid w:val="009B69A1"/>
    <w:rsid w:val="009D3F31"/>
    <w:rsid w:val="00A05E43"/>
    <w:rsid w:val="00A12F03"/>
    <w:rsid w:val="00A169C7"/>
    <w:rsid w:val="00A52ACE"/>
    <w:rsid w:val="00A649A4"/>
    <w:rsid w:val="00A92A82"/>
    <w:rsid w:val="00AA5DD2"/>
    <w:rsid w:val="00AF50D7"/>
    <w:rsid w:val="00B07DA8"/>
    <w:rsid w:val="00B11AA4"/>
    <w:rsid w:val="00B569C6"/>
    <w:rsid w:val="00B57A40"/>
    <w:rsid w:val="00B70167"/>
    <w:rsid w:val="00B73984"/>
    <w:rsid w:val="00B76D38"/>
    <w:rsid w:val="00B91E2B"/>
    <w:rsid w:val="00BA7AC5"/>
    <w:rsid w:val="00BB2CB3"/>
    <w:rsid w:val="00BB6C02"/>
    <w:rsid w:val="00BD2120"/>
    <w:rsid w:val="00BD46EB"/>
    <w:rsid w:val="00BF5778"/>
    <w:rsid w:val="00C01E9C"/>
    <w:rsid w:val="00C52DA3"/>
    <w:rsid w:val="00C71256"/>
    <w:rsid w:val="00C85A9B"/>
    <w:rsid w:val="00CA74F8"/>
    <w:rsid w:val="00CF60A7"/>
    <w:rsid w:val="00D15955"/>
    <w:rsid w:val="00D20CE8"/>
    <w:rsid w:val="00D22977"/>
    <w:rsid w:val="00D76006"/>
    <w:rsid w:val="00DB66C7"/>
    <w:rsid w:val="00DC067E"/>
    <w:rsid w:val="00DC127A"/>
    <w:rsid w:val="00E27C7D"/>
    <w:rsid w:val="00E60E11"/>
    <w:rsid w:val="00E637DC"/>
    <w:rsid w:val="00E87DFB"/>
    <w:rsid w:val="00ED546A"/>
    <w:rsid w:val="00EF512E"/>
    <w:rsid w:val="00F20EF6"/>
    <w:rsid w:val="00F524B5"/>
    <w:rsid w:val="00F97DB2"/>
    <w:rsid w:val="00FB589C"/>
    <w:rsid w:val="00FB736D"/>
    <w:rsid w:val="00FC33B4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12F75"/>
  <w15:docId w15:val="{DF97F53B-F3A8-D34D-B2D7-A644FC2A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Bitstream Vera Sans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outlineLvl w:val="1"/>
    </w:pPr>
    <w:rPr>
      <w:sz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outlineLvl w:val="2"/>
    </w:pPr>
    <w:rPr>
      <w:sz w:val="28"/>
      <w:lang w:val="en-US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/>
      <w:outlineLvl w:val="3"/>
    </w:pPr>
    <w:rPr>
      <w:color w:val="000000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684" w:lineRule="exact"/>
      <w:textAlignment w:val="baseline"/>
      <w:outlineLvl w:val="4"/>
    </w:pPr>
    <w:rPr>
      <w:color w:val="000000"/>
      <w:sz w:val="72"/>
      <w:vertAlign w:val="subscrip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line="684" w:lineRule="exact"/>
      <w:textAlignment w:val="baseline"/>
      <w:outlineLvl w:val="5"/>
    </w:pPr>
    <w:rPr>
      <w:b/>
      <w:bCs/>
      <w:color w:val="4D4D4D"/>
      <w:sz w:val="72"/>
      <w:szCs w:val="40"/>
      <w:vertAlign w:val="subscript"/>
    </w:rPr>
  </w:style>
  <w:style w:type="paragraph" w:styleId="Titolo7">
    <w:name w:val="heading 7"/>
    <w:basedOn w:val="Normale"/>
    <w:next w:val="Normale"/>
    <w:qFormat/>
    <w:pPr>
      <w:widowControl/>
      <w:numPr>
        <w:ilvl w:val="6"/>
        <w:numId w:val="1"/>
      </w:numPr>
      <w:spacing w:before="240" w:after="60" w:line="264" w:lineRule="auto"/>
      <w:jc w:val="both"/>
      <w:outlineLvl w:val="6"/>
    </w:pPr>
    <w:rPr>
      <w:rFonts w:ascii="Arial" w:hAnsi="Arial" w:cs="Arial"/>
      <w:kern w:val="2"/>
      <w:lang w:val="nl-NL"/>
    </w:rPr>
  </w:style>
  <w:style w:type="paragraph" w:styleId="Titolo8">
    <w:name w:val="heading 8"/>
    <w:basedOn w:val="Normale"/>
    <w:next w:val="Normale"/>
    <w:qFormat/>
    <w:pPr>
      <w:widowControl/>
      <w:numPr>
        <w:ilvl w:val="7"/>
        <w:numId w:val="1"/>
      </w:numPr>
      <w:spacing w:before="240" w:after="60" w:line="264" w:lineRule="auto"/>
      <w:jc w:val="both"/>
      <w:outlineLvl w:val="7"/>
    </w:pPr>
    <w:rPr>
      <w:rFonts w:ascii="Arial" w:hAnsi="Arial" w:cs="Arial"/>
      <w:i/>
      <w:kern w:val="2"/>
      <w:lang w:val="nl-NL"/>
    </w:rPr>
  </w:style>
  <w:style w:type="paragraph" w:styleId="Titolo9">
    <w:name w:val="heading 9"/>
    <w:basedOn w:val="Normale"/>
    <w:next w:val="Normale"/>
    <w:qFormat/>
    <w:pPr>
      <w:widowControl/>
      <w:numPr>
        <w:ilvl w:val="8"/>
        <w:numId w:val="1"/>
      </w:numPr>
      <w:spacing w:before="240" w:after="60" w:line="264" w:lineRule="auto"/>
      <w:jc w:val="both"/>
      <w:outlineLvl w:val="8"/>
    </w:pPr>
    <w:rPr>
      <w:rFonts w:ascii="Arial" w:hAnsi="Arial" w:cs="Arial"/>
      <w:i/>
      <w:kern w:val="2"/>
      <w:sz w:val="18"/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sz w:val="24"/>
    </w:rPr>
  </w:style>
  <w:style w:type="character" w:customStyle="1" w:styleId="WW8Num13z0">
    <w:name w:val="WW8Num13z0"/>
    <w:qFormat/>
    <w:rPr>
      <w:sz w:val="24"/>
    </w:rPr>
  </w:style>
  <w:style w:type="character" w:customStyle="1" w:styleId="WW8Num13z1">
    <w:name w:val="WW8Num13z1"/>
    <w:qFormat/>
    <w:rPr>
      <w:rFonts w:ascii="Times New Roman" w:hAnsi="Times New Roman" w:cs="Times New Roman"/>
      <w:b/>
      <w:i w:val="0"/>
      <w:sz w:val="22"/>
    </w:rPr>
  </w:style>
  <w:style w:type="character" w:customStyle="1" w:styleId="WW8Num13z2">
    <w:name w:val="WW8Num13z2"/>
    <w:qFormat/>
    <w:rPr>
      <w:rFonts w:ascii="Times New Roman" w:hAnsi="Times New Roman" w:cs="Times New Roman"/>
      <w:b w:val="0"/>
      <w:i/>
      <w:sz w:val="24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sz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notaapidipaginaCarattere">
    <w:name w:val="Testo nota a piè di pagina Carattere"/>
    <w:qFormat/>
    <w:rPr>
      <w:sz w:val="24"/>
      <w:szCs w:val="24"/>
      <w:lang w:val="it-IT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dichiusura">
    <w:name w:val="Caratteri nota di chiusura"/>
    <w:qFormat/>
    <w:rPr>
      <w:vertAlign w:val="superscript"/>
    </w:rPr>
  </w:style>
  <w:style w:type="character" w:customStyle="1" w:styleId="WW-Caratterinotadichiusura">
    <w:name w:val="WW-Caratteri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sz w:val="24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sz w:val="24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sz w:val="24"/>
    </w:rPr>
  </w:style>
  <w:style w:type="character" w:customStyle="1" w:styleId="ListLabel13">
    <w:name w:val="ListLabel 13"/>
    <w:qFormat/>
    <w:rPr>
      <w:sz w:val="24"/>
    </w:rPr>
  </w:style>
  <w:style w:type="character" w:customStyle="1" w:styleId="ListLabel14">
    <w:name w:val="ListLabel 14"/>
    <w:qFormat/>
    <w:rPr>
      <w:sz w:val="24"/>
    </w:rPr>
  </w:style>
  <w:style w:type="character" w:customStyle="1" w:styleId="ListLabel15">
    <w:name w:val="ListLabel 15"/>
    <w:qFormat/>
    <w:rPr>
      <w:sz w:val="24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Normale"/>
    <w:uiPriority w:val="10"/>
    <w:qFormat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paragraph" w:styleId="Corpotesto">
    <w:name w:val="Body Text"/>
    <w:basedOn w:val="Normale"/>
    <w:rPr>
      <w:i/>
      <w:iCs/>
      <w:sz w:val="32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Corpodeltesto2">
    <w:name w:val="Body Text 2"/>
    <w:basedOn w:val="Normale"/>
    <w:qFormat/>
    <w:pPr>
      <w:shd w:val="clear" w:color="auto" w:fill="FFFFFF"/>
    </w:pPr>
    <w:rPr>
      <w:b/>
      <w:bCs/>
      <w:i/>
      <w:iCs/>
      <w:sz w:val="28"/>
    </w:rPr>
  </w:style>
  <w:style w:type="paragraph" w:styleId="Corpodeltesto3">
    <w:name w:val="Body Text 3"/>
    <w:basedOn w:val="Normale"/>
    <w:qFormat/>
    <w:pPr>
      <w:jc w:val="center"/>
    </w:pPr>
    <w:rPr>
      <w:sz w:val="36"/>
    </w:rPr>
  </w:style>
  <w:style w:type="paragraph" w:customStyle="1" w:styleId="NumberedList">
    <w:name w:val="Numbered List"/>
    <w:basedOn w:val="Normale"/>
    <w:qFormat/>
    <w:pPr>
      <w:widowControl/>
      <w:spacing w:line="264" w:lineRule="auto"/>
      <w:jc w:val="both"/>
    </w:pPr>
    <w:rPr>
      <w:kern w:val="2"/>
      <w:lang w:val="en-GB"/>
    </w:rPr>
  </w:style>
  <w:style w:type="paragraph" w:customStyle="1" w:styleId="paragrafo">
    <w:name w:val="paragrafo"/>
    <w:basedOn w:val="Normale"/>
    <w:qFormat/>
    <w:pPr>
      <w:widowControl/>
      <w:spacing w:line="360" w:lineRule="auto"/>
      <w:ind w:firstLine="567"/>
      <w:jc w:val="both"/>
      <w:textAlignment w:val="baseline"/>
    </w:pPr>
    <w:rPr>
      <w:color w:val="000000"/>
      <w:sz w:val="24"/>
    </w:rPr>
  </w:style>
  <w:style w:type="paragraph" w:styleId="Numeroelenco">
    <w:name w:val="List Number"/>
    <w:basedOn w:val="Normale"/>
    <w:qFormat/>
    <w:pPr>
      <w:widowControl/>
      <w:textAlignment w:val="baseline"/>
    </w:pPr>
  </w:style>
  <w:style w:type="paragraph" w:styleId="Numeroelenco2">
    <w:name w:val="List Number 2"/>
    <w:basedOn w:val="Normale"/>
    <w:qFormat/>
    <w:pPr>
      <w:widowControl/>
      <w:textAlignment w:val="baseline"/>
    </w:pPr>
  </w:style>
  <w:style w:type="paragraph" w:styleId="Numeroelenco3">
    <w:name w:val="List Number 3"/>
    <w:basedOn w:val="Normale"/>
    <w:qFormat/>
    <w:pPr>
      <w:widowControl/>
      <w:textAlignment w:val="baseline"/>
    </w:pPr>
  </w:style>
  <w:style w:type="paragraph" w:styleId="Numeroelenco4">
    <w:name w:val="List Number 4"/>
    <w:basedOn w:val="Normale"/>
    <w:qFormat/>
    <w:pPr>
      <w:widowControl/>
      <w:textAlignment w:val="baseline"/>
    </w:pPr>
  </w:style>
  <w:style w:type="paragraph" w:styleId="Numeroelenco5">
    <w:name w:val="List Number 5"/>
    <w:basedOn w:val="Normale"/>
    <w:qFormat/>
    <w:pPr>
      <w:widowControl/>
      <w:textAlignment w:val="baseline"/>
    </w:pPr>
  </w:style>
  <w:style w:type="paragraph" w:styleId="Puntoelenco">
    <w:name w:val="List Bullet"/>
    <w:basedOn w:val="Normale"/>
    <w:qFormat/>
    <w:pPr>
      <w:widowControl/>
      <w:textAlignment w:val="baseline"/>
    </w:pPr>
  </w:style>
  <w:style w:type="paragraph" w:styleId="Puntoelenco2">
    <w:name w:val="List Bullet 2"/>
    <w:basedOn w:val="Normale"/>
    <w:qFormat/>
    <w:pPr>
      <w:widowControl/>
      <w:textAlignment w:val="baseline"/>
    </w:pPr>
  </w:style>
  <w:style w:type="paragraph" w:styleId="Puntoelenco3">
    <w:name w:val="List Bullet 3"/>
    <w:basedOn w:val="Normale"/>
    <w:qFormat/>
    <w:pPr>
      <w:widowControl/>
      <w:textAlignment w:val="baseline"/>
    </w:pPr>
  </w:style>
  <w:style w:type="paragraph" w:styleId="Puntoelenco4">
    <w:name w:val="List Bullet 4"/>
    <w:basedOn w:val="Normale"/>
    <w:qFormat/>
    <w:pPr>
      <w:widowControl/>
      <w:textAlignment w:val="baseline"/>
    </w:pPr>
  </w:style>
  <w:style w:type="paragraph" w:styleId="Puntoelenco5">
    <w:name w:val="List Bullet 5"/>
    <w:basedOn w:val="Normale"/>
    <w:qFormat/>
    <w:pPr>
      <w:widowControl/>
      <w:textAlignment w:val="baseline"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986"/>
        <w:tab w:val="right" w:pos="9972"/>
      </w:tabs>
    </w:pPr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paragraph" w:styleId="Rientrocorpodeltesto2">
    <w:name w:val="Body Text Indent 2"/>
    <w:basedOn w:val="Normale"/>
    <w:qFormat/>
    <w:pPr>
      <w:widowControl/>
      <w:ind w:firstLine="426"/>
      <w:jc w:val="both"/>
      <w:textAlignment w:val="baseline"/>
    </w:pPr>
    <w:rPr>
      <w:bCs/>
      <w:sz w:val="24"/>
      <w:lang w:val="en-GB"/>
    </w:rPr>
  </w:style>
  <w:style w:type="paragraph" w:styleId="Rientrocorpodeltesto">
    <w:name w:val="Body Text Indent"/>
    <w:basedOn w:val="Normale"/>
    <w:pPr>
      <w:widowControl/>
      <w:spacing w:line="264" w:lineRule="auto"/>
      <w:ind w:left="284" w:hanging="284"/>
      <w:jc w:val="both"/>
    </w:pPr>
    <w:rPr>
      <w:kern w:val="2"/>
      <w:lang w:val="en-GB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Rientrocorpodeltesto3">
    <w:name w:val="Body Text Indent 3"/>
    <w:basedOn w:val="Normale"/>
    <w:qFormat/>
    <w:pPr>
      <w:widowControl/>
      <w:spacing w:after="120"/>
      <w:ind w:left="283"/>
      <w:textAlignment w:val="baseline"/>
    </w:pPr>
    <w:rPr>
      <w:sz w:val="16"/>
      <w:szCs w:val="16"/>
    </w:rPr>
  </w:style>
  <w:style w:type="paragraph" w:styleId="Testocommento">
    <w:name w:val="annotation text"/>
    <w:basedOn w:val="Normale"/>
    <w:qFormat/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notaapidipagina">
    <w:name w:val="footnote text"/>
    <w:basedOn w:val="Normale"/>
    <w:rPr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elenco">
    <w:name w:val="Contenuto elenco"/>
    <w:basedOn w:val="Normale"/>
    <w:qFormat/>
    <w:pPr>
      <w:ind w:lef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paragraph" w:customStyle="1" w:styleId="Default">
    <w:name w:val="Default"/>
    <w:rsid w:val="00653F4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Grigliatabella">
    <w:name w:val="Table Grid"/>
    <w:basedOn w:val="Tabellanormale"/>
    <w:uiPriority w:val="39"/>
    <w:rsid w:val="00B1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46AF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6AF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7775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eWeb">
    <w:name w:val="Normal (Web)"/>
    <w:basedOn w:val="Normale"/>
    <w:uiPriority w:val="99"/>
    <w:semiHidden/>
    <w:unhideWhenUsed/>
    <w:rsid w:val="0077752C"/>
    <w:pPr>
      <w:widowControl/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7752C"/>
    <w:pPr>
      <w:widowControl/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7752C"/>
    <w:rPr>
      <w:rFonts w:ascii="Arial" w:eastAsia="Times New Roman" w:hAnsi="Arial" w:cs="Arial"/>
      <w:vanish/>
      <w:sz w:val="16"/>
      <w:szCs w:val="16"/>
      <w:lang w:eastAsia="it-IT" w:bidi="ar-SA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7752C"/>
    <w:pPr>
      <w:widowControl/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7752C"/>
    <w:rPr>
      <w:rFonts w:ascii="Arial" w:eastAsia="Times New Roman" w:hAnsi="Arial" w:cs="Arial"/>
      <w:vanish/>
      <w:sz w:val="16"/>
      <w:szCs w:val="16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800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1842637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0083783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20043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993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445262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8703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5625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50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5761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59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492052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501561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976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1437</Words>
  <Characters>8191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</dc:creator>
  <dc:description/>
  <cp:lastModifiedBy>Brunelli Laura</cp:lastModifiedBy>
  <cp:revision>6</cp:revision>
  <cp:lastPrinted>2023-02-24T09:51:00Z</cp:lastPrinted>
  <dcterms:created xsi:type="dcterms:W3CDTF">2023-06-08T22:31:00Z</dcterms:created>
  <dcterms:modified xsi:type="dcterms:W3CDTF">2023-06-23T23:44:00Z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