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6D0FE6" w14:textId="371023B0" w:rsidR="00512D9B" w:rsidRDefault="00B449FD">
      <w:pPr>
        <w:pStyle w:val="Titre"/>
        <w:spacing w:before="600" w:line="240" w:lineRule="auto"/>
        <w:rPr>
          <w:lang w:val="en-GB"/>
        </w:rPr>
      </w:pPr>
      <w:r>
        <w:rPr>
          <w:lang w:val="en-GB"/>
        </w:rPr>
        <w:t>Improving the grape pressing for a sustainable wine production chain (</w:t>
      </w:r>
      <w:proofErr w:type="spellStart"/>
      <w:r>
        <w:rPr>
          <w:lang w:val="en-GB"/>
        </w:rPr>
        <w:t>GrapePress</w:t>
      </w:r>
      <w:proofErr w:type="spellEnd"/>
      <w:r>
        <w:rPr>
          <w:lang w:val="en-GB"/>
        </w:rPr>
        <w:t xml:space="preserve"> 4.0)</w:t>
      </w:r>
    </w:p>
    <w:p w14:paraId="3607B32A" w14:textId="0135DCB3" w:rsidR="00512D9B" w:rsidRDefault="00B449FD">
      <w:pPr>
        <w:jc w:val="center"/>
        <w:rPr>
          <w:lang w:val="en-GB"/>
        </w:rPr>
      </w:pPr>
      <w:r>
        <w:rPr>
          <w:lang w:val="en-GB"/>
        </w:rPr>
        <w:t>Gvantsa Shanshiashvili</w:t>
      </w:r>
      <w:r w:rsidR="00FB589C">
        <w:rPr>
          <w:lang w:val="en-GB"/>
        </w:rPr>
        <w:t xml:space="preserve"> (</w:t>
      </w:r>
      <w:r w:rsidR="00794326">
        <w:rPr>
          <w:lang w:val="en-GB"/>
        </w:rPr>
        <w:t>g</w:t>
      </w:r>
      <w:r>
        <w:rPr>
          <w:lang w:val="en-GB"/>
        </w:rPr>
        <w:t>vantsa.shanshiashvili</w:t>
      </w:r>
      <w:r w:rsidR="00FB589C">
        <w:rPr>
          <w:lang w:val="en-GB"/>
        </w:rPr>
        <w:t>@u</w:t>
      </w:r>
      <w:r>
        <w:rPr>
          <w:lang w:val="en-GB"/>
        </w:rPr>
        <w:t>nimi</w:t>
      </w:r>
      <w:r w:rsidR="00FB589C">
        <w:rPr>
          <w:lang w:val="en-GB"/>
        </w:rPr>
        <w:t>.it)</w:t>
      </w:r>
    </w:p>
    <w:p w14:paraId="6071147E" w14:textId="1D1C12E4" w:rsidR="00512D9B" w:rsidRDefault="00FB589C">
      <w:pPr>
        <w:jc w:val="center"/>
        <w:rPr>
          <w:lang w:val="en-GB"/>
        </w:rPr>
      </w:pPr>
      <w:r>
        <w:rPr>
          <w:lang w:val="en-GB"/>
        </w:rPr>
        <w:t>Dept. Food</w:t>
      </w:r>
      <w:r w:rsidR="00B449FD">
        <w:rPr>
          <w:lang w:val="en-GB"/>
        </w:rPr>
        <w:t>,</w:t>
      </w:r>
      <w:r>
        <w:rPr>
          <w:lang w:val="en-GB"/>
        </w:rPr>
        <w:t xml:space="preserve"> </w:t>
      </w:r>
      <w:r w:rsidR="00B449FD">
        <w:rPr>
          <w:lang w:val="en-GB"/>
        </w:rPr>
        <w:t>Environmental and</w:t>
      </w:r>
      <w:r>
        <w:rPr>
          <w:lang w:val="en-GB"/>
        </w:rPr>
        <w:t xml:space="preserve"> </w:t>
      </w:r>
      <w:r w:rsidR="00B449FD">
        <w:rPr>
          <w:lang w:val="en-GB"/>
        </w:rPr>
        <w:t>Nutritional Sciences</w:t>
      </w:r>
      <w:r>
        <w:rPr>
          <w:lang w:val="en-GB"/>
        </w:rPr>
        <w:t>, University of</w:t>
      </w:r>
      <w:r w:rsidR="00B449FD">
        <w:rPr>
          <w:lang w:val="en-GB"/>
        </w:rPr>
        <w:t xml:space="preserve"> Milan</w:t>
      </w:r>
      <w:r>
        <w:rPr>
          <w:lang w:val="en-GB"/>
        </w:rPr>
        <w:t xml:space="preserve">, </w:t>
      </w:r>
      <w:r w:rsidR="00B449FD">
        <w:rPr>
          <w:lang w:val="en-GB"/>
        </w:rPr>
        <w:t>Milan</w:t>
      </w:r>
      <w:r>
        <w:rPr>
          <w:lang w:val="en-GB"/>
        </w:rPr>
        <w:t>, Italy</w:t>
      </w:r>
    </w:p>
    <w:p w14:paraId="6D2C157D" w14:textId="7D083217" w:rsidR="00512D9B" w:rsidRDefault="00FB589C">
      <w:pPr>
        <w:jc w:val="center"/>
        <w:rPr>
          <w:lang w:val="en-GB"/>
        </w:rPr>
      </w:pPr>
      <w:r>
        <w:rPr>
          <w:lang w:val="en-GB"/>
        </w:rPr>
        <w:t xml:space="preserve">Tutor: Prof. </w:t>
      </w:r>
      <w:r w:rsidR="00B449FD">
        <w:rPr>
          <w:lang w:val="en-GB"/>
        </w:rPr>
        <w:t>Daniela Fracassetti</w:t>
      </w:r>
    </w:p>
    <w:p w14:paraId="4F4155F1" w14:textId="77777777" w:rsidR="00512D9B" w:rsidRDefault="00512D9B">
      <w:pPr>
        <w:tabs>
          <w:tab w:val="left" w:pos="0"/>
        </w:tabs>
        <w:jc w:val="both"/>
        <w:rPr>
          <w:lang w:val="en-GB"/>
        </w:rPr>
      </w:pPr>
    </w:p>
    <w:p w14:paraId="188AF05F" w14:textId="131A4745" w:rsidR="00512D9B" w:rsidRPr="00746B7D" w:rsidRDefault="00FB589C">
      <w:pPr>
        <w:tabs>
          <w:tab w:val="left" w:pos="0"/>
        </w:tabs>
        <w:jc w:val="both"/>
        <w:rPr>
          <w:lang w:val="en-US"/>
        </w:rPr>
      </w:pPr>
      <w:r w:rsidRPr="009A707C">
        <w:rPr>
          <w:lang w:val="en-GB"/>
        </w:rPr>
        <w:t>The fi</w:t>
      </w:r>
      <w:r w:rsidR="00914736">
        <w:rPr>
          <w:lang w:val="en-GB"/>
        </w:rPr>
        <w:t>rst</w:t>
      </w:r>
      <w:r w:rsidRPr="009A707C">
        <w:rPr>
          <w:lang w:val="en-GB"/>
        </w:rPr>
        <w:t xml:space="preserve"> </w:t>
      </w:r>
      <w:r w:rsidR="00914736">
        <w:rPr>
          <w:lang w:val="en-GB"/>
        </w:rPr>
        <w:t>three</w:t>
      </w:r>
      <w:r w:rsidRPr="009A707C">
        <w:rPr>
          <w:lang w:val="en-GB"/>
        </w:rPr>
        <w:t xml:space="preserve"> activities of the PhD thesis project are described. </w:t>
      </w:r>
      <w:r w:rsidR="00D703D9">
        <w:rPr>
          <w:lang w:val="en-GB"/>
        </w:rPr>
        <w:t xml:space="preserve">Chardonnay </w:t>
      </w:r>
      <w:r w:rsidR="008F7C92">
        <w:rPr>
          <w:lang w:val="en-GB"/>
        </w:rPr>
        <w:t>grape</w:t>
      </w:r>
      <w:r w:rsidR="000E2429">
        <w:rPr>
          <w:lang w:val="en-GB"/>
        </w:rPr>
        <w:t xml:space="preserve"> sample</w:t>
      </w:r>
      <w:r w:rsidR="008F7C92">
        <w:rPr>
          <w:lang w:val="en-GB"/>
        </w:rPr>
        <w:t xml:space="preserve">s (vintage 2022) were collected </w:t>
      </w:r>
      <w:r w:rsidR="00625BAD">
        <w:rPr>
          <w:lang w:val="en-GB"/>
        </w:rPr>
        <w:t>from</w:t>
      </w:r>
      <w:r w:rsidR="008F7C92">
        <w:rPr>
          <w:lang w:val="en-GB"/>
        </w:rPr>
        <w:t xml:space="preserve"> </w:t>
      </w:r>
      <w:r w:rsidR="00625BAD">
        <w:rPr>
          <w:lang w:val="en-GB"/>
        </w:rPr>
        <w:t xml:space="preserve">different </w:t>
      </w:r>
      <w:r w:rsidR="008F7C92">
        <w:rPr>
          <w:lang w:val="en-GB"/>
        </w:rPr>
        <w:t>vineyards</w:t>
      </w:r>
      <w:r w:rsidR="00625BAD">
        <w:rPr>
          <w:lang w:val="en-GB"/>
        </w:rPr>
        <w:t xml:space="preserve">. Firstly, </w:t>
      </w:r>
      <w:r w:rsidR="000E2429">
        <w:rPr>
          <w:lang w:val="en-GB"/>
        </w:rPr>
        <w:t xml:space="preserve">lab-scale </w:t>
      </w:r>
      <w:r w:rsidR="008A055D">
        <w:rPr>
          <w:lang w:val="en-GB"/>
        </w:rPr>
        <w:t xml:space="preserve">must </w:t>
      </w:r>
      <w:r w:rsidR="00625BAD">
        <w:rPr>
          <w:lang w:val="en-GB"/>
        </w:rPr>
        <w:t xml:space="preserve">samples were </w:t>
      </w:r>
      <w:r w:rsidR="00391657">
        <w:rPr>
          <w:lang w:val="en-GB"/>
        </w:rPr>
        <w:t xml:space="preserve">obtained </w:t>
      </w:r>
      <w:r w:rsidR="00625BAD" w:rsidRPr="00465AEA">
        <w:rPr>
          <w:lang w:val="en-GB"/>
        </w:rPr>
        <w:t>simulating</w:t>
      </w:r>
      <w:r w:rsidR="00625BAD">
        <w:rPr>
          <w:lang w:val="en-GB"/>
        </w:rPr>
        <w:t xml:space="preserve"> </w:t>
      </w:r>
      <w:r w:rsidR="008A055D">
        <w:rPr>
          <w:lang w:val="en-GB"/>
        </w:rPr>
        <w:t xml:space="preserve">different </w:t>
      </w:r>
      <w:r w:rsidR="00625BAD" w:rsidRPr="00465AEA">
        <w:rPr>
          <w:lang w:val="en-GB"/>
        </w:rPr>
        <w:t xml:space="preserve">pressing </w:t>
      </w:r>
      <w:r w:rsidR="00C00FC7">
        <w:rPr>
          <w:lang w:val="en-GB"/>
        </w:rPr>
        <w:t>conditions</w:t>
      </w:r>
      <w:r w:rsidR="00625BAD">
        <w:rPr>
          <w:lang w:val="en-GB"/>
        </w:rPr>
        <w:t xml:space="preserve">. Secondly, </w:t>
      </w:r>
      <w:r w:rsidR="008A055D">
        <w:rPr>
          <w:lang w:val="en-GB"/>
        </w:rPr>
        <w:t>industrial-scale must</w:t>
      </w:r>
      <w:r w:rsidR="00531007">
        <w:rPr>
          <w:lang w:val="en-GB"/>
        </w:rPr>
        <w:t>s</w:t>
      </w:r>
      <w:r w:rsidR="00625BAD">
        <w:rPr>
          <w:lang w:val="en-GB"/>
        </w:rPr>
        <w:t xml:space="preserve"> </w:t>
      </w:r>
      <w:r w:rsidR="00942FC9">
        <w:rPr>
          <w:lang w:val="en-GB"/>
        </w:rPr>
        <w:t xml:space="preserve">were </w:t>
      </w:r>
      <w:r w:rsidR="00531007">
        <w:rPr>
          <w:lang w:val="en-GB"/>
        </w:rPr>
        <w:t xml:space="preserve">sampled </w:t>
      </w:r>
      <w:r w:rsidR="00625BAD">
        <w:rPr>
          <w:lang w:val="en-GB"/>
        </w:rPr>
        <w:t xml:space="preserve">to investigate </w:t>
      </w:r>
      <w:r w:rsidR="00914736">
        <w:rPr>
          <w:lang w:val="en-GB"/>
        </w:rPr>
        <w:t>the</w:t>
      </w:r>
      <w:r w:rsidR="00AF12B1">
        <w:rPr>
          <w:lang w:val="en-GB"/>
        </w:rPr>
        <w:t xml:space="preserve"> impact of</w:t>
      </w:r>
      <w:r w:rsidR="00914736">
        <w:rPr>
          <w:lang w:val="en-GB"/>
        </w:rPr>
        <w:t xml:space="preserve"> </w:t>
      </w:r>
      <w:r w:rsidR="00AF12B1">
        <w:rPr>
          <w:lang w:val="en-GB"/>
        </w:rPr>
        <w:t xml:space="preserve">different </w:t>
      </w:r>
      <w:r w:rsidR="00914736">
        <w:rPr>
          <w:lang w:val="en-GB"/>
        </w:rPr>
        <w:t xml:space="preserve">pressing </w:t>
      </w:r>
      <w:r w:rsidR="00BB760B">
        <w:rPr>
          <w:lang w:val="en-GB"/>
        </w:rPr>
        <w:t xml:space="preserve">processes </w:t>
      </w:r>
      <w:r w:rsidR="00914736">
        <w:rPr>
          <w:lang w:val="en-GB"/>
        </w:rPr>
        <w:t>on must</w:t>
      </w:r>
      <w:r w:rsidR="00BB760B">
        <w:rPr>
          <w:lang w:val="en-GB"/>
        </w:rPr>
        <w:t xml:space="preserve"> composition</w:t>
      </w:r>
      <w:r w:rsidR="00914736">
        <w:rPr>
          <w:lang w:val="en-GB"/>
        </w:rPr>
        <w:t xml:space="preserve">. Thirdly, winemaking trials </w:t>
      </w:r>
      <w:r w:rsidR="00942FC9">
        <w:rPr>
          <w:lang w:val="en-GB"/>
        </w:rPr>
        <w:t>were</w:t>
      </w:r>
      <w:r w:rsidR="00914736">
        <w:rPr>
          <w:lang w:val="en-GB"/>
        </w:rPr>
        <w:t xml:space="preserve"> </w:t>
      </w:r>
      <w:r w:rsidR="009526A1">
        <w:rPr>
          <w:lang w:val="en-GB"/>
        </w:rPr>
        <w:t xml:space="preserve">carried out </w:t>
      </w:r>
      <w:r w:rsidR="00914736">
        <w:rPr>
          <w:lang w:val="en-GB"/>
        </w:rPr>
        <w:t xml:space="preserve">to evaluate the </w:t>
      </w:r>
      <w:r w:rsidR="009526A1">
        <w:rPr>
          <w:lang w:val="en-GB"/>
        </w:rPr>
        <w:t xml:space="preserve">impact of </w:t>
      </w:r>
      <w:r w:rsidR="00914736">
        <w:rPr>
          <w:lang w:val="en-GB"/>
        </w:rPr>
        <w:t xml:space="preserve">pressing on </w:t>
      </w:r>
      <w:r w:rsidR="009526A1">
        <w:rPr>
          <w:lang w:val="en-GB"/>
        </w:rPr>
        <w:t>the characteristics of the resulting wines</w:t>
      </w:r>
      <w:r w:rsidR="00914736">
        <w:rPr>
          <w:lang w:val="en-GB"/>
        </w:rPr>
        <w:t>.</w:t>
      </w:r>
    </w:p>
    <w:p w14:paraId="25DA81C9" w14:textId="77777777" w:rsidR="006448B4" w:rsidRPr="00914736" w:rsidRDefault="006448B4" w:rsidP="006448B4">
      <w:pPr>
        <w:pStyle w:val="NormalWeb"/>
        <w:spacing w:before="240" w:beforeAutospacing="0" w:after="120" w:afterAutospacing="0"/>
        <w:jc w:val="center"/>
        <w:rPr>
          <w:sz w:val="22"/>
          <w:szCs w:val="22"/>
        </w:rPr>
      </w:pPr>
      <w:proofErr w:type="spellStart"/>
      <w:r w:rsidRPr="00914736">
        <w:rPr>
          <w:b/>
          <w:bCs/>
          <w:color w:val="000000"/>
        </w:rPr>
        <w:t>Perfezionamento</w:t>
      </w:r>
      <w:proofErr w:type="spellEnd"/>
      <w:r w:rsidRPr="00914736">
        <w:rPr>
          <w:b/>
          <w:bCs/>
          <w:color w:val="000000"/>
        </w:rPr>
        <w:t xml:space="preserve"> </w:t>
      </w:r>
      <w:proofErr w:type="spellStart"/>
      <w:r w:rsidRPr="00914736">
        <w:rPr>
          <w:b/>
          <w:bCs/>
          <w:color w:val="000000"/>
        </w:rPr>
        <w:t>della</w:t>
      </w:r>
      <w:proofErr w:type="spellEnd"/>
      <w:r w:rsidRPr="00914736">
        <w:rPr>
          <w:b/>
          <w:bCs/>
          <w:color w:val="000000"/>
        </w:rPr>
        <w:t xml:space="preserve"> </w:t>
      </w:r>
      <w:proofErr w:type="spellStart"/>
      <w:r w:rsidRPr="00914736">
        <w:rPr>
          <w:b/>
          <w:bCs/>
          <w:color w:val="000000"/>
        </w:rPr>
        <w:t>fase</w:t>
      </w:r>
      <w:proofErr w:type="spellEnd"/>
      <w:r w:rsidRPr="00914736">
        <w:rPr>
          <w:b/>
          <w:bCs/>
          <w:color w:val="000000"/>
        </w:rPr>
        <w:t xml:space="preserve"> di </w:t>
      </w:r>
      <w:proofErr w:type="spellStart"/>
      <w:r w:rsidRPr="00914736">
        <w:rPr>
          <w:b/>
          <w:bCs/>
          <w:color w:val="000000"/>
        </w:rPr>
        <w:t>pressatura</w:t>
      </w:r>
      <w:proofErr w:type="spellEnd"/>
      <w:r w:rsidRPr="00914736">
        <w:rPr>
          <w:b/>
          <w:bCs/>
          <w:color w:val="000000"/>
        </w:rPr>
        <w:t xml:space="preserve"> </w:t>
      </w:r>
      <w:proofErr w:type="spellStart"/>
      <w:r w:rsidRPr="00914736">
        <w:rPr>
          <w:b/>
          <w:bCs/>
          <w:color w:val="000000"/>
        </w:rPr>
        <w:t>dell’uva</w:t>
      </w:r>
      <w:proofErr w:type="spellEnd"/>
      <w:r w:rsidRPr="00914736">
        <w:rPr>
          <w:b/>
          <w:bCs/>
          <w:color w:val="000000"/>
        </w:rPr>
        <w:t xml:space="preserve"> per </w:t>
      </w:r>
      <w:proofErr w:type="spellStart"/>
      <w:r w:rsidRPr="00914736">
        <w:rPr>
          <w:b/>
          <w:bCs/>
          <w:color w:val="000000"/>
        </w:rPr>
        <w:t>implementare</w:t>
      </w:r>
      <w:proofErr w:type="spellEnd"/>
      <w:r w:rsidRPr="00914736">
        <w:rPr>
          <w:b/>
          <w:bCs/>
          <w:color w:val="000000"/>
        </w:rPr>
        <w:t xml:space="preserve"> la </w:t>
      </w:r>
      <w:proofErr w:type="spellStart"/>
      <w:r w:rsidRPr="00914736">
        <w:rPr>
          <w:b/>
          <w:bCs/>
          <w:color w:val="000000"/>
        </w:rPr>
        <w:t>sostenibilità</w:t>
      </w:r>
      <w:proofErr w:type="spellEnd"/>
      <w:r w:rsidRPr="00914736">
        <w:rPr>
          <w:b/>
          <w:bCs/>
          <w:color w:val="000000"/>
        </w:rPr>
        <w:t xml:space="preserve"> </w:t>
      </w:r>
      <w:proofErr w:type="spellStart"/>
      <w:r w:rsidRPr="00914736">
        <w:rPr>
          <w:b/>
          <w:bCs/>
          <w:color w:val="000000"/>
        </w:rPr>
        <w:t>della</w:t>
      </w:r>
      <w:proofErr w:type="spellEnd"/>
      <w:r w:rsidRPr="00914736">
        <w:rPr>
          <w:b/>
          <w:bCs/>
          <w:color w:val="000000"/>
        </w:rPr>
        <w:t xml:space="preserve"> </w:t>
      </w:r>
      <w:proofErr w:type="spellStart"/>
      <w:r w:rsidRPr="00914736">
        <w:rPr>
          <w:b/>
          <w:bCs/>
          <w:color w:val="000000"/>
        </w:rPr>
        <w:t>filiera</w:t>
      </w:r>
      <w:proofErr w:type="spellEnd"/>
      <w:r w:rsidRPr="00914736">
        <w:rPr>
          <w:b/>
          <w:bCs/>
          <w:color w:val="000000"/>
        </w:rPr>
        <w:t xml:space="preserve"> </w:t>
      </w:r>
      <w:proofErr w:type="spellStart"/>
      <w:r w:rsidRPr="00914736">
        <w:rPr>
          <w:b/>
          <w:bCs/>
          <w:color w:val="000000"/>
        </w:rPr>
        <w:t>enologica</w:t>
      </w:r>
      <w:proofErr w:type="spellEnd"/>
      <w:r w:rsidRPr="00914736">
        <w:rPr>
          <w:b/>
          <w:bCs/>
          <w:color w:val="000000"/>
        </w:rPr>
        <w:t xml:space="preserve"> (</w:t>
      </w:r>
      <w:proofErr w:type="spellStart"/>
      <w:r w:rsidRPr="00914736">
        <w:rPr>
          <w:b/>
          <w:bCs/>
          <w:color w:val="000000"/>
        </w:rPr>
        <w:t>GrapePress</w:t>
      </w:r>
      <w:proofErr w:type="spellEnd"/>
      <w:r w:rsidRPr="00914736">
        <w:rPr>
          <w:b/>
          <w:bCs/>
          <w:color w:val="000000"/>
        </w:rPr>
        <w:t xml:space="preserve"> 4.0)</w:t>
      </w:r>
    </w:p>
    <w:p w14:paraId="628E4E88" w14:textId="1221B1F5" w:rsidR="002C33F4" w:rsidRPr="008F7C92" w:rsidRDefault="000E2429">
      <w:pPr>
        <w:tabs>
          <w:tab w:val="left" w:pos="0"/>
        </w:tabs>
        <w:jc w:val="both"/>
      </w:pPr>
      <w:r>
        <w:t>Sono descritte l</w:t>
      </w:r>
      <w:r w:rsidR="00D703D9">
        <w:t xml:space="preserve">e prime </w:t>
      </w:r>
      <w:r>
        <w:t>tre</w:t>
      </w:r>
      <w:r w:rsidR="00D703D9">
        <w:t xml:space="preserve"> attività del progetto di tesi di dottorato</w:t>
      </w:r>
      <w:r w:rsidR="00D703D9" w:rsidRPr="00D703D9">
        <w:t>.</w:t>
      </w:r>
      <w:r w:rsidR="00914736">
        <w:t xml:space="preserve"> </w:t>
      </w:r>
      <w:r>
        <w:t>Campioni di uva</w:t>
      </w:r>
      <w:r w:rsidR="00914736" w:rsidRPr="00914736">
        <w:t xml:space="preserve"> Chardonnay (annata 2022) sono stat</w:t>
      </w:r>
      <w:r>
        <w:t>i</w:t>
      </w:r>
      <w:r w:rsidR="00914736" w:rsidRPr="00914736">
        <w:t xml:space="preserve"> raccolt</w:t>
      </w:r>
      <w:r>
        <w:t xml:space="preserve">i in </w:t>
      </w:r>
      <w:r w:rsidR="00914736" w:rsidRPr="00914736">
        <w:t>diversi vigneti.</w:t>
      </w:r>
      <w:r w:rsidR="00914736">
        <w:t xml:space="preserve"> </w:t>
      </w:r>
      <w:r w:rsidR="00914736" w:rsidRPr="00914736">
        <w:t>In primo</w:t>
      </w:r>
      <w:r w:rsidR="003B26C3">
        <w:t xml:space="preserve"> luogo</w:t>
      </w:r>
      <w:r w:rsidR="00355EA2">
        <w:t>,</w:t>
      </w:r>
      <w:r w:rsidR="00914736" w:rsidRPr="00914736">
        <w:t xml:space="preserve"> </w:t>
      </w:r>
      <w:r>
        <w:t>most</w:t>
      </w:r>
      <w:r w:rsidR="00531007">
        <w:t>i sperimentali</w:t>
      </w:r>
      <w:r>
        <w:t xml:space="preserve"> sono stati ottenuti in scala di laboratorio simulando</w:t>
      </w:r>
      <w:r w:rsidR="00914736" w:rsidRPr="00914736">
        <w:t xml:space="preserve"> diversi processi di pressatura. In secondo</w:t>
      </w:r>
      <w:r w:rsidR="003B26C3">
        <w:t xml:space="preserve"> luogo</w:t>
      </w:r>
      <w:r w:rsidR="00914736" w:rsidRPr="00914736">
        <w:t xml:space="preserve">, </w:t>
      </w:r>
      <w:r>
        <w:t>mosti prodotti in</w:t>
      </w:r>
      <w:r w:rsidR="00914736" w:rsidRPr="00914736">
        <w:t xml:space="preserve"> scala industriale </w:t>
      </w:r>
      <w:r>
        <w:t xml:space="preserve">sono stati campionati per indagare l’impatto di diversi processi di pressatura </w:t>
      </w:r>
      <w:r w:rsidR="00914736" w:rsidRPr="00914736">
        <w:t>sul</w:t>
      </w:r>
      <w:r>
        <w:t>la composizione del</w:t>
      </w:r>
      <w:r w:rsidR="00914736" w:rsidRPr="00914736">
        <w:t xml:space="preserve"> mosto. In terzo</w:t>
      </w:r>
      <w:r w:rsidR="003B26C3">
        <w:t xml:space="preserve"> luogo</w:t>
      </w:r>
      <w:r w:rsidR="00914736" w:rsidRPr="00914736">
        <w:t xml:space="preserve">, sono state effettuate prove di </w:t>
      </w:r>
      <w:r>
        <w:t>micro</w:t>
      </w:r>
      <w:r w:rsidR="00914736" w:rsidRPr="00914736">
        <w:t>vinificazione per valutare l'impatto d</w:t>
      </w:r>
      <w:r>
        <w:t>ella</w:t>
      </w:r>
      <w:r w:rsidR="00914736" w:rsidRPr="00914736">
        <w:t xml:space="preserve"> pressatura sulle caratteristiche del </w:t>
      </w:r>
      <w:r>
        <w:t>vino</w:t>
      </w:r>
      <w:r w:rsidRPr="00914736">
        <w:t xml:space="preserve"> </w:t>
      </w:r>
      <w:r>
        <w:t>ottenuto</w:t>
      </w:r>
      <w:r w:rsidR="00914736" w:rsidRPr="00914736">
        <w:t>.</w:t>
      </w:r>
    </w:p>
    <w:p w14:paraId="3DA8366D" w14:textId="77777777" w:rsidR="00D703D9" w:rsidRPr="008F7C92" w:rsidRDefault="00D703D9">
      <w:pPr>
        <w:tabs>
          <w:tab w:val="left" w:pos="0"/>
        </w:tabs>
        <w:jc w:val="both"/>
      </w:pPr>
    </w:p>
    <w:p w14:paraId="5119F506" w14:textId="1D6493B9" w:rsidR="00D703D9" w:rsidRPr="008F7C92" w:rsidRDefault="00FB589C" w:rsidP="00D703D9">
      <w:pPr>
        <w:ind w:left="567" w:hanging="567"/>
        <w:jc w:val="both"/>
        <w:rPr>
          <w:color w:val="000000"/>
          <w:shd w:val="clear" w:color="auto" w:fill="FFFFFF"/>
          <w:lang w:val="en-GB"/>
        </w:rPr>
      </w:pPr>
      <w:r>
        <w:rPr>
          <w:b/>
          <w:bCs/>
          <w:lang w:val="en-GB"/>
        </w:rPr>
        <w:t>Key words</w:t>
      </w:r>
      <w:r>
        <w:rPr>
          <w:lang w:val="en-GB"/>
        </w:rPr>
        <w:t>:</w:t>
      </w:r>
      <w:r w:rsidR="009A707C" w:rsidRPr="008F7C92">
        <w:rPr>
          <w:color w:val="000000"/>
          <w:shd w:val="clear" w:color="auto" w:fill="FFFFFF"/>
          <w:lang w:val="en-GB"/>
        </w:rPr>
        <w:t xml:space="preserve"> Pressing, white grape, </w:t>
      </w:r>
      <w:r w:rsidR="00A2091C">
        <w:rPr>
          <w:color w:val="000000"/>
          <w:shd w:val="clear" w:color="auto" w:fill="FFFFFF"/>
          <w:lang w:val="en-GB"/>
        </w:rPr>
        <w:t>base</w:t>
      </w:r>
      <w:r w:rsidR="00A2091C" w:rsidRPr="008F7C92">
        <w:rPr>
          <w:color w:val="000000"/>
          <w:shd w:val="clear" w:color="auto" w:fill="FFFFFF"/>
          <w:lang w:val="en-GB"/>
        </w:rPr>
        <w:t xml:space="preserve"> </w:t>
      </w:r>
      <w:r w:rsidR="009A707C" w:rsidRPr="008F7C92">
        <w:rPr>
          <w:color w:val="000000"/>
          <w:shd w:val="clear" w:color="auto" w:fill="FFFFFF"/>
          <w:lang w:val="en-GB"/>
        </w:rPr>
        <w:t>wine, phenols, antioxidant capacity</w:t>
      </w:r>
    </w:p>
    <w:p w14:paraId="471A9F8A" w14:textId="77777777" w:rsidR="004A20FF" w:rsidRDefault="004A20FF" w:rsidP="004A20FF">
      <w:pPr>
        <w:pStyle w:val="Titre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636751B7" w:rsidR="00512D9B" w:rsidRDefault="004A20FF" w:rsidP="004A20FF">
      <w:pPr>
        <w:jc w:val="both"/>
        <w:rPr>
          <w:lang w:val="en-GB"/>
        </w:rPr>
      </w:pPr>
      <w:r>
        <w:rPr>
          <w:lang w:val="en-GB"/>
        </w:rPr>
        <w:t xml:space="preserve">In accordance with the PhD thesis project previously </w:t>
      </w:r>
      <w:r w:rsidR="00FB589C" w:rsidRPr="00E75D43">
        <w:rPr>
          <w:lang w:val="en-GB"/>
        </w:rPr>
        <w:t>(</w:t>
      </w:r>
      <w:r w:rsidR="00780DB5" w:rsidRPr="00E75D43">
        <w:rPr>
          <w:lang w:val="en-GB"/>
        </w:rPr>
        <w:t>Shanshiashvili</w:t>
      </w:r>
      <w:r w:rsidR="00043799" w:rsidRPr="00E75D43">
        <w:rPr>
          <w:lang w:val="en-GB"/>
        </w:rPr>
        <w:t>,</w:t>
      </w:r>
      <w:r w:rsidR="00FB589C" w:rsidRPr="00E75D43">
        <w:rPr>
          <w:lang w:val="en-GB"/>
        </w:rPr>
        <w:t xml:space="preserve"> 20</w:t>
      </w:r>
      <w:r w:rsidR="00043799" w:rsidRPr="00E75D43">
        <w:rPr>
          <w:lang w:val="en-GB"/>
        </w:rPr>
        <w:t>22</w:t>
      </w:r>
      <w:r w:rsidR="00FB589C" w:rsidRPr="00E75D43">
        <w:rPr>
          <w:lang w:val="en-GB"/>
        </w:rPr>
        <w:t xml:space="preserve">), </w:t>
      </w:r>
      <w:r w:rsidR="00FB589C">
        <w:rPr>
          <w:lang w:val="en-GB"/>
        </w:rPr>
        <w:t xml:space="preserve">this poster reports the main results </w:t>
      </w:r>
      <w:r w:rsidR="00FB0CE1">
        <w:rPr>
          <w:lang w:val="en-GB"/>
        </w:rPr>
        <w:t>of the</w:t>
      </w:r>
      <w:r w:rsidR="00FB589C">
        <w:rPr>
          <w:lang w:val="en-GB"/>
        </w:rPr>
        <w:t xml:space="preserve"> first </w:t>
      </w:r>
      <w:r w:rsidR="00A2091C">
        <w:rPr>
          <w:lang w:val="en-GB"/>
        </w:rPr>
        <w:t xml:space="preserve">three </w:t>
      </w:r>
      <w:r w:rsidR="00FB589C">
        <w:rPr>
          <w:lang w:val="en-GB"/>
        </w:rPr>
        <w:t xml:space="preserve">activities concerning: </w:t>
      </w:r>
    </w:p>
    <w:p w14:paraId="65BC62C4" w14:textId="31B3A96D" w:rsidR="00C5470C" w:rsidRDefault="00FB589C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 xml:space="preserve">A1) </w:t>
      </w:r>
      <w:r w:rsidR="00232704">
        <w:rPr>
          <w:lang w:val="en-GB"/>
        </w:rPr>
        <w:t>Identification</w:t>
      </w:r>
      <w:r w:rsidR="002F3AE0">
        <w:rPr>
          <w:lang w:val="en-GB"/>
        </w:rPr>
        <w:t xml:space="preserve"> </w:t>
      </w:r>
      <w:r w:rsidR="00232704">
        <w:rPr>
          <w:lang w:val="en-GB"/>
        </w:rPr>
        <w:t>of</w:t>
      </w:r>
      <w:r w:rsidR="002F3AE0">
        <w:rPr>
          <w:lang w:val="en-GB"/>
        </w:rPr>
        <w:t xml:space="preserve"> </w:t>
      </w:r>
      <w:r w:rsidR="007830E1">
        <w:rPr>
          <w:lang w:val="en-GB"/>
        </w:rPr>
        <w:t xml:space="preserve">chemical/physical </w:t>
      </w:r>
      <w:r w:rsidR="009C2FD0">
        <w:rPr>
          <w:lang w:val="en-GB"/>
        </w:rPr>
        <w:t>parameters of</w:t>
      </w:r>
      <w:r w:rsidR="00FB0CE1">
        <w:rPr>
          <w:lang w:val="en-GB"/>
        </w:rPr>
        <w:t xml:space="preserve"> </w:t>
      </w:r>
      <w:r w:rsidR="00E75D43">
        <w:rPr>
          <w:lang w:val="en-GB"/>
        </w:rPr>
        <w:t xml:space="preserve">wine </w:t>
      </w:r>
      <w:r w:rsidR="00FB0CE1">
        <w:rPr>
          <w:lang w:val="en-GB"/>
        </w:rPr>
        <w:t>grape</w:t>
      </w:r>
      <w:r w:rsidR="00C5470C">
        <w:rPr>
          <w:lang w:val="en-GB"/>
        </w:rPr>
        <w:t>.</w:t>
      </w:r>
    </w:p>
    <w:p w14:paraId="2DFC3AC4" w14:textId="75810D6A" w:rsidR="00512D9B" w:rsidRPr="00746B7D" w:rsidRDefault="00C5470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ab/>
      </w:r>
      <w:r w:rsidRPr="00265250">
        <w:rPr>
          <w:i/>
          <w:iCs/>
          <w:lang w:val="en-GB"/>
        </w:rPr>
        <w:t>A1.1</w:t>
      </w:r>
      <w:r>
        <w:rPr>
          <w:lang w:val="en-GB"/>
        </w:rPr>
        <w:t xml:space="preserve"> Pressing</w:t>
      </w:r>
      <w:r w:rsidRPr="00465AEA">
        <w:rPr>
          <w:lang w:val="en-GB"/>
        </w:rPr>
        <w:t xml:space="preserve"> under </w:t>
      </w:r>
      <w:r>
        <w:rPr>
          <w:lang w:val="en-GB"/>
        </w:rPr>
        <w:t>lab</w:t>
      </w:r>
      <w:r w:rsidRPr="00465AEA">
        <w:rPr>
          <w:lang w:val="en-GB"/>
        </w:rPr>
        <w:t xml:space="preserve"> conditions simulating different pressing processes</w:t>
      </w:r>
      <w:r w:rsidR="00FB0CE1">
        <w:rPr>
          <w:lang w:val="en-GB"/>
        </w:rPr>
        <w:t xml:space="preserve"> </w:t>
      </w:r>
      <w:r w:rsidR="00BB760B">
        <w:rPr>
          <w:lang w:val="en-GB"/>
        </w:rPr>
        <w:t xml:space="preserve">for the </w:t>
      </w:r>
      <w:r w:rsidR="002F3AE0">
        <w:rPr>
          <w:lang w:val="en-GB"/>
        </w:rPr>
        <w:t xml:space="preserve">production of </w:t>
      </w:r>
      <w:r w:rsidR="00FB0CE1">
        <w:rPr>
          <w:lang w:val="en-GB"/>
        </w:rPr>
        <w:t>must</w:t>
      </w:r>
      <w:r w:rsidR="00BB760B">
        <w:rPr>
          <w:lang w:val="en-GB"/>
        </w:rPr>
        <w:t>s</w:t>
      </w:r>
      <w:r w:rsidR="002F3AE0">
        <w:rPr>
          <w:lang w:val="en-GB"/>
        </w:rPr>
        <w:t xml:space="preserve">. </w:t>
      </w:r>
    </w:p>
    <w:p w14:paraId="55520F4C" w14:textId="6E63ED64" w:rsidR="00C5470C" w:rsidRDefault="00FB589C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 xml:space="preserve">A2) </w:t>
      </w:r>
      <w:r w:rsidR="002F3AE0">
        <w:rPr>
          <w:lang w:val="en-GB"/>
        </w:rPr>
        <w:t>Investigation</w:t>
      </w:r>
      <w:r w:rsidR="00232704">
        <w:rPr>
          <w:lang w:val="en-GB"/>
        </w:rPr>
        <w:t xml:space="preserve"> of the </w:t>
      </w:r>
      <w:bookmarkStart w:id="0" w:name="_Hlk137043546"/>
      <w:r w:rsidR="00232704">
        <w:rPr>
          <w:lang w:val="en-GB"/>
        </w:rPr>
        <w:t xml:space="preserve">relationship between </w:t>
      </w:r>
      <w:r w:rsidR="004219FC">
        <w:rPr>
          <w:lang w:val="en-GB"/>
        </w:rPr>
        <w:t xml:space="preserve">the </w:t>
      </w:r>
      <w:r w:rsidR="00232704">
        <w:rPr>
          <w:lang w:val="en-GB"/>
        </w:rPr>
        <w:t xml:space="preserve">pressing cycle </w:t>
      </w:r>
      <w:r w:rsidR="002F3AE0">
        <w:rPr>
          <w:lang w:val="en-GB"/>
        </w:rPr>
        <w:t>on must</w:t>
      </w:r>
      <w:bookmarkEnd w:id="0"/>
      <w:r w:rsidR="00C5470C">
        <w:rPr>
          <w:lang w:val="en-GB"/>
        </w:rPr>
        <w:t>.</w:t>
      </w:r>
    </w:p>
    <w:p w14:paraId="406734B7" w14:textId="6094FA90" w:rsidR="00512D9B" w:rsidRDefault="00C5470C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ab/>
      </w:r>
      <w:r w:rsidRPr="00265250">
        <w:rPr>
          <w:i/>
          <w:iCs/>
          <w:lang w:val="en-GB"/>
        </w:rPr>
        <w:t>A2.1</w:t>
      </w:r>
      <w:r w:rsidR="002F3AE0">
        <w:rPr>
          <w:lang w:val="en-GB"/>
        </w:rPr>
        <w:t xml:space="preserve"> </w:t>
      </w:r>
      <w:r>
        <w:rPr>
          <w:lang w:val="en-GB"/>
        </w:rPr>
        <w:t>Sampling</w:t>
      </w:r>
      <w:r w:rsidR="002F3AE0">
        <w:rPr>
          <w:lang w:val="en-GB"/>
        </w:rPr>
        <w:t xml:space="preserve"> of must on </w:t>
      </w:r>
      <w:r w:rsidR="004219FC">
        <w:rPr>
          <w:lang w:val="en-GB"/>
        </w:rPr>
        <w:t xml:space="preserve">an </w:t>
      </w:r>
      <w:r w:rsidR="002F3AE0">
        <w:rPr>
          <w:lang w:val="en-GB"/>
        </w:rPr>
        <w:t xml:space="preserve">industrial scale according to pressing </w:t>
      </w:r>
      <w:r w:rsidR="004219FC">
        <w:rPr>
          <w:lang w:val="en-GB"/>
        </w:rPr>
        <w:t>conditions</w:t>
      </w:r>
      <w:r w:rsidR="002F3AE0">
        <w:rPr>
          <w:lang w:val="en-GB"/>
        </w:rPr>
        <w:t xml:space="preserve"> adopted </w:t>
      </w:r>
      <w:r w:rsidR="00F96A3B">
        <w:rPr>
          <w:lang w:val="en-GB"/>
        </w:rPr>
        <w:t>by</w:t>
      </w:r>
      <w:r w:rsidR="002F3AE0">
        <w:rPr>
          <w:lang w:val="en-GB"/>
        </w:rPr>
        <w:t xml:space="preserve"> wineries. </w:t>
      </w:r>
    </w:p>
    <w:p w14:paraId="7BB02C15" w14:textId="6DFC611A" w:rsidR="00C5470C" w:rsidRDefault="002F3AE0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 xml:space="preserve">A3) Evaluation </w:t>
      </w:r>
      <w:r w:rsidR="004219FC">
        <w:rPr>
          <w:lang w:val="en-GB"/>
        </w:rPr>
        <w:t xml:space="preserve">of the </w:t>
      </w:r>
      <w:r>
        <w:rPr>
          <w:lang w:val="en-GB"/>
        </w:rPr>
        <w:t>relationship between pressing cycle and wine characteristics</w:t>
      </w:r>
      <w:r w:rsidR="00C5470C">
        <w:rPr>
          <w:lang w:val="en-GB"/>
        </w:rPr>
        <w:t>.</w:t>
      </w:r>
    </w:p>
    <w:p w14:paraId="245C0A83" w14:textId="39F6464A" w:rsidR="002F3AE0" w:rsidRDefault="00C5470C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ab/>
      </w:r>
      <w:r w:rsidRPr="00265250">
        <w:rPr>
          <w:i/>
          <w:iCs/>
          <w:lang w:val="en-GB"/>
        </w:rPr>
        <w:t>A3.1</w:t>
      </w:r>
      <w:r w:rsidR="002F3AE0">
        <w:rPr>
          <w:lang w:val="en-GB"/>
        </w:rPr>
        <w:t xml:space="preserve"> </w:t>
      </w:r>
      <w:r>
        <w:rPr>
          <w:lang w:val="en-GB"/>
        </w:rPr>
        <w:t>W</w:t>
      </w:r>
      <w:r w:rsidR="002F3AE0">
        <w:rPr>
          <w:lang w:val="en-GB"/>
        </w:rPr>
        <w:t>inemaking trials with minimal intervention approach.</w:t>
      </w:r>
    </w:p>
    <w:p w14:paraId="525E1D35" w14:textId="77777777" w:rsidR="00512D9B" w:rsidRDefault="00FB589C">
      <w:pPr>
        <w:pStyle w:val="Titre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61D47278" w14:textId="622B402B" w:rsidR="00A2091C" w:rsidRDefault="003467E9" w:rsidP="0060152B">
      <w:pPr>
        <w:jc w:val="both"/>
        <w:rPr>
          <w:lang w:val="en-GB"/>
        </w:rPr>
      </w:pPr>
      <w:r w:rsidRPr="00265250">
        <w:rPr>
          <w:i/>
          <w:iCs/>
          <w:lang w:val="en-GB"/>
        </w:rPr>
        <w:t>A1.1.</w:t>
      </w:r>
      <w:r>
        <w:rPr>
          <w:lang w:val="en-GB"/>
        </w:rPr>
        <w:t xml:space="preserve"> </w:t>
      </w:r>
      <w:r w:rsidR="00200DC4">
        <w:rPr>
          <w:lang w:val="en-GB"/>
        </w:rPr>
        <w:t xml:space="preserve">Six </w:t>
      </w:r>
      <w:r w:rsidR="00C41287" w:rsidRPr="009974C6">
        <w:rPr>
          <w:lang w:val="en-GB"/>
        </w:rPr>
        <w:t xml:space="preserve">Chardonnay </w:t>
      </w:r>
      <w:r w:rsidR="00200DC4" w:rsidRPr="009974C6">
        <w:rPr>
          <w:lang w:val="en-GB"/>
        </w:rPr>
        <w:t xml:space="preserve">grape </w:t>
      </w:r>
      <w:r w:rsidR="00C41287" w:rsidRPr="009974C6">
        <w:rPr>
          <w:lang w:val="en-GB"/>
        </w:rPr>
        <w:t xml:space="preserve">samples were collected from different vineyards in vintage 2022 in </w:t>
      </w:r>
      <w:r w:rsidR="00043799" w:rsidRPr="009974C6">
        <w:rPr>
          <w:lang w:val="en-GB"/>
        </w:rPr>
        <w:t xml:space="preserve">the </w:t>
      </w:r>
      <w:r w:rsidR="00C41287" w:rsidRPr="009974C6">
        <w:rPr>
          <w:lang w:val="en-GB"/>
        </w:rPr>
        <w:t>Franciacorta area (Lombardy, Italy).</w:t>
      </w:r>
      <w:r w:rsidR="004D210C" w:rsidRPr="009974C6">
        <w:rPr>
          <w:lang w:val="en-GB"/>
        </w:rPr>
        <w:t xml:space="preserve"> </w:t>
      </w:r>
      <w:r w:rsidR="00A2091C">
        <w:rPr>
          <w:lang w:val="en-GB"/>
        </w:rPr>
        <w:t xml:space="preserve">Lab-scale musts were produced by different pressing conditions: </w:t>
      </w:r>
      <w:r w:rsidR="00A2091C" w:rsidRPr="009974C6">
        <w:rPr>
          <w:lang w:val="en-GB"/>
        </w:rPr>
        <w:t>manual press</w:t>
      </w:r>
      <w:r w:rsidR="00A2091C">
        <w:rPr>
          <w:lang w:val="en-GB"/>
        </w:rPr>
        <w:t xml:space="preserve">, </w:t>
      </w:r>
      <w:r w:rsidR="009D248B">
        <w:rPr>
          <w:lang w:val="en-GB"/>
        </w:rPr>
        <w:t>vacuum press</w:t>
      </w:r>
      <w:r w:rsidR="00A2091C" w:rsidRPr="009974C6" w:rsidDel="00A2091C">
        <w:rPr>
          <w:lang w:val="en-GB"/>
        </w:rPr>
        <w:t xml:space="preserve"> </w:t>
      </w:r>
      <w:r w:rsidR="00A2091C" w:rsidRPr="009974C6">
        <w:rPr>
          <w:lang w:val="en-GB"/>
        </w:rPr>
        <w:t>(</w:t>
      </w:r>
      <w:r w:rsidR="009D248B" w:rsidRPr="009974C6">
        <w:rPr>
          <w:lang w:val="en-GB"/>
        </w:rPr>
        <w:t>grape pressing under anoxic condition</w:t>
      </w:r>
      <w:r w:rsidR="009D248B" w:rsidRPr="009974C6" w:rsidDel="00A2091C">
        <w:rPr>
          <w:lang w:val="en-GB"/>
        </w:rPr>
        <w:t xml:space="preserve"> </w:t>
      </w:r>
      <w:r w:rsidR="00A2091C" w:rsidRPr="009974C6">
        <w:rPr>
          <w:lang w:val="en-GB"/>
        </w:rPr>
        <w:t>in vacuum</w:t>
      </w:r>
      <w:r w:rsidR="00A2091C">
        <w:rPr>
          <w:lang w:val="en-GB"/>
        </w:rPr>
        <w:t xml:space="preserve"> </w:t>
      </w:r>
      <w:r w:rsidR="00A2091C" w:rsidRPr="009974C6">
        <w:rPr>
          <w:lang w:val="en-GB"/>
        </w:rPr>
        <w:t>plastic bags)</w:t>
      </w:r>
      <w:r w:rsidR="00A2091C">
        <w:rPr>
          <w:lang w:val="en-GB"/>
        </w:rPr>
        <w:t>, juicer</w:t>
      </w:r>
      <w:r w:rsidR="00A2091C" w:rsidRPr="004605B3">
        <w:rPr>
          <w:lang w:val="en-GB"/>
        </w:rPr>
        <w:t>,</w:t>
      </w:r>
      <w:r w:rsidR="00A2091C" w:rsidRPr="0060152B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A2091C">
        <w:rPr>
          <w:lang w:val="en-GB"/>
        </w:rPr>
        <w:t xml:space="preserve">small screw press. </w:t>
      </w:r>
      <w:r>
        <w:rPr>
          <w:lang w:val="en-GB"/>
        </w:rPr>
        <w:t>Moreover, aliquots of whole grape berries were homogenized by an ultra-</w:t>
      </w:r>
      <w:proofErr w:type="spellStart"/>
      <w:r w:rsidR="00A2091C" w:rsidRPr="009974C6">
        <w:rPr>
          <w:lang w:val="en-GB"/>
        </w:rPr>
        <w:t>tu</w:t>
      </w:r>
      <w:r>
        <w:rPr>
          <w:lang w:val="en-GB"/>
        </w:rPr>
        <w:t>r</w:t>
      </w:r>
      <w:r w:rsidR="00A2091C" w:rsidRPr="009974C6">
        <w:rPr>
          <w:lang w:val="en-GB"/>
        </w:rPr>
        <w:t>rax</w:t>
      </w:r>
      <w:proofErr w:type="spellEnd"/>
      <w:r w:rsidR="009D248B">
        <w:rPr>
          <w:lang w:val="en-GB"/>
        </w:rPr>
        <w:t>; for these samples</w:t>
      </w:r>
      <w:r w:rsidR="00B64D0E">
        <w:rPr>
          <w:lang w:val="en-GB"/>
        </w:rPr>
        <w:t>,</w:t>
      </w:r>
      <w:r w:rsidR="009D248B">
        <w:rPr>
          <w:lang w:val="en-GB"/>
        </w:rPr>
        <w:t xml:space="preserve"> </w:t>
      </w:r>
      <w:r>
        <w:rPr>
          <w:lang w:val="en-GB"/>
        </w:rPr>
        <w:t>t</w:t>
      </w:r>
      <w:r w:rsidRPr="009974C6">
        <w:rPr>
          <w:szCs w:val="16"/>
          <w:lang w:val="en-GB"/>
        </w:rPr>
        <w:t xml:space="preserve">otal and extractable flavonoids </w:t>
      </w:r>
      <w:r w:rsidR="009D248B">
        <w:rPr>
          <w:szCs w:val="16"/>
          <w:lang w:val="en-GB"/>
        </w:rPr>
        <w:t xml:space="preserve">were also determined </w:t>
      </w:r>
      <w:r>
        <w:rPr>
          <w:lang w:val="en-GB"/>
        </w:rPr>
        <w:t xml:space="preserve">following the procedure described by </w:t>
      </w:r>
      <w:r w:rsidRPr="00307717">
        <w:rPr>
          <w:szCs w:val="16"/>
          <w:lang w:val="en-GB"/>
        </w:rPr>
        <w:t xml:space="preserve">Di Stefano </w:t>
      </w:r>
      <w:r w:rsidRPr="00307717">
        <w:rPr>
          <w:i/>
          <w:iCs/>
          <w:szCs w:val="16"/>
          <w:lang w:val="en-GB"/>
        </w:rPr>
        <w:t>et al.</w:t>
      </w:r>
      <w:r w:rsidRPr="002C4968">
        <w:rPr>
          <w:szCs w:val="16"/>
          <w:lang w:val="en-GB"/>
        </w:rPr>
        <w:t xml:space="preserve"> </w:t>
      </w:r>
      <w:r w:rsidRPr="00307717">
        <w:rPr>
          <w:szCs w:val="16"/>
          <w:lang w:val="en-GB"/>
        </w:rPr>
        <w:t>(1989)</w:t>
      </w:r>
      <w:r w:rsidR="00A2091C" w:rsidRPr="00B95E64">
        <w:rPr>
          <w:lang w:val="en-GB"/>
        </w:rPr>
        <w:t>.</w:t>
      </w:r>
    </w:p>
    <w:p w14:paraId="6535DAA5" w14:textId="1A77A8EF" w:rsidR="003467E9" w:rsidRDefault="003467E9" w:rsidP="0060152B">
      <w:pPr>
        <w:jc w:val="both"/>
        <w:rPr>
          <w:szCs w:val="16"/>
          <w:lang w:val="en-GB"/>
        </w:rPr>
      </w:pPr>
      <w:r w:rsidRPr="00EF26FB">
        <w:rPr>
          <w:i/>
          <w:iCs/>
          <w:lang w:val="en-GB"/>
        </w:rPr>
        <w:t>A</w:t>
      </w:r>
      <w:r>
        <w:rPr>
          <w:i/>
          <w:iCs/>
          <w:lang w:val="en-GB"/>
        </w:rPr>
        <w:t>2</w:t>
      </w:r>
      <w:r w:rsidRPr="00EF26FB">
        <w:rPr>
          <w:i/>
          <w:iCs/>
          <w:lang w:val="en-GB"/>
        </w:rPr>
        <w:t>.1.</w:t>
      </w:r>
      <w:r>
        <w:rPr>
          <w:i/>
          <w:iCs/>
          <w:lang w:val="en-GB"/>
        </w:rPr>
        <w:t xml:space="preserve"> </w:t>
      </w:r>
      <w:r w:rsidR="00A95784" w:rsidRPr="00307717">
        <w:rPr>
          <w:szCs w:val="16"/>
          <w:lang w:val="en-GB"/>
        </w:rPr>
        <w:t xml:space="preserve">Must samples </w:t>
      </w:r>
      <w:proofErr w:type="gramStart"/>
      <w:r w:rsidR="00A95784" w:rsidRPr="00307717">
        <w:rPr>
          <w:szCs w:val="16"/>
          <w:lang w:val="en-GB"/>
        </w:rPr>
        <w:t>were</w:t>
      </w:r>
      <w:proofErr w:type="gramEnd"/>
      <w:r w:rsidR="00A95784" w:rsidRPr="00307717">
        <w:rPr>
          <w:szCs w:val="16"/>
          <w:lang w:val="en-GB"/>
        </w:rPr>
        <w:t xml:space="preserve"> </w:t>
      </w:r>
      <w:r w:rsidR="00A95784">
        <w:rPr>
          <w:szCs w:val="16"/>
          <w:lang w:val="en-GB"/>
        </w:rPr>
        <w:t>collected at industrial scale following the pressing conditions applied by the winery</w:t>
      </w:r>
      <w:r w:rsidR="00703761">
        <w:rPr>
          <w:szCs w:val="16"/>
          <w:lang w:val="en-GB"/>
        </w:rPr>
        <w:t xml:space="preserve"> in terms of both equipment used and pressing cycle applied</w:t>
      </w:r>
      <w:r w:rsidR="00A95784">
        <w:rPr>
          <w:szCs w:val="16"/>
          <w:lang w:val="en-GB"/>
        </w:rPr>
        <w:t>. The musts were sample</w:t>
      </w:r>
      <w:r w:rsidR="00F5745F">
        <w:rPr>
          <w:szCs w:val="16"/>
          <w:lang w:val="en-GB"/>
        </w:rPr>
        <w:t>d</w:t>
      </w:r>
      <w:r w:rsidR="00A95784">
        <w:rPr>
          <w:szCs w:val="16"/>
          <w:lang w:val="en-GB"/>
        </w:rPr>
        <w:t xml:space="preserve"> </w:t>
      </w:r>
      <w:r w:rsidR="00A95784" w:rsidRPr="00307717">
        <w:rPr>
          <w:szCs w:val="16"/>
          <w:lang w:val="en-GB"/>
        </w:rPr>
        <w:t>at different extraction yields</w:t>
      </w:r>
      <w:r w:rsidR="00A95784">
        <w:rPr>
          <w:szCs w:val="16"/>
          <w:lang w:val="en-GB"/>
        </w:rPr>
        <w:t xml:space="preserve">: </w:t>
      </w:r>
      <w:r w:rsidR="009D248B">
        <w:rPr>
          <w:szCs w:val="16"/>
          <w:lang w:val="en-GB"/>
        </w:rPr>
        <w:t>free-run</w:t>
      </w:r>
      <w:r w:rsidR="00A95784" w:rsidRPr="00307717">
        <w:rPr>
          <w:szCs w:val="16"/>
          <w:lang w:val="en-GB"/>
        </w:rPr>
        <w:t xml:space="preserve"> juice, 20, 30 [</w:t>
      </w:r>
      <w:r>
        <w:rPr>
          <w:szCs w:val="16"/>
          <w:lang w:val="en-GB"/>
        </w:rPr>
        <w:t>1</w:t>
      </w:r>
      <w:r w:rsidRPr="00265250">
        <w:rPr>
          <w:szCs w:val="16"/>
          <w:vertAlign w:val="superscript"/>
          <w:lang w:val="en-GB"/>
        </w:rPr>
        <w:t>st</w:t>
      </w:r>
      <w:r w:rsidRPr="00307717">
        <w:rPr>
          <w:szCs w:val="16"/>
          <w:lang w:val="en-GB"/>
        </w:rPr>
        <w:t xml:space="preserve"> </w:t>
      </w:r>
      <w:r w:rsidR="00A95784" w:rsidRPr="00307717">
        <w:rPr>
          <w:szCs w:val="16"/>
          <w:lang w:val="en-GB"/>
        </w:rPr>
        <w:t>fraction], 40, 50 [</w:t>
      </w:r>
      <w:r>
        <w:rPr>
          <w:szCs w:val="16"/>
          <w:lang w:val="en-GB"/>
        </w:rPr>
        <w:t>2</w:t>
      </w:r>
      <w:r w:rsidRPr="00265250">
        <w:rPr>
          <w:szCs w:val="16"/>
          <w:vertAlign w:val="superscript"/>
          <w:lang w:val="en-GB"/>
        </w:rPr>
        <w:t>nd</w:t>
      </w:r>
      <w:r w:rsidRPr="00307717">
        <w:rPr>
          <w:szCs w:val="16"/>
          <w:lang w:val="en-GB"/>
        </w:rPr>
        <w:t xml:space="preserve"> </w:t>
      </w:r>
      <w:r w:rsidR="00A95784" w:rsidRPr="00307717">
        <w:rPr>
          <w:szCs w:val="16"/>
          <w:lang w:val="en-GB"/>
        </w:rPr>
        <w:t>fraction], 60, and 70 [</w:t>
      </w:r>
      <w:r>
        <w:rPr>
          <w:szCs w:val="16"/>
          <w:lang w:val="en-GB"/>
        </w:rPr>
        <w:t>3</w:t>
      </w:r>
      <w:r w:rsidRPr="00265250">
        <w:rPr>
          <w:szCs w:val="16"/>
          <w:vertAlign w:val="superscript"/>
          <w:lang w:val="en-GB"/>
        </w:rPr>
        <w:t>rd</w:t>
      </w:r>
      <w:r w:rsidRPr="00307717">
        <w:rPr>
          <w:szCs w:val="16"/>
          <w:lang w:val="en-GB"/>
        </w:rPr>
        <w:t xml:space="preserve"> </w:t>
      </w:r>
      <w:r w:rsidR="00A95784" w:rsidRPr="00307717">
        <w:rPr>
          <w:szCs w:val="16"/>
          <w:lang w:val="en-GB"/>
        </w:rPr>
        <w:t>fraction] % must yields.</w:t>
      </w:r>
      <w:r w:rsidR="00F5745F">
        <w:rPr>
          <w:szCs w:val="16"/>
          <w:lang w:val="en-GB"/>
        </w:rPr>
        <w:t xml:space="preserve"> </w:t>
      </w:r>
    </w:p>
    <w:p w14:paraId="1B5BAF3B" w14:textId="68DEF258" w:rsidR="003467E9" w:rsidRDefault="003467E9" w:rsidP="0060152B">
      <w:pPr>
        <w:jc w:val="both"/>
        <w:rPr>
          <w:lang w:val="en-GB"/>
        </w:rPr>
      </w:pPr>
      <w:r w:rsidRPr="00EF26FB">
        <w:rPr>
          <w:i/>
          <w:iCs/>
          <w:lang w:val="en-GB"/>
        </w:rPr>
        <w:t>A</w:t>
      </w:r>
      <w:r>
        <w:rPr>
          <w:i/>
          <w:iCs/>
          <w:lang w:val="en-GB"/>
        </w:rPr>
        <w:t>3</w:t>
      </w:r>
      <w:r w:rsidRPr="00EF26FB">
        <w:rPr>
          <w:i/>
          <w:iCs/>
          <w:lang w:val="en-GB"/>
        </w:rPr>
        <w:t>.1.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 xml:space="preserve">Experimental base wines </w:t>
      </w:r>
      <w:r>
        <w:rPr>
          <w:szCs w:val="16"/>
          <w:lang w:val="en-GB"/>
        </w:rPr>
        <w:t>were produced from 1</w:t>
      </w:r>
      <w:r w:rsidRPr="00265250">
        <w:rPr>
          <w:szCs w:val="16"/>
          <w:vertAlign w:val="superscript"/>
          <w:lang w:val="en-GB"/>
        </w:rPr>
        <w:t>st</w:t>
      </w:r>
      <w:r>
        <w:rPr>
          <w:szCs w:val="16"/>
          <w:lang w:val="en-GB"/>
        </w:rPr>
        <w:t xml:space="preserve"> </w:t>
      </w:r>
      <w:r w:rsidR="00F5745F">
        <w:rPr>
          <w:szCs w:val="16"/>
          <w:lang w:val="en-GB"/>
        </w:rPr>
        <w:t xml:space="preserve">and </w:t>
      </w:r>
      <w:r>
        <w:rPr>
          <w:szCs w:val="16"/>
          <w:lang w:val="en-GB"/>
        </w:rPr>
        <w:t>2</w:t>
      </w:r>
      <w:r w:rsidRPr="00265250">
        <w:rPr>
          <w:szCs w:val="16"/>
          <w:vertAlign w:val="superscript"/>
          <w:lang w:val="en-GB"/>
        </w:rPr>
        <w:t>nd</w:t>
      </w:r>
      <w:r>
        <w:rPr>
          <w:szCs w:val="16"/>
          <w:lang w:val="en-GB"/>
        </w:rPr>
        <w:t xml:space="preserve"> </w:t>
      </w:r>
      <w:r w:rsidR="00F5745F">
        <w:rPr>
          <w:szCs w:val="16"/>
          <w:lang w:val="en-GB"/>
        </w:rPr>
        <w:t xml:space="preserve">fractions following the minimal intervention approach. </w:t>
      </w:r>
      <w:r w:rsidR="00F5745F" w:rsidRPr="00C5470C">
        <w:rPr>
          <w:lang w:val="en-GB"/>
        </w:rPr>
        <w:t xml:space="preserve">Musts were inoculated with </w:t>
      </w:r>
      <w:r w:rsidR="00F5745F" w:rsidRPr="00C5470C">
        <w:rPr>
          <w:i/>
          <w:iCs/>
          <w:lang w:val="en-GB"/>
        </w:rPr>
        <w:t>Saccharomyces cerevisiae</w:t>
      </w:r>
      <w:r w:rsidR="00F5745F" w:rsidRPr="00C5470C">
        <w:rPr>
          <w:lang w:val="en-GB"/>
        </w:rPr>
        <w:t xml:space="preserve"> EC1</w:t>
      </w:r>
      <w:r>
        <w:rPr>
          <w:lang w:val="en-GB"/>
        </w:rPr>
        <w:t>1</w:t>
      </w:r>
      <w:r w:rsidR="00F5745F" w:rsidRPr="00C5470C">
        <w:rPr>
          <w:lang w:val="en-GB"/>
        </w:rPr>
        <w:t>18 strain (20</w:t>
      </w:r>
      <w:r>
        <w:rPr>
          <w:lang w:val="en-GB"/>
        </w:rPr>
        <w:t xml:space="preserve"> </w:t>
      </w:r>
      <w:r w:rsidR="00F5745F" w:rsidRPr="00C5470C">
        <w:rPr>
          <w:lang w:val="en-GB"/>
        </w:rPr>
        <w:t>g/</w:t>
      </w:r>
      <w:proofErr w:type="spellStart"/>
      <w:r w:rsidRPr="00C5470C">
        <w:rPr>
          <w:lang w:val="en-GB"/>
        </w:rPr>
        <w:t>h</w:t>
      </w:r>
      <w:r>
        <w:rPr>
          <w:lang w:val="en-GB"/>
        </w:rPr>
        <w:t>L</w:t>
      </w:r>
      <w:proofErr w:type="spellEnd"/>
      <w:r w:rsidR="00F5745F" w:rsidRPr="00C5470C">
        <w:rPr>
          <w:lang w:val="en-GB"/>
        </w:rPr>
        <w:t>)</w:t>
      </w:r>
      <w:r>
        <w:rPr>
          <w:lang w:val="en-GB"/>
        </w:rPr>
        <w:t xml:space="preserve"> after the adjustment of </w:t>
      </w:r>
      <w:r w:rsidRPr="009974C6">
        <w:rPr>
          <w:lang w:val="en-GB"/>
        </w:rPr>
        <w:t>readily assimilable nitrogen</w:t>
      </w:r>
      <w:r w:rsidR="00634496">
        <w:rPr>
          <w:lang w:val="en-GB"/>
        </w:rPr>
        <w:t xml:space="preserve"> (RAN)</w:t>
      </w:r>
      <w:r>
        <w:rPr>
          <w:lang w:val="en-GB"/>
        </w:rPr>
        <w:t xml:space="preserve"> up to 200 mg/L with diammonium phosphate, if required. </w:t>
      </w:r>
      <w:r w:rsidR="00F5745F" w:rsidRPr="00C5470C">
        <w:rPr>
          <w:lang w:val="en-GB"/>
        </w:rPr>
        <w:t>The fermentation</w:t>
      </w:r>
      <w:r w:rsidR="00717A07">
        <w:rPr>
          <w:lang w:val="en-GB"/>
        </w:rPr>
        <w:t>s</w:t>
      </w:r>
      <w:r w:rsidR="00F5745F" w:rsidRPr="00C5470C">
        <w:rPr>
          <w:lang w:val="en-GB"/>
        </w:rPr>
        <w:t xml:space="preserve"> w</w:t>
      </w:r>
      <w:r w:rsidR="00717A07">
        <w:rPr>
          <w:lang w:val="en-GB"/>
        </w:rPr>
        <w:t>ere</w:t>
      </w:r>
      <w:r w:rsidR="00F5745F" w:rsidRPr="00C5470C">
        <w:rPr>
          <w:lang w:val="en-GB"/>
        </w:rPr>
        <w:t xml:space="preserve"> carried out at 20 ± 2°C</w:t>
      </w:r>
      <w:r w:rsidR="0060152B">
        <w:rPr>
          <w:lang w:val="en-GB"/>
        </w:rPr>
        <w:t xml:space="preserve"> in triplicate</w:t>
      </w:r>
      <w:r w:rsidR="00F5745F" w:rsidRPr="00C5470C">
        <w:rPr>
          <w:lang w:val="en-GB"/>
        </w:rPr>
        <w:t xml:space="preserve"> </w:t>
      </w:r>
      <w:r w:rsidR="00B95E64">
        <w:rPr>
          <w:lang w:val="en-GB"/>
        </w:rPr>
        <w:t>and</w:t>
      </w:r>
      <w:r w:rsidR="00F5745F" w:rsidRPr="00E07BAA">
        <w:rPr>
          <w:lang w:val="en-GB"/>
        </w:rPr>
        <w:t xml:space="preserve"> </w:t>
      </w:r>
      <w:r w:rsidR="00717A07" w:rsidRPr="00E07BAA">
        <w:rPr>
          <w:lang w:val="en-GB"/>
        </w:rPr>
        <w:t xml:space="preserve">daily </w:t>
      </w:r>
      <w:r w:rsidR="00F5745F" w:rsidRPr="00E07BAA">
        <w:rPr>
          <w:lang w:val="en-GB"/>
        </w:rPr>
        <w:t>monitored by weight</w:t>
      </w:r>
      <w:r>
        <w:rPr>
          <w:lang w:val="en-GB"/>
        </w:rPr>
        <w:t>.</w:t>
      </w:r>
      <w:r w:rsidR="00E07BAA">
        <w:rPr>
          <w:lang w:val="en-GB"/>
        </w:rPr>
        <w:t xml:space="preserve"> At the end of fermentation</w:t>
      </w:r>
      <w:r w:rsidR="00942FC9">
        <w:rPr>
          <w:lang w:val="en-GB"/>
        </w:rPr>
        <w:t>,</w:t>
      </w:r>
      <w:r w:rsidR="005141DF" w:rsidRPr="00C5470C">
        <w:rPr>
          <w:lang w:val="en-GB"/>
        </w:rPr>
        <w:t xml:space="preserve"> wines were racked and stored at 4℃ degrees </w:t>
      </w:r>
      <w:r>
        <w:rPr>
          <w:lang w:val="en-GB"/>
        </w:rPr>
        <w:t xml:space="preserve">until the </w:t>
      </w:r>
      <w:r w:rsidR="00717A07">
        <w:rPr>
          <w:lang w:val="en-GB"/>
        </w:rPr>
        <w:t>in-bottle fermentation</w:t>
      </w:r>
      <w:r w:rsidR="005141DF">
        <w:rPr>
          <w:lang w:val="en-GB"/>
        </w:rPr>
        <w:t>.</w:t>
      </w:r>
      <w:r w:rsidR="009E3A7E">
        <w:rPr>
          <w:lang w:val="en-GB"/>
        </w:rPr>
        <w:t xml:space="preserve"> </w:t>
      </w:r>
      <w:r w:rsidRPr="00C5470C">
        <w:rPr>
          <w:lang w:val="en-GB"/>
        </w:rPr>
        <w:t>Carbon dioxide (CO</w:t>
      </w:r>
      <w:r w:rsidRPr="00C5470C">
        <w:rPr>
          <w:vertAlign w:val="subscript"/>
          <w:lang w:val="en-GB"/>
        </w:rPr>
        <w:t>2</w:t>
      </w:r>
      <w:r w:rsidRPr="00C5470C">
        <w:rPr>
          <w:lang w:val="en-GB"/>
        </w:rPr>
        <w:t>) release</w:t>
      </w:r>
      <w:r>
        <w:rPr>
          <w:lang w:val="en-GB"/>
        </w:rPr>
        <w:t xml:space="preserve"> and fermentation efficiency were calculated.</w:t>
      </w:r>
      <w:r w:rsidR="00717A07">
        <w:rPr>
          <w:lang w:val="en-GB"/>
        </w:rPr>
        <w:t xml:space="preserve"> The tirage was carried out by inoculating </w:t>
      </w:r>
      <w:r w:rsidR="00717A07">
        <w:rPr>
          <w:i/>
          <w:iCs/>
          <w:lang w:val="en-GB"/>
        </w:rPr>
        <w:t>S.</w:t>
      </w:r>
      <w:r w:rsidR="00717A07" w:rsidRPr="00C5470C">
        <w:rPr>
          <w:i/>
          <w:iCs/>
          <w:lang w:val="en-GB"/>
        </w:rPr>
        <w:t xml:space="preserve"> cerevisiae</w:t>
      </w:r>
      <w:r w:rsidR="00717A07" w:rsidRPr="00C5470C">
        <w:rPr>
          <w:lang w:val="en-GB"/>
        </w:rPr>
        <w:t xml:space="preserve"> </w:t>
      </w:r>
      <w:r w:rsidR="00717A07">
        <w:rPr>
          <w:lang w:val="en-GB"/>
        </w:rPr>
        <w:t>IOC18-2007</w:t>
      </w:r>
      <w:r w:rsidR="00717A07" w:rsidRPr="00C5470C">
        <w:rPr>
          <w:lang w:val="en-GB"/>
        </w:rPr>
        <w:t xml:space="preserve"> strain</w:t>
      </w:r>
      <w:r w:rsidR="0039334B">
        <w:rPr>
          <w:lang w:val="en-GB"/>
        </w:rPr>
        <w:t xml:space="preserve"> (on-going)</w:t>
      </w:r>
      <w:r w:rsidR="00717A07">
        <w:rPr>
          <w:lang w:val="en-GB"/>
        </w:rPr>
        <w:t>.</w:t>
      </w:r>
    </w:p>
    <w:p w14:paraId="11A16FEB" w14:textId="0BEF7A8A" w:rsidR="00AA7976" w:rsidRDefault="003467E9" w:rsidP="0060152B">
      <w:pPr>
        <w:jc w:val="both"/>
        <w:rPr>
          <w:lang w:val="en-GB"/>
        </w:rPr>
      </w:pPr>
      <w:r>
        <w:rPr>
          <w:lang w:val="en-GB"/>
        </w:rPr>
        <w:t>The parameters determined in both must (lab</w:t>
      </w:r>
      <w:r w:rsidR="007D71A4">
        <w:rPr>
          <w:lang w:val="en-GB"/>
        </w:rPr>
        <w:t>-</w:t>
      </w:r>
      <w:r>
        <w:rPr>
          <w:lang w:val="en-GB"/>
        </w:rPr>
        <w:t xml:space="preserve"> and industrial scales) and wine samples were</w:t>
      </w:r>
      <w:r w:rsidR="00B95E64">
        <w:rPr>
          <w:lang w:val="en-GB"/>
        </w:rPr>
        <w:t xml:space="preserve"> </w:t>
      </w:r>
      <w:r w:rsidR="00F66FD3">
        <w:rPr>
          <w:lang w:val="en-GB"/>
        </w:rPr>
        <w:t xml:space="preserve">sugars, </w:t>
      </w:r>
      <w:r w:rsidR="003F0916" w:rsidRPr="00307717">
        <w:rPr>
          <w:lang w:val="en-GB"/>
        </w:rPr>
        <w:t xml:space="preserve">pH, </w:t>
      </w:r>
      <w:proofErr w:type="spellStart"/>
      <w:r w:rsidR="003F0916" w:rsidRPr="00307717">
        <w:rPr>
          <w:lang w:val="en-GB"/>
        </w:rPr>
        <w:t>titrable</w:t>
      </w:r>
      <w:proofErr w:type="spellEnd"/>
      <w:r w:rsidR="003F0916" w:rsidRPr="00307717">
        <w:rPr>
          <w:lang w:val="en-GB"/>
        </w:rPr>
        <w:t xml:space="preserve"> acidity (</w:t>
      </w:r>
      <w:r w:rsidR="009C02C3">
        <w:rPr>
          <w:lang w:val="en-GB"/>
        </w:rPr>
        <w:t>TA</w:t>
      </w:r>
      <w:r w:rsidR="003F0916" w:rsidRPr="00307717">
        <w:rPr>
          <w:lang w:val="en-GB"/>
        </w:rPr>
        <w:t>),</w:t>
      </w:r>
      <w:r w:rsidR="003F0916" w:rsidRPr="003F0916">
        <w:rPr>
          <w:szCs w:val="16"/>
          <w:lang w:val="en-GB"/>
        </w:rPr>
        <w:t xml:space="preserve"> </w:t>
      </w:r>
      <w:r w:rsidR="00F66FD3">
        <w:rPr>
          <w:szCs w:val="16"/>
          <w:lang w:val="en-GB"/>
        </w:rPr>
        <w:t xml:space="preserve">tartaric and malic acids, </w:t>
      </w:r>
      <w:proofErr w:type="spellStart"/>
      <w:r w:rsidR="003F0916" w:rsidRPr="00307717">
        <w:rPr>
          <w:szCs w:val="16"/>
          <w:lang w:val="en-GB"/>
        </w:rPr>
        <w:t>color</w:t>
      </w:r>
      <w:proofErr w:type="spellEnd"/>
      <w:r w:rsidR="003F0916" w:rsidRPr="00307717">
        <w:rPr>
          <w:szCs w:val="16"/>
          <w:lang w:val="en-GB"/>
        </w:rPr>
        <w:t xml:space="preserve"> index (</w:t>
      </w:r>
      <w:r w:rsidR="00634496">
        <w:rPr>
          <w:szCs w:val="16"/>
          <w:lang w:val="en-GB"/>
        </w:rPr>
        <w:t>absorbance reading at</w:t>
      </w:r>
      <w:r w:rsidR="00634496" w:rsidRPr="00307717">
        <w:rPr>
          <w:szCs w:val="16"/>
          <w:lang w:val="en-GB"/>
        </w:rPr>
        <w:t xml:space="preserve"> </w:t>
      </w:r>
      <w:r w:rsidR="003F0916" w:rsidRPr="00307717">
        <w:rPr>
          <w:szCs w:val="16"/>
          <w:lang w:val="en-GB"/>
        </w:rPr>
        <w:t>420 nm)</w:t>
      </w:r>
      <w:r w:rsidR="003F0916">
        <w:rPr>
          <w:szCs w:val="16"/>
          <w:lang w:val="en-GB"/>
        </w:rPr>
        <w:t xml:space="preserve">, </w:t>
      </w:r>
      <w:r w:rsidR="003F0916" w:rsidRPr="00307717">
        <w:rPr>
          <w:szCs w:val="16"/>
          <w:lang w:val="en-GB"/>
        </w:rPr>
        <w:t>total phenol index (TPI</w:t>
      </w:r>
      <w:r w:rsidR="00634496">
        <w:rPr>
          <w:szCs w:val="16"/>
          <w:lang w:val="en-GB"/>
        </w:rPr>
        <w:t xml:space="preserve">, </w:t>
      </w:r>
      <w:proofErr w:type="spellStart"/>
      <w:r w:rsidR="003F0916" w:rsidRPr="009974C6">
        <w:rPr>
          <w:szCs w:val="16"/>
          <w:lang w:val="en-GB"/>
        </w:rPr>
        <w:t>Folin-Ciocalteau</w:t>
      </w:r>
      <w:proofErr w:type="spellEnd"/>
      <w:r w:rsidR="003F0916" w:rsidRPr="009974C6">
        <w:rPr>
          <w:szCs w:val="16"/>
          <w:lang w:val="en-GB"/>
        </w:rPr>
        <w:t xml:space="preserve"> method</w:t>
      </w:r>
      <w:r w:rsidR="00634496">
        <w:rPr>
          <w:szCs w:val="16"/>
          <w:lang w:val="en-GB"/>
        </w:rPr>
        <w:t>)</w:t>
      </w:r>
      <w:r>
        <w:rPr>
          <w:szCs w:val="16"/>
          <w:lang w:val="en-GB"/>
        </w:rPr>
        <w:t>, total flavonoids</w:t>
      </w:r>
      <w:r w:rsidR="009C02C3">
        <w:rPr>
          <w:szCs w:val="16"/>
          <w:lang w:val="en-GB"/>
        </w:rPr>
        <w:t xml:space="preserve"> (FLVs)</w:t>
      </w:r>
      <w:r w:rsidR="00F332B4">
        <w:rPr>
          <w:szCs w:val="16"/>
          <w:lang w:val="en-GB"/>
        </w:rPr>
        <w:t>.</w:t>
      </w:r>
      <w:r>
        <w:rPr>
          <w:szCs w:val="16"/>
          <w:lang w:val="en-GB"/>
        </w:rPr>
        <w:t xml:space="preserve"> RAN, p</w:t>
      </w:r>
      <w:r w:rsidRPr="00307717">
        <w:rPr>
          <w:szCs w:val="16"/>
          <w:lang w:val="en-GB"/>
        </w:rPr>
        <w:t>olyphenol oxidase (PPO)</w:t>
      </w:r>
      <w:r>
        <w:rPr>
          <w:szCs w:val="16"/>
          <w:lang w:val="en-GB"/>
        </w:rPr>
        <w:t xml:space="preserve">, </w:t>
      </w:r>
      <w:r w:rsidRPr="00307717">
        <w:rPr>
          <w:szCs w:val="16"/>
          <w:lang w:val="en-GB"/>
        </w:rPr>
        <w:t>antioxidant capacity (AC)</w:t>
      </w:r>
      <w:r>
        <w:rPr>
          <w:szCs w:val="16"/>
          <w:lang w:val="en-GB"/>
        </w:rPr>
        <w:t xml:space="preserve">, and </w:t>
      </w:r>
      <w:r w:rsidRPr="00307717">
        <w:rPr>
          <w:szCs w:val="16"/>
          <w:lang w:val="en-GB"/>
        </w:rPr>
        <w:t>turbidity units (NTU)</w:t>
      </w:r>
      <w:r>
        <w:rPr>
          <w:szCs w:val="16"/>
          <w:lang w:val="en-GB"/>
        </w:rPr>
        <w:t xml:space="preserve"> were assessed for the must samples</w:t>
      </w:r>
      <w:r w:rsidR="00F66FD3">
        <w:rPr>
          <w:szCs w:val="16"/>
          <w:lang w:val="en-GB"/>
        </w:rPr>
        <w:t xml:space="preserve">. Ethanolic strength, volatile acidity, </w:t>
      </w:r>
      <w:r w:rsidR="00F66FD3">
        <w:rPr>
          <w:lang w:val="en-GB"/>
        </w:rPr>
        <w:t>l</w:t>
      </w:r>
      <w:r w:rsidR="00A42D0D" w:rsidRPr="00C5470C">
        <w:rPr>
          <w:lang w:val="en-GB"/>
        </w:rPr>
        <w:t>actic acid, free and total sulfur dioxide,</w:t>
      </w:r>
      <w:r w:rsidR="00C84F4C">
        <w:rPr>
          <w:lang w:val="en-GB"/>
        </w:rPr>
        <w:t xml:space="preserve"> </w:t>
      </w:r>
      <w:r w:rsidR="00A42D0D" w:rsidRPr="00C5470C">
        <w:rPr>
          <w:lang w:val="en-GB"/>
        </w:rPr>
        <w:t>total dry</w:t>
      </w:r>
      <w:r w:rsidR="00B64D0E">
        <w:rPr>
          <w:lang w:val="en-GB"/>
        </w:rPr>
        <w:t>,</w:t>
      </w:r>
      <w:r w:rsidR="00A42D0D" w:rsidRPr="00C5470C">
        <w:rPr>
          <w:lang w:val="en-GB"/>
        </w:rPr>
        <w:t xml:space="preserve"> and reduced extracts</w:t>
      </w:r>
      <w:r w:rsidR="00C84F4C">
        <w:rPr>
          <w:lang w:val="en-GB"/>
        </w:rPr>
        <w:t xml:space="preserve"> </w:t>
      </w:r>
      <w:r w:rsidR="00F66FD3">
        <w:rPr>
          <w:lang w:val="en-GB"/>
        </w:rPr>
        <w:t>were determined in base wine sample</w:t>
      </w:r>
      <w:r w:rsidR="006536B6">
        <w:rPr>
          <w:lang w:val="en-GB"/>
        </w:rPr>
        <w:t>s.</w:t>
      </w:r>
      <w:r w:rsidR="00B611D0">
        <w:rPr>
          <w:lang w:val="en-GB"/>
        </w:rPr>
        <w:t xml:space="preserve"> </w:t>
      </w:r>
      <w:r w:rsidR="00150325">
        <w:rPr>
          <w:lang w:val="en-GB"/>
        </w:rPr>
        <w:t xml:space="preserve"> </w:t>
      </w:r>
    </w:p>
    <w:p w14:paraId="2EE614EE" w14:textId="177A5616" w:rsidR="005400BF" w:rsidRPr="005400BF" w:rsidRDefault="00FB589C" w:rsidP="005400BF">
      <w:pPr>
        <w:pStyle w:val="Titre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0754744A" w14:textId="70A5F11E" w:rsidR="00265250" w:rsidRDefault="00FB589C" w:rsidP="0026525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3.1 </w:t>
      </w:r>
      <w:r w:rsidR="007F0152">
        <w:rPr>
          <w:b/>
          <w:bCs/>
          <w:lang w:val="en-GB"/>
        </w:rPr>
        <w:t>L</w:t>
      </w:r>
      <w:r w:rsidR="00AF2015">
        <w:rPr>
          <w:b/>
          <w:bCs/>
          <w:lang w:val="en-GB"/>
        </w:rPr>
        <w:t>ab</w:t>
      </w:r>
      <w:r w:rsidR="007D71A4">
        <w:rPr>
          <w:b/>
          <w:bCs/>
          <w:lang w:val="en-GB"/>
        </w:rPr>
        <w:t>-</w:t>
      </w:r>
      <w:r w:rsidR="00AF2015">
        <w:rPr>
          <w:b/>
          <w:bCs/>
          <w:lang w:val="en-GB"/>
        </w:rPr>
        <w:t xml:space="preserve">scale </w:t>
      </w:r>
      <w:r w:rsidR="00703761">
        <w:rPr>
          <w:b/>
          <w:bCs/>
          <w:lang w:val="en-GB"/>
        </w:rPr>
        <w:t>pressing</w:t>
      </w:r>
      <w:r w:rsidR="00B073FD">
        <w:rPr>
          <w:b/>
          <w:bCs/>
          <w:lang w:val="en-GB"/>
        </w:rPr>
        <w:t xml:space="preserve"> (A1.1)</w:t>
      </w:r>
    </w:p>
    <w:p w14:paraId="2C6897C8" w14:textId="63EC0F41" w:rsidR="003016DA" w:rsidRPr="003016DA" w:rsidRDefault="003016DA" w:rsidP="00265250">
      <w:pPr>
        <w:jc w:val="both"/>
        <w:rPr>
          <w:lang w:val="en-GB"/>
        </w:rPr>
      </w:pP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>Different methods for the production of lab-scale musts were investigated in order</w:t>
      </w:r>
      <w:r w:rsidR="0092326E"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F18C6">
        <w:rPr>
          <w:rStyle w:val="cf01"/>
          <w:rFonts w:ascii="Times New Roman" w:hAnsi="Times New Roman" w:cs="Times New Roman"/>
          <w:sz w:val="20"/>
          <w:szCs w:val="20"/>
          <w:lang w:val="en-GB"/>
        </w:rPr>
        <w:t>identify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F18C6">
        <w:rPr>
          <w:rStyle w:val="cf01"/>
          <w:rFonts w:ascii="Times New Roman" w:hAnsi="Times New Roman" w:cs="Times New Roman"/>
          <w:sz w:val="20"/>
          <w:szCs w:val="20"/>
          <w:lang w:val="en-GB"/>
        </w:rPr>
        <w:t>the</w:t>
      </w:r>
      <w:r w:rsidR="00EF18C6"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must preparation 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lastRenderedPageBreak/>
        <w:t xml:space="preserve">mostly representative of the industrial must production. </w:t>
      </w:r>
      <w:r w:rsidR="00EF18C6">
        <w:rPr>
          <w:rStyle w:val="cf01"/>
          <w:rFonts w:ascii="Times New Roman" w:hAnsi="Times New Roman" w:cs="Times New Roman"/>
          <w:sz w:val="20"/>
          <w:szCs w:val="20"/>
          <w:lang w:val="en-GB"/>
        </w:rPr>
        <w:t>Among the conditions adopted, n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o difference was found for the major technological parameters usually considered (sugars, pH, TA) (Dumas </w:t>
      </w:r>
      <w:r w:rsidRPr="000B4382">
        <w:rPr>
          <w:rStyle w:val="cf01"/>
          <w:rFonts w:ascii="Times New Roman" w:hAnsi="Times New Roman" w:cs="Times New Roman"/>
          <w:i/>
          <w:iCs/>
          <w:sz w:val="20"/>
          <w:szCs w:val="20"/>
          <w:lang w:val="en-GB"/>
        </w:rPr>
        <w:t>et al.,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2020). On the contrary, the method for must preparation strongly affected the </w:t>
      </w:r>
      <w:proofErr w:type="spellStart"/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>color</w:t>
      </w:r>
      <w:proofErr w:type="spellEnd"/>
      <w:r w:rsid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>,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AC</w:t>
      </w:r>
      <w:r w:rsid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F675F0"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>phenolic indexes,</w:t>
      </w:r>
      <w:r w:rsid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the latter being compared with the </w:t>
      </w:r>
      <w:r w:rsidR="00F675F0" w:rsidRP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overall quantity determined by means of the </w:t>
      </w:r>
      <w:r w:rsidR="00F675F0" w:rsidRPr="00AF12B1">
        <w:rPr>
          <w:rStyle w:val="cf01"/>
          <w:rFonts w:ascii="Times New Roman" w:hAnsi="Times New Roman" w:cs="Times New Roman"/>
          <w:sz w:val="20"/>
          <w:szCs w:val="20"/>
          <w:lang w:val="en-GB"/>
        </w:rPr>
        <w:t>h</w:t>
      </w:r>
      <w:r w:rsidR="00963E63" w:rsidRPr="00AF12B1">
        <w:rPr>
          <w:rStyle w:val="cf01"/>
          <w:rFonts w:ascii="Times New Roman" w:hAnsi="Times New Roman" w:cs="Times New Roman"/>
          <w:sz w:val="20"/>
          <w:szCs w:val="20"/>
          <w:lang w:val="en-GB"/>
        </w:rPr>
        <w:t>omogenized sample</w:t>
      </w:r>
      <w:r w:rsidR="00B073FD">
        <w:rPr>
          <w:rStyle w:val="cf01"/>
          <w:rFonts w:ascii="Times New Roman" w:hAnsi="Times New Roman" w:cs="Times New Roman"/>
          <w:sz w:val="20"/>
          <w:szCs w:val="20"/>
          <w:lang w:val="en-GB"/>
        </w:rPr>
        <w:t>s</w:t>
      </w:r>
      <w:r w:rsidR="00963E63" w:rsidRPr="00AF12B1">
        <w:rPr>
          <w:rStyle w:val="cf01"/>
          <w:rFonts w:ascii="Times New Roman" w:hAnsi="Times New Roman" w:cs="Times New Roman"/>
          <w:sz w:val="20"/>
          <w:szCs w:val="20"/>
          <w:lang w:val="en-GB"/>
        </w:rPr>
        <w:t>.</w:t>
      </w:r>
      <w:r w:rsidR="00963E63" w:rsidRP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>In particular,</w:t>
      </w:r>
      <w:r w:rsidR="00852AD2" w:rsidRP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the highest </w:t>
      </w:r>
      <w:r w:rsidR="00B073FD">
        <w:rPr>
          <w:rStyle w:val="cf01"/>
          <w:rFonts w:ascii="Times New Roman" w:hAnsi="Times New Roman" w:cs="Times New Roman"/>
          <w:sz w:val="20"/>
          <w:szCs w:val="20"/>
          <w:lang w:val="en-GB"/>
        </w:rPr>
        <w:t>content of TPI and FLVs</w:t>
      </w:r>
      <w:r w:rsidR="00B073FD" w:rsidRP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675F0">
        <w:rPr>
          <w:rStyle w:val="cf01"/>
          <w:rFonts w:ascii="Times New Roman" w:hAnsi="Times New Roman" w:cs="Times New Roman"/>
          <w:sz w:val="20"/>
          <w:szCs w:val="20"/>
          <w:lang w:val="en-GB"/>
        </w:rPr>
        <w:t>were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 determined in the must samples produced by the juicer, followed by vacuum condition, manual pressing and by small screw press (Table 1)</w:t>
      </w:r>
      <w:r w:rsidR="00173C88"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>These results suggest the small screw press could be best condition for simulating the industrial pressing</w:t>
      </w:r>
      <w:r w:rsidR="00265250" w:rsidRPr="000B4382">
        <w:rPr>
          <w:rStyle w:val="cf01"/>
          <w:rFonts w:ascii="Times New Roman" w:hAnsi="Times New Roman" w:cs="Times New Roman"/>
          <w:sz w:val="20"/>
          <w:szCs w:val="20"/>
          <w:lang w:val="en-GB"/>
        </w:rPr>
        <w:t>.</w:t>
      </w:r>
    </w:p>
    <w:p w14:paraId="19F6FD68" w14:textId="3DF82BAD" w:rsidR="006F5662" w:rsidRPr="006F5662" w:rsidRDefault="00363B31" w:rsidP="00465AEA">
      <w:pPr>
        <w:spacing w:before="300" w:after="120"/>
        <w:jc w:val="both"/>
        <w:rPr>
          <w:i/>
          <w:iCs/>
          <w:sz w:val="18"/>
          <w:szCs w:val="18"/>
          <w:lang w:val="en-GB"/>
        </w:rPr>
      </w:pPr>
      <w:r w:rsidRPr="00B611D0">
        <w:rPr>
          <w:b/>
          <w:bCs/>
          <w:i/>
          <w:iCs/>
          <w:sz w:val="18"/>
          <w:szCs w:val="18"/>
          <w:lang w:val="en-GB"/>
        </w:rPr>
        <w:t>Table 1</w:t>
      </w:r>
      <w:r w:rsidRPr="0007792A">
        <w:rPr>
          <w:b/>
          <w:bCs/>
          <w:i/>
          <w:iCs/>
          <w:sz w:val="18"/>
          <w:szCs w:val="18"/>
          <w:lang w:val="en-GB"/>
        </w:rPr>
        <w:t xml:space="preserve"> </w:t>
      </w:r>
      <w:r w:rsidRPr="00B611D0">
        <w:rPr>
          <w:i/>
          <w:iCs/>
          <w:sz w:val="18"/>
          <w:szCs w:val="18"/>
          <w:lang w:val="en-GB"/>
        </w:rPr>
        <w:t xml:space="preserve">Chemical parameters of lab-scale </w:t>
      </w:r>
      <w:r w:rsidR="00CB3876">
        <w:rPr>
          <w:i/>
          <w:iCs/>
          <w:sz w:val="18"/>
          <w:szCs w:val="18"/>
          <w:lang w:val="en-GB"/>
        </w:rPr>
        <w:t xml:space="preserve">must </w:t>
      </w:r>
      <w:proofErr w:type="gramStart"/>
      <w:r w:rsidRPr="00B611D0">
        <w:rPr>
          <w:i/>
          <w:iCs/>
          <w:sz w:val="18"/>
          <w:szCs w:val="18"/>
          <w:lang w:val="en-GB"/>
        </w:rPr>
        <w:t>samples</w:t>
      </w:r>
      <w:proofErr w:type="gramEnd"/>
    </w:p>
    <w:tbl>
      <w:tblPr>
        <w:tblStyle w:val="Grilledetableauclaire"/>
        <w:tblW w:w="9022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1462"/>
        <w:gridCol w:w="1024"/>
        <w:gridCol w:w="1510"/>
        <w:gridCol w:w="1237"/>
        <w:gridCol w:w="1237"/>
      </w:tblGrid>
      <w:tr w:rsidR="00983BB0" w:rsidRPr="00531007" w14:paraId="5FBFCE6C" w14:textId="77777777" w:rsidTr="00414CE1">
        <w:trPr>
          <w:trHeight w:val="4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1E5CA" w14:textId="32433807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bookmarkStart w:id="1" w:name="_Hlk136339026"/>
            <w:r w:rsidRPr="00033B42">
              <w:rPr>
                <w:sz w:val="16"/>
                <w:szCs w:val="16"/>
              </w:rPr>
              <w:t>Sample</w:t>
            </w:r>
            <w:r w:rsidR="0099154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71B82" w14:textId="47CFBC7A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7397F" w14:textId="077E774E" w:rsidR="00983BB0" w:rsidRPr="00033B42" w:rsidRDefault="00983BB0" w:rsidP="00983BB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33B42">
              <w:rPr>
                <w:b/>
                <w:bCs/>
                <w:sz w:val="16"/>
                <w:szCs w:val="16"/>
              </w:rPr>
              <w:t>Titrable</w:t>
            </w:r>
            <w:proofErr w:type="spellEnd"/>
            <w:r w:rsidRPr="00033B42">
              <w:rPr>
                <w:b/>
                <w:bCs/>
                <w:sz w:val="16"/>
                <w:szCs w:val="16"/>
              </w:rPr>
              <w:t xml:space="preserve"> Acidity</w:t>
            </w:r>
          </w:p>
          <w:p w14:paraId="43AC97D2" w14:textId="19B39CCB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  <w:lang w:val="en-GB"/>
              </w:rPr>
              <w:t>(g/L of tartaric acid)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93BD0" w14:textId="240FB6AF" w:rsidR="00983BB0" w:rsidRPr="00033B42" w:rsidRDefault="00983BB0" w:rsidP="008952C8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Color</w:t>
            </w:r>
          </w:p>
          <w:p w14:paraId="47888350" w14:textId="1A92C6BB" w:rsidR="00983BB0" w:rsidRPr="00033B42" w:rsidRDefault="00983BB0" w:rsidP="00983BB0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(AU 420 nm)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A977B" w14:textId="77777777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Total phenol index</w:t>
            </w:r>
          </w:p>
          <w:p w14:paraId="060B1B6E" w14:textId="7A11ECD2" w:rsidR="00983BB0" w:rsidRPr="00033B42" w:rsidRDefault="00983BB0" w:rsidP="00983BB0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(mg/L gallic acid)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897DC" w14:textId="77777777" w:rsidR="00983BB0" w:rsidRPr="00033B42" w:rsidRDefault="00983BB0" w:rsidP="00983BB0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Total flavonoids</w:t>
            </w:r>
          </w:p>
          <w:p w14:paraId="065FF55B" w14:textId="0F8697EF" w:rsidR="00983BB0" w:rsidRPr="00033B42" w:rsidRDefault="00983BB0" w:rsidP="00983BB0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(mg</w:t>
            </w:r>
            <w:r w:rsidRPr="00033B42">
              <w:rPr>
                <w:sz w:val="16"/>
                <w:szCs w:val="16"/>
                <w:lang w:val="en-GB"/>
              </w:rPr>
              <w:t>/</w:t>
            </w:r>
            <w:r w:rsidRPr="00033B42">
              <w:rPr>
                <w:sz w:val="16"/>
                <w:szCs w:val="16"/>
              </w:rPr>
              <w:t>L catechin)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B5EBE" w14:textId="67694248" w:rsidR="00983BB0" w:rsidRPr="00033B42" w:rsidRDefault="00983BB0" w:rsidP="00983BB0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Antioxidant activity</w:t>
            </w:r>
          </w:p>
          <w:p w14:paraId="415E751E" w14:textId="5B2C1F9B" w:rsidR="00983BB0" w:rsidRPr="00033B42" w:rsidRDefault="00983BB0" w:rsidP="00983BB0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(mM Trolox</w:t>
            </w:r>
            <w:r w:rsidRPr="00033B42">
              <w:rPr>
                <w:sz w:val="16"/>
                <w:szCs w:val="16"/>
                <w:lang w:val="en-GB"/>
              </w:rPr>
              <w:t>/L)</w:t>
            </w:r>
          </w:p>
        </w:tc>
      </w:tr>
      <w:tr w:rsidR="00983BB0" w:rsidRPr="00C5470C" w14:paraId="3C53A0D1" w14:textId="77777777" w:rsidTr="00414CE1">
        <w:trPr>
          <w:trHeight w:val="12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5EECDC" w14:textId="52D8F10D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Manual press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B195C7" w14:textId="1AEA6299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3.25-3.43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77CBD5AC" w14:textId="264A3D4E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4.68-6.69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61D11447" w14:textId="6B11C434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0.36-0.72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5E8A152E" w14:textId="03461C2E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492-771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01A06995" w14:textId="48D1AD6B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4</w:t>
            </w:r>
            <w:r w:rsidR="00A64457">
              <w:rPr>
                <w:color w:val="000000"/>
                <w:sz w:val="16"/>
                <w:szCs w:val="16"/>
              </w:rPr>
              <w:t>6</w:t>
            </w:r>
            <w:r w:rsidRPr="00033B42">
              <w:rPr>
                <w:color w:val="000000"/>
                <w:sz w:val="16"/>
                <w:szCs w:val="16"/>
              </w:rPr>
              <w:t>-235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461F5D85" w14:textId="1EEBFCAD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2.26-3.65</w:t>
            </w:r>
          </w:p>
        </w:tc>
      </w:tr>
      <w:tr w:rsidR="00983BB0" w:rsidRPr="00C5470C" w14:paraId="1C412586" w14:textId="77777777" w:rsidTr="00414CE1">
        <w:trPr>
          <w:trHeight w:val="137"/>
        </w:trPr>
        <w:tc>
          <w:tcPr>
            <w:tcW w:w="1701" w:type="dxa"/>
            <w:vAlign w:val="center"/>
          </w:tcPr>
          <w:p w14:paraId="6F4D422C" w14:textId="09B70F44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Juicer press</w:t>
            </w:r>
          </w:p>
        </w:tc>
        <w:tc>
          <w:tcPr>
            <w:tcW w:w="851" w:type="dxa"/>
            <w:vAlign w:val="center"/>
          </w:tcPr>
          <w:p w14:paraId="01F0806F" w14:textId="77777777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3.24-3.57</w:t>
            </w:r>
          </w:p>
        </w:tc>
        <w:tc>
          <w:tcPr>
            <w:tcW w:w="1462" w:type="dxa"/>
            <w:vAlign w:val="center"/>
          </w:tcPr>
          <w:p w14:paraId="027BCBEA" w14:textId="202A6ABB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4.80-6.96</w:t>
            </w:r>
          </w:p>
        </w:tc>
        <w:tc>
          <w:tcPr>
            <w:tcW w:w="1024" w:type="dxa"/>
            <w:vAlign w:val="center"/>
          </w:tcPr>
          <w:p w14:paraId="624A7C37" w14:textId="77777777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0.98-2.47</w:t>
            </w:r>
          </w:p>
        </w:tc>
        <w:tc>
          <w:tcPr>
            <w:tcW w:w="1510" w:type="dxa"/>
            <w:vAlign w:val="center"/>
          </w:tcPr>
          <w:p w14:paraId="38112304" w14:textId="33B3CC48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915-2169</w:t>
            </w:r>
          </w:p>
        </w:tc>
        <w:tc>
          <w:tcPr>
            <w:tcW w:w="1237" w:type="dxa"/>
            <w:vAlign w:val="center"/>
          </w:tcPr>
          <w:p w14:paraId="352B4A4F" w14:textId="68242B5F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188-620</w:t>
            </w:r>
          </w:p>
        </w:tc>
        <w:tc>
          <w:tcPr>
            <w:tcW w:w="1237" w:type="dxa"/>
            <w:vAlign w:val="center"/>
          </w:tcPr>
          <w:p w14:paraId="1F305532" w14:textId="39C00C1B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5.83-15.0</w:t>
            </w:r>
          </w:p>
        </w:tc>
      </w:tr>
      <w:tr w:rsidR="00983BB0" w:rsidRPr="00C5470C" w14:paraId="49B4E666" w14:textId="77777777" w:rsidTr="00414CE1">
        <w:trPr>
          <w:trHeight w:val="121"/>
        </w:trPr>
        <w:tc>
          <w:tcPr>
            <w:tcW w:w="1701" w:type="dxa"/>
            <w:vAlign w:val="center"/>
          </w:tcPr>
          <w:p w14:paraId="0A494EAA" w14:textId="27D03231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Vacuum press</w:t>
            </w:r>
          </w:p>
        </w:tc>
        <w:tc>
          <w:tcPr>
            <w:tcW w:w="851" w:type="dxa"/>
            <w:vAlign w:val="center"/>
          </w:tcPr>
          <w:p w14:paraId="395B8016" w14:textId="77777777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3.27-3.55</w:t>
            </w:r>
          </w:p>
        </w:tc>
        <w:tc>
          <w:tcPr>
            <w:tcW w:w="1462" w:type="dxa"/>
            <w:vAlign w:val="center"/>
          </w:tcPr>
          <w:p w14:paraId="064DABE7" w14:textId="642045D0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4.88-6.95</w:t>
            </w:r>
          </w:p>
        </w:tc>
        <w:tc>
          <w:tcPr>
            <w:tcW w:w="1024" w:type="dxa"/>
            <w:vAlign w:val="center"/>
          </w:tcPr>
          <w:p w14:paraId="6CC88393" w14:textId="7617C5BB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0.40-0.70</w:t>
            </w:r>
          </w:p>
        </w:tc>
        <w:tc>
          <w:tcPr>
            <w:tcW w:w="1510" w:type="dxa"/>
            <w:vAlign w:val="center"/>
          </w:tcPr>
          <w:p w14:paraId="3358FEF6" w14:textId="13B0A926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366-971</w:t>
            </w:r>
          </w:p>
        </w:tc>
        <w:tc>
          <w:tcPr>
            <w:tcW w:w="1237" w:type="dxa"/>
            <w:vAlign w:val="center"/>
          </w:tcPr>
          <w:p w14:paraId="091EB420" w14:textId="4EA0DB0A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140-343</w:t>
            </w:r>
          </w:p>
        </w:tc>
        <w:tc>
          <w:tcPr>
            <w:tcW w:w="1237" w:type="dxa"/>
            <w:vAlign w:val="center"/>
          </w:tcPr>
          <w:p w14:paraId="397B4939" w14:textId="087BDD01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3.21-3.96</w:t>
            </w:r>
          </w:p>
        </w:tc>
      </w:tr>
      <w:tr w:rsidR="00983BB0" w:rsidRPr="00C5470C" w14:paraId="144E11F7" w14:textId="77777777" w:rsidTr="00414CE1">
        <w:trPr>
          <w:trHeight w:val="127"/>
        </w:trPr>
        <w:tc>
          <w:tcPr>
            <w:tcW w:w="1701" w:type="dxa"/>
            <w:vAlign w:val="center"/>
          </w:tcPr>
          <w:p w14:paraId="3BF7B6F7" w14:textId="3450C934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Small screw press</w:t>
            </w:r>
          </w:p>
        </w:tc>
        <w:tc>
          <w:tcPr>
            <w:tcW w:w="851" w:type="dxa"/>
            <w:vAlign w:val="center"/>
          </w:tcPr>
          <w:p w14:paraId="2932E864" w14:textId="77777777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3.18-3.38</w:t>
            </w:r>
          </w:p>
        </w:tc>
        <w:tc>
          <w:tcPr>
            <w:tcW w:w="1462" w:type="dxa"/>
            <w:vAlign w:val="center"/>
          </w:tcPr>
          <w:p w14:paraId="210A02D2" w14:textId="464B2D90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4.88-6.91</w:t>
            </w:r>
          </w:p>
        </w:tc>
        <w:tc>
          <w:tcPr>
            <w:tcW w:w="1024" w:type="dxa"/>
            <w:vAlign w:val="center"/>
          </w:tcPr>
          <w:p w14:paraId="181AF880" w14:textId="5581C74D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0.40-0.60</w:t>
            </w:r>
          </w:p>
        </w:tc>
        <w:tc>
          <w:tcPr>
            <w:tcW w:w="1510" w:type="dxa"/>
            <w:vAlign w:val="center"/>
          </w:tcPr>
          <w:p w14:paraId="5F471EE1" w14:textId="7B55C9C1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155-342</w:t>
            </w:r>
          </w:p>
        </w:tc>
        <w:tc>
          <w:tcPr>
            <w:tcW w:w="1237" w:type="dxa"/>
            <w:vAlign w:val="center"/>
          </w:tcPr>
          <w:p w14:paraId="2C55EAD0" w14:textId="0BFFEE52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38-129</w:t>
            </w:r>
          </w:p>
        </w:tc>
        <w:tc>
          <w:tcPr>
            <w:tcW w:w="1237" w:type="dxa"/>
            <w:vAlign w:val="center"/>
          </w:tcPr>
          <w:p w14:paraId="1B472B1F" w14:textId="55CAC007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1.96-3.69</w:t>
            </w:r>
          </w:p>
        </w:tc>
      </w:tr>
      <w:tr w:rsidR="00983BB0" w:rsidRPr="000355D7" w14:paraId="4ED23787" w14:textId="77777777" w:rsidTr="00414CE1">
        <w:trPr>
          <w:trHeight w:val="1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13F212" w14:textId="57C928E0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Homogeniz</w:t>
            </w:r>
            <w:r w:rsidR="009D248B">
              <w:rPr>
                <w:sz w:val="16"/>
                <w:szCs w:val="16"/>
              </w:rPr>
              <w:t>ed sample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3A5F01" w14:textId="77777777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3.34-3.56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345B6143" w14:textId="2ABDF772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30AF0E26" w14:textId="55041193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0.54-1.28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185C25C0" w14:textId="2529DEBC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629-2195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54206255" w14:textId="7466718A" w:rsidR="00983BB0" w:rsidRPr="00033B42" w:rsidRDefault="00983BB0" w:rsidP="00983BB0">
            <w:pPr>
              <w:jc w:val="center"/>
              <w:rPr>
                <w:color w:val="000000"/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216-800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56B73DFF" w14:textId="4A81F7AE" w:rsidR="00983BB0" w:rsidRPr="00033B42" w:rsidRDefault="00983BB0" w:rsidP="00983BB0">
            <w:pPr>
              <w:jc w:val="center"/>
              <w:rPr>
                <w:sz w:val="16"/>
                <w:szCs w:val="16"/>
              </w:rPr>
            </w:pPr>
            <w:r w:rsidRPr="00033B42">
              <w:rPr>
                <w:color w:val="000000"/>
                <w:sz w:val="16"/>
                <w:szCs w:val="16"/>
              </w:rPr>
              <w:t>7.16-12.0</w:t>
            </w:r>
          </w:p>
        </w:tc>
      </w:tr>
    </w:tbl>
    <w:bookmarkEnd w:id="1"/>
    <w:p w14:paraId="6083D575" w14:textId="75D1DC12" w:rsidR="003016DA" w:rsidRPr="00265250" w:rsidRDefault="00FB589C" w:rsidP="003016DA">
      <w:pPr>
        <w:pStyle w:val="Titre2"/>
        <w:spacing w:before="120"/>
        <w:jc w:val="both"/>
        <w:rPr>
          <w:b/>
          <w:bCs/>
          <w:sz w:val="20"/>
          <w:lang w:val="en-GB"/>
        </w:rPr>
      </w:pPr>
      <w:r w:rsidRPr="00465AEA">
        <w:rPr>
          <w:b/>
          <w:bCs/>
          <w:sz w:val="20"/>
          <w:lang w:val="en-GB"/>
        </w:rPr>
        <w:t xml:space="preserve">3.2 </w:t>
      </w:r>
      <w:r w:rsidR="004151FE" w:rsidRPr="00465AEA">
        <w:rPr>
          <w:b/>
          <w:bCs/>
          <w:sz w:val="20"/>
          <w:lang w:val="en-GB"/>
        </w:rPr>
        <w:t>Industrial</w:t>
      </w:r>
      <w:r w:rsidR="00AB15A0" w:rsidRPr="00465AEA">
        <w:rPr>
          <w:b/>
          <w:bCs/>
          <w:sz w:val="20"/>
          <w:lang w:val="en-GB"/>
        </w:rPr>
        <w:t xml:space="preserve"> scale</w:t>
      </w:r>
      <w:r w:rsidR="007F0152" w:rsidRPr="00465AEA">
        <w:rPr>
          <w:b/>
          <w:bCs/>
          <w:sz w:val="20"/>
          <w:lang w:val="en-GB"/>
        </w:rPr>
        <w:t xml:space="preserve"> </w:t>
      </w:r>
      <w:r w:rsidR="00703761">
        <w:rPr>
          <w:b/>
          <w:bCs/>
          <w:sz w:val="20"/>
          <w:lang w:val="en-GB"/>
        </w:rPr>
        <w:t>pressing</w:t>
      </w:r>
      <w:r w:rsidR="00B073FD">
        <w:rPr>
          <w:b/>
          <w:bCs/>
          <w:sz w:val="20"/>
          <w:lang w:val="en-GB"/>
        </w:rPr>
        <w:t xml:space="preserve"> (A2.1)</w:t>
      </w:r>
    </w:p>
    <w:p w14:paraId="40272392" w14:textId="0D4F4F0F" w:rsidR="0089360A" w:rsidRPr="00862C41" w:rsidRDefault="00862C41" w:rsidP="00BB0A05">
      <w:pPr>
        <w:jc w:val="both"/>
        <w:rPr>
          <w:szCs w:val="16"/>
          <w:lang w:val="en-GB"/>
        </w:rPr>
      </w:pPr>
      <w:bookmarkStart w:id="2" w:name="_Hlk137135658"/>
      <w:r>
        <w:rPr>
          <w:szCs w:val="16"/>
          <w:lang w:val="en-GB"/>
        </w:rPr>
        <w:t xml:space="preserve">The impact of </w:t>
      </w:r>
      <w:r w:rsidR="00E259A9" w:rsidRPr="00862C41">
        <w:rPr>
          <w:lang w:val="en-GB"/>
        </w:rPr>
        <w:t xml:space="preserve">pressing </w:t>
      </w:r>
      <w:r w:rsidR="008A2FCF" w:rsidRPr="002E4BCE">
        <w:rPr>
          <w:lang w:val="en-US"/>
        </w:rPr>
        <w:t xml:space="preserve">conditions </w:t>
      </w:r>
      <w:r w:rsidR="00E259A9" w:rsidRPr="00862C41">
        <w:rPr>
          <w:lang w:val="en-GB"/>
        </w:rPr>
        <w:t>on must composition</w:t>
      </w:r>
      <w:r w:rsidR="001F31BD" w:rsidRPr="00862C41">
        <w:rPr>
          <w:lang w:val="en-GB"/>
        </w:rPr>
        <w:t xml:space="preserve"> was investigated by evaluating the chemical parameters </w:t>
      </w:r>
      <w:r>
        <w:rPr>
          <w:szCs w:val="16"/>
          <w:lang w:val="en-GB"/>
        </w:rPr>
        <w:t>in must</w:t>
      </w:r>
      <w:r w:rsidR="002C4047">
        <w:rPr>
          <w:szCs w:val="16"/>
          <w:lang w:val="en-GB"/>
        </w:rPr>
        <w:t>s</w:t>
      </w:r>
      <w:r>
        <w:rPr>
          <w:szCs w:val="16"/>
          <w:lang w:val="en-GB"/>
        </w:rPr>
        <w:t xml:space="preserve"> collected at</w:t>
      </w:r>
      <w:r>
        <w:rPr>
          <w:lang w:val="en-GB"/>
        </w:rPr>
        <w:t xml:space="preserve"> </w:t>
      </w:r>
      <w:r w:rsidR="00E259A9" w:rsidRPr="00862C41">
        <w:rPr>
          <w:lang w:val="en-GB"/>
        </w:rPr>
        <w:t xml:space="preserve">different extraction </w:t>
      </w:r>
      <w:r w:rsidR="001F31BD" w:rsidRPr="00862C41">
        <w:rPr>
          <w:lang w:val="en-GB"/>
        </w:rPr>
        <w:t>yields.</w:t>
      </w:r>
      <w:r w:rsidR="00E259A9" w:rsidRPr="00862C41">
        <w:rPr>
          <w:lang w:val="en-GB"/>
        </w:rPr>
        <w:t xml:space="preserve"> </w:t>
      </w:r>
      <w:bookmarkStart w:id="3" w:name="_Hlk137134067"/>
      <w:bookmarkEnd w:id="2"/>
      <w:r w:rsidR="001F31BD" w:rsidRPr="00862C41">
        <w:rPr>
          <w:szCs w:val="16"/>
          <w:lang w:val="en-GB"/>
        </w:rPr>
        <w:t>T</w:t>
      </w:r>
      <w:r w:rsidR="00E259A9" w:rsidRPr="00862C41">
        <w:rPr>
          <w:szCs w:val="16"/>
          <w:lang w:val="en-GB"/>
        </w:rPr>
        <w:t xml:space="preserve">he content of the phenol-related indexes, NTU, pH, and </w:t>
      </w:r>
      <w:r w:rsidR="008A2FCF" w:rsidRPr="002E4BCE">
        <w:rPr>
          <w:szCs w:val="16"/>
          <w:lang w:val="ka-GE"/>
        </w:rPr>
        <w:t xml:space="preserve">the </w:t>
      </w:r>
      <w:proofErr w:type="spellStart"/>
      <w:r w:rsidR="008A2FCF" w:rsidRPr="00862C41">
        <w:rPr>
          <w:szCs w:val="16"/>
          <w:lang w:val="en-GB"/>
        </w:rPr>
        <w:t>color</w:t>
      </w:r>
      <w:proofErr w:type="spellEnd"/>
      <w:r w:rsidR="00E259A9" w:rsidRPr="00862C41">
        <w:rPr>
          <w:szCs w:val="16"/>
          <w:lang w:val="en-GB"/>
        </w:rPr>
        <w:t xml:space="preserve"> index</w:t>
      </w:r>
      <w:r w:rsidR="001F31BD" w:rsidRPr="00862C41">
        <w:rPr>
          <w:szCs w:val="16"/>
          <w:lang w:val="en-GB"/>
        </w:rPr>
        <w:t xml:space="preserve"> </w:t>
      </w:r>
      <w:r>
        <w:rPr>
          <w:szCs w:val="16"/>
          <w:lang w:val="en-GB"/>
        </w:rPr>
        <w:t>increased</w:t>
      </w:r>
      <w:r w:rsidR="001F31BD" w:rsidRPr="00862C41">
        <w:rPr>
          <w:szCs w:val="16"/>
          <w:lang w:val="en-GB"/>
        </w:rPr>
        <w:t xml:space="preserve"> at higher extraction yields</w:t>
      </w:r>
      <w:r>
        <w:rPr>
          <w:szCs w:val="16"/>
          <w:lang w:val="en-GB"/>
        </w:rPr>
        <w:t xml:space="preserve">, while TA decreased </w:t>
      </w:r>
      <w:r w:rsidRPr="00862C41">
        <w:rPr>
          <w:lang w:val="en-GB"/>
        </w:rPr>
        <w:t>(Table 2)</w:t>
      </w:r>
      <w:r w:rsidR="001F31BD" w:rsidRPr="00862C41">
        <w:rPr>
          <w:szCs w:val="16"/>
          <w:lang w:val="en-GB"/>
        </w:rPr>
        <w:t xml:space="preserve">. </w:t>
      </w:r>
      <w:bookmarkEnd w:id="3"/>
      <w:r>
        <w:rPr>
          <w:szCs w:val="16"/>
          <w:lang w:val="en-GB"/>
        </w:rPr>
        <w:t>F</w:t>
      </w:r>
      <w:r w:rsidR="00BB760B" w:rsidRPr="00862C41">
        <w:rPr>
          <w:szCs w:val="16"/>
          <w:lang w:val="en-GB"/>
        </w:rPr>
        <w:t>or most of the samples, RAN were lower for increased extraction yields</w:t>
      </w:r>
      <w:r>
        <w:rPr>
          <w:szCs w:val="16"/>
          <w:lang w:val="en-GB"/>
        </w:rPr>
        <w:t xml:space="preserve"> and</w:t>
      </w:r>
      <w:r w:rsidR="00D00738" w:rsidRPr="002E4BCE">
        <w:rPr>
          <w:lang w:val="en-GB"/>
        </w:rPr>
        <w:t xml:space="preserve"> PPO seemed </w:t>
      </w:r>
      <w:r>
        <w:rPr>
          <w:lang w:val="en-GB"/>
        </w:rPr>
        <w:t xml:space="preserve">to be </w:t>
      </w:r>
      <w:r w:rsidR="00D00738" w:rsidRPr="002E4BCE">
        <w:rPr>
          <w:szCs w:val="16"/>
          <w:lang w:val="en-GB"/>
        </w:rPr>
        <w:t xml:space="preserve">unaffected by the </w:t>
      </w:r>
      <w:r>
        <w:rPr>
          <w:szCs w:val="16"/>
          <w:lang w:val="en-GB"/>
        </w:rPr>
        <w:t>must extraction</w:t>
      </w:r>
      <w:r w:rsidRPr="002E4BCE">
        <w:rPr>
          <w:szCs w:val="16"/>
          <w:lang w:val="en-GB"/>
        </w:rPr>
        <w:t xml:space="preserve"> </w:t>
      </w:r>
      <w:r w:rsidR="00D00738" w:rsidRPr="002E4BCE">
        <w:rPr>
          <w:szCs w:val="16"/>
          <w:lang w:val="en-GB"/>
        </w:rPr>
        <w:t>yield</w:t>
      </w:r>
      <w:r w:rsidR="002C4047">
        <w:rPr>
          <w:szCs w:val="16"/>
          <w:lang w:val="en-GB"/>
        </w:rPr>
        <w:t xml:space="preserve"> (data not sho</w:t>
      </w:r>
      <w:r w:rsidR="007849CF">
        <w:rPr>
          <w:szCs w:val="16"/>
          <w:lang w:val="en-GB"/>
        </w:rPr>
        <w:t>wn</w:t>
      </w:r>
      <w:r w:rsidR="002C4047">
        <w:rPr>
          <w:szCs w:val="16"/>
          <w:lang w:val="en-GB"/>
        </w:rPr>
        <w:t>)</w:t>
      </w:r>
      <w:r w:rsidR="00D00738" w:rsidRPr="002E4BCE">
        <w:rPr>
          <w:szCs w:val="16"/>
          <w:lang w:val="en-GB"/>
        </w:rPr>
        <w:t>.</w:t>
      </w:r>
      <w:r w:rsidR="001F31BD" w:rsidRPr="00862C41">
        <w:rPr>
          <w:szCs w:val="16"/>
          <w:lang w:val="en-GB"/>
        </w:rPr>
        <w:t xml:space="preserve"> </w:t>
      </w:r>
      <w:r w:rsidR="00963E63" w:rsidRPr="00862C41">
        <w:rPr>
          <w:szCs w:val="16"/>
          <w:lang w:val="en-GB"/>
        </w:rPr>
        <w:t>These results</w:t>
      </w:r>
      <w:r w:rsidR="002C4047">
        <w:rPr>
          <w:szCs w:val="16"/>
          <w:lang w:val="en-GB"/>
        </w:rPr>
        <w:t xml:space="preserve"> can</w:t>
      </w:r>
      <w:r w:rsidR="00963E63" w:rsidRPr="00862C41">
        <w:rPr>
          <w:szCs w:val="16"/>
          <w:lang w:val="en-GB"/>
        </w:rPr>
        <w:t xml:space="preserve"> indicate </w:t>
      </w:r>
      <w:r w:rsidR="001331B8">
        <w:rPr>
          <w:szCs w:val="16"/>
          <w:lang w:val="en-GB"/>
        </w:rPr>
        <w:t>a</w:t>
      </w:r>
      <w:r w:rsidR="001331B8" w:rsidRPr="00862C41">
        <w:rPr>
          <w:szCs w:val="16"/>
          <w:lang w:val="en-GB"/>
        </w:rPr>
        <w:t xml:space="preserve"> </w:t>
      </w:r>
      <w:r w:rsidR="00C623A7" w:rsidRPr="00862C41">
        <w:rPr>
          <w:szCs w:val="16"/>
          <w:lang w:val="en-GB"/>
        </w:rPr>
        <w:t xml:space="preserve">relevant </w:t>
      </w:r>
      <w:r w:rsidR="0089360A" w:rsidRPr="00862C41">
        <w:rPr>
          <w:lang w:val="en-GB"/>
        </w:rPr>
        <w:t xml:space="preserve">relationship </w:t>
      </w:r>
      <w:r w:rsidR="002C4047">
        <w:rPr>
          <w:lang w:val="en-GB"/>
        </w:rPr>
        <w:t>exists</w:t>
      </w:r>
      <w:r w:rsidR="002C4047" w:rsidRPr="00862C41">
        <w:rPr>
          <w:lang w:val="en-GB"/>
        </w:rPr>
        <w:t xml:space="preserve"> </w:t>
      </w:r>
      <w:r w:rsidR="0089360A" w:rsidRPr="00862C41">
        <w:rPr>
          <w:lang w:val="en-GB"/>
        </w:rPr>
        <w:t>between the</w:t>
      </w:r>
      <w:r w:rsidR="00F12202" w:rsidRPr="00862C41">
        <w:rPr>
          <w:lang w:val="en-GB"/>
        </w:rPr>
        <w:t xml:space="preserve"> different</w:t>
      </w:r>
      <w:r w:rsidR="0089360A" w:rsidRPr="00862C41">
        <w:rPr>
          <w:lang w:val="en-GB"/>
        </w:rPr>
        <w:t xml:space="preserve"> pressing </w:t>
      </w:r>
      <w:r w:rsidR="00F12202" w:rsidRPr="00862C41">
        <w:rPr>
          <w:lang w:val="en-GB"/>
        </w:rPr>
        <w:t xml:space="preserve">conditions </w:t>
      </w:r>
      <w:r w:rsidR="001331B8">
        <w:rPr>
          <w:lang w:val="en-GB"/>
        </w:rPr>
        <w:t>and</w:t>
      </w:r>
      <w:r w:rsidR="001331B8" w:rsidRPr="00862C41">
        <w:rPr>
          <w:lang w:val="en-GB"/>
        </w:rPr>
        <w:t xml:space="preserve"> </w:t>
      </w:r>
      <w:r w:rsidR="0089360A" w:rsidRPr="00862C41">
        <w:rPr>
          <w:lang w:val="en-GB"/>
        </w:rPr>
        <w:t>must characteristics</w:t>
      </w:r>
      <w:r w:rsidR="001331B8">
        <w:rPr>
          <w:lang w:val="en-GB"/>
        </w:rPr>
        <w:t>.</w:t>
      </w:r>
      <w:r w:rsidR="004A20FF">
        <w:rPr>
          <w:lang w:val="en-GB"/>
        </w:rPr>
        <w:t xml:space="preserve"> </w:t>
      </w:r>
      <w:r w:rsidR="001331B8">
        <w:rPr>
          <w:lang w:val="en-GB"/>
        </w:rPr>
        <w:t>The</w:t>
      </w:r>
      <w:r w:rsidR="00540205" w:rsidRPr="00862C41">
        <w:rPr>
          <w:lang w:val="en-GB"/>
        </w:rPr>
        <w:t xml:space="preserve"> </w:t>
      </w:r>
      <w:r w:rsidR="0089360A" w:rsidRPr="00862C41">
        <w:rPr>
          <w:lang w:val="en-GB"/>
        </w:rPr>
        <w:t xml:space="preserve">phenol-related indexes </w:t>
      </w:r>
      <w:r w:rsidR="001331B8" w:rsidRPr="00862C41">
        <w:rPr>
          <w:lang w:val="en-GB"/>
        </w:rPr>
        <w:t xml:space="preserve">should be considered </w:t>
      </w:r>
      <w:r w:rsidR="00F12202" w:rsidRPr="00862C41">
        <w:rPr>
          <w:lang w:val="en-GB"/>
        </w:rPr>
        <w:t xml:space="preserve">in addition </w:t>
      </w:r>
      <w:r w:rsidR="008A2FCF" w:rsidRPr="002E4BCE">
        <w:rPr>
          <w:lang w:val="ka-GE"/>
        </w:rPr>
        <w:t>to</w:t>
      </w:r>
      <w:r w:rsidR="008A2FCF" w:rsidRPr="00862C41">
        <w:rPr>
          <w:lang w:val="en-GB"/>
        </w:rPr>
        <w:t xml:space="preserve"> </w:t>
      </w:r>
      <w:r w:rsidR="00F12202" w:rsidRPr="00862C41">
        <w:rPr>
          <w:lang w:val="en-GB"/>
        </w:rPr>
        <w:t xml:space="preserve">chemical parameters </w:t>
      </w:r>
      <w:r w:rsidR="0089360A" w:rsidRPr="00862C41">
        <w:rPr>
          <w:lang w:val="en-GB"/>
        </w:rPr>
        <w:t xml:space="preserve">to </w:t>
      </w:r>
      <w:r w:rsidR="001331B8">
        <w:rPr>
          <w:lang w:val="en-GB"/>
        </w:rPr>
        <w:t>make the proper decision of the pressing condition be</w:t>
      </w:r>
      <w:r w:rsidR="002C4047">
        <w:rPr>
          <w:lang w:val="en-GB"/>
        </w:rPr>
        <w:t>ing</w:t>
      </w:r>
      <w:r w:rsidR="001331B8">
        <w:rPr>
          <w:lang w:val="en-GB"/>
        </w:rPr>
        <w:t xml:space="preserve"> adopted </w:t>
      </w:r>
      <w:r w:rsidR="002C4047">
        <w:rPr>
          <w:lang w:val="en-GB"/>
        </w:rPr>
        <w:t xml:space="preserve">related </w:t>
      </w:r>
      <w:r w:rsidR="001331B8">
        <w:rPr>
          <w:lang w:val="en-GB"/>
        </w:rPr>
        <w:t>to the specific characteristics of grape, as well</w:t>
      </w:r>
      <w:r w:rsidR="0089360A" w:rsidRPr="00862C41">
        <w:rPr>
          <w:lang w:val="en-GB"/>
        </w:rPr>
        <w:t>.</w:t>
      </w:r>
    </w:p>
    <w:p w14:paraId="5D0CC439" w14:textId="064A36C3" w:rsidR="00B611D0" w:rsidRDefault="00B611D0" w:rsidP="00B611D0">
      <w:pPr>
        <w:spacing w:before="300" w:after="120"/>
        <w:jc w:val="both"/>
        <w:rPr>
          <w:i/>
          <w:iCs/>
          <w:sz w:val="18"/>
          <w:szCs w:val="18"/>
          <w:lang w:val="en-GB"/>
        </w:rPr>
      </w:pPr>
      <w:r w:rsidRPr="00B611D0">
        <w:rPr>
          <w:b/>
          <w:bCs/>
          <w:i/>
          <w:iCs/>
          <w:sz w:val="18"/>
          <w:szCs w:val="18"/>
          <w:lang w:val="en-GB"/>
        </w:rPr>
        <w:t>Table 2</w:t>
      </w:r>
      <w:r w:rsidRPr="0007792A">
        <w:rPr>
          <w:b/>
          <w:bCs/>
          <w:i/>
          <w:iCs/>
          <w:sz w:val="18"/>
          <w:szCs w:val="18"/>
          <w:lang w:val="en-GB"/>
        </w:rPr>
        <w:t xml:space="preserve"> </w:t>
      </w:r>
      <w:r w:rsidRPr="00B611D0">
        <w:rPr>
          <w:i/>
          <w:iCs/>
          <w:sz w:val="18"/>
          <w:szCs w:val="18"/>
          <w:lang w:val="en-GB"/>
        </w:rPr>
        <w:t>Chemical parameters of industrial-scale</w:t>
      </w:r>
      <w:r w:rsidR="00CB3876">
        <w:rPr>
          <w:i/>
          <w:iCs/>
          <w:sz w:val="18"/>
          <w:szCs w:val="18"/>
          <w:lang w:val="en-GB"/>
        </w:rPr>
        <w:t xml:space="preserve"> must</w:t>
      </w:r>
      <w:r w:rsidRPr="00B611D0">
        <w:rPr>
          <w:i/>
          <w:iCs/>
          <w:sz w:val="18"/>
          <w:szCs w:val="18"/>
          <w:lang w:val="en-GB"/>
        </w:rPr>
        <w:t xml:space="preserve"> samples</w:t>
      </w:r>
    </w:p>
    <w:tbl>
      <w:tblPr>
        <w:tblStyle w:val="Grilledetableauclaire"/>
        <w:tblW w:w="90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066"/>
        <w:gridCol w:w="1377"/>
        <w:gridCol w:w="1022"/>
        <w:gridCol w:w="1380"/>
        <w:gridCol w:w="1399"/>
        <w:gridCol w:w="1235"/>
      </w:tblGrid>
      <w:tr w:rsidR="002B3C3F" w:rsidRPr="00531007" w14:paraId="496AF8A9" w14:textId="77777777" w:rsidTr="00414CE1">
        <w:trPr>
          <w:trHeight w:val="481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A67FB" w14:textId="77777777" w:rsidR="002B3C3F" w:rsidRPr="00033B42" w:rsidRDefault="002B3C3F" w:rsidP="00414CE1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Samples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C733" w14:textId="77777777" w:rsidR="002B3C3F" w:rsidRPr="00033B42" w:rsidRDefault="002B3C3F" w:rsidP="00414CE1">
            <w:pPr>
              <w:jc w:val="center"/>
              <w:rPr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C027" w14:textId="77777777" w:rsidR="002B3C3F" w:rsidRPr="00033B42" w:rsidRDefault="002B3C3F" w:rsidP="00414C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33B42">
              <w:rPr>
                <w:b/>
                <w:bCs/>
                <w:sz w:val="16"/>
                <w:szCs w:val="16"/>
              </w:rPr>
              <w:t>Titrable</w:t>
            </w:r>
            <w:proofErr w:type="spellEnd"/>
            <w:r w:rsidRPr="00033B4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033B42">
              <w:rPr>
                <w:b/>
                <w:bCs/>
                <w:sz w:val="16"/>
                <w:szCs w:val="16"/>
              </w:rPr>
              <w:t>cidity</w:t>
            </w:r>
          </w:p>
          <w:p w14:paraId="27515CBB" w14:textId="77777777" w:rsidR="002B3C3F" w:rsidRPr="00033B42" w:rsidRDefault="002B3C3F" w:rsidP="00414CE1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  <w:lang w:val="en-GB"/>
              </w:rPr>
              <w:t>(g/L of tartaric acid)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F2D20" w14:textId="77777777" w:rsidR="002B3C3F" w:rsidRPr="00033B42" w:rsidRDefault="002B3C3F" w:rsidP="00414CE1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Color</w:t>
            </w:r>
          </w:p>
          <w:p w14:paraId="19531180" w14:textId="77777777" w:rsidR="002B3C3F" w:rsidRPr="00033B42" w:rsidRDefault="002B3C3F" w:rsidP="00414CE1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(AU 420 nm)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0C21" w14:textId="77777777" w:rsidR="002B3C3F" w:rsidRPr="00033B42" w:rsidRDefault="002B3C3F" w:rsidP="00414CE1">
            <w:pPr>
              <w:jc w:val="center"/>
              <w:rPr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Total phenol index</w:t>
            </w:r>
          </w:p>
          <w:p w14:paraId="15852369" w14:textId="77777777" w:rsidR="002B3C3F" w:rsidRPr="00033B42" w:rsidRDefault="002B3C3F" w:rsidP="00414CE1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(mg/L gallic acid)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C2952" w14:textId="77777777" w:rsidR="002B3C3F" w:rsidRPr="00033B42" w:rsidRDefault="002B3C3F" w:rsidP="00414CE1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Total flavonoids</w:t>
            </w:r>
          </w:p>
          <w:p w14:paraId="7AB9EEC6" w14:textId="77777777" w:rsidR="002B3C3F" w:rsidRPr="00033B42" w:rsidRDefault="002B3C3F" w:rsidP="00414CE1">
            <w:pPr>
              <w:jc w:val="center"/>
              <w:rPr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(mg</w:t>
            </w:r>
            <w:r w:rsidRPr="00033B42">
              <w:rPr>
                <w:sz w:val="16"/>
                <w:szCs w:val="16"/>
                <w:lang w:val="en-GB"/>
              </w:rPr>
              <w:t>/</w:t>
            </w:r>
            <w:r w:rsidRPr="00033B42">
              <w:rPr>
                <w:sz w:val="16"/>
                <w:szCs w:val="16"/>
              </w:rPr>
              <w:t>L catechin)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A26C7" w14:textId="77777777" w:rsidR="002B3C3F" w:rsidRPr="00033B42" w:rsidRDefault="002B3C3F" w:rsidP="00414CE1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b/>
                <w:bCs/>
                <w:sz w:val="16"/>
                <w:szCs w:val="16"/>
              </w:rPr>
              <w:t>Antioxidant activity</w:t>
            </w:r>
          </w:p>
          <w:p w14:paraId="027E7C16" w14:textId="77777777" w:rsidR="002B3C3F" w:rsidRPr="00033B42" w:rsidRDefault="002B3C3F" w:rsidP="00414CE1">
            <w:pPr>
              <w:jc w:val="center"/>
              <w:rPr>
                <w:b/>
                <w:bCs/>
                <w:sz w:val="16"/>
                <w:szCs w:val="16"/>
              </w:rPr>
            </w:pPr>
            <w:r w:rsidRPr="00033B42">
              <w:rPr>
                <w:sz w:val="16"/>
                <w:szCs w:val="16"/>
              </w:rPr>
              <w:t>(mM Trolox</w:t>
            </w:r>
            <w:r w:rsidRPr="00033B42">
              <w:rPr>
                <w:sz w:val="16"/>
                <w:szCs w:val="16"/>
                <w:lang w:val="en-GB"/>
              </w:rPr>
              <w:t>/L)</w:t>
            </w:r>
          </w:p>
        </w:tc>
      </w:tr>
      <w:tr w:rsidR="002B3C3F" w:rsidRPr="00C5470C" w14:paraId="278F5B0F" w14:textId="77777777" w:rsidTr="00414CE1">
        <w:trPr>
          <w:trHeight w:val="127"/>
        </w:trPr>
        <w:tc>
          <w:tcPr>
            <w:tcW w:w="1539" w:type="dxa"/>
            <w:tcBorders>
              <w:top w:val="single" w:sz="4" w:space="0" w:color="auto"/>
            </w:tcBorders>
          </w:tcPr>
          <w:p w14:paraId="27D24CBB" w14:textId="77777777" w:rsidR="002B3C3F" w:rsidRPr="00F84622" w:rsidRDefault="002B3C3F" w:rsidP="00F54F54">
            <w:pPr>
              <w:jc w:val="center"/>
              <w:rPr>
                <w:sz w:val="16"/>
                <w:szCs w:val="16"/>
              </w:rPr>
            </w:pPr>
            <w:r w:rsidRPr="00D612A5">
              <w:rPr>
                <w:sz w:val="16"/>
                <w:szCs w:val="16"/>
              </w:rPr>
              <w:t>Free-run juice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9D66A8A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D00738">
              <w:rPr>
                <w:color w:val="000000"/>
                <w:sz w:val="16"/>
                <w:szCs w:val="16"/>
              </w:rPr>
              <w:t>2.64-3.46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41C20A59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4.9-6.9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4C13C67B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0.138-0.389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DB247D5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150-333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2B7A867B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32-106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1685D6D5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1.8-5.35</w:t>
            </w:r>
          </w:p>
        </w:tc>
      </w:tr>
      <w:tr w:rsidR="002B3C3F" w:rsidRPr="00C5470C" w14:paraId="49FA6702" w14:textId="77777777" w:rsidTr="00414CE1">
        <w:trPr>
          <w:trHeight w:val="144"/>
        </w:trPr>
        <w:tc>
          <w:tcPr>
            <w:tcW w:w="1539" w:type="dxa"/>
          </w:tcPr>
          <w:p w14:paraId="41A51256" w14:textId="77777777" w:rsidR="002B3C3F" w:rsidRPr="00F84622" w:rsidRDefault="002B3C3F" w:rsidP="00F54F54">
            <w:pPr>
              <w:jc w:val="center"/>
              <w:rPr>
                <w:sz w:val="16"/>
                <w:szCs w:val="16"/>
              </w:rPr>
            </w:pPr>
            <w:r w:rsidRPr="00D612A5">
              <w:rPr>
                <w:sz w:val="16"/>
                <w:szCs w:val="16"/>
              </w:rPr>
              <w:t>20 % yield</w:t>
            </w:r>
          </w:p>
        </w:tc>
        <w:tc>
          <w:tcPr>
            <w:tcW w:w="1066" w:type="dxa"/>
          </w:tcPr>
          <w:p w14:paraId="74BD3672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D00738">
              <w:rPr>
                <w:color w:val="000000"/>
                <w:sz w:val="16"/>
                <w:szCs w:val="16"/>
              </w:rPr>
              <w:t>3.21-3.51</w:t>
            </w:r>
          </w:p>
        </w:tc>
        <w:tc>
          <w:tcPr>
            <w:tcW w:w="1377" w:type="dxa"/>
          </w:tcPr>
          <w:p w14:paraId="19DE9F04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5.2-7.0</w:t>
            </w:r>
          </w:p>
        </w:tc>
        <w:tc>
          <w:tcPr>
            <w:tcW w:w="1022" w:type="dxa"/>
          </w:tcPr>
          <w:p w14:paraId="0C8709A3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0.214-0.490</w:t>
            </w:r>
          </w:p>
        </w:tc>
        <w:tc>
          <w:tcPr>
            <w:tcW w:w="1380" w:type="dxa"/>
          </w:tcPr>
          <w:p w14:paraId="338979FF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143-394</w:t>
            </w:r>
          </w:p>
        </w:tc>
        <w:tc>
          <w:tcPr>
            <w:tcW w:w="1399" w:type="dxa"/>
          </w:tcPr>
          <w:p w14:paraId="3C1A05ED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19-119</w:t>
            </w:r>
          </w:p>
        </w:tc>
        <w:tc>
          <w:tcPr>
            <w:tcW w:w="1235" w:type="dxa"/>
          </w:tcPr>
          <w:p w14:paraId="4D622A37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1.74-5.48</w:t>
            </w:r>
          </w:p>
        </w:tc>
      </w:tr>
      <w:tr w:rsidR="002B3C3F" w:rsidRPr="00C5470C" w14:paraId="56976A6B" w14:textId="77777777" w:rsidTr="00414CE1">
        <w:trPr>
          <w:trHeight w:val="127"/>
        </w:trPr>
        <w:tc>
          <w:tcPr>
            <w:tcW w:w="1539" w:type="dxa"/>
          </w:tcPr>
          <w:p w14:paraId="264E8834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D612A5">
              <w:rPr>
                <w:sz w:val="16"/>
                <w:szCs w:val="16"/>
              </w:rPr>
              <w:t>1</w:t>
            </w:r>
            <w:r w:rsidRPr="00F84622">
              <w:rPr>
                <w:sz w:val="16"/>
                <w:szCs w:val="16"/>
                <w:vertAlign w:val="superscript"/>
              </w:rPr>
              <w:t>st</w:t>
            </w:r>
            <w:r w:rsidRPr="00D00738">
              <w:rPr>
                <w:sz w:val="16"/>
                <w:szCs w:val="16"/>
              </w:rPr>
              <w:t xml:space="preserve"> fraction</w:t>
            </w:r>
          </w:p>
        </w:tc>
        <w:tc>
          <w:tcPr>
            <w:tcW w:w="1066" w:type="dxa"/>
          </w:tcPr>
          <w:p w14:paraId="2DCBE984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3.02-3.51</w:t>
            </w:r>
          </w:p>
        </w:tc>
        <w:tc>
          <w:tcPr>
            <w:tcW w:w="1377" w:type="dxa"/>
          </w:tcPr>
          <w:p w14:paraId="02CA3065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5.1-8.6</w:t>
            </w:r>
          </w:p>
        </w:tc>
        <w:tc>
          <w:tcPr>
            <w:tcW w:w="1022" w:type="dxa"/>
          </w:tcPr>
          <w:p w14:paraId="21AF3217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0.212-0.891</w:t>
            </w:r>
          </w:p>
        </w:tc>
        <w:tc>
          <w:tcPr>
            <w:tcW w:w="1380" w:type="dxa"/>
          </w:tcPr>
          <w:p w14:paraId="592153F4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181-314</w:t>
            </w:r>
          </w:p>
        </w:tc>
        <w:tc>
          <w:tcPr>
            <w:tcW w:w="1399" w:type="dxa"/>
          </w:tcPr>
          <w:p w14:paraId="6E9E9FF0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26-117</w:t>
            </w:r>
          </w:p>
        </w:tc>
        <w:tc>
          <w:tcPr>
            <w:tcW w:w="1235" w:type="dxa"/>
          </w:tcPr>
          <w:p w14:paraId="566AB465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1.46-2.91</w:t>
            </w:r>
          </w:p>
        </w:tc>
      </w:tr>
      <w:tr w:rsidR="002B3C3F" w:rsidRPr="00E259A9" w14:paraId="372C0779" w14:textId="77777777" w:rsidTr="00414CE1">
        <w:trPr>
          <w:trHeight w:val="132"/>
        </w:trPr>
        <w:tc>
          <w:tcPr>
            <w:tcW w:w="1539" w:type="dxa"/>
          </w:tcPr>
          <w:p w14:paraId="09DA8203" w14:textId="77777777" w:rsidR="002B3C3F" w:rsidRPr="00D00738" w:rsidRDefault="002B3C3F" w:rsidP="00D612A5">
            <w:pPr>
              <w:jc w:val="center"/>
              <w:rPr>
                <w:sz w:val="16"/>
                <w:szCs w:val="16"/>
              </w:rPr>
            </w:pPr>
            <w:r w:rsidRPr="00D612A5">
              <w:rPr>
                <w:sz w:val="16"/>
                <w:szCs w:val="16"/>
              </w:rPr>
              <w:t xml:space="preserve">40 % </w:t>
            </w:r>
            <w:r w:rsidRPr="00F84622">
              <w:rPr>
                <w:sz w:val="16"/>
                <w:szCs w:val="16"/>
              </w:rPr>
              <w:t>yield</w:t>
            </w:r>
          </w:p>
        </w:tc>
        <w:tc>
          <w:tcPr>
            <w:tcW w:w="1066" w:type="dxa"/>
          </w:tcPr>
          <w:p w14:paraId="1EBA593A" w14:textId="77777777" w:rsidR="002B3C3F" w:rsidRPr="00E259A9" w:rsidRDefault="002B3C3F" w:rsidP="00F84622">
            <w:pPr>
              <w:jc w:val="center"/>
              <w:rPr>
                <w:sz w:val="16"/>
                <w:szCs w:val="16"/>
                <w:lang w:val="it-IT"/>
              </w:rPr>
            </w:pPr>
            <w:r w:rsidRPr="00E259A9">
              <w:rPr>
                <w:sz w:val="16"/>
                <w:szCs w:val="16"/>
                <w:lang w:val="it-IT"/>
              </w:rPr>
              <w:t>3.28-3.45</w:t>
            </w:r>
          </w:p>
        </w:tc>
        <w:tc>
          <w:tcPr>
            <w:tcW w:w="1377" w:type="dxa"/>
          </w:tcPr>
          <w:p w14:paraId="6DFDB905" w14:textId="77777777" w:rsidR="002B3C3F" w:rsidRPr="00E259A9" w:rsidRDefault="002B3C3F" w:rsidP="00D00738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3.37-6.7</w:t>
            </w:r>
          </w:p>
        </w:tc>
        <w:tc>
          <w:tcPr>
            <w:tcW w:w="1022" w:type="dxa"/>
          </w:tcPr>
          <w:p w14:paraId="39AFE270" w14:textId="77777777" w:rsidR="002B3C3F" w:rsidRPr="00E259A9" w:rsidRDefault="002B3C3F" w:rsidP="00E259A9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0.367-0.760</w:t>
            </w:r>
          </w:p>
        </w:tc>
        <w:tc>
          <w:tcPr>
            <w:tcW w:w="1380" w:type="dxa"/>
          </w:tcPr>
          <w:p w14:paraId="2B8EB2A3" w14:textId="77777777" w:rsidR="002B3C3F" w:rsidRPr="00E259A9" w:rsidRDefault="002B3C3F" w:rsidP="00E259A9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164-267</w:t>
            </w:r>
          </w:p>
        </w:tc>
        <w:tc>
          <w:tcPr>
            <w:tcW w:w="1399" w:type="dxa"/>
          </w:tcPr>
          <w:p w14:paraId="1C67E9CA" w14:textId="77777777" w:rsidR="002B3C3F" w:rsidRPr="00E259A9" w:rsidRDefault="002B3C3F" w:rsidP="00E259A9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35-126</w:t>
            </w:r>
          </w:p>
        </w:tc>
        <w:tc>
          <w:tcPr>
            <w:tcW w:w="1235" w:type="dxa"/>
          </w:tcPr>
          <w:p w14:paraId="5980A44D" w14:textId="77777777" w:rsidR="002B3C3F" w:rsidRPr="00E259A9" w:rsidRDefault="002B3C3F" w:rsidP="00E259A9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1.88-2.09</w:t>
            </w:r>
          </w:p>
        </w:tc>
      </w:tr>
      <w:tr w:rsidR="002B3C3F" w:rsidRPr="000355D7" w14:paraId="74F0B9FB" w14:textId="77777777" w:rsidTr="00414CE1">
        <w:trPr>
          <w:trHeight w:val="127"/>
        </w:trPr>
        <w:tc>
          <w:tcPr>
            <w:tcW w:w="1539" w:type="dxa"/>
          </w:tcPr>
          <w:p w14:paraId="2F277D35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D612A5">
              <w:rPr>
                <w:sz w:val="16"/>
                <w:szCs w:val="16"/>
              </w:rPr>
              <w:t>2</w:t>
            </w:r>
            <w:r w:rsidRPr="00F84622">
              <w:rPr>
                <w:sz w:val="16"/>
                <w:szCs w:val="16"/>
                <w:vertAlign w:val="superscript"/>
              </w:rPr>
              <w:t>nd</w:t>
            </w:r>
            <w:r w:rsidRPr="00D00738">
              <w:rPr>
                <w:sz w:val="16"/>
                <w:szCs w:val="16"/>
              </w:rPr>
              <w:t xml:space="preserve"> fraction</w:t>
            </w:r>
          </w:p>
        </w:tc>
        <w:tc>
          <w:tcPr>
            <w:tcW w:w="1066" w:type="dxa"/>
          </w:tcPr>
          <w:p w14:paraId="18FB2256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3.29-3.52</w:t>
            </w:r>
          </w:p>
        </w:tc>
        <w:tc>
          <w:tcPr>
            <w:tcW w:w="1377" w:type="dxa"/>
          </w:tcPr>
          <w:p w14:paraId="75610D0A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5.2-6.0</w:t>
            </w:r>
          </w:p>
        </w:tc>
        <w:tc>
          <w:tcPr>
            <w:tcW w:w="1022" w:type="dxa"/>
          </w:tcPr>
          <w:p w14:paraId="273E23A2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0.279-0.811</w:t>
            </w:r>
          </w:p>
        </w:tc>
        <w:tc>
          <w:tcPr>
            <w:tcW w:w="1380" w:type="dxa"/>
          </w:tcPr>
          <w:p w14:paraId="15E9C004" w14:textId="77777777" w:rsidR="002B3C3F" w:rsidRPr="00E259A9" w:rsidRDefault="002B3C3F" w:rsidP="00F54F54">
            <w:pPr>
              <w:tabs>
                <w:tab w:val="left" w:pos="592"/>
                <w:tab w:val="center" w:pos="927"/>
              </w:tabs>
              <w:jc w:val="center"/>
              <w:rPr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207-483</w:t>
            </w:r>
          </w:p>
        </w:tc>
        <w:tc>
          <w:tcPr>
            <w:tcW w:w="1399" w:type="dxa"/>
          </w:tcPr>
          <w:p w14:paraId="43781BD7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50-236</w:t>
            </w:r>
          </w:p>
        </w:tc>
        <w:tc>
          <w:tcPr>
            <w:tcW w:w="1235" w:type="dxa"/>
          </w:tcPr>
          <w:p w14:paraId="71D0DE65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1.40-7.80</w:t>
            </w:r>
          </w:p>
        </w:tc>
      </w:tr>
      <w:tr w:rsidR="002B3C3F" w:rsidRPr="000355D7" w14:paraId="43C1C31C" w14:textId="77777777" w:rsidTr="00414CE1">
        <w:trPr>
          <w:trHeight w:val="127"/>
        </w:trPr>
        <w:tc>
          <w:tcPr>
            <w:tcW w:w="1539" w:type="dxa"/>
          </w:tcPr>
          <w:p w14:paraId="521BC499" w14:textId="77777777" w:rsidR="002B3C3F" w:rsidRPr="00D00738" w:rsidRDefault="002B3C3F" w:rsidP="00F54F54">
            <w:pPr>
              <w:jc w:val="center"/>
              <w:rPr>
                <w:sz w:val="16"/>
                <w:szCs w:val="16"/>
              </w:rPr>
            </w:pPr>
            <w:r w:rsidRPr="00D612A5">
              <w:rPr>
                <w:sz w:val="16"/>
                <w:szCs w:val="16"/>
              </w:rPr>
              <w:t xml:space="preserve">60 % </w:t>
            </w:r>
            <w:r w:rsidRPr="00F84622">
              <w:rPr>
                <w:sz w:val="16"/>
                <w:szCs w:val="16"/>
              </w:rPr>
              <w:t>yield</w:t>
            </w:r>
          </w:p>
        </w:tc>
        <w:tc>
          <w:tcPr>
            <w:tcW w:w="1066" w:type="dxa"/>
          </w:tcPr>
          <w:p w14:paraId="0E520983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3.31-3.70</w:t>
            </w:r>
          </w:p>
        </w:tc>
        <w:tc>
          <w:tcPr>
            <w:tcW w:w="1377" w:type="dxa"/>
          </w:tcPr>
          <w:p w14:paraId="7C439797" w14:textId="77777777" w:rsidR="002B3C3F" w:rsidRPr="00E259A9" w:rsidRDefault="002B3C3F" w:rsidP="00F54F54">
            <w:pPr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3.8-6.8</w:t>
            </w:r>
          </w:p>
        </w:tc>
        <w:tc>
          <w:tcPr>
            <w:tcW w:w="1022" w:type="dxa"/>
          </w:tcPr>
          <w:p w14:paraId="481B741D" w14:textId="77777777" w:rsidR="002B3C3F" w:rsidRPr="00E259A9" w:rsidRDefault="002B3C3F" w:rsidP="00F54F54">
            <w:pPr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sz w:val="16"/>
                <w:szCs w:val="16"/>
              </w:rPr>
              <w:t>0.250-0.856</w:t>
            </w:r>
          </w:p>
        </w:tc>
        <w:tc>
          <w:tcPr>
            <w:tcW w:w="1380" w:type="dxa"/>
          </w:tcPr>
          <w:p w14:paraId="60426AE7" w14:textId="77777777" w:rsidR="002B3C3F" w:rsidRPr="00E259A9" w:rsidRDefault="002B3C3F" w:rsidP="00F54F54">
            <w:pPr>
              <w:tabs>
                <w:tab w:val="left" w:pos="592"/>
                <w:tab w:val="center" w:pos="927"/>
              </w:tabs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124-361</w:t>
            </w:r>
          </w:p>
        </w:tc>
        <w:tc>
          <w:tcPr>
            <w:tcW w:w="1399" w:type="dxa"/>
          </w:tcPr>
          <w:p w14:paraId="6F0C0F1C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26-134</w:t>
            </w:r>
          </w:p>
        </w:tc>
        <w:tc>
          <w:tcPr>
            <w:tcW w:w="1235" w:type="dxa"/>
          </w:tcPr>
          <w:p w14:paraId="3CAC944B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2.07-3.33</w:t>
            </w:r>
          </w:p>
        </w:tc>
      </w:tr>
      <w:tr w:rsidR="002B3C3F" w:rsidRPr="000355D7" w14:paraId="44BD20DD" w14:textId="77777777" w:rsidTr="00414CE1">
        <w:trPr>
          <w:trHeight w:val="142"/>
        </w:trPr>
        <w:tc>
          <w:tcPr>
            <w:tcW w:w="1539" w:type="dxa"/>
            <w:tcBorders>
              <w:bottom w:val="single" w:sz="4" w:space="0" w:color="auto"/>
            </w:tcBorders>
          </w:tcPr>
          <w:p w14:paraId="7B66D60C" w14:textId="77777777" w:rsidR="002B3C3F" w:rsidRPr="00E259A9" w:rsidRDefault="002B3C3F" w:rsidP="00F54F54">
            <w:pPr>
              <w:jc w:val="center"/>
              <w:rPr>
                <w:sz w:val="16"/>
                <w:szCs w:val="16"/>
              </w:rPr>
            </w:pPr>
            <w:r w:rsidRPr="00D612A5">
              <w:rPr>
                <w:sz w:val="16"/>
                <w:szCs w:val="16"/>
              </w:rPr>
              <w:t>3</w:t>
            </w:r>
            <w:r w:rsidRPr="00F84622">
              <w:rPr>
                <w:sz w:val="16"/>
                <w:szCs w:val="16"/>
                <w:vertAlign w:val="superscript"/>
              </w:rPr>
              <w:t>rd</w:t>
            </w:r>
            <w:r w:rsidRPr="00D00738">
              <w:rPr>
                <w:sz w:val="16"/>
                <w:szCs w:val="16"/>
              </w:rPr>
              <w:t xml:space="preserve"> fraction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32E7223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3.53-3.63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7DD7239" w14:textId="77777777" w:rsidR="002B3C3F" w:rsidRPr="00E259A9" w:rsidRDefault="002B3C3F" w:rsidP="00F54F54">
            <w:pPr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4.5-5.8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573AF74" w14:textId="77777777" w:rsidR="002B3C3F" w:rsidRPr="00E259A9" w:rsidRDefault="002B3C3F" w:rsidP="00F54F54">
            <w:pPr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0.956-1.580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21EB833" w14:textId="77777777" w:rsidR="002B3C3F" w:rsidRPr="00E259A9" w:rsidRDefault="002B3C3F" w:rsidP="00F54F54">
            <w:pPr>
              <w:tabs>
                <w:tab w:val="left" w:pos="592"/>
                <w:tab w:val="center" w:pos="927"/>
              </w:tabs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293-470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F8D6C2B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52-277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F7BA02F" w14:textId="77777777" w:rsidR="002B3C3F" w:rsidRPr="00E259A9" w:rsidRDefault="002B3C3F" w:rsidP="00F54F54">
            <w:pPr>
              <w:widowControl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259A9">
              <w:rPr>
                <w:color w:val="000000"/>
                <w:sz w:val="16"/>
                <w:szCs w:val="16"/>
              </w:rPr>
              <w:t>3.11-6.20</w:t>
            </w:r>
          </w:p>
        </w:tc>
      </w:tr>
    </w:tbl>
    <w:p w14:paraId="592D8B92" w14:textId="63690B01" w:rsidR="00033B42" w:rsidRPr="0083485F" w:rsidRDefault="00033B42" w:rsidP="0083485F">
      <w:pPr>
        <w:pStyle w:val="Titre2"/>
        <w:spacing w:before="120"/>
        <w:jc w:val="both"/>
        <w:rPr>
          <w:b/>
          <w:bCs/>
          <w:sz w:val="20"/>
          <w:lang w:val="en-GB"/>
        </w:rPr>
      </w:pPr>
      <w:r w:rsidRPr="00465AEA">
        <w:rPr>
          <w:b/>
          <w:bCs/>
          <w:sz w:val="20"/>
          <w:lang w:val="en-GB"/>
        </w:rPr>
        <w:t>3.3 Winemaking trials</w:t>
      </w:r>
      <w:r w:rsidR="00B073FD">
        <w:rPr>
          <w:b/>
          <w:bCs/>
          <w:sz w:val="20"/>
          <w:lang w:val="en-GB"/>
        </w:rPr>
        <w:t xml:space="preserve"> (A3.1)</w:t>
      </w:r>
    </w:p>
    <w:p w14:paraId="44E4FD73" w14:textId="3B306142" w:rsidR="002421F5" w:rsidRPr="00414CE1" w:rsidRDefault="00C623A7" w:rsidP="00F84622">
      <w:pPr>
        <w:jc w:val="both"/>
        <w:rPr>
          <w:lang w:val="en-GB"/>
        </w:rPr>
      </w:pPr>
      <w:bookmarkStart w:id="4" w:name="_Hlk137127087"/>
      <w:r w:rsidRPr="00414CE1">
        <w:rPr>
          <w:lang w:val="en-GB"/>
        </w:rPr>
        <w:t>A</w:t>
      </w:r>
      <w:r w:rsidR="00B61B4F" w:rsidRPr="00414CE1">
        <w:rPr>
          <w:lang w:val="en-GB"/>
        </w:rPr>
        <w:t xml:space="preserve">lcoholic </w:t>
      </w:r>
      <w:r w:rsidR="008A2FCF" w:rsidRPr="002E4BCE">
        <w:rPr>
          <w:lang w:val="ka-GE"/>
        </w:rPr>
        <w:t>fermentation</w:t>
      </w:r>
      <w:r w:rsidR="008A2FCF" w:rsidRPr="00414CE1">
        <w:rPr>
          <w:lang w:val="en-GB"/>
        </w:rPr>
        <w:t xml:space="preserve"> </w:t>
      </w:r>
      <w:r w:rsidR="00B50E53">
        <w:rPr>
          <w:lang w:val="en-GB"/>
        </w:rPr>
        <w:t xml:space="preserve">(AF) </w:t>
      </w:r>
      <w:r w:rsidRPr="00414CE1">
        <w:rPr>
          <w:lang w:val="en-GB"/>
        </w:rPr>
        <w:t xml:space="preserve">was </w:t>
      </w:r>
      <w:r w:rsidR="00B61B4F" w:rsidRPr="00414CE1">
        <w:rPr>
          <w:lang w:val="en-GB"/>
        </w:rPr>
        <w:t xml:space="preserve">completed </w:t>
      </w:r>
      <w:r w:rsidRPr="00414CE1">
        <w:rPr>
          <w:lang w:val="en-GB"/>
        </w:rPr>
        <w:t xml:space="preserve">in all the must samples </w:t>
      </w:r>
      <w:r w:rsidR="00B61B4F" w:rsidRPr="00414CE1">
        <w:rPr>
          <w:lang w:val="en-GB"/>
        </w:rPr>
        <w:t xml:space="preserve">within </w:t>
      </w:r>
      <w:r w:rsidR="00615E43" w:rsidRPr="00414CE1">
        <w:rPr>
          <w:lang w:val="en-GB"/>
        </w:rPr>
        <w:t>8</w:t>
      </w:r>
      <w:r w:rsidR="00B61B4F" w:rsidRPr="00414CE1">
        <w:rPr>
          <w:lang w:val="en-GB"/>
        </w:rPr>
        <w:t>-</w:t>
      </w:r>
      <w:r w:rsidR="00615E43" w:rsidRPr="00414CE1">
        <w:rPr>
          <w:lang w:val="en-GB"/>
        </w:rPr>
        <w:t>9</w:t>
      </w:r>
      <w:r w:rsidR="00B61B4F" w:rsidRPr="00414CE1">
        <w:rPr>
          <w:lang w:val="en-GB"/>
        </w:rPr>
        <w:t xml:space="preserve"> days.</w:t>
      </w:r>
      <w:r w:rsidR="00497224" w:rsidRPr="00414CE1">
        <w:rPr>
          <w:lang w:val="en-GB"/>
        </w:rPr>
        <w:t xml:space="preserve"> CO</w:t>
      </w:r>
      <w:r w:rsidR="00497224" w:rsidRPr="00414CE1">
        <w:rPr>
          <w:vertAlign w:val="subscript"/>
          <w:lang w:val="en-GB"/>
        </w:rPr>
        <w:t>2</w:t>
      </w:r>
      <w:r w:rsidR="00497224" w:rsidRPr="00414CE1">
        <w:rPr>
          <w:lang w:val="en-GB"/>
        </w:rPr>
        <w:t xml:space="preserve"> release and </w:t>
      </w:r>
      <w:r w:rsidRPr="00414CE1">
        <w:rPr>
          <w:lang w:val="en-GB"/>
        </w:rPr>
        <w:t>f</w:t>
      </w:r>
      <w:r w:rsidR="00562A22" w:rsidRPr="00414CE1">
        <w:rPr>
          <w:lang w:val="en-GB"/>
        </w:rPr>
        <w:t>ermentation ef</w:t>
      </w:r>
      <w:r w:rsidR="00FC3B41" w:rsidRPr="00414CE1">
        <w:rPr>
          <w:lang w:val="en-GB"/>
        </w:rPr>
        <w:t>f</w:t>
      </w:r>
      <w:r w:rsidR="00562A22" w:rsidRPr="00414CE1">
        <w:rPr>
          <w:lang w:val="en-GB"/>
        </w:rPr>
        <w:t>iciency</w:t>
      </w:r>
      <w:r w:rsidR="00497224" w:rsidRPr="00414CE1">
        <w:rPr>
          <w:lang w:val="en-GB"/>
        </w:rPr>
        <w:t xml:space="preserve"> </w:t>
      </w:r>
      <w:r w:rsidR="00B50E53">
        <w:rPr>
          <w:lang w:val="en-GB"/>
        </w:rPr>
        <w:t>differed between the two must fractions fermented</w:t>
      </w:r>
      <w:r w:rsidR="00C26B03" w:rsidRPr="00414CE1">
        <w:rPr>
          <w:lang w:val="en-GB"/>
        </w:rPr>
        <w:t>.</w:t>
      </w:r>
      <w:r w:rsidR="00631234" w:rsidRPr="00414CE1">
        <w:rPr>
          <w:lang w:val="en-GB"/>
        </w:rPr>
        <w:t xml:space="preserve"> </w:t>
      </w:r>
      <w:r w:rsidR="00B50E53">
        <w:rPr>
          <w:lang w:val="en-GB"/>
        </w:rPr>
        <w:t>Lower amount of</w:t>
      </w:r>
      <w:r w:rsidR="00B50E53" w:rsidRPr="00414CE1">
        <w:rPr>
          <w:lang w:val="en-GB"/>
        </w:rPr>
        <w:t xml:space="preserve"> CO</w:t>
      </w:r>
      <w:r w:rsidR="00B50E53" w:rsidRPr="00414CE1">
        <w:rPr>
          <w:vertAlign w:val="subscript"/>
          <w:lang w:val="en-GB"/>
        </w:rPr>
        <w:t>2</w:t>
      </w:r>
      <w:r w:rsidR="00631234" w:rsidRPr="00414CE1">
        <w:rPr>
          <w:lang w:val="en-GB"/>
        </w:rPr>
        <w:t xml:space="preserve"> </w:t>
      </w:r>
      <w:r w:rsidR="00B50E53">
        <w:rPr>
          <w:lang w:val="en-GB"/>
        </w:rPr>
        <w:t xml:space="preserve">was released from AF of the </w:t>
      </w:r>
      <w:r w:rsidR="00B50E53" w:rsidRPr="00414CE1">
        <w:rPr>
          <w:lang w:val="en-GB"/>
        </w:rPr>
        <w:t>1</w:t>
      </w:r>
      <w:r w:rsidR="00B50E53" w:rsidRPr="00414CE1">
        <w:rPr>
          <w:vertAlign w:val="superscript"/>
          <w:lang w:val="en-GB"/>
        </w:rPr>
        <w:t>st</w:t>
      </w:r>
      <w:r w:rsidR="00B50E53" w:rsidRPr="00414CE1">
        <w:rPr>
          <w:lang w:val="en-GB"/>
        </w:rPr>
        <w:t xml:space="preserve"> </w:t>
      </w:r>
      <w:r w:rsidR="00631234" w:rsidRPr="00414CE1">
        <w:rPr>
          <w:lang w:val="en-GB"/>
        </w:rPr>
        <w:t xml:space="preserve">fraction </w:t>
      </w:r>
      <w:r w:rsidR="00B50E53">
        <w:rPr>
          <w:lang w:val="en-GB"/>
        </w:rPr>
        <w:t xml:space="preserve">musts and </w:t>
      </w:r>
      <w:r w:rsidR="00D612A5" w:rsidRPr="00414CE1">
        <w:rPr>
          <w:lang w:val="en-GB"/>
        </w:rPr>
        <w:t xml:space="preserve">a slight difference </w:t>
      </w:r>
      <w:r w:rsidR="008A2FCF" w:rsidRPr="002E4BCE">
        <w:rPr>
          <w:lang w:val="ka-GE"/>
        </w:rPr>
        <w:t>in</w:t>
      </w:r>
      <w:r w:rsidR="008A2FCF" w:rsidRPr="00414CE1">
        <w:rPr>
          <w:lang w:val="en-GB"/>
        </w:rPr>
        <w:t xml:space="preserve"> </w:t>
      </w:r>
      <w:r w:rsidR="00D612A5" w:rsidRPr="00414CE1">
        <w:rPr>
          <w:lang w:val="en-GB"/>
        </w:rPr>
        <w:t>fermentation efficiency</w:t>
      </w:r>
      <w:r w:rsidR="00B50E53">
        <w:rPr>
          <w:lang w:val="en-GB"/>
        </w:rPr>
        <w:t xml:space="preserve"> was observed (Table 3)</w:t>
      </w:r>
      <w:r w:rsidR="00F84622" w:rsidRPr="00414CE1">
        <w:rPr>
          <w:lang w:val="en-GB"/>
        </w:rPr>
        <w:t xml:space="preserve">. </w:t>
      </w:r>
      <w:r w:rsidR="00B50E53">
        <w:rPr>
          <w:lang w:val="en-GB"/>
        </w:rPr>
        <w:t>The</w:t>
      </w:r>
      <w:r w:rsidR="00467AE8" w:rsidRPr="00414CE1">
        <w:rPr>
          <w:lang w:val="en-GB"/>
        </w:rPr>
        <w:t xml:space="preserve"> base wines from 1</w:t>
      </w:r>
      <w:r w:rsidR="00467AE8" w:rsidRPr="00414CE1">
        <w:rPr>
          <w:vertAlign w:val="superscript"/>
          <w:lang w:val="en-GB"/>
        </w:rPr>
        <w:t>st</w:t>
      </w:r>
      <w:r w:rsidR="00467AE8" w:rsidRPr="00414CE1">
        <w:rPr>
          <w:lang w:val="en-GB"/>
        </w:rPr>
        <w:t xml:space="preserve"> fractions had higher TA and tartaric acid</w:t>
      </w:r>
      <w:r w:rsidR="00F84622" w:rsidRPr="00414CE1">
        <w:rPr>
          <w:lang w:val="en-GB"/>
        </w:rPr>
        <w:t xml:space="preserve"> content</w:t>
      </w:r>
      <w:r w:rsidR="00467AE8" w:rsidRPr="00414CE1">
        <w:rPr>
          <w:lang w:val="en-GB"/>
        </w:rPr>
        <w:t xml:space="preserve">, </w:t>
      </w:r>
      <w:r w:rsidR="00B50E53">
        <w:rPr>
          <w:lang w:val="en-GB"/>
        </w:rPr>
        <w:t>while the base wine from</w:t>
      </w:r>
      <w:r w:rsidR="008A2FCF" w:rsidRPr="00414CE1">
        <w:rPr>
          <w:lang w:val="en-GB"/>
        </w:rPr>
        <w:t xml:space="preserve"> 2</w:t>
      </w:r>
      <w:r w:rsidR="008A2FCF" w:rsidRPr="00414CE1">
        <w:rPr>
          <w:vertAlign w:val="superscript"/>
          <w:lang w:val="en-GB"/>
        </w:rPr>
        <w:t>nd</w:t>
      </w:r>
      <w:r w:rsidR="008A2FCF" w:rsidRPr="00414CE1">
        <w:rPr>
          <w:lang w:val="en-GB"/>
        </w:rPr>
        <w:t xml:space="preserve"> fraction </w:t>
      </w:r>
      <w:r w:rsidR="00B50E53">
        <w:rPr>
          <w:lang w:val="en-GB"/>
        </w:rPr>
        <w:t>showed</w:t>
      </w:r>
      <w:r w:rsidR="008A2FCF" w:rsidRPr="00414CE1">
        <w:rPr>
          <w:lang w:val="en-GB"/>
        </w:rPr>
        <w:t xml:space="preserve"> a higher</w:t>
      </w:r>
      <w:r w:rsidR="00F84622" w:rsidRPr="00414CE1">
        <w:rPr>
          <w:lang w:val="en-GB"/>
        </w:rPr>
        <w:t xml:space="preserve"> </w:t>
      </w:r>
      <w:r w:rsidR="008A2FCF" w:rsidRPr="00414CE1">
        <w:rPr>
          <w:lang w:val="en-GB"/>
        </w:rPr>
        <w:t xml:space="preserve">pH and </w:t>
      </w:r>
      <w:r w:rsidR="008A2FCF" w:rsidRPr="002E4BCE">
        <w:rPr>
          <w:lang w:val="ka-GE"/>
        </w:rPr>
        <w:t>color</w:t>
      </w:r>
      <w:r w:rsidR="008A2FCF" w:rsidRPr="00414CE1">
        <w:rPr>
          <w:lang w:val="en-GB"/>
        </w:rPr>
        <w:t xml:space="preserve"> </w:t>
      </w:r>
      <w:r w:rsidR="00F84622" w:rsidRPr="00414CE1">
        <w:rPr>
          <w:lang w:val="en-GB"/>
        </w:rPr>
        <w:t>inde</w:t>
      </w:r>
      <w:r w:rsidR="008A2FCF" w:rsidRPr="00414CE1">
        <w:rPr>
          <w:lang w:val="en-GB"/>
        </w:rPr>
        <w:t>x</w:t>
      </w:r>
      <w:r w:rsidR="00B50E53">
        <w:rPr>
          <w:lang w:val="en-GB"/>
        </w:rPr>
        <w:t xml:space="preserve"> (Table 3)</w:t>
      </w:r>
      <w:r w:rsidR="008A2FCF" w:rsidRPr="00414CE1">
        <w:rPr>
          <w:lang w:val="en-GB"/>
        </w:rPr>
        <w:t>.</w:t>
      </w:r>
      <w:r w:rsidR="00F84622" w:rsidRPr="00414CE1">
        <w:rPr>
          <w:lang w:val="en-GB"/>
        </w:rPr>
        <w:t xml:space="preserve"> </w:t>
      </w:r>
      <w:r w:rsidRPr="00414CE1">
        <w:rPr>
          <w:lang w:val="en-GB"/>
        </w:rPr>
        <w:t>Negligible</w:t>
      </w:r>
      <w:r w:rsidR="00F71822" w:rsidRPr="00414CE1">
        <w:rPr>
          <w:lang w:val="en-GB"/>
        </w:rPr>
        <w:t xml:space="preserve"> difference </w:t>
      </w:r>
      <w:r w:rsidR="00C00FC7" w:rsidRPr="00414CE1">
        <w:rPr>
          <w:lang w:val="en-GB"/>
        </w:rPr>
        <w:t xml:space="preserve">was </w:t>
      </w:r>
      <w:r w:rsidR="00F71822" w:rsidRPr="00414CE1">
        <w:rPr>
          <w:lang w:val="en-GB"/>
        </w:rPr>
        <w:t xml:space="preserve">found </w:t>
      </w:r>
      <w:r w:rsidR="00C00FC7" w:rsidRPr="00414CE1">
        <w:rPr>
          <w:lang w:val="en-GB"/>
        </w:rPr>
        <w:t>in</w:t>
      </w:r>
      <w:r w:rsidR="00F71822" w:rsidRPr="00414CE1">
        <w:rPr>
          <w:lang w:val="en-GB"/>
        </w:rPr>
        <w:t xml:space="preserve"> </w:t>
      </w:r>
      <w:r w:rsidR="00224FBD" w:rsidRPr="00414CE1">
        <w:rPr>
          <w:lang w:val="en-GB"/>
        </w:rPr>
        <w:t>TPI content</w:t>
      </w:r>
      <w:r w:rsidR="00F71822" w:rsidRPr="00414CE1">
        <w:rPr>
          <w:lang w:val="en-GB"/>
        </w:rPr>
        <w:t xml:space="preserve"> among the </w:t>
      </w:r>
      <w:r w:rsidRPr="00414CE1">
        <w:rPr>
          <w:lang w:val="en-GB"/>
        </w:rPr>
        <w:t xml:space="preserve">base wines from the two </w:t>
      </w:r>
      <w:r w:rsidR="00DA7169">
        <w:rPr>
          <w:lang w:val="en-GB"/>
        </w:rPr>
        <w:t xml:space="preserve">must </w:t>
      </w:r>
      <w:r w:rsidR="00F71822" w:rsidRPr="00414CE1">
        <w:rPr>
          <w:lang w:val="en-GB"/>
        </w:rPr>
        <w:t>fractions</w:t>
      </w:r>
      <w:r w:rsidR="00B50E53">
        <w:rPr>
          <w:lang w:val="en-GB"/>
        </w:rPr>
        <w:t xml:space="preserve"> (Table 3)</w:t>
      </w:r>
      <w:r w:rsidR="005927CC">
        <w:rPr>
          <w:lang w:val="en-GB"/>
        </w:rPr>
        <w:t>.</w:t>
      </w:r>
      <w:r w:rsidR="00224FBD" w:rsidRPr="00414CE1">
        <w:rPr>
          <w:lang w:val="en-GB"/>
        </w:rPr>
        <w:t xml:space="preserve"> </w:t>
      </w:r>
    </w:p>
    <w:bookmarkEnd w:id="4"/>
    <w:p w14:paraId="5FFC70C3" w14:textId="5698C740" w:rsidR="004A6CC3" w:rsidRDefault="00E55B0E" w:rsidP="004605B3">
      <w:pPr>
        <w:spacing w:before="300"/>
        <w:jc w:val="both"/>
        <w:rPr>
          <w:i/>
          <w:iCs/>
          <w:sz w:val="18"/>
          <w:szCs w:val="18"/>
          <w:lang w:val="en-GB"/>
        </w:rPr>
      </w:pPr>
      <w:r w:rsidRPr="00336E0A">
        <w:rPr>
          <w:b/>
          <w:bCs/>
          <w:i/>
          <w:iCs/>
          <w:sz w:val="18"/>
          <w:szCs w:val="18"/>
          <w:lang w:val="en-GB"/>
        </w:rPr>
        <w:t xml:space="preserve">Table </w:t>
      </w:r>
      <w:r w:rsidR="00B611D0">
        <w:rPr>
          <w:b/>
          <w:bCs/>
          <w:i/>
          <w:iCs/>
          <w:sz w:val="18"/>
          <w:szCs w:val="18"/>
          <w:lang w:val="en-GB"/>
        </w:rPr>
        <w:t>3</w:t>
      </w:r>
      <w:r w:rsidRPr="00336E0A">
        <w:rPr>
          <w:b/>
          <w:bCs/>
          <w:i/>
          <w:iCs/>
          <w:sz w:val="18"/>
          <w:szCs w:val="18"/>
          <w:lang w:val="en-GB"/>
        </w:rPr>
        <w:t xml:space="preserve"> </w:t>
      </w:r>
      <w:r w:rsidR="008A055D">
        <w:rPr>
          <w:i/>
          <w:iCs/>
          <w:sz w:val="18"/>
          <w:szCs w:val="18"/>
          <w:lang w:val="en-GB"/>
        </w:rPr>
        <w:t>Fermentation parameters (CO</w:t>
      </w:r>
      <w:r w:rsidR="008A055D" w:rsidRPr="00AF12B1">
        <w:rPr>
          <w:i/>
          <w:iCs/>
          <w:sz w:val="18"/>
          <w:szCs w:val="18"/>
          <w:vertAlign w:val="subscript"/>
          <w:lang w:val="en-GB"/>
        </w:rPr>
        <w:t>2</w:t>
      </w:r>
      <w:r w:rsidR="008A055D">
        <w:rPr>
          <w:i/>
          <w:iCs/>
          <w:sz w:val="18"/>
          <w:szCs w:val="18"/>
          <w:lang w:val="en-GB"/>
        </w:rPr>
        <w:t xml:space="preserve"> release and efficiency) and c</w:t>
      </w:r>
      <w:r w:rsidR="00F61C7B">
        <w:rPr>
          <w:i/>
          <w:iCs/>
          <w:sz w:val="18"/>
          <w:szCs w:val="18"/>
          <w:lang w:val="en-GB"/>
        </w:rPr>
        <w:t>hemical</w:t>
      </w:r>
      <w:r w:rsidRPr="002421F5">
        <w:rPr>
          <w:i/>
          <w:iCs/>
          <w:sz w:val="18"/>
          <w:szCs w:val="18"/>
          <w:lang w:val="en-GB"/>
        </w:rPr>
        <w:t xml:space="preserve"> parameters of</w:t>
      </w:r>
      <w:r w:rsidR="008A055D">
        <w:rPr>
          <w:i/>
          <w:iCs/>
          <w:sz w:val="18"/>
          <w:szCs w:val="18"/>
          <w:lang w:val="en-GB"/>
        </w:rPr>
        <w:t xml:space="preserve"> experimental</w:t>
      </w:r>
      <w:r w:rsidRPr="002421F5">
        <w:rPr>
          <w:i/>
          <w:iCs/>
          <w:sz w:val="18"/>
          <w:szCs w:val="18"/>
          <w:lang w:val="en-GB"/>
        </w:rPr>
        <w:t xml:space="preserve"> base wines</w:t>
      </w:r>
    </w:p>
    <w:tbl>
      <w:tblPr>
        <w:tblStyle w:val="Grilledetableauclaire"/>
        <w:tblpPr w:leftFromText="141" w:rightFromText="141" w:vertAnchor="text" w:horzAnchor="margin" w:tblpY="10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083"/>
        <w:gridCol w:w="1150"/>
        <w:gridCol w:w="832"/>
        <w:gridCol w:w="1431"/>
        <w:gridCol w:w="851"/>
        <w:gridCol w:w="1034"/>
        <w:gridCol w:w="1375"/>
      </w:tblGrid>
      <w:tr w:rsidR="00883B79" w:rsidRPr="00531007" w14:paraId="3831F295" w14:textId="77777777" w:rsidTr="00414CE1">
        <w:trPr>
          <w:trHeight w:val="131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7235C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bookmarkStart w:id="5" w:name="_Hlk137117385"/>
            <w:r w:rsidRPr="00533EC4">
              <w:rPr>
                <w:sz w:val="16"/>
                <w:szCs w:val="16"/>
              </w:rPr>
              <w:t>Samples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E9A2" w14:textId="40820A24" w:rsidR="00883B79" w:rsidRPr="00533EC4" w:rsidRDefault="00883B79" w:rsidP="00414CE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33EC4">
              <w:rPr>
                <w:b/>
                <w:bCs/>
                <w:sz w:val="16"/>
                <w:szCs w:val="16"/>
                <w:lang w:val="en-GB"/>
              </w:rPr>
              <w:t>CO</w:t>
            </w:r>
            <w:r w:rsidRPr="00533EC4">
              <w:rPr>
                <w:b/>
                <w:bCs/>
                <w:sz w:val="16"/>
                <w:szCs w:val="16"/>
                <w:vertAlign w:val="subscript"/>
                <w:lang w:val="en-GB"/>
              </w:rPr>
              <w:t xml:space="preserve">2 </w:t>
            </w:r>
            <w:r w:rsidRPr="00533EC4">
              <w:rPr>
                <w:b/>
                <w:bCs/>
                <w:sz w:val="16"/>
                <w:szCs w:val="16"/>
              </w:rPr>
              <w:t>release</w:t>
            </w:r>
            <w:r w:rsidR="00414CE1" w:rsidRPr="00533EC4">
              <w:rPr>
                <w:b/>
                <w:bCs/>
                <w:sz w:val="16"/>
                <w:szCs w:val="16"/>
              </w:rPr>
              <w:t xml:space="preserve"> </w:t>
            </w:r>
            <w:r w:rsidRPr="00533EC4">
              <w:rPr>
                <w:sz w:val="16"/>
                <w:szCs w:val="16"/>
              </w:rPr>
              <w:t>(moles/4</w:t>
            </w:r>
            <w:r w:rsidR="00414CE1" w:rsidRPr="00533EC4">
              <w:rPr>
                <w:sz w:val="16"/>
                <w:szCs w:val="16"/>
              </w:rPr>
              <w:t xml:space="preserve"> </w:t>
            </w:r>
            <w:r w:rsidRPr="00533EC4">
              <w:rPr>
                <w:sz w:val="16"/>
                <w:szCs w:val="16"/>
              </w:rPr>
              <w:t>L)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0578" w14:textId="17A4A9BD" w:rsidR="00883B79" w:rsidRPr="00533EC4" w:rsidRDefault="00883B79" w:rsidP="00414CE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33EC4">
              <w:rPr>
                <w:b/>
                <w:bCs/>
                <w:sz w:val="16"/>
                <w:szCs w:val="16"/>
                <w:lang w:val="en-GB"/>
              </w:rPr>
              <w:t>Fermentation</w:t>
            </w:r>
            <w:r w:rsidR="00414CE1" w:rsidRPr="00533EC4">
              <w:rPr>
                <w:b/>
                <w:bCs/>
                <w:sz w:val="16"/>
                <w:szCs w:val="16"/>
                <w:lang w:val="en-GB"/>
              </w:rPr>
              <w:t xml:space="preserve"> e</w:t>
            </w:r>
            <w:r w:rsidRPr="00533EC4">
              <w:rPr>
                <w:b/>
                <w:bCs/>
                <w:sz w:val="16"/>
                <w:szCs w:val="16"/>
                <w:lang w:val="en-GB"/>
              </w:rPr>
              <w:t>fficiency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45BC3" w14:textId="0534C9A2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10B6C" w14:textId="50DA2BB0" w:rsidR="00883B79" w:rsidRPr="00533EC4" w:rsidRDefault="00883B79" w:rsidP="00883B7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33EC4">
              <w:rPr>
                <w:b/>
                <w:bCs/>
                <w:sz w:val="16"/>
                <w:szCs w:val="16"/>
              </w:rPr>
              <w:t>Titrable</w:t>
            </w:r>
            <w:proofErr w:type="spellEnd"/>
            <w:r w:rsidRPr="00533EC4">
              <w:rPr>
                <w:b/>
                <w:bCs/>
                <w:sz w:val="16"/>
                <w:szCs w:val="16"/>
              </w:rPr>
              <w:t xml:space="preserve"> </w:t>
            </w:r>
            <w:r w:rsidR="00414CE1" w:rsidRPr="00533EC4">
              <w:rPr>
                <w:b/>
                <w:bCs/>
                <w:sz w:val="16"/>
                <w:szCs w:val="16"/>
              </w:rPr>
              <w:t>a</w:t>
            </w:r>
            <w:r w:rsidRPr="00533EC4">
              <w:rPr>
                <w:b/>
                <w:bCs/>
                <w:sz w:val="16"/>
                <w:szCs w:val="16"/>
              </w:rPr>
              <w:t>cidity</w:t>
            </w:r>
          </w:p>
          <w:p w14:paraId="4B40284B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533EC4">
              <w:rPr>
                <w:sz w:val="16"/>
                <w:szCs w:val="16"/>
                <w:lang w:val="en-GB"/>
              </w:rPr>
              <w:t>(g/L of tartaric</w:t>
            </w:r>
          </w:p>
          <w:p w14:paraId="77569AF6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  <w:lang w:val="en-GB"/>
              </w:rPr>
              <w:t>acid)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3C7C7" w14:textId="77777777" w:rsidR="00883B79" w:rsidRPr="00533EC4" w:rsidRDefault="00883B79" w:rsidP="00883B7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33EC4">
              <w:rPr>
                <w:b/>
                <w:bCs/>
                <w:sz w:val="16"/>
                <w:szCs w:val="16"/>
              </w:rPr>
              <w:t xml:space="preserve">Tartaric acid </w:t>
            </w:r>
          </w:p>
          <w:p w14:paraId="6A93F33C" w14:textId="77777777" w:rsidR="00883B79" w:rsidRPr="00533EC4" w:rsidRDefault="00883B79" w:rsidP="00883B7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(g/L)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2BC0" w14:textId="77777777" w:rsidR="00883B79" w:rsidRPr="00533EC4" w:rsidRDefault="00883B79" w:rsidP="00883B7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33EC4">
              <w:rPr>
                <w:b/>
                <w:bCs/>
                <w:sz w:val="16"/>
                <w:szCs w:val="16"/>
              </w:rPr>
              <w:t>Color</w:t>
            </w:r>
          </w:p>
          <w:p w14:paraId="67862E41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(AU 420 nm)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54B9" w14:textId="77777777" w:rsidR="00883B79" w:rsidRPr="00533EC4" w:rsidRDefault="00883B79" w:rsidP="00883B7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33EC4">
              <w:rPr>
                <w:b/>
                <w:bCs/>
                <w:sz w:val="16"/>
                <w:szCs w:val="16"/>
              </w:rPr>
              <w:t>Total phenol index</w:t>
            </w:r>
          </w:p>
          <w:p w14:paraId="78240044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(mg/L gallic acid)</w:t>
            </w:r>
          </w:p>
        </w:tc>
      </w:tr>
      <w:tr w:rsidR="00883B79" w14:paraId="2EC0D211" w14:textId="77777777" w:rsidTr="00414CE1">
        <w:trPr>
          <w:trHeight w:val="23"/>
        </w:trPr>
        <w:tc>
          <w:tcPr>
            <w:tcW w:w="1316" w:type="dxa"/>
            <w:tcBorders>
              <w:top w:val="single" w:sz="4" w:space="0" w:color="auto"/>
            </w:tcBorders>
          </w:tcPr>
          <w:p w14:paraId="6F3400BD" w14:textId="202F7984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1</w:t>
            </w:r>
            <w:r w:rsidRPr="00533EC4">
              <w:rPr>
                <w:sz w:val="16"/>
                <w:szCs w:val="16"/>
                <w:vertAlign w:val="superscript"/>
              </w:rPr>
              <w:t>st</w:t>
            </w:r>
            <w:r w:rsidRPr="00533EC4">
              <w:rPr>
                <w:sz w:val="16"/>
                <w:szCs w:val="16"/>
              </w:rPr>
              <w:t xml:space="preserve"> fraction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4A51D87A" w14:textId="30D02AF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53.3-97.4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2FF6F4DD" w14:textId="131AF8AD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57-146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390D3EDB" w14:textId="7B66C094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3.00-3.47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4C313C7D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5.9-8.4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7EA5497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2.13-4.59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13BBDBC8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0.11-0.16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28EB409A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7.45-14.0</w:t>
            </w:r>
          </w:p>
        </w:tc>
      </w:tr>
      <w:tr w:rsidR="00883B79" w14:paraId="7720F1D3" w14:textId="77777777" w:rsidTr="00414CE1">
        <w:trPr>
          <w:trHeight w:val="112"/>
        </w:trPr>
        <w:tc>
          <w:tcPr>
            <w:tcW w:w="1316" w:type="dxa"/>
            <w:tcBorders>
              <w:bottom w:val="single" w:sz="4" w:space="0" w:color="auto"/>
            </w:tcBorders>
          </w:tcPr>
          <w:p w14:paraId="3647AD65" w14:textId="36DAAA35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2</w:t>
            </w:r>
            <w:r w:rsidRPr="00533EC4">
              <w:rPr>
                <w:sz w:val="16"/>
                <w:szCs w:val="16"/>
                <w:vertAlign w:val="superscript"/>
              </w:rPr>
              <w:t>nd</w:t>
            </w:r>
            <w:r w:rsidRPr="00533EC4">
              <w:rPr>
                <w:sz w:val="16"/>
                <w:szCs w:val="16"/>
              </w:rPr>
              <w:t xml:space="preserve"> fraction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0176DC19" w14:textId="3D0D0B44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43.6-131.3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1BE6A67" w14:textId="0CC2AF09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42-140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6D3BFA6" w14:textId="301C88F2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3.19-3.72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46C39D8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4.4-6.3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F3D4BB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1.92-2.64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334EBCA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0.11-0.81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04686C3" w14:textId="77777777" w:rsidR="00883B79" w:rsidRPr="00533EC4" w:rsidRDefault="00883B79" w:rsidP="00883B79">
            <w:pPr>
              <w:contextualSpacing/>
              <w:jc w:val="center"/>
              <w:rPr>
                <w:sz w:val="16"/>
                <w:szCs w:val="16"/>
              </w:rPr>
            </w:pPr>
            <w:r w:rsidRPr="00533EC4">
              <w:rPr>
                <w:sz w:val="16"/>
                <w:szCs w:val="16"/>
              </w:rPr>
              <w:t>5.60-14.5</w:t>
            </w:r>
          </w:p>
        </w:tc>
      </w:tr>
    </w:tbl>
    <w:bookmarkEnd w:id="5"/>
    <w:p w14:paraId="58937366" w14:textId="2EA4CCD6" w:rsidR="00963E63" w:rsidRPr="00963E63" w:rsidRDefault="00883B79" w:rsidP="00963E63">
      <w:pPr>
        <w:pStyle w:val="Titre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 xml:space="preserve">4. </w:t>
      </w:r>
      <w:r w:rsidR="00FB589C">
        <w:rPr>
          <w:b/>
          <w:bCs/>
          <w:color w:val="000000"/>
          <w:sz w:val="24"/>
          <w:lang w:val="en-GB"/>
        </w:rPr>
        <w:t>References</w:t>
      </w:r>
    </w:p>
    <w:p w14:paraId="7C86544A" w14:textId="3A632132" w:rsidR="006A535A" w:rsidRDefault="00F343F6" w:rsidP="00265250">
      <w:pPr>
        <w:jc w:val="both"/>
        <w:rPr>
          <w:lang w:val="en-GB"/>
        </w:rPr>
      </w:pPr>
      <w:r>
        <w:t xml:space="preserve">Di Stefano R, Cravero MC, Gentilini N (1989) Metodi per lo studio dei polifenoli dei vini. </w:t>
      </w:r>
      <w:proofErr w:type="spellStart"/>
      <w:r w:rsidRPr="00265250">
        <w:rPr>
          <w:i/>
          <w:iCs/>
          <w:lang w:val="en-GB"/>
        </w:rPr>
        <w:t>L’Enotecnico</w:t>
      </w:r>
      <w:proofErr w:type="spellEnd"/>
      <w:r w:rsidRPr="008F7C92">
        <w:rPr>
          <w:lang w:val="en-GB"/>
        </w:rPr>
        <w:t xml:space="preserve"> </w:t>
      </w:r>
      <w:r w:rsidRPr="008F7C92">
        <w:rPr>
          <w:b/>
          <w:bCs/>
          <w:lang w:val="en-GB"/>
        </w:rPr>
        <w:t>5</w:t>
      </w:r>
      <w:r w:rsidRPr="008F7C92">
        <w:rPr>
          <w:lang w:val="en-GB"/>
        </w:rPr>
        <w:t>: 83-89.</w:t>
      </w:r>
    </w:p>
    <w:p w14:paraId="231270D6" w14:textId="48646C89" w:rsidR="00604025" w:rsidRPr="00604025" w:rsidRDefault="00604025" w:rsidP="002F6EAC">
      <w:pPr>
        <w:ind w:left="425" w:hanging="425"/>
        <w:jc w:val="both"/>
        <w:rPr>
          <w:b/>
          <w:bCs/>
          <w:color w:val="000000"/>
          <w:lang w:val="en-US" w:eastAsia="fr-FR"/>
        </w:rPr>
      </w:pPr>
      <w:r w:rsidRPr="00604025">
        <w:rPr>
          <w:color w:val="000000"/>
          <w:lang w:val="en-GB" w:eastAsia="fr-FR"/>
        </w:rPr>
        <w:t xml:space="preserve">Dumas V, </w:t>
      </w:r>
      <w:proofErr w:type="spellStart"/>
      <w:r w:rsidRPr="00604025">
        <w:rPr>
          <w:color w:val="000000"/>
          <w:lang w:val="en-GB" w:eastAsia="fr-FR"/>
        </w:rPr>
        <w:t>Saurin</w:t>
      </w:r>
      <w:proofErr w:type="spellEnd"/>
      <w:r w:rsidRPr="00604025">
        <w:rPr>
          <w:color w:val="000000"/>
          <w:lang w:val="en-GB" w:eastAsia="fr-FR"/>
        </w:rPr>
        <w:t xml:space="preserve"> N, </w:t>
      </w:r>
      <w:proofErr w:type="spellStart"/>
      <w:r w:rsidRPr="00604025">
        <w:rPr>
          <w:color w:val="000000"/>
          <w:lang w:val="en-GB" w:eastAsia="fr-FR"/>
        </w:rPr>
        <w:t>Destrac</w:t>
      </w:r>
      <w:proofErr w:type="spellEnd"/>
      <w:r w:rsidRPr="00604025">
        <w:rPr>
          <w:color w:val="000000"/>
          <w:lang w:val="en-GB" w:eastAsia="fr-FR"/>
        </w:rPr>
        <w:t xml:space="preserve"> Irvine A, </w:t>
      </w:r>
      <w:proofErr w:type="spellStart"/>
      <w:r w:rsidRPr="00604025">
        <w:rPr>
          <w:color w:val="000000"/>
          <w:lang w:val="en-GB" w:eastAsia="fr-FR"/>
        </w:rPr>
        <w:t>Dedet</w:t>
      </w:r>
      <w:proofErr w:type="spellEnd"/>
      <w:r w:rsidRPr="00604025">
        <w:rPr>
          <w:color w:val="000000"/>
          <w:lang w:val="en-GB" w:eastAsia="fr-FR"/>
        </w:rPr>
        <w:t xml:space="preserve"> S, </w:t>
      </w:r>
      <w:proofErr w:type="spellStart"/>
      <w:r w:rsidRPr="00604025">
        <w:rPr>
          <w:color w:val="000000"/>
          <w:lang w:val="en-GB" w:eastAsia="fr-FR"/>
        </w:rPr>
        <w:t>Veyret</w:t>
      </w:r>
      <w:proofErr w:type="spellEnd"/>
      <w:r w:rsidRPr="00604025">
        <w:rPr>
          <w:color w:val="000000"/>
          <w:lang w:val="en-GB" w:eastAsia="fr-FR"/>
        </w:rPr>
        <w:t xml:space="preserve"> M, </w:t>
      </w:r>
      <w:proofErr w:type="spellStart"/>
      <w:r w:rsidRPr="00604025">
        <w:rPr>
          <w:color w:val="000000"/>
          <w:lang w:val="en-GB" w:eastAsia="fr-FR"/>
        </w:rPr>
        <w:t>Marchal</w:t>
      </w:r>
      <w:proofErr w:type="spellEnd"/>
      <w:r w:rsidRPr="00604025">
        <w:rPr>
          <w:color w:val="000000"/>
          <w:lang w:val="en-GB" w:eastAsia="fr-FR"/>
        </w:rPr>
        <w:t xml:space="preserve"> C, Ojeda H, Van Leeuwen C, </w:t>
      </w:r>
      <w:proofErr w:type="spellStart"/>
      <w:r w:rsidRPr="00604025">
        <w:rPr>
          <w:color w:val="000000"/>
          <w:lang w:val="en-GB" w:eastAsia="fr-FR"/>
        </w:rPr>
        <w:t>Duchêne</w:t>
      </w:r>
      <w:proofErr w:type="spellEnd"/>
      <w:r w:rsidRPr="00604025">
        <w:rPr>
          <w:color w:val="000000"/>
          <w:lang w:val="en-GB" w:eastAsia="fr-FR"/>
        </w:rPr>
        <w:t xml:space="preserve"> (2020)</w:t>
      </w:r>
      <w:r w:rsidR="002F6EAC" w:rsidRPr="002F6EAC">
        <w:rPr>
          <w:rFonts w:ascii="Noto Sans" w:hAnsi="Noto Sans" w:cs="Noto Sans"/>
          <w:b/>
          <w:bCs/>
          <w:kern w:val="36"/>
          <w:sz w:val="48"/>
          <w:szCs w:val="48"/>
          <w:lang w:val="en-US" w:eastAsia="fr-FR"/>
        </w:rPr>
        <w:t xml:space="preserve"> </w:t>
      </w:r>
      <w:r w:rsidR="002F6EAC" w:rsidRPr="002F6EAC">
        <w:rPr>
          <w:color w:val="000000"/>
          <w:lang w:val="en-US" w:eastAsia="fr-FR"/>
        </w:rPr>
        <w:t>Influence of grape juice extraction methods on basic analytical parameters</w:t>
      </w:r>
      <w:r w:rsidR="002F6EAC">
        <w:rPr>
          <w:b/>
          <w:bCs/>
          <w:color w:val="000000"/>
          <w:lang w:val="en-US" w:eastAsia="fr-FR"/>
        </w:rPr>
        <w:t xml:space="preserve">. </w:t>
      </w:r>
      <w:r w:rsidRPr="00604025">
        <w:rPr>
          <w:i/>
          <w:iCs/>
          <w:color w:val="000000"/>
          <w:lang w:val="en-GB" w:eastAsia="fr-FR"/>
        </w:rPr>
        <w:t>Vitis</w:t>
      </w:r>
      <w:r w:rsidRPr="00604025">
        <w:rPr>
          <w:b/>
          <w:bCs/>
          <w:color w:val="000000"/>
          <w:lang w:val="en-GB" w:eastAsia="fr-FR"/>
        </w:rPr>
        <w:t xml:space="preserve"> 59:</w:t>
      </w:r>
      <w:r w:rsidRPr="00604025">
        <w:rPr>
          <w:color w:val="000000"/>
          <w:lang w:val="en-GB" w:eastAsia="fr-FR"/>
        </w:rPr>
        <w:t>77–83.</w:t>
      </w:r>
    </w:p>
    <w:p w14:paraId="46845F45" w14:textId="26779519" w:rsidR="0078021C" w:rsidRDefault="00220B49" w:rsidP="002A6F4D">
      <w:pPr>
        <w:ind w:left="425" w:hanging="425"/>
        <w:jc w:val="both"/>
        <w:rPr>
          <w:lang w:val="en-GB"/>
        </w:rPr>
      </w:pPr>
      <w:r w:rsidRPr="00220B49">
        <w:rPr>
          <w:lang w:val="en-GB"/>
        </w:rPr>
        <w:t xml:space="preserve">Shanshiashvili G (2022) </w:t>
      </w:r>
      <w:r w:rsidRPr="00220B49">
        <w:rPr>
          <w:lang w:val="en-US"/>
        </w:rPr>
        <w:t>Improving the grape pressing for a sustainable wine production chain (</w:t>
      </w:r>
      <w:proofErr w:type="spellStart"/>
      <w:r w:rsidRPr="00220B49">
        <w:rPr>
          <w:lang w:val="en-US"/>
        </w:rPr>
        <w:t>GrapePress</w:t>
      </w:r>
      <w:proofErr w:type="spellEnd"/>
      <w:r w:rsidRPr="00220B49">
        <w:rPr>
          <w:lang w:val="en-US"/>
        </w:rPr>
        <w:t xml:space="preserve"> 4.0). </w:t>
      </w:r>
      <w:r w:rsidRPr="00220B49">
        <w:rPr>
          <w:lang w:val="en-GB"/>
        </w:rPr>
        <w:t xml:space="preserve">In </w:t>
      </w:r>
      <w:proofErr w:type="spellStart"/>
      <w:r w:rsidRPr="00220B49">
        <w:rPr>
          <w:lang w:val="en-GB"/>
        </w:rPr>
        <w:t>Proc.s</w:t>
      </w:r>
      <w:proofErr w:type="spellEnd"/>
      <w:r w:rsidRPr="00220B49">
        <w:rPr>
          <w:lang w:val="en-GB"/>
        </w:rPr>
        <w:t xml:space="preserve"> of the 26</w:t>
      </w:r>
      <w:r w:rsidRPr="00220B49">
        <w:rPr>
          <w:vertAlign w:val="superscript"/>
          <w:lang w:val="en-GB"/>
        </w:rPr>
        <w:t>th</w:t>
      </w:r>
      <w:r w:rsidRPr="00220B49">
        <w:rPr>
          <w:lang w:val="en-GB"/>
        </w:rPr>
        <w:t xml:space="preserve"> Workshop on the </w:t>
      </w:r>
      <w:r w:rsidRPr="00220B49">
        <w:rPr>
          <w:i/>
          <w:iCs/>
          <w:lang w:val="en-GB"/>
        </w:rPr>
        <w:t>Developments in the Italian PhD Research on Food Science, Technology and Biotechnology</w:t>
      </w:r>
      <w:r w:rsidRPr="00220B49">
        <w:rPr>
          <w:lang w:val="en-GB"/>
        </w:rPr>
        <w:t>, Asti (Italy), 19-21 September, 2022</w:t>
      </w:r>
      <w:r w:rsidR="00DF1BAB">
        <w:rPr>
          <w:lang w:val="en-GB"/>
        </w:rPr>
        <w:t>, pp. 179-180.</w:t>
      </w:r>
    </w:p>
    <w:p w14:paraId="1E3B010A" w14:textId="77777777" w:rsidR="00703761" w:rsidRDefault="00703761" w:rsidP="00DB4BC4">
      <w:pPr>
        <w:jc w:val="both"/>
        <w:rPr>
          <w:lang w:val="en-GB"/>
        </w:rPr>
      </w:pPr>
    </w:p>
    <w:p w14:paraId="557C92BD" w14:textId="47103630" w:rsidR="00703761" w:rsidRDefault="002F6EAC" w:rsidP="00265250">
      <w:pPr>
        <w:jc w:val="both"/>
        <w:rPr>
          <w:b/>
          <w:bCs/>
          <w:i/>
          <w:iCs/>
          <w:sz w:val="18"/>
          <w:szCs w:val="18"/>
          <w:lang w:val="en-GB"/>
        </w:rPr>
      </w:pPr>
      <w:r w:rsidRPr="00BB760B">
        <w:rPr>
          <w:b/>
          <w:bCs/>
          <w:i/>
          <w:iCs/>
          <w:sz w:val="18"/>
          <w:szCs w:val="18"/>
        </w:rPr>
        <w:t xml:space="preserve">Progetto finanziato nell’ambito PON: "“Ricerca e Innovazione” 2014-2020, Asse IV “Istruzione e ricerca per il recupero” con riferimento all’Azione IV.4 “Dottorati e contratti di ricerca su tematiche dell'innovazione” e all’Azione IV.5 “Dottorati su tematiche green”. </w:t>
      </w:r>
      <w:r w:rsidRPr="002F6EAC">
        <w:rPr>
          <w:b/>
          <w:bCs/>
          <w:i/>
          <w:iCs/>
          <w:sz w:val="18"/>
          <w:szCs w:val="18"/>
          <w:lang w:val="en-GB"/>
        </w:rPr>
        <w:t>DM 1061/2021</w:t>
      </w:r>
    </w:p>
    <w:p w14:paraId="3CDB8084" w14:textId="77777777" w:rsidR="00A64457" w:rsidRPr="00265250" w:rsidRDefault="00A64457" w:rsidP="00265250">
      <w:pPr>
        <w:jc w:val="both"/>
        <w:rPr>
          <w:lang w:val="en-GB"/>
        </w:rPr>
      </w:pPr>
    </w:p>
    <w:sectPr w:rsidR="00A64457" w:rsidRPr="00265250">
      <w:type w:val="continuous"/>
      <w:pgSz w:w="11906" w:h="16838"/>
      <w:pgMar w:top="96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4501" w14:textId="77777777" w:rsidR="007D7DF8" w:rsidRDefault="007D7DF8">
      <w:r>
        <w:separator/>
      </w:r>
    </w:p>
  </w:endnote>
  <w:endnote w:type="continuationSeparator" w:id="0">
    <w:p w14:paraId="0BA02E26" w14:textId="77777777" w:rsidR="007D7DF8" w:rsidRDefault="007D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E562" w14:textId="77777777" w:rsidR="007D7DF8" w:rsidRDefault="007D7DF8">
      <w:r>
        <w:separator/>
      </w:r>
    </w:p>
  </w:footnote>
  <w:footnote w:type="continuationSeparator" w:id="0">
    <w:p w14:paraId="23A4401A" w14:textId="77777777" w:rsidR="007D7DF8" w:rsidRDefault="007D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268"/>
    <w:multiLevelType w:val="hybridMultilevel"/>
    <w:tmpl w:val="4202D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re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06CE"/>
    <w:rsid w:val="00000781"/>
    <w:rsid w:val="00033B42"/>
    <w:rsid w:val="000355D7"/>
    <w:rsid w:val="00043799"/>
    <w:rsid w:val="00054AD0"/>
    <w:rsid w:val="000608A4"/>
    <w:rsid w:val="000763A3"/>
    <w:rsid w:val="0007792A"/>
    <w:rsid w:val="0008401D"/>
    <w:rsid w:val="00084AFC"/>
    <w:rsid w:val="00093D07"/>
    <w:rsid w:val="000A1E6D"/>
    <w:rsid w:val="000A5D43"/>
    <w:rsid w:val="000A639E"/>
    <w:rsid w:val="000B4382"/>
    <w:rsid w:val="000C10EA"/>
    <w:rsid w:val="000D1541"/>
    <w:rsid w:val="000D4192"/>
    <w:rsid w:val="000D6C95"/>
    <w:rsid w:val="000E2429"/>
    <w:rsid w:val="000F54F4"/>
    <w:rsid w:val="000F5741"/>
    <w:rsid w:val="000F64FA"/>
    <w:rsid w:val="000F75D8"/>
    <w:rsid w:val="001076F8"/>
    <w:rsid w:val="00107A16"/>
    <w:rsid w:val="001109B9"/>
    <w:rsid w:val="00111F08"/>
    <w:rsid w:val="00120E15"/>
    <w:rsid w:val="001331B8"/>
    <w:rsid w:val="00133F89"/>
    <w:rsid w:val="00137ECA"/>
    <w:rsid w:val="00143F5C"/>
    <w:rsid w:val="001472CA"/>
    <w:rsid w:val="00147E7D"/>
    <w:rsid w:val="00150325"/>
    <w:rsid w:val="00172504"/>
    <w:rsid w:val="00173C88"/>
    <w:rsid w:val="00175753"/>
    <w:rsid w:val="00182C00"/>
    <w:rsid w:val="001905AA"/>
    <w:rsid w:val="00193945"/>
    <w:rsid w:val="001A7967"/>
    <w:rsid w:val="001C61AC"/>
    <w:rsid w:val="001D1CDB"/>
    <w:rsid w:val="001E48D2"/>
    <w:rsid w:val="001E788C"/>
    <w:rsid w:val="001F13EF"/>
    <w:rsid w:val="001F31BD"/>
    <w:rsid w:val="001F6C6C"/>
    <w:rsid w:val="001F78C3"/>
    <w:rsid w:val="00200DC4"/>
    <w:rsid w:val="00202F1D"/>
    <w:rsid w:val="00207CF1"/>
    <w:rsid w:val="00210C86"/>
    <w:rsid w:val="00220718"/>
    <w:rsid w:val="00220B49"/>
    <w:rsid w:val="00222E8E"/>
    <w:rsid w:val="0022483C"/>
    <w:rsid w:val="00224CB6"/>
    <w:rsid w:val="00224FBD"/>
    <w:rsid w:val="002301C5"/>
    <w:rsid w:val="00231592"/>
    <w:rsid w:val="00232704"/>
    <w:rsid w:val="002421F5"/>
    <w:rsid w:val="00256291"/>
    <w:rsid w:val="00265250"/>
    <w:rsid w:val="00282BAF"/>
    <w:rsid w:val="0029020D"/>
    <w:rsid w:val="0029274A"/>
    <w:rsid w:val="002A6852"/>
    <w:rsid w:val="002A6F4D"/>
    <w:rsid w:val="002B1D6A"/>
    <w:rsid w:val="002B29DA"/>
    <w:rsid w:val="002B3C3F"/>
    <w:rsid w:val="002B60D3"/>
    <w:rsid w:val="002C2D32"/>
    <w:rsid w:val="002C33F4"/>
    <w:rsid w:val="002C4047"/>
    <w:rsid w:val="002C4968"/>
    <w:rsid w:val="002D41F0"/>
    <w:rsid w:val="002D4760"/>
    <w:rsid w:val="002E053A"/>
    <w:rsid w:val="002E0EA1"/>
    <w:rsid w:val="002E14BD"/>
    <w:rsid w:val="002E4BCE"/>
    <w:rsid w:val="002E6DF5"/>
    <w:rsid w:val="002F3AE0"/>
    <w:rsid w:val="002F5744"/>
    <w:rsid w:val="002F6EAC"/>
    <w:rsid w:val="003016DA"/>
    <w:rsid w:val="00307717"/>
    <w:rsid w:val="00307A9A"/>
    <w:rsid w:val="00315E6C"/>
    <w:rsid w:val="00324C85"/>
    <w:rsid w:val="00330416"/>
    <w:rsid w:val="003309F8"/>
    <w:rsid w:val="00336E0A"/>
    <w:rsid w:val="003467E9"/>
    <w:rsid w:val="003513A8"/>
    <w:rsid w:val="00352312"/>
    <w:rsid w:val="00355EA2"/>
    <w:rsid w:val="00363B31"/>
    <w:rsid w:val="003642F2"/>
    <w:rsid w:val="00365F5F"/>
    <w:rsid w:val="00387D6A"/>
    <w:rsid w:val="00391657"/>
    <w:rsid w:val="0039334B"/>
    <w:rsid w:val="003A2CD0"/>
    <w:rsid w:val="003A3410"/>
    <w:rsid w:val="003A401F"/>
    <w:rsid w:val="003B26C3"/>
    <w:rsid w:val="003B30F3"/>
    <w:rsid w:val="003C0FD7"/>
    <w:rsid w:val="003C108B"/>
    <w:rsid w:val="003C2D6C"/>
    <w:rsid w:val="003C341C"/>
    <w:rsid w:val="003D4B12"/>
    <w:rsid w:val="003E1ED9"/>
    <w:rsid w:val="003E44F6"/>
    <w:rsid w:val="003F0916"/>
    <w:rsid w:val="003F6EA7"/>
    <w:rsid w:val="00413812"/>
    <w:rsid w:val="00414CE1"/>
    <w:rsid w:val="004151FE"/>
    <w:rsid w:val="004219FC"/>
    <w:rsid w:val="00423B93"/>
    <w:rsid w:val="004253A0"/>
    <w:rsid w:val="00432AC7"/>
    <w:rsid w:val="00446ED3"/>
    <w:rsid w:val="004605B3"/>
    <w:rsid w:val="00460C69"/>
    <w:rsid w:val="0046230B"/>
    <w:rsid w:val="0046581F"/>
    <w:rsid w:val="00465AEA"/>
    <w:rsid w:val="00467AE8"/>
    <w:rsid w:val="00483A2F"/>
    <w:rsid w:val="0048404B"/>
    <w:rsid w:val="00485E65"/>
    <w:rsid w:val="0049021A"/>
    <w:rsid w:val="00493A4E"/>
    <w:rsid w:val="00497224"/>
    <w:rsid w:val="004A20FF"/>
    <w:rsid w:val="004A6CC3"/>
    <w:rsid w:val="004B1F77"/>
    <w:rsid w:val="004C41E6"/>
    <w:rsid w:val="004D210C"/>
    <w:rsid w:val="004E56C2"/>
    <w:rsid w:val="004F6416"/>
    <w:rsid w:val="005054BD"/>
    <w:rsid w:val="00510609"/>
    <w:rsid w:val="00512D9B"/>
    <w:rsid w:val="005141DF"/>
    <w:rsid w:val="005159D3"/>
    <w:rsid w:val="005208BD"/>
    <w:rsid w:val="0052116E"/>
    <w:rsid w:val="00521976"/>
    <w:rsid w:val="00521E5F"/>
    <w:rsid w:val="00531007"/>
    <w:rsid w:val="00533EC4"/>
    <w:rsid w:val="005400BF"/>
    <w:rsid w:val="00540205"/>
    <w:rsid w:val="00562A22"/>
    <w:rsid w:val="005707FF"/>
    <w:rsid w:val="00571789"/>
    <w:rsid w:val="005770B7"/>
    <w:rsid w:val="00577CDC"/>
    <w:rsid w:val="00582FE7"/>
    <w:rsid w:val="0059239C"/>
    <w:rsid w:val="005927CC"/>
    <w:rsid w:val="005B7F0B"/>
    <w:rsid w:val="005C0EB8"/>
    <w:rsid w:val="005C68A4"/>
    <w:rsid w:val="005D0F68"/>
    <w:rsid w:val="005D27E5"/>
    <w:rsid w:val="005E2CAD"/>
    <w:rsid w:val="005F5D70"/>
    <w:rsid w:val="00600454"/>
    <w:rsid w:val="0060152B"/>
    <w:rsid w:val="00602AA2"/>
    <w:rsid w:val="00604025"/>
    <w:rsid w:val="0060743E"/>
    <w:rsid w:val="00612828"/>
    <w:rsid w:val="00615E43"/>
    <w:rsid w:val="006216E3"/>
    <w:rsid w:val="00625BAD"/>
    <w:rsid w:val="00631234"/>
    <w:rsid w:val="00634496"/>
    <w:rsid w:val="00640FCE"/>
    <w:rsid w:val="006448B4"/>
    <w:rsid w:val="00645089"/>
    <w:rsid w:val="006536B6"/>
    <w:rsid w:val="00656CA3"/>
    <w:rsid w:val="0066410C"/>
    <w:rsid w:val="00664836"/>
    <w:rsid w:val="0066528B"/>
    <w:rsid w:val="00665C0F"/>
    <w:rsid w:val="0066663A"/>
    <w:rsid w:val="006758A0"/>
    <w:rsid w:val="00684B68"/>
    <w:rsid w:val="00685689"/>
    <w:rsid w:val="006A535A"/>
    <w:rsid w:val="006A5604"/>
    <w:rsid w:val="006A7B99"/>
    <w:rsid w:val="006B7246"/>
    <w:rsid w:val="006B7E77"/>
    <w:rsid w:val="006C52DE"/>
    <w:rsid w:val="006C64E6"/>
    <w:rsid w:val="006D64E9"/>
    <w:rsid w:val="006E282D"/>
    <w:rsid w:val="006F54DC"/>
    <w:rsid w:val="006F5662"/>
    <w:rsid w:val="006F58EE"/>
    <w:rsid w:val="007002A8"/>
    <w:rsid w:val="007019EC"/>
    <w:rsid w:val="0070222E"/>
    <w:rsid w:val="00703761"/>
    <w:rsid w:val="00710A5F"/>
    <w:rsid w:val="00711FB2"/>
    <w:rsid w:val="007167BE"/>
    <w:rsid w:val="00717A07"/>
    <w:rsid w:val="0072626F"/>
    <w:rsid w:val="00732EEC"/>
    <w:rsid w:val="007450F6"/>
    <w:rsid w:val="0074675E"/>
    <w:rsid w:val="00746B7D"/>
    <w:rsid w:val="00746C24"/>
    <w:rsid w:val="00754487"/>
    <w:rsid w:val="00754533"/>
    <w:rsid w:val="00770902"/>
    <w:rsid w:val="00776F40"/>
    <w:rsid w:val="0078021C"/>
    <w:rsid w:val="00780DB5"/>
    <w:rsid w:val="007830E1"/>
    <w:rsid w:val="007849CF"/>
    <w:rsid w:val="00787868"/>
    <w:rsid w:val="00794326"/>
    <w:rsid w:val="007A32DF"/>
    <w:rsid w:val="007A4A52"/>
    <w:rsid w:val="007C0D9D"/>
    <w:rsid w:val="007C5208"/>
    <w:rsid w:val="007D0DE7"/>
    <w:rsid w:val="007D17C8"/>
    <w:rsid w:val="007D71A4"/>
    <w:rsid w:val="007D7DF8"/>
    <w:rsid w:val="007E13AD"/>
    <w:rsid w:val="007E1A6E"/>
    <w:rsid w:val="007E7936"/>
    <w:rsid w:val="007F0152"/>
    <w:rsid w:val="007F342B"/>
    <w:rsid w:val="007F50A9"/>
    <w:rsid w:val="008172DB"/>
    <w:rsid w:val="00820DB0"/>
    <w:rsid w:val="00826963"/>
    <w:rsid w:val="00831018"/>
    <w:rsid w:val="00834831"/>
    <w:rsid w:val="0083485F"/>
    <w:rsid w:val="00841D96"/>
    <w:rsid w:val="00847764"/>
    <w:rsid w:val="00852AD2"/>
    <w:rsid w:val="008615CA"/>
    <w:rsid w:val="00861BEF"/>
    <w:rsid w:val="00862C41"/>
    <w:rsid w:val="00864DE8"/>
    <w:rsid w:val="00883B79"/>
    <w:rsid w:val="00886F70"/>
    <w:rsid w:val="008901E2"/>
    <w:rsid w:val="0089360A"/>
    <w:rsid w:val="008947B3"/>
    <w:rsid w:val="008952C8"/>
    <w:rsid w:val="00897C09"/>
    <w:rsid w:val="008A055D"/>
    <w:rsid w:val="008A2FCF"/>
    <w:rsid w:val="008A3150"/>
    <w:rsid w:val="008A7094"/>
    <w:rsid w:val="008B0606"/>
    <w:rsid w:val="008B4F8F"/>
    <w:rsid w:val="008C4E7C"/>
    <w:rsid w:val="008D49DF"/>
    <w:rsid w:val="008E0C8C"/>
    <w:rsid w:val="008E1196"/>
    <w:rsid w:val="008E717C"/>
    <w:rsid w:val="008F26AB"/>
    <w:rsid w:val="008F7C92"/>
    <w:rsid w:val="00914736"/>
    <w:rsid w:val="00914F70"/>
    <w:rsid w:val="00917C5D"/>
    <w:rsid w:val="0092326E"/>
    <w:rsid w:val="00934BB5"/>
    <w:rsid w:val="00936994"/>
    <w:rsid w:val="009425D2"/>
    <w:rsid w:val="00942FC9"/>
    <w:rsid w:val="0094342F"/>
    <w:rsid w:val="00950834"/>
    <w:rsid w:val="009526A1"/>
    <w:rsid w:val="00963E63"/>
    <w:rsid w:val="00977060"/>
    <w:rsid w:val="00977EA1"/>
    <w:rsid w:val="00982550"/>
    <w:rsid w:val="009833E1"/>
    <w:rsid w:val="00983BB0"/>
    <w:rsid w:val="00984E74"/>
    <w:rsid w:val="009854CA"/>
    <w:rsid w:val="0098561A"/>
    <w:rsid w:val="00987F53"/>
    <w:rsid w:val="00990DC7"/>
    <w:rsid w:val="0099154C"/>
    <w:rsid w:val="009974C6"/>
    <w:rsid w:val="00997C3C"/>
    <w:rsid w:val="009A1C6F"/>
    <w:rsid w:val="009A21A1"/>
    <w:rsid w:val="009A5189"/>
    <w:rsid w:val="009A6E19"/>
    <w:rsid w:val="009A707C"/>
    <w:rsid w:val="009B1C82"/>
    <w:rsid w:val="009C02C3"/>
    <w:rsid w:val="009C2FD0"/>
    <w:rsid w:val="009C3838"/>
    <w:rsid w:val="009C65CE"/>
    <w:rsid w:val="009C7ED2"/>
    <w:rsid w:val="009D248B"/>
    <w:rsid w:val="009E3A7E"/>
    <w:rsid w:val="009E437B"/>
    <w:rsid w:val="00A1367F"/>
    <w:rsid w:val="00A2091C"/>
    <w:rsid w:val="00A307FC"/>
    <w:rsid w:val="00A3497D"/>
    <w:rsid w:val="00A42D0D"/>
    <w:rsid w:val="00A44F57"/>
    <w:rsid w:val="00A57F77"/>
    <w:rsid w:val="00A64457"/>
    <w:rsid w:val="00A66093"/>
    <w:rsid w:val="00A66584"/>
    <w:rsid w:val="00A72DC5"/>
    <w:rsid w:val="00A75616"/>
    <w:rsid w:val="00A817BE"/>
    <w:rsid w:val="00A818B6"/>
    <w:rsid w:val="00A83EA2"/>
    <w:rsid w:val="00A85A2D"/>
    <w:rsid w:val="00A95784"/>
    <w:rsid w:val="00A95D15"/>
    <w:rsid w:val="00AA7976"/>
    <w:rsid w:val="00AB15A0"/>
    <w:rsid w:val="00AB164A"/>
    <w:rsid w:val="00AB6AC1"/>
    <w:rsid w:val="00AD2BC8"/>
    <w:rsid w:val="00AE5FE3"/>
    <w:rsid w:val="00AF12B1"/>
    <w:rsid w:val="00AF2015"/>
    <w:rsid w:val="00AF5FE1"/>
    <w:rsid w:val="00B01428"/>
    <w:rsid w:val="00B073FD"/>
    <w:rsid w:val="00B17390"/>
    <w:rsid w:val="00B17AE7"/>
    <w:rsid w:val="00B222E5"/>
    <w:rsid w:val="00B342EC"/>
    <w:rsid w:val="00B36BEF"/>
    <w:rsid w:val="00B40537"/>
    <w:rsid w:val="00B41B28"/>
    <w:rsid w:val="00B449FD"/>
    <w:rsid w:val="00B50E53"/>
    <w:rsid w:val="00B57A40"/>
    <w:rsid w:val="00B611D0"/>
    <w:rsid w:val="00B61B4F"/>
    <w:rsid w:val="00B63815"/>
    <w:rsid w:val="00B64D0E"/>
    <w:rsid w:val="00B775DB"/>
    <w:rsid w:val="00B95E64"/>
    <w:rsid w:val="00BA1E69"/>
    <w:rsid w:val="00BA39DF"/>
    <w:rsid w:val="00BA3EE5"/>
    <w:rsid w:val="00BA4EAF"/>
    <w:rsid w:val="00BA6F42"/>
    <w:rsid w:val="00BB0A05"/>
    <w:rsid w:val="00BB4E2F"/>
    <w:rsid w:val="00BB760B"/>
    <w:rsid w:val="00BC7F74"/>
    <w:rsid w:val="00BE22C6"/>
    <w:rsid w:val="00BE54B3"/>
    <w:rsid w:val="00C00FC7"/>
    <w:rsid w:val="00C02E86"/>
    <w:rsid w:val="00C053DC"/>
    <w:rsid w:val="00C12804"/>
    <w:rsid w:val="00C23126"/>
    <w:rsid w:val="00C26B03"/>
    <w:rsid w:val="00C30EBC"/>
    <w:rsid w:val="00C376FA"/>
    <w:rsid w:val="00C41114"/>
    <w:rsid w:val="00C41287"/>
    <w:rsid w:val="00C436E4"/>
    <w:rsid w:val="00C502F0"/>
    <w:rsid w:val="00C54245"/>
    <w:rsid w:val="00C5470C"/>
    <w:rsid w:val="00C55AE3"/>
    <w:rsid w:val="00C623A7"/>
    <w:rsid w:val="00C77A18"/>
    <w:rsid w:val="00C810BB"/>
    <w:rsid w:val="00C823BD"/>
    <w:rsid w:val="00C84F4C"/>
    <w:rsid w:val="00C96292"/>
    <w:rsid w:val="00CA473F"/>
    <w:rsid w:val="00CB3876"/>
    <w:rsid w:val="00CB66D6"/>
    <w:rsid w:val="00CD4A15"/>
    <w:rsid w:val="00CE0BBB"/>
    <w:rsid w:val="00CF396F"/>
    <w:rsid w:val="00CF685A"/>
    <w:rsid w:val="00D00738"/>
    <w:rsid w:val="00D0620C"/>
    <w:rsid w:val="00D1173D"/>
    <w:rsid w:val="00D15DAB"/>
    <w:rsid w:val="00D25897"/>
    <w:rsid w:val="00D37AEC"/>
    <w:rsid w:val="00D47A7A"/>
    <w:rsid w:val="00D5025A"/>
    <w:rsid w:val="00D534FE"/>
    <w:rsid w:val="00D612A5"/>
    <w:rsid w:val="00D644F9"/>
    <w:rsid w:val="00D703D9"/>
    <w:rsid w:val="00D71EAD"/>
    <w:rsid w:val="00D76006"/>
    <w:rsid w:val="00D852F5"/>
    <w:rsid w:val="00D86267"/>
    <w:rsid w:val="00D864DF"/>
    <w:rsid w:val="00D8672B"/>
    <w:rsid w:val="00D87669"/>
    <w:rsid w:val="00D93A5B"/>
    <w:rsid w:val="00DA0A12"/>
    <w:rsid w:val="00DA57E9"/>
    <w:rsid w:val="00DA7169"/>
    <w:rsid w:val="00DB4BC4"/>
    <w:rsid w:val="00DB5EA8"/>
    <w:rsid w:val="00DB66C7"/>
    <w:rsid w:val="00DC47DB"/>
    <w:rsid w:val="00DE2150"/>
    <w:rsid w:val="00DE799C"/>
    <w:rsid w:val="00DF1BAB"/>
    <w:rsid w:val="00E07BAA"/>
    <w:rsid w:val="00E150D6"/>
    <w:rsid w:val="00E17960"/>
    <w:rsid w:val="00E216A3"/>
    <w:rsid w:val="00E229CE"/>
    <w:rsid w:val="00E23B31"/>
    <w:rsid w:val="00E241C1"/>
    <w:rsid w:val="00E259A9"/>
    <w:rsid w:val="00E27914"/>
    <w:rsid w:val="00E27BBB"/>
    <w:rsid w:val="00E36130"/>
    <w:rsid w:val="00E44A32"/>
    <w:rsid w:val="00E55041"/>
    <w:rsid w:val="00E55B0E"/>
    <w:rsid w:val="00E572B8"/>
    <w:rsid w:val="00E60682"/>
    <w:rsid w:val="00E66988"/>
    <w:rsid w:val="00E7244B"/>
    <w:rsid w:val="00E7269D"/>
    <w:rsid w:val="00E738DE"/>
    <w:rsid w:val="00E75D43"/>
    <w:rsid w:val="00E95C7D"/>
    <w:rsid w:val="00E96547"/>
    <w:rsid w:val="00EA573A"/>
    <w:rsid w:val="00EB7236"/>
    <w:rsid w:val="00ED0302"/>
    <w:rsid w:val="00ED1725"/>
    <w:rsid w:val="00ED2F59"/>
    <w:rsid w:val="00ED3A28"/>
    <w:rsid w:val="00ED573D"/>
    <w:rsid w:val="00ED6DC2"/>
    <w:rsid w:val="00EE49D9"/>
    <w:rsid w:val="00EE5B27"/>
    <w:rsid w:val="00EF18C6"/>
    <w:rsid w:val="00EF4F3A"/>
    <w:rsid w:val="00F02807"/>
    <w:rsid w:val="00F02F41"/>
    <w:rsid w:val="00F111B2"/>
    <w:rsid w:val="00F12202"/>
    <w:rsid w:val="00F20B98"/>
    <w:rsid w:val="00F226A0"/>
    <w:rsid w:val="00F332B4"/>
    <w:rsid w:val="00F341FC"/>
    <w:rsid w:val="00F343F6"/>
    <w:rsid w:val="00F34CA4"/>
    <w:rsid w:val="00F36D30"/>
    <w:rsid w:val="00F42670"/>
    <w:rsid w:val="00F4689B"/>
    <w:rsid w:val="00F50C35"/>
    <w:rsid w:val="00F5745F"/>
    <w:rsid w:val="00F61C7B"/>
    <w:rsid w:val="00F657FC"/>
    <w:rsid w:val="00F66FD3"/>
    <w:rsid w:val="00F675F0"/>
    <w:rsid w:val="00F71822"/>
    <w:rsid w:val="00F820F9"/>
    <w:rsid w:val="00F84622"/>
    <w:rsid w:val="00F87001"/>
    <w:rsid w:val="00F96A3B"/>
    <w:rsid w:val="00FA78F9"/>
    <w:rsid w:val="00FB0CE1"/>
    <w:rsid w:val="00FB589C"/>
    <w:rsid w:val="00FC3B41"/>
    <w:rsid w:val="00FD5218"/>
    <w:rsid w:val="00FE6793"/>
    <w:rsid w:val="00FF01CD"/>
    <w:rsid w:val="00FF338F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4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re7">
    <w:name w:val="heading 7"/>
    <w:basedOn w:val="Normal"/>
    <w:next w:val="Normal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re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re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re">
    <w:name w:val="Title"/>
    <w:basedOn w:val="Normal"/>
    <w:next w:val="Normal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sdetexte">
    <w:name w:val="Body Text"/>
    <w:basedOn w:val="Normal"/>
    <w:rPr>
      <w:i/>
      <w:iCs/>
      <w:sz w:val="32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styleId="Corpsdetexte2">
    <w:name w:val="Body Text 2"/>
    <w:basedOn w:val="Normal"/>
    <w:qFormat/>
    <w:pPr>
      <w:shd w:val="clear" w:color="auto" w:fill="FFFFFF"/>
    </w:pPr>
    <w:rPr>
      <w:b/>
      <w:bCs/>
      <w:i/>
      <w:iCs/>
      <w:sz w:val="28"/>
    </w:rPr>
  </w:style>
  <w:style w:type="paragraph" w:styleId="Corpsdetexte3">
    <w:name w:val="Body Text 3"/>
    <w:basedOn w:val="Normal"/>
    <w:qFormat/>
    <w:pPr>
      <w:jc w:val="center"/>
    </w:pPr>
    <w:rPr>
      <w:sz w:val="36"/>
    </w:rPr>
  </w:style>
  <w:style w:type="paragraph" w:customStyle="1" w:styleId="NumberedList">
    <w:name w:val="Numbered List"/>
    <w:basedOn w:val="Normal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Listenumros">
    <w:name w:val="List Number"/>
    <w:basedOn w:val="Normal"/>
    <w:qFormat/>
    <w:pPr>
      <w:widowControl/>
      <w:textAlignment w:val="baseline"/>
    </w:pPr>
  </w:style>
  <w:style w:type="paragraph" w:styleId="Listenumros2">
    <w:name w:val="List Number 2"/>
    <w:basedOn w:val="Normal"/>
    <w:qFormat/>
    <w:pPr>
      <w:widowControl/>
      <w:textAlignment w:val="baseline"/>
    </w:pPr>
  </w:style>
  <w:style w:type="paragraph" w:styleId="Listenumros3">
    <w:name w:val="List Number 3"/>
    <w:basedOn w:val="Normal"/>
    <w:qFormat/>
    <w:pPr>
      <w:widowControl/>
      <w:textAlignment w:val="baseline"/>
    </w:pPr>
  </w:style>
  <w:style w:type="paragraph" w:styleId="Listenumros4">
    <w:name w:val="List Number 4"/>
    <w:basedOn w:val="Normal"/>
    <w:qFormat/>
    <w:pPr>
      <w:widowControl/>
      <w:textAlignment w:val="baseline"/>
    </w:pPr>
  </w:style>
  <w:style w:type="paragraph" w:styleId="Listenumros5">
    <w:name w:val="List Number 5"/>
    <w:basedOn w:val="Normal"/>
    <w:qFormat/>
    <w:pPr>
      <w:widowControl/>
      <w:textAlignment w:val="baseline"/>
    </w:pPr>
  </w:style>
  <w:style w:type="paragraph" w:styleId="Listepuces">
    <w:name w:val="List Bullet"/>
    <w:basedOn w:val="Normal"/>
    <w:qFormat/>
    <w:pPr>
      <w:widowControl/>
      <w:textAlignment w:val="baseline"/>
    </w:pPr>
  </w:style>
  <w:style w:type="paragraph" w:styleId="Listepuces2">
    <w:name w:val="List Bullet 2"/>
    <w:basedOn w:val="Normal"/>
    <w:qFormat/>
    <w:pPr>
      <w:widowControl/>
      <w:textAlignment w:val="baseline"/>
    </w:pPr>
  </w:style>
  <w:style w:type="paragraph" w:styleId="Listepuces3">
    <w:name w:val="List Bullet 3"/>
    <w:basedOn w:val="Normal"/>
    <w:qFormat/>
    <w:pPr>
      <w:widowControl/>
      <w:textAlignment w:val="baseline"/>
    </w:pPr>
  </w:style>
  <w:style w:type="paragraph" w:styleId="Listepuces4">
    <w:name w:val="List Bullet 4"/>
    <w:basedOn w:val="Normal"/>
    <w:qFormat/>
    <w:pPr>
      <w:widowControl/>
      <w:textAlignment w:val="baseline"/>
    </w:pPr>
  </w:style>
  <w:style w:type="paragraph" w:styleId="Listepuces5">
    <w:name w:val="List Bullet 5"/>
    <w:basedOn w:val="Normal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etraitcorpsdetexte2">
    <w:name w:val="Body Text Indent 2"/>
    <w:basedOn w:val="Normal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etraitcorpsdetexte">
    <w:name w:val="Body Text Indent"/>
    <w:basedOn w:val="Normal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Commentaire">
    <w:name w:val="annotation text"/>
    <w:basedOn w:val="Normal"/>
    <w:link w:val="CommentaireCar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Notedebasdepage">
    <w:name w:val="footnote text"/>
    <w:basedOn w:val="Normal"/>
    <w:rPr>
      <w:sz w:val="24"/>
      <w:szCs w:val="24"/>
    </w:rPr>
  </w:style>
  <w:style w:type="paragraph" w:customStyle="1" w:styleId="Contenutocornice">
    <w:name w:val="Contenuto cornice"/>
    <w:basedOn w:val="Normal"/>
    <w:qFormat/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NormalWeb">
    <w:name w:val="Normal (Web)"/>
    <w:basedOn w:val="Normal"/>
    <w:uiPriority w:val="99"/>
    <w:semiHidden/>
    <w:unhideWhenUsed/>
    <w:rsid w:val="006448B4"/>
    <w:pPr>
      <w:widowControl/>
      <w:suppressAutoHyphens w:val="0"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A3E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EE5"/>
    <w:rPr>
      <w:color w:val="605E5C"/>
      <w:shd w:val="clear" w:color="auto" w:fill="E1DFDD"/>
    </w:rPr>
  </w:style>
  <w:style w:type="character" w:customStyle="1" w:styleId="article-title">
    <w:name w:val="article-title"/>
    <w:basedOn w:val="Policepardfaut"/>
    <w:rsid w:val="008C4E7C"/>
  </w:style>
  <w:style w:type="paragraph" w:styleId="Rvision">
    <w:name w:val="Revision"/>
    <w:hidden/>
    <w:uiPriority w:val="99"/>
    <w:semiHidden/>
    <w:rsid w:val="008F7C9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8F7C92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Grilledetableauclaire">
    <w:name w:val="Grid Table Light"/>
    <w:basedOn w:val="TableauNormal"/>
    <w:uiPriority w:val="40"/>
    <w:rsid w:val="008172DB"/>
    <w:rPr>
      <w:rFonts w:asciiTheme="minorHAnsi" w:eastAsiaTheme="minorHAnsi" w:hAnsiTheme="minorHAnsi" w:cstheme="minorBidi"/>
      <w:kern w:val="2"/>
      <w:sz w:val="22"/>
      <w:szCs w:val="22"/>
      <w:lang w:val="en-US" w:eastAsia="en-US" w:bidi="ar-SA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Policepardfaut"/>
    <w:rsid w:val="003016DA"/>
    <w:rPr>
      <w:rFonts w:ascii="Segoe UI" w:hAnsi="Segoe UI" w:cs="Segoe UI" w:hint="default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5439-1BB2-4A60-BE1F-17FA1F77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1425</Words>
  <Characters>7838</Characters>
  <Application>Microsoft Office Word</Application>
  <DocSecurity>0</DocSecurity>
  <Lines>65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SHANSHIASHVILI Gvantsa</cp:lastModifiedBy>
  <cp:revision>35</cp:revision>
  <cp:lastPrinted>2023-05-25T14:55:00Z</cp:lastPrinted>
  <dcterms:created xsi:type="dcterms:W3CDTF">2023-06-09T09:02:00Z</dcterms:created>
  <dcterms:modified xsi:type="dcterms:W3CDTF">2023-06-09T10:51:00Z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DocumentId">
    <vt:lpwstr>a7a1e79f1e8f4eed22af82b4536094bd36f6440c78385362e36aba3c04de54ce</vt:lpwstr>
  </property>
</Properties>
</file>