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5D9602AA" w:rsidR="007D40F9" w:rsidRPr="00537E35" w:rsidRDefault="00BF21AF" w:rsidP="007D40F9">
      <w:pPr>
        <w:pStyle w:val="Title"/>
        <w:spacing w:before="600" w:line="240" w:lineRule="auto"/>
        <w:rPr>
          <w:lang w:val="en-GB"/>
        </w:rPr>
      </w:pPr>
      <w:r w:rsidRPr="00537E35">
        <w:rPr>
          <w:lang w:val="en-GB"/>
        </w:rPr>
        <w:t>L</w:t>
      </w:r>
      <w:r w:rsidR="007917C8" w:rsidRPr="00537E35">
        <w:rPr>
          <w:lang w:val="en-GB"/>
        </w:rPr>
        <w:t>e</w:t>
      </w:r>
      <w:r w:rsidRPr="00537E35">
        <w:rPr>
          <w:lang w:val="en-GB"/>
        </w:rPr>
        <w:t>veraging Lacti</w:t>
      </w:r>
      <w:r w:rsidR="007917C8" w:rsidRPr="00537E35">
        <w:rPr>
          <w:lang w:val="en-GB"/>
        </w:rPr>
        <w:t>c</w:t>
      </w:r>
      <w:r w:rsidRPr="00537E35">
        <w:rPr>
          <w:lang w:val="en-GB"/>
        </w:rPr>
        <w:t xml:space="preserve"> Acid Bacteria for new sustainable processes</w:t>
      </w:r>
    </w:p>
    <w:p w14:paraId="21C2B6D2" w14:textId="38593621" w:rsidR="007D40F9" w:rsidRPr="00537E35" w:rsidRDefault="00BF21AF" w:rsidP="00C66952">
      <w:pPr>
        <w:jc w:val="center"/>
        <w:rPr>
          <w:lang w:val="de-DE"/>
        </w:rPr>
      </w:pPr>
      <w:r w:rsidRPr="00537E35">
        <w:rPr>
          <w:lang w:val="de-DE"/>
        </w:rPr>
        <w:t>Laura Troiani</w:t>
      </w:r>
      <w:r w:rsidR="007D40F9" w:rsidRPr="00537E35">
        <w:rPr>
          <w:lang w:val="de-DE"/>
        </w:rPr>
        <w:t xml:space="preserve"> (</w:t>
      </w:r>
      <w:r w:rsidRPr="00537E35">
        <w:rPr>
          <w:lang w:val="de-DE"/>
        </w:rPr>
        <w:t>laura.troiani</w:t>
      </w:r>
      <w:r w:rsidR="007D40F9" w:rsidRPr="00537E35">
        <w:rPr>
          <w:lang w:val="de-DE"/>
        </w:rPr>
        <w:t>@uni</w:t>
      </w:r>
      <w:r w:rsidRPr="00537E35">
        <w:rPr>
          <w:lang w:val="de-DE"/>
        </w:rPr>
        <w:t>pr</w:t>
      </w:r>
      <w:r w:rsidR="007D40F9" w:rsidRPr="00537E35">
        <w:rPr>
          <w:lang w:val="de-DE"/>
        </w:rPr>
        <w:t>.it)</w:t>
      </w:r>
    </w:p>
    <w:p w14:paraId="45EC4CC3" w14:textId="6424FB7A" w:rsidR="007D40F9" w:rsidRPr="00537E35" w:rsidRDefault="007D40F9" w:rsidP="00C66952">
      <w:pPr>
        <w:jc w:val="center"/>
        <w:rPr>
          <w:lang w:val="en-GB"/>
        </w:rPr>
      </w:pPr>
      <w:r w:rsidRPr="00537E35">
        <w:rPr>
          <w:lang w:val="en-GB"/>
        </w:rPr>
        <w:t xml:space="preserve">Dept. </w:t>
      </w:r>
      <w:r w:rsidR="00BF21AF" w:rsidRPr="00537E35">
        <w:rPr>
          <w:lang w:val="en-GB"/>
        </w:rPr>
        <w:t xml:space="preserve">of </w:t>
      </w:r>
      <w:r w:rsidRPr="00537E35">
        <w:rPr>
          <w:lang w:val="en-GB"/>
        </w:rPr>
        <w:t xml:space="preserve">Food </w:t>
      </w:r>
      <w:r w:rsidR="00BF21AF" w:rsidRPr="00537E35">
        <w:rPr>
          <w:lang w:val="en-GB"/>
        </w:rPr>
        <w:t>and Drug</w:t>
      </w:r>
      <w:r w:rsidRPr="00537E35">
        <w:rPr>
          <w:lang w:val="en-GB"/>
        </w:rPr>
        <w:t xml:space="preserve">, University of </w:t>
      </w:r>
      <w:r w:rsidR="00BF21AF" w:rsidRPr="00537E35">
        <w:rPr>
          <w:lang w:val="en-GB"/>
        </w:rPr>
        <w:t>Parma</w:t>
      </w:r>
      <w:r w:rsidRPr="00537E35">
        <w:rPr>
          <w:lang w:val="en-GB"/>
        </w:rPr>
        <w:t xml:space="preserve">, </w:t>
      </w:r>
      <w:r w:rsidR="00BF21AF" w:rsidRPr="00537E35">
        <w:rPr>
          <w:lang w:val="en-GB"/>
        </w:rPr>
        <w:t>43124</w:t>
      </w:r>
      <w:r w:rsidRPr="00537E35">
        <w:rPr>
          <w:lang w:val="en-GB"/>
        </w:rPr>
        <w:t>, Italy</w:t>
      </w:r>
    </w:p>
    <w:p w14:paraId="1549B0B4" w14:textId="3819C463" w:rsidR="007D40F9" w:rsidRPr="00537E35" w:rsidRDefault="007D40F9" w:rsidP="00C66952">
      <w:pPr>
        <w:jc w:val="center"/>
        <w:rPr>
          <w:lang w:val="en-GB"/>
        </w:rPr>
      </w:pPr>
      <w:r w:rsidRPr="00537E35">
        <w:rPr>
          <w:lang w:val="en-GB"/>
        </w:rPr>
        <w:t xml:space="preserve">Tutor: Prof. </w:t>
      </w:r>
      <w:r w:rsidR="00BF21AF" w:rsidRPr="00537E35">
        <w:rPr>
          <w:lang w:val="en-GB"/>
        </w:rPr>
        <w:t xml:space="preserve">Erasmo </w:t>
      </w:r>
      <w:proofErr w:type="spellStart"/>
      <w:r w:rsidR="00BF21AF" w:rsidRPr="00537E35">
        <w:rPr>
          <w:lang w:val="en-GB"/>
        </w:rPr>
        <w:t>Neviani</w:t>
      </w:r>
      <w:proofErr w:type="spellEnd"/>
    </w:p>
    <w:p w14:paraId="470CB764" w14:textId="77777777" w:rsidR="007D40F9" w:rsidRPr="00537E35" w:rsidRDefault="007D40F9" w:rsidP="00C66952">
      <w:pPr>
        <w:jc w:val="both"/>
        <w:rPr>
          <w:lang w:val="en-GB"/>
        </w:rPr>
      </w:pPr>
    </w:p>
    <w:p w14:paraId="774D3E2B" w14:textId="4B57F9AA" w:rsidR="00447EB7" w:rsidRPr="00537E35" w:rsidRDefault="007D40F9" w:rsidP="00C66952">
      <w:pPr>
        <w:jc w:val="both"/>
        <w:rPr>
          <w:lang w:val="en-GB"/>
        </w:rPr>
      </w:pPr>
      <w:r w:rsidRPr="00537E35">
        <w:rPr>
          <w:lang w:val="en-GB"/>
        </w:rPr>
        <w:t xml:space="preserve">This </w:t>
      </w:r>
      <w:r w:rsidR="002E088C" w:rsidRPr="00537E35">
        <w:rPr>
          <w:lang w:val="en-GB"/>
        </w:rPr>
        <w:t xml:space="preserve">Ph.D. </w:t>
      </w:r>
      <w:r w:rsidRPr="00537E35">
        <w:rPr>
          <w:lang w:val="en-GB"/>
        </w:rPr>
        <w:t xml:space="preserve">thesis </w:t>
      </w:r>
      <w:r w:rsidR="00505646" w:rsidRPr="00537E35">
        <w:rPr>
          <w:lang w:val="en-GB"/>
        </w:rPr>
        <w:t>dealt with the</w:t>
      </w:r>
      <w:r w:rsidR="007917C8" w:rsidRPr="00537E35">
        <w:rPr>
          <w:lang w:val="en-GB"/>
        </w:rPr>
        <w:t xml:space="preserve"> </w:t>
      </w:r>
      <w:r w:rsidR="00F96960" w:rsidRPr="00537E35">
        <w:rPr>
          <w:lang w:val="en-GB"/>
        </w:rPr>
        <w:t xml:space="preserve">phenotypic </w:t>
      </w:r>
      <w:r w:rsidR="00447EB7" w:rsidRPr="00537E35">
        <w:rPr>
          <w:lang w:val="en-GB"/>
        </w:rPr>
        <w:t>characteriz</w:t>
      </w:r>
      <w:r w:rsidR="00505646" w:rsidRPr="00537E35">
        <w:rPr>
          <w:lang w:val="en-GB"/>
        </w:rPr>
        <w:t>ation</w:t>
      </w:r>
      <w:r w:rsidR="00A35A2A" w:rsidRPr="00537E35">
        <w:rPr>
          <w:lang w:val="en-GB"/>
        </w:rPr>
        <w:t xml:space="preserve"> of</w:t>
      </w:r>
      <w:r w:rsidR="00447EB7" w:rsidRPr="00537E35">
        <w:rPr>
          <w:lang w:val="en-GB"/>
        </w:rPr>
        <w:t xml:space="preserve"> a microbial core (SMC)</w:t>
      </w:r>
      <w:r w:rsidR="00A35A2A" w:rsidRPr="00537E35">
        <w:rPr>
          <w:lang w:val="en-GB"/>
        </w:rPr>
        <w:t xml:space="preserve"> of Lactic Acid Bacteria (LAB) selected </w:t>
      </w:r>
      <w:r w:rsidR="00447EB7" w:rsidRPr="00537E35">
        <w:rPr>
          <w:lang w:val="en-GB"/>
        </w:rPr>
        <w:t xml:space="preserve">from </w:t>
      </w:r>
      <w:r w:rsidR="00A35A2A" w:rsidRPr="00537E35">
        <w:rPr>
          <w:lang w:val="en-GB"/>
        </w:rPr>
        <w:t xml:space="preserve">the “University of Parma Culture Collection”. </w:t>
      </w:r>
      <w:r w:rsidR="00505646" w:rsidRPr="00537E35">
        <w:rPr>
          <w:lang w:val="en-GB"/>
        </w:rPr>
        <w:t xml:space="preserve">The investigation of </w:t>
      </w:r>
      <w:r w:rsidR="00A35A2A" w:rsidRPr="00537E35">
        <w:rPr>
          <w:lang w:val="en-GB"/>
        </w:rPr>
        <w:t>LAB</w:t>
      </w:r>
      <w:r w:rsidR="00505646" w:rsidRPr="00537E35">
        <w:rPr>
          <w:lang w:val="en-GB"/>
        </w:rPr>
        <w:t xml:space="preserve"> functional potentialities aims to </w:t>
      </w:r>
      <w:proofErr w:type="spellStart"/>
      <w:r w:rsidR="00B0150E" w:rsidRPr="00537E35">
        <w:rPr>
          <w:lang w:val="en-GB"/>
        </w:rPr>
        <w:t>valoriz</w:t>
      </w:r>
      <w:r w:rsidR="00505646" w:rsidRPr="00537E35">
        <w:rPr>
          <w:lang w:val="en-GB"/>
        </w:rPr>
        <w:t>e</w:t>
      </w:r>
      <w:proofErr w:type="spellEnd"/>
      <w:r w:rsidR="00B0150E" w:rsidRPr="00537E35">
        <w:rPr>
          <w:lang w:val="en-GB"/>
        </w:rPr>
        <w:t xml:space="preserve"> </w:t>
      </w:r>
      <w:r w:rsidR="00A35A2A" w:rsidRPr="00537E35">
        <w:rPr>
          <w:lang w:val="en-GB"/>
        </w:rPr>
        <w:t xml:space="preserve">the collection </w:t>
      </w:r>
      <w:r w:rsidR="00B0150E" w:rsidRPr="00537E35">
        <w:rPr>
          <w:lang w:val="en-GB"/>
        </w:rPr>
        <w:t>biodiversity</w:t>
      </w:r>
      <w:r w:rsidR="00F96960" w:rsidRPr="00537E35">
        <w:rPr>
          <w:lang w:val="en-GB"/>
        </w:rPr>
        <w:t xml:space="preserve"> </w:t>
      </w:r>
      <w:r w:rsidR="00B0150E" w:rsidRPr="00537E35">
        <w:rPr>
          <w:lang w:val="en-GB"/>
        </w:rPr>
        <w:t>and</w:t>
      </w:r>
      <w:r w:rsidR="00A35A2A" w:rsidRPr="00537E35">
        <w:rPr>
          <w:lang w:val="en-GB"/>
        </w:rPr>
        <w:t xml:space="preserve"> </w:t>
      </w:r>
      <w:r w:rsidR="00B0150E" w:rsidRPr="00537E35">
        <w:rPr>
          <w:lang w:val="en-GB"/>
        </w:rPr>
        <w:t>develop</w:t>
      </w:r>
      <w:r w:rsidR="00F96960" w:rsidRPr="00537E35">
        <w:rPr>
          <w:lang w:val="en-GB"/>
        </w:rPr>
        <w:t xml:space="preserve"> targeted fermentation processes </w:t>
      </w:r>
      <w:r w:rsidR="00B0150E" w:rsidRPr="00537E35">
        <w:rPr>
          <w:lang w:val="en-GB"/>
        </w:rPr>
        <w:t>for</w:t>
      </w:r>
      <w:r w:rsidR="00F96960" w:rsidRPr="00537E35">
        <w:rPr>
          <w:lang w:val="en-GB"/>
        </w:rPr>
        <w:t xml:space="preserve"> </w:t>
      </w:r>
      <w:r w:rsidR="00AD249E" w:rsidRPr="00537E35">
        <w:rPr>
          <w:lang w:val="en-GB"/>
        </w:rPr>
        <w:t>agri-</w:t>
      </w:r>
      <w:r w:rsidR="00B0150E" w:rsidRPr="00537E35">
        <w:rPr>
          <w:lang w:val="en-GB"/>
        </w:rPr>
        <w:t xml:space="preserve">food waste </w:t>
      </w:r>
      <w:r w:rsidR="00F96960" w:rsidRPr="00537E35">
        <w:rPr>
          <w:lang w:val="en-GB"/>
        </w:rPr>
        <w:t>recover</w:t>
      </w:r>
      <w:r w:rsidR="00B0150E" w:rsidRPr="00537E35">
        <w:rPr>
          <w:lang w:val="en-GB"/>
        </w:rPr>
        <w:t>y.</w:t>
      </w:r>
      <w:r w:rsidR="00F96960" w:rsidRPr="00537E35">
        <w:rPr>
          <w:lang w:val="en-GB"/>
        </w:rPr>
        <w:t xml:space="preserve"> </w:t>
      </w:r>
      <w:r w:rsidR="009E58AF" w:rsidRPr="00537E35">
        <w:rPr>
          <w:lang w:val="en-GB"/>
        </w:rPr>
        <w:t>Results showed the aptitude of LAB to metabolize different compounds characteriz</w:t>
      </w:r>
      <w:r w:rsidR="00E04DA9" w:rsidRPr="00537E35">
        <w:rPr>
          <w:lang w:val="en-GB"/>
        </w:rPr>
        <w:t>ing</w:t>
      </w:r>
      <w:r w:rsidR="009E58AF" w:rsidRPr="00537E35">
        <w:rPr>
          <w:lang w:val="en-GB"/>
        </w:rPr>
        <w:t xml:space="preserve"> the composition of many agri</w:t>
      </w:r>
      <w:r w:rsidR="0003550A" w:rsidRPr="00537E35">
        <w:rPr>
          <w:lang w:val="en-GB"/>
        </w:rPr>
        <w:t>-</w:t>
      </w:r>
      <w:r w:rsidR="009E58AF" w:rsidRPr="00537E35">
        <w:rPr>
          <w:lang w:val="en-GB"/>
        </w:rPr>
        <w:t xml:space="preserve">food waste and by-products, highlighting </w:t>
      </w:r>
      <w:r w:rsidR="00E04DA9" w:rsidRPr="00537E35">
        <w:rPr>
          <w:lang w:val="en-GB"/>
        </w:rPr>
        <w:t xml:space="preserve">meanwhile </w:t>
      </w:r>
      <w:r w:rsidR="009E58AF" w:rsidRPr="00537E35">
        <w:rPr>
          <w:lang w:val="en-GB"/>
        </w:rPr>
        <w:t>their capability of growing far from the optimal conditions.</w:t>
      </w:r>
      <w:r w:rsidR="00505646" w:rsidRPr="00537E35">
        <w:rPr>
          <w:lang w:val="en-GB"/>
        </w:rPr>
        <w:t xml:space="preserve"> </w:t>
      </w:r>
      <w:r w:rsidR="00EC57E9" w:rsidRPr="00537E35">
        <w:rPr>
          <w:lang w:val="en-GB"/>
        </w:rPr>
        <w:t xml:space="preserve">Phenotyping microarrays represent a powerful approach to implement the genotypic knowledge on bacterial physiology and </w:t>
      </w:r>
      <w:r w:rsidR="00AE4312" w:rsidRPr="00537E35">
        <w:rPr>
          <w:lang w:val="en-GB"/>
        </w:rPr>
        <w:t xml:space="preserve">to move towards </w:t>
      </w:r>
      <w:r w:rsidR="00EC57E9" w:rsidRPr="00537E35">
        <w:rPr>
          <w:lang w:val="en-GB"/>
        </w:rPr>
        <w:t>novel industrial applications of LAB.</w:t>
      </w:r>
    </w:p>
    <w:p w14:paraId="4B8C0A79" w14:textId="766035F3" w:rsidR="007D40F9" w:rsidRPr="00537E35" w:rsidRDefault="007917C8" w:rsidP="00C66952">
      <w:pPr>
        <w:pStyle w:val="Title"/>
        <w:spacing w:before="240" w:line="240" w:lineRule="auto"/>
        <w:rPr>
          <w:sz w:val="24"/>
          <w:szCs w:val="24"/>
          <w:lang w:val="it-IT"/>
        </w:rPr>
      </w:pPr>
      <w:r w:rsidRPr="00537E35">
        <w:rPr>
          <w:sz w:val="24"/>
          <w:szCs w:val="24"/>
          <w:lang w:val="it-IT"/>
        </w:rPr>
        <w:t xml:space="preserve">Caratterizzazione funzionale di una collezione di batteri lattici per lo sviluppo di processi </w:t>
      </w:r>
      <w:r w:rsidR="00505646" w:rsidRPr="00537E35">
        <w:rPr>
          <w:sz w:val="24"/>
          <w:szCs w:val="24"/>
          <w:lang w:val="it-IT"/>
        </w:rPr>
        <w:t xml:space="preserve">industriali </w:t>
      </w:r>
      <w:r w:rsidRPr="00537E35">
        <w:rPr>
          <w:sz w:val="24"/>
          <w:szCs w:val="24"/>
          <w:lang w:val="it-IT"/>
        </w:rPr>
        <w:t>sostenibili</w:t>
      </w:r>
    </w:p>
    <w:p w14:paraId="567AA3B7" w14:textId="4A0FA1B7" w:rsidR="007D40F9" w:rsidRPr="00537E35" w:rsidRDefault="007D40F9" w:rsidP="00C66952">
      <w:pPr>
        <w:jc w:val="both"/>
      </w:pPr>
      <w:r w:rsidRPr="00537E35">
        <w:t>Questa tesi di dottorato ha riguardato l</w:t>
      </w:r>
      <w:r w:rsidR="004B00B5" w:rsidRPr="00537E35">
        <w:t xml:space="preserve">a caratterizzazione fenotipica di un core microbico </w:t>
      </w:r>
      <w:r w:rsidR="00EC57E9" w:rsidRPr="00537E35">
        <w:t xml:space="preserve">(SMC) di batteri lattici (LAB) </w:t>
      </w:r>
      <w:r w:rsidR="00BB072B" w:rsidRPr="00537E35">
        <w:t>selezionat</w:t>
      </w:r>
      <w:r w:rsidR="0003550A" w:rsidRPr="00537E35">
        <w:t>i</w:t>
      </w:r>
      <w:r w:rsidR="00EC57E9" w:rsidRPr="00537E35">
        <w:t xml:space="preserve"> dalla collezione microbica di ateneo</w:t>
      </w:r>
      <w:r w:rsidR="004B00B5" w:rsidRPr="00537E35">
        <w:t xml:space="preserve">. Lo studio delle potenzialità funzionali </w:t>
      </w:r>
      <w:r w:rsidR="00EC57E9" w:rsidRPr="00537E35">
        <w:t>dei LAB mira alla</w:t>
      </w:r>
      <w:r w:rsidR="004B00B5" w:rsidRPr="00537E35">
        <w:t xml:space="preserve"> valorizza</w:t>
      </w:r>
      <w:r w:rsidR="00EC57E9" w:rsidRPr="00537E35">
        <w:t xml:space="preserve">zione della </w:t>
      </w:r>
      <w:r w:rsidR="004B00B5" w:rsidRPr="00537E35">
        <w:t xml:space="preserve">biodiversità </w:t>
      </w:r>
      <w:r w:rsidR="00EC57E9" w:rsidRPr="00537E35">
        <w:t>della collezione e</w:t>
      </w:r>
      <w:r w:rsidR="00AD249E" w:rsidRPr="00537E35">
        <w:t xml:space="preserve"> allo sviluppo di processi specifici per il recupero di scarti agro-industriali. I risultati </w:t>
      </w:r>
      <w:r w:rsidR="00392255" w:rsidRPr="00537E35">
        <w:t xml:space="preserve">hanno mostrato </w:t>
      </w:r>
      <w:r w:rsidR="0003550A" w:rsidRPr="00537E35">
        <w:t>l’</w:t>
      </w:r>
      <w:r w:rsidR="00AD249E" w:rsidRPr="00537E35">
        <w:t xml:space="preserve">attitudine dei </w:t>
      </w:r>
      <w:r w:rsidR="00BB072B" w:rsidRPr="00537E35">
        <w:t>LAB</w:t>
      </w:r>
      <w:r w:rsidR="00EC57E9" w:rsidRPr="00537E35">
        <w:t xml:space="preserve"> a</w:t>
      </w:r>
      <w:r w:rsidR="00AD249E" w:rsidRPr="00537E35">
        <w:t xml:space="preserve"> </w:t>
      </w:r>
      <w:r w:rsidR="00BB072B" w:rsidRPr="00537E35">
        <w:t xml:space="preserve">metabolizzare </w:t>
      </w:r>
      <w:r w:rsidR="00E04DA9" w:rsidRPr="00537E35">
        <w:t xml:space="preserve">sostanze </w:t>
      </w:r>
      <w:r w:rsidR="00580F9E" w:rsidRPr="00537E35">
        <w:t>caratterizzanti</w:t>
      </w:r>
      <w:r w:rsidR="00732336" w:rsidRPr="00537E35">
        <w:t xml:space="preserve"> </w:t>
      </w:r>
      <w:r w:rsidR="003C593B" w:rsidRPr="00537E35">
        <w:t>numerosi scarti agro</w:t>
      </w:r>
      <w:r w:rsidR="00580F9E" w:rsidRPr="00537E35">
        <w:t>-</w:t>
      </w:r>
      <w:r w:rsidR="00392255" w:rsidRPr="00537E35">
        <w:t>alimentari</w:t>
      </w:r>
      <w:r w:rsidR="00EC57E9" w:rsidRPr="00537E35">
        <w:t>,</w:t>
      </w:r>
      <w:r w:rsidR="00A35A2A" w:rsidRPr="00537E35">
        <w:t xml:space="preserve"> </w:t>
      </w:r>
      <w:r w:rsidR="00960C7A" w:rsidRPr="00537E35">
        <w:t>evidenziando</w:t>
      </w:r>
      <w:r w:rsidR="0003550A" w:rsidRPr="00537E35">
        <w:t xml:space="preserve"> </w:t>
      </w:r>
      <w:r w:rsidR="00E04DA9" w:rsidRPr="00537E35">
        <w:t xml:space="preserve">contemporaneamente </w:t>
      </w:r>
      <w:r w:rsidR="00AD249E" w:rsidRPr="00537E35">
        <w:t xml:space="preserve">la loro capacità di crescere in condizioni </w:t>
      </w:r>
      <w:r w:rsidR="00BB072B" w:rsidRPr="00537E35">
        <w:t>di stress</w:t>
      </w:r>
      <w:r w:rsidR="00AD249E" w:rsidRPr="00537E35">
        <w:t xml:space="preserve">. </w:t>
      </w:r>
      <w:r w:rsidR="00AE4312" w:rsidRPr="00537E35">
        <w:t xml:space="preserve">L’approccio fenotipico rappresenta un potente mezzo per implementare le conoscenze genotipiche sulla fisiologia batterica e per </w:t>
      </w:r>
      <w:r w:rsidR="00E81F5D" w:rsidRPr="00537E35">
        <w:t xml:space="preserve">indirizzare la ricerca </w:t>
      </w:r>
      <w:r w:rsidR="00AE4312" w:rsidRPr="00537E35">
        <w:t>verso nuove applicazioni industriali dei LAB</w:t>
      </w:r>
      <w:r w:rsidR="001C6E00" w:rsidRPr="00537E35">
        <w:t>.</w:t>
      </w:r>
    </w:p>
    <w:p w14:paraId="39E78291" w14:textId="37296C1E" w:rsidR="007D40F9" w:rsidRPr="00537E35" w:rsidRDefault="00580F9E" w:rsidP="00580F9E">
      <w:pPr>
        <w:pStyle w:val="Header"/>
        <w:tabs>
          <w:tab w:val="clear" w:pos="4819"/>
          <w:tab w:val="clear" w:pos="9638"/>
          <w:tab w:val="left" w:pos="7300"/>
        </w:tabs>
        <w:spacing w:line="240" w:lineRule="auto"/>
        <w:rPr>
          <w:lang w:val="it-IT"/>
        </w:rPr>
      </w:pPr>
      <w:r w:rsidRPr="00537E35">
        <w:rPr>
          <w:lang w:val="it-IT"/>
        </w:rPr>
        <w:tab/>
      </w:r>
    </w:p>
    <w:p w14:paraId="0188BB6A" w14:textId="71A345E3" w:rsidR="007D40F9" w:rsidRPr="00537E35" w:rsidRDefault="007D40F9" w:rsidP="00C66952">
      <w:pPr>
        <w:jc w:val="both"/>
        <w:rPr>
          <w:lang w:val="en-US"/>
        </w:rPr>
      </w:pPr>
      <w:r w:rsidRPr="00537E35">
        <w:rPr>
          <w:b/>
          <w:bCs/>
          <w:lang w:val="en-GB"/>
        </w:rPr>
        <w:t>Keywords</w:t>
      </w:r>
      <w:r w:rsidRPr="00537E35">
        <w:rPr>
          <w:lang w:val="en-GB"/>
        </w:rPr>
        <w:t xml:space="preserve">: </w:t>
      </w:r>
      <w:r w:rsidR="00C47BD7" w:rsidRPr="00537E35">
        <w:rPr>
          <w:lang w:val="en-GB"/>
        </w:rPr>
        <w:t>p</w:t>
      </w:r>
      <w:r w:rsidR="000C129E" w:rsidRPr="00537E35">
        <w:rPr>
          <w:lang w:val="en-GB"/>
        </w:rPr>
        <w:t>henotypic microarrays; biodiversity; lactic acid bacteria; waste recovery</w:t>
      </w:r>
      <w:r w:rsidRPr="00537E35">
        <w:rPr>
          <w:lang w:val="en-GB"/>
        </w:rPr>
        <w:t>.</w:t>
      </w:r>
    </w:p>
    <w:p w14:paraId="758A709A" w14:textId="77777777" w:rsidR="007D40F9" w:rsidRPr="00537E35" w:rsidRDefault="007D40F9" w:rsidP="00C66952">
      <w:pPr>
        <w:pStyle w:val="Heading1"/>
        <w:rPr>
          <w:b w:val="0"/>
          <w:bCs/>
          <w:szCs w:val="24"/>
          <w:lang w:val="en-GB"/>
        </w:rPr>
      </w:pPr>
      <w:bookmarkStart w:id="0" w:name="_Hlk135140740"/>
      <w:r w:rsidRPr="00537E35">
        <w:rPr>
          <w:bCs/>
          <w:szCs w:val="24"/>
          <w:lang w:val="en-GB"/>
        </w:rPr>
        <w:t>1. Introduction</w:t>
      </w:r>
    </w:p>
    <w:p w14:paraId="42C0E60C" w14:textId="77777777" w:rsidR="000B3E65" w:rsidRPr="00537E35" w:rsidRDefault="000B3E65" w:rsidP="000B3E65">
      <w:pPr>
        <w:jc w:val="both"/>
        <w:rPr>
          <w:lang w:val="en-GB"/>
        </w:rPr>
      </w:pPr>
      <w:r w:rsidRPr="00537E35">
        <w:rPr>
          <w:lang w:val="en-GB"/>
        </w:rPr>
        <w:t>In accordance with part of the Ph.D. dissertation project previously described (Troiani, 2021), this oral communication reports the core results of the following activities directed to:</w:t>
      </w:r>
    </w:p>
    <w:p w14:paraId="7D46376B" w14:textId="77777777" w:rsidR="000B3E65" w:rsidRPr="00537E35" w:rsidRDefault="000B3E65" w:rsidP="000B3E65">
      <w:pPr>
        <w:tabs>
          <w:tab w:val="left" w:pos="567"/>
          <w:tab w:val="left" w:pos="1276"/>
        </w:tabs>
        <w:ind w:left="567" w:hanging="567"/>
        <w:jc w:val="both"/>
        <w:rPr>
          <w:lang w:val="en-US"/>
        </w:rPr>
      </w:pPr>
      <w:r w:rsidRPr="00537E35">
        <w:rPr>
          <w:lang w:val="en-GB"/>
        </w:rPr>
        <w:t xml:space="preserve">A1) </w:t>
      </w:r>
      <w:r w:rsidRPr="00537E35">
        <w:rPr>
          <w:lang w:val="en-GB"/>
        </w:rPr>
        <w:tab/>
        <w:t xml:space="preserve">define the metabolic profile of the SMC’s </w:t>
      </w:r>
      <w:proofErr w:type="gramStart"/>
      <w:r w:rsidRPr="00537E35">
        <w:rPr>
          <w:lang w:val="en-GB"/>
        </w:rPr>
        <w:t>strains;</w:t>
      </w:r>
      <w:proofErr w:type="gramEnd"/>
    </w:p>
    <w:p w14:paraId="09C8F4A4" w14:textId="77777777" w:rsidR="000B3E65" w:rsidRPr="00537E35" w:rsidRDefault="000B3E65" w:rsidP="000B3E65">
      <w:pPr>
        <w:tabs>
          <w:tab w:val="left" w:pos="567"/>
        </w:tabs>
        <w:ind w:left="567" w:hanging="567"/>
        <w:jc w:val="both"/>
        <w:rPr>
          <w:lang w:val="en-US"/>
        </w:rPr>
      </w:pPr>
      <w:r w:rsidRPr="00537E35">
        <w:rPr>
          <w:lang w:val="en-GB"/>
        </w:rPr>
        <w:t xml:space="preserve">A2) </w:t>
      </w:r>
      <w:r w:rsidRPr="00537E35">
        <w:rPr>
          <w:lang w:val="en-GB"/>
        </w:rPr>
        <w:tab/>
        <w:t xml:space="preserve">study the microbial flexibility of growing under stressful environmental </w:t>
      </w:r>
      <w:proofErr w:type="gramStart"/>
      <w:r w:rsidRPr="00537E35">
        <w:rPr>
          <w:lang w:val="en-GB"/>
        </w:rPr>
        <w:t>conditions;</w:t>
      </w:r>
      <w:proofErr w:type="gramEnd"/>
    </w:p>
    <w:p w14:paraId="7D5DF949" w14:textId="77777777" w:rsidR="000B3E65" w:rsidRPr="00537E35" w:rsidRDefault="000B3E65" w:rsidP="000B3E65">
      <w:pPr>
        <w:tabs>
          <w:tab w:val="left" w:pos="567"/>
        </w:tabs>
        <w:ind w:left="567" w:hanging="567"/>
        <w:jc w:val="both"/>
        <w:rPr>
          <w:lang w:val="en-GB"/>
        </w:rPr>
      </w:pPr>
      <w:r w:rsidRPr="00537E35">
        <w:rPr>
          <w:lang w:val="en-GB"/>
        </w:rPr>
        <w:t>A3)</w:t>
      </w:r>
      <w:r w:rsidRPr="00537E35">
        <w:rPr>
          <w:lang w:val="en-GB"/>
        </w:rPr>
        <w:tab/>
        <w:t xml:space="preserve">investigate the technological potentialities of strains concerning the bioplastic </w:t>
      </w:r>
      <w:proofErr w:type="gramStart"/>
      <w:r w:rsidRPr="00537E35">
        <w:rPr>
          <w:lang w:val="en-GB"/>
        </w:rPr>
        <w:t>industry;</w:t>
      </w:r>
      <w:proofErr w:type="gramEnd"/>
    </w:p>
    <w:p w14:paraId="265EA793" w14:textId="10C48698" w:rsidR="000B3E65" w:rsidRPr="00537E35" w:rsidRDefault="000B3E65" w:rsidP="000B3E65">
      <w:pPr>
        <w:tabs>
          <w:tab w:val="left" w:pos="567"/>
        </w:tabs>
        <w:ind w:left="567" w:hanging="567"/>
        <w:jc w:val="both"/>
        <w:rPr>
          <w:lang w:val="en-GB"/>
        </w:rPr>
      </w:pPr>
      <w:r w:rsidRPr="00537E35">
        <w:rPr>
          <w:lang w:val="en-GB"/>
        </w:rPr>
        <w:t>A4)</w:t>
      </w:r>
      <w:r w:rsidRPr="00537E35">
        <w:rPr>
          <w:lang w:val="en-GB"/>
        </w:rPr>
        <w:tab/>
        <w:t xml:space="preserve">predict the microbial behaviour for targeted fermentation processes. </w:t>
      </w:r>
    </w:p>
    <w:p w14:paraId="2D58EB23" w14:textId="7CEBDA95" w:rsidR="000B3E65" w:rsidRPr="00537E35" w:rsidRDefault="000B3E65" w:rsidP="000B3E65">
      <w:pPr>
        <w:pStyle w:val="Heading1"/>
      </w:pPr>
      <w:r w:rsidRPr="00537E35">
        <w:t>2. Exploitation of microbial biodiversity</w:t>
      </w:r>
    </w:p>
    <w:bookmarkEnd w:id="0"/>
    <w:p w14:paraId="2571ACEB" w14:textId="717269F5" w:rsidR="00D1592C" w:rsidRPr="00537E35" w:rsidRDefault="00D1592C" w:rsidP="00C66952">
      <w:pPr>
        <w:jc w:val="both"/>
        <w:rPr>
          <w:lang w:val="en-GB"/>
        </w:rPr>
      </w:pPr>
      <w:r w:rsidRPr="00537E35">
        <w:rPr>
          <w:lang w:val="en-GB"/>
        </w:rPr>
        <w:t xml:space="preserve">Microorganisms represent the greatest biodiversity in every ecosystem. The University of Parma owns a wide microbial collection, denominated “University of Parma Culture Collection” (UPCC), mainly composed of Lactic Acid Bacteria (LAB) isolated from </w:t>
      </w:r>
      <w:r w:rsidR="00B922BC" w:rsidRPr="00537E35">
        <w:rPr>
          <w:lang w:val="en-GB"/>
        </w:rPr>
        <w:t>diverse</w:t>
      </w:r>
      <w:r w:rsidR="00580F9E" w:rsidRPr="00537E35">
        <w:rPr>
          <w:lang w:val="en-GB"/>
        </w:rPr>
        <w:t xml:space="preserve"> food</w:t>
      </w:r>
      <w:r w:rsidRPr="00537E35">
        <w:rPr>
          <w:lang w:val="en-GB"/>
        </w:rPr>
        <w:t xml:space="preserve"> matrices. LAB are widespread</w:t>
      </w:r>
      <w:r w:rsidR="00A66D60" w:rsidRPr="00537E35">
        <w:rPr>
          <w:lang w:val="en-GB"/>
        </w:rPr>
        <w:t xml:space="preserve"> in nature</w:t>
      </w:r>
      <w:r w:rsidR="001D08C6" w:rsidRPr="00537E35">
        <w:rPr>
          <w:lang w:val="en-GB"/>
        </w:rPr>
        <w:t xml:space="preserve">, </w:t>
      </w:r>
      <w:r w:rsidRPr="00537E35">
        <w:rPr>
          <w:lang w:val="en-GB"/>
        </w:rPr>
        <w:t xml:space="preserve">especially in food and </w:t>
      </w:r>
      <w:r w:rsidR="00F9137A" w:rsidRPr="00537E35">
        <w:rPr>
          <w:lang w:val="en-GB"/>
        </w:rPr>
        <w:t>human</w:t>
      </w:r>
      <w:r w:rsidR="001D08C6" w:rsidRPr="00537E35">
        <w:rPr>
          <w:lang w:val="en-GB"/>
        </w:rPr>
        <w:t>,</w:t>
      </w:r>
      <w:r w:rsidR="00F9137A" w:rsidRPr="00537E35">
        <w:rPr>
          <w:lang w:val="en-GB"/>
        </w:rPr>
        <w:t xml:space="preserve"> </w:t>
      </w:r>
      <w:r w:rsidRPr="00537E35">
        <w:rPr>
          <w:lang w:val="en-GB"/>
        </w:rPr>
        <w:t xml:space="preserve"> </w:t>
      </w:r>
      <w:r w:rsidR="007763B5" w:rsidRPr="00537E35">
        <w:rPr>
          <w:lang w:val="en-GB"/>
        </w:rPr>
        <w:t>and they are employed in</w:t>
      </w:r>
      <w:r w:rsidRPr="00537E35">
        <w:rPr>
          <w:lang w:val="en-GB"/>
        </w:rPr>
        <w:t xml:space="preserve"> many </w:t>
      </w:r>
      <w:r w:rsidR="007763B5" w:rsidRPr="00537E35">
        <w:rPr>
          <w:lang w:val="en-GB"/>
        </w:rPr>
        <w:t xml:space="preserve">industrial </w:t>
      </w:r>
      <w:r w:rsidRPr="00537E35">
        <w:rPr>
          <w:lang w:val="en-GB"/>
        </w:rPr>
        <w:t xml:space="preserve">applications </w:t>
      </w:r>
      <w:r w:rsidRPr="00537E35">
        <w:rPr>
          <w:lang w:val="en-GB"/>
        </w:rPr>
        <w:fldChar w:fldCharType="begin"/>
      </w:r>
      <w:r w:rsidRPr="00537E35">
        <w:rPr>
          <w:lang w:val="en-GB"/>
        </w:rPr>
        <w:instrText xml:space="preserve"> ADDIN ZOTERO_ITEM CSL_CITATION {"citationID":"Bch2nHEp","properties":{"formattedCitation":"(Buron-Moles et al., 2019; Halasz, n.d.)","plainCitation":"(Buron-Moles et al., 2019; Halasz, n.d.)","dontUpdate":true,"noteIndex":0},"citationItems":[{"id":533,"uris":["http://zotero.org/users/local/Kio4mdFQ/items/3YYSYBBF"],"itemData":{"id":533,"type":"article-journal","abstract":"Owing to their unique potential to ferment carbohydrates, both homo- and heterofermentative lactic acid bacteria (LAB) are widely used in the food industry. Deciphering the genetic basis that determine the LAB fermentation type, and hence carbohydrate utilization, is paramount to optimize LAB industrial processes. Deep sequencing of 24 LAB species and comparison with 32 publicly available genome sequences provided a comparative data set including five major LAB genera for further analysis. Phylogenomic reconstruction confirmed Leuconostoc and Pediococcus species as independently emerging from the Lactobacillus genus, within one of the three phylogenetic clades identified. These clades partially grouped LABs according to their fermentation types, suggesting that some metabolic capabilities were independently acquired during LAB evolution. In order to apply a genome-wide association study (GWAS) at the multigene family level, utilization of 49 carbohydrates was also profiled for these 56 LAB species. GWAS results indicated that obligately heterofermentative species lack 1-phosphofructokinase, required for d-mannose degradation in the homofermentative pathway. Heterofermentative species were found to often contain the araBAD operon, involved in l-arabinose degradation, which is important for heterofermentation. Taken together, our results provide helpful insights into the genetic determinants of LAB carbohydrate metabolism, and opens for further experimental research, aiming at validating the role of these candidate genes for industrial applications.","container-title":"Applied Microbiology and Biotechnology","DOI":"10.1007/s00253-019-09701-6","ISSN":"1432-0614","issue":"7","journalAbbreviation":"Appl Microbiol Biotechnol","language":"en","page":"3135-3152","source":"Springer Link","title":"Uncovering carbohydrate metabolism through a genotype-phenotype association study of 56 lactic acid bacteria genomes","volume":"103","author":[{"family":"Buron-Moles","given":"Gemma"},{"family":"Chailyan","given":"Anna"},{"family":"Dolejs","given":"Igor"},{"family":"Forster","given":"Jochen"},{"family":"Mikš","given":"Marta Hanna"}],"issued":{"date-parts":[["2019",4,1]]}}},{"id":339,"uris":["http://zotero.org/users/local/Kio4mdFQ/items/4IRNK2NH"],"itemData":{"id":339,"type":"article-journal","container-title":"Lactic Acid Bacteria","language":"en","page":"6","source":"Zotero","title":"Lactic Acid Bacteria","author":[{"family":"Halasz","given":"Anna"}]}}],"schema":"https://github.com/citation-style-language/schema/raw/master/csl-citation.json"} </w:instrText>
      </w:r>
      <w:r w:rsidRPr="00537E35">
        <w:rPr>
          <w:lang w:val="en-GB"/>
        </w:rPr>
        <w:fldChar w:fldCharType="separate"/>
      </w:r>
      <w:r w:rsidRPr="00537E35">
        <w:rPr>
          <w:lang w:val="en-GB"/>
        </w:rPr>
        <w:t xml:space="preserve">(Buron-Moles </w:t>
      </w:r>
      <w:r w:rsidRPr="00537E35">
        <w:rPr>
          <w:i/>
          <w:iCs/>
          <w:lang w:val="en-GB"/>
        </w:rPr>
        <w:t>et al.</w:t>
      </w:r>
      <w:r w:rsidRPr="00537E35">
        <w:rPr>
          <w:lang w:val="en-GB"/>
        </w:rPr>
        <w:t>, 2019)</w:t>
      </w:r>
      <w:r w:rsidRPr="00537E35">
        <w:rPr>
          <w:lang w:val="en-GB"/>
        </w:rPr>
        <w:fldChar w:fldCharType="end"/>
      </w:r>
      <w:r w:rsidRPr="00537E35">
        <w:rPr>
          <w:lang w:val="en-GB"/>
        </w:rPr>
        <w:t xml:space="preserve">. Over the time, they evolved the ability to metabolize several carbon sources and </w:t>
      </w:r>
      <w:r w:rsidR="00A916E3" w:rsidRPr="00537E35">
        <w:rPr>
          <w:lang w:val="en-GB"/>
        </w:rPr>
        <w:t>tolerate</w:t>
      </w:r>
      <w:r w:rsidRPr="00537E35">
        <w:rPr>
          <w:lang w:val="en-GB"/>
        </w:rPr>
        <w:t xml:space="preserve"> various </w:t>
      </w:r>
      <w:r w:rsidR="00ED6E2A" w:rsidRPr="00537E35">
        <w:rPr>
          <w:lang w:val="en-GB"/>
        </w:rPr>
        <w:t>environmental</w:t>
      </w:r>
      <w:r w:rsidR="00A916E3" w:rsidRPr="00537E35">
        <w:rPr>
          <w:lang w:val="en-GB"/>
        </w:rPr>
        <w:t xml:space="preserve"> </w:t>
      </w:r>
      <w:r w:rsidRPr="00537E35">
        <w:rPr>
          <w:lang w:val="en-GB"/>
        </w:rPr>
        <w:t xml:space="preserve">conditions, </w:t>
      </w:r>
      <w:r w:rsidR="007763B5" w:rsidRPr="00537E35">
        <w:rPr>
          <w:lang w:val="en-GB"/>
        </w:rPr>
        <w:t>thus becoming able to colonize</w:t>
      </w:r>
      <w:r w:rsidRPr="00537E35">
        <w:rPr>
          <w:lang w:val="en-GB"/>
        </w:rPr>
        <w:t xml:space="preserve"> many different habitats.</w:t>
      </w:r>
    </w:p>
    <w:p w14:paraId="15038A71" w14:textId="33A4F92B" w:rsidR="00D1592C" w:rsidRPr="00537E35" w:rsidRDefault="00D1592C" w:rsidP="00C66952">
      <w:pPr>
        <w:jc w:val="both"/>
        <w:rPr>
          <w:lang w:val="en-GB"/>
        </w:rPr>
      </w:pPr>
      <w:r w:rsidRPr="00537E35">
        <w:rPr>
          <w:lang w:val="en-GB"/>
        </w:rPr>
        <w:t>Current technologies in genome sequencing, bioinformatics, and high-throughput screening techniques applied to large microbial strain collections give us new opportunities in natural product discover</w:t>
      </w:r>
      <w:r w:rsidR="00B24F0A" w:rsidRPr="00537E35">
        <w:rPr>
          <w:lang w:val="en-GB"/>
        </w:rPr>
        <w:t>y</w:t>
      </w:r>
      <w:r w:rsidR="00537E35" w:rsidRPr="00537E35">
        <w:rPr>
          <w:lang w:val="en-GB"/>
        </w:rPr>
        <w:t xml:space="preserve"> </w:t>
      </w:r>
      <w:r w:rsidR="00537E35" w:rsidRPr="00537E35">
        <w:rPr>
          <w:lang w:val="en-GB"/>
        </w:rPr>
        <w:fldChar w:fldCharType="begin"/>
      </w:r>
      <w:r w:rsidR="00537E35" w:rsidRPr="00537E35">
        <w:rPr>
          <w:lang w:val="en-GB"/>
        </w:rPr>
        <w:instrText xml:space="preserve"> ADDIN ZOTERO_ITEM CSL_CITATION {"citationID":"aiaFd43Z","properties":{"formattedCitation":"(Steele et al., 2019)","plainCitation":"(Steele et al., 2019)","noteIndex":0},"citationItems":[{"id":112,"uris":["http://zotero.org/users/local/Kio4mdFQ/items/QJSJCJVN"],"itemData":{"id":112,"type":"article-journal","container-title":"Journal of Biological Chemistry","DOI":"10.1074/jbc.REV119.006514","ISSN":"00219258","issue":"45","journalAbbreviation":"Journal of Biological Chemistry","language":"en","page":"16567-16576","source":"DOI.org (Crossref)","title":"Leveraging a large microbial strain collection for natural product discovery","volume":"294","author":[{"family":"Steele","given":"Andrew D."},{"family":"Teijaro","given":"Christiana N."},{"family":"Yang","given":"Dong"},{"family":"Shen","given":"Ben"}],"issued":{"date-parts":[["2019",11]]}}}],"schema":"https://github.com/citation-style-language/schema/raw/master/csl-citation.json"} </w:instrText>
      </w:r>
      <w:r w:rsidR="00537E35" w:rsidRPr="00537E35">
        <w:rPr>
          <w:lang w:val="en-GB"/>
        </w:rPr>
        <w:fldChar w:fldCharType="separate"/>
      </w:r>
      <w:r w:rsidR="00537E35" w:rsidRPr="00537E35">
        <w:rPr>
          <w:lang w:val="en-GB"/>
        </w:rPr>
        <w:t xml:space="preserve">(Steele </w:t>
      </w:r>
      <w:r w:rsidR="00537E35" w:rsidRPr="00537E35">
        <w:rPr>
          <w:i/>
          <w:iCs/>
          <w:lang w:val="en-GB"/>
        </w:rPr>
        <w:t>et al.</w:t>
      </w:r>
      <w:r w:rsidR="00537E35" w:rsidRPr="00537E35">
        <w:rPr>
          <w:lang w:val="en-GB"/>
        </w:rPr>
        <w:t>, 2019)</w:t>
      </w:r>
      <w:r w:rsidR="00537E35" w:rsidRPr="00537E35">
        <w:rPr>
          <w:lang w:val="en-GB"/>
        </w:rPr>
        <w:fldChar w:fldCharType="end"/>
      </w:r>
      <w:r w:rsidRPr="00537E35">
        <w:rPr>
          <w:lang w:val="en-GB"/>
        </w:rPr>
        <w:t>, such as precursors of bioplastics</w:t>
      </w:r>
      <w:r w:rsidR="009C089A" w:rsidRPr="00537E35">
        <w:rPr>
          <w:lang w:val="en-GB"/>
        </w:rPr>
        <w:t>,</w:t>
      </w:r>
      <w:r w:rsidRPr="00537E35">
        <w:rPr>
          <w:lang w:val="en-GB"/>
        </w:rPr>
        <w:t xml:space="preserve"> to move towards a sustainable </w:t>
      </w:r>
      <w:r w:rsidR="00B667A7" w:rsidRPr="00537E35">
        <w:rPr>
          <w:lang w:val="en-GB"/>
        </w:rPr>
        <w:t>economic system</w:t>
      </w:r>
      <w:r w:rsidRPr="00537E35">
        <w:rPr>
          <w:lang w:val="en-GB"/>
        </w:rPr>
        <w:t xml:space="preserve"> </w:t>
      </w:r>
      <w:r w:rsidRPr="00537E35">
        <w:rPr>
          <w:lang w:val="en-GB"/>
        </w:rPr>
        <w:fldChar w:fldCharType="begin"/>
      </w:r>
      <w:r w:rsidRPr="00537E35">
        <w:rPr>
          <w:lang w:val="en-GB"/>
        </w:rPr>
        <w:instrText xml:space="preserve"> ADDIN ZOTERO_ITEM CSL_CITATION {"citationID":"vLvK8pAp","properties":{"formattedCitation":"(Bosco et al., 2021)","plainCitation":"(Bosco et al., 2021)","noteIndex":0},"citationItems":[{"id":375,"uris":["http://zotero.org/users/local/Kio4mdFQ/items/C2DQW2RE"],"itemData":{"id":375,"type":"article-journal","abstract":"It is urgent to expand the market of biodegradable alternatives to oil-derived plastics owing to (i) increasingly limited oil availability/accessibility, and (ii) the dramatic impact of traditional plastics on aquatic life, the food chain, all Earth ecosystems, and ultimately, human health. Polyhydroxyalkanoates (PHAs) are promising biodegradable polymers that can be obtained through microbial fermentation of agro-industrial byproducts, e.g., milk and cheese whey. Here, the PHAaccumulating efﬁciency of a mixed microbial culture (MMC, derived from activated sludges) grown on dairy byproducts (cheese and scotta whey) was measured. Bioreactor tests featuring temperature and pH control showed that both scotta and pre-treated Toma cheese whey could be used for PHA production by MMC, although scotta cheese whey supported higher PHA yield and productivity. The advantages of open MMCs include their plasticity and versatility to fast changing conditions; furthermore, no growth-medium sterilization is needed prior to fermentation. However, the use of pure cultures of efﬁcient PHA producers may support better metabolic performances. Therefore, PHA-producing strains were isolated from a MMC, leading to the satisfactory identiﬁcation of two bacterial strains, Citrobacter freundii and Leuconostoc spp., whose ability to accumulate PHAs in synthetic media was conﬁrmed. A more detailed investigation by mass spectrometry revealed that the strain was L. mesenteroides. Although the validation of L. mesenteroides potential to produce PHA through fermentation of agro-industrial byproducts requires further investigations, this is the ﬁrst study reporting PHA production with the Leuconostoc genus.","container-title":"Microorganisms","DOI":"10.3390/microorganisms9122426","ISSN":"2076-2607","issue":"12","journalAbbreviation":"Microorganisms","language":"en","page":"2426","source":"DOI.org (Crossref)","title":"PHA Production from Cheese Whey and “Scotta”: Comparison between a Consortium and a Pure Culture of Leuconostoc mesenteroides","title-short":"PHA Production from Cheese Whey and “Scotta”","volume":"9","author":[{"family":"Bosco","given":"Francesca"},{"family":"Cirrincione","given":"Simona"},{"family":"Carletto","given":"Riccardo"},{"family":"Marmo","given":"Luca"},{"family":"Chiesa","given":"Francesco"},{"family":"Mazzoli","given":"Roberto"},{"family":"Pessione","given":"Enrica"}],"issued":{"date-parts":[["2021",11,25]]}}}],"schema":"https://github.com/citation-style-language/schema/raw/master/csl-citation.json"} </w:instrText>
      </w:r>
      <w:r w:rsidRPr="00537E35">
        <w:rPr>
          <w:lang w:val="en-GB"/>
        </w:rPr>
        <w:fldChar w:fldCharType="separate"/>
      </w:r>
      <w:r w:rsidRPr="00537E35">
        <w:rPr>
          <w:lang w:val="en-GB"/>
        </w:rPr>
        <w:t xml:space="preserve">(Bosco </w:t>
      </w:r>
      <w:r w:rsidRPr="00537E35">
        <w:rPr>
          <w:i/>
          <w:iCs/>
          <w:lang w:val="en-GB"/>
        </w:rPr>
        <w:t>et al.</w:t>
      </w:r>
      <w:r w:rsidRPr="00537E35">
        <w:rPr>
          <w:lang w:val="en-GB"/>
        </w:rPr>
        <w:t>, 2021)</w:t>
      </w:r>
      <w:r w:rsidRPr="00537E35">
        <w:rPr>
          <w:lang w:val="en-GB"/>
        </w:rPr>
        <w:fldChar w:fldCharType="end"/>
      </w:r>
      <w:r w:rsidRPr="00537E35">
        <w:rPr>
          <w:lang w:val="en-GB"/>
        </w:rPr>
        <w:t xml:space="preserve">. </w:t>
      </w:r>
      <w:r w:rsidR="00B667A7" w:rsidRPr="00537E35">
        <w:rPr>
          <w:lang w:val="en-GB"/>
        </w:rPr>
        <w:t xml:space="preserve">The implementation of a circular economy model allows to recover waste </w:t>
      </w:r>
      <w:r w:rsidR="00362EF8" w:rsidRPr="00537E35">
        <w:rPr>
          <w:lang w:val="en-GB"/>
        </w:rPr>
        <w:t>and by-produc</w:t>
      </w:r>
      <w:r w:rsidR="00E75AB3" w:rsidRPr="00537E35">
        <w:rPr>
          <w:lang w:val="en-GB"/>
        </w:rPr>
        <w:t xml:space="preserve">ts </w:t>
      </w:r>
      <w:r w:rsidR="00B667A7" w:rsidRPr="00537E35">
        <w:rPr>
          <w:lang w:val="en-GB"/>
        </w:rPr>
        <w:t>produced every day all around the world and to reduce the over-exploitation o</w:t>
      </w:r>
      <w:r w:rsidR="002E088C" w:rsidRPr="00537E35">
        <w:rPr>
          <w:lang w:val="en-GB"/>
        </w:rPr>
        <w:t>f</w:t>
      </w:r>
      <w:r w:rsidR="00B667A7" w:rsidRPr="00537E35">
        <w:rPr>
          <w:lang w:val="en-GB"/>
        </w:rPr>
        <w:t xml:space="preserve"> natural resources and environment </w:t>
      </w:r>
      <w:r w:rsidR="00B667A7" w:rsidRPr="00537E35">
        <w:rPr>
          <w:lang w:val="en-GB"/>
        </w:rPr>
        <w:fldChar w:fldCharType="begin"/>
      </w:r>
      <w:r w:rsidR="00B667A7" w:rsidRPr="00537E35">
        <w:rPr>
          <w:lang w:val="en-GB"/>
        </w:rPr>
        <w:instrText xml:space="preserve"> ADDIN ZOTERO_ITEM CSL_CITATION {"citationID":"52AZnCEk","properties":{"formattedCitation":"(Venkata Mohan et al., 2020)","plainCitation":"(Venkata Mohan et al., 2020)","noteIndex":0},"citationItems":[{"id":360,"uris":["http://zotero.org/users/local/Kio4mdFQ/items/E32D34SA"],"itemData":{"id":360,"type":"article-journal","container-title":"Bioresource Technology","DOI":"10.1016/j.biortech.2020.124084","ISSN":"09608524","journalAbbreviation":"Bioresource Technology","language":"en","page":"124084","source":"DOI.org (Crossref)","title":"Circular bioeconomy approaches for sustainability","volume":"318","author":[{"family":"Venkata Mohan","given":"S."},{"family":"Varjani","given":"Sunita"},{"family":"Pant","given":"Deepak"},{"family":"Sauer","given":"Michael"},{"family":"Chang","given":"Jo-Shu"}],"issued":{"date-parts":[["2020",12]]}}}],"schema":"https://github.com/citation-style-language/schema/raw/master/csl-citation.json"} </w:instrText>
      </w:r>
      <w:r w:rsidR="00B667A7" w:rsidRPr="00537E35">
        <w:rPr>
          <w:lang w:val="en-GB"/>
        </w:rPr>
        <w:fldChar w:fldCharType="separate"/>
      </w:r>
      <w:r w:rsidR="00B667A7" w:rsidRPr="00537E35">
        <w:rPr>
          <w:lang w:val="en-GB"/>
        </w:rPr>
        <w:t xml:space="preserve">(Venkata Mohan </w:t>
      </w:r>
      <w:r w:rsidR="00B667A7" w:rsidRPr="00537E35">
        <w:rPr>
          <w:i/>
          <w:iCs/>
          <w:lang w:val="en-GB"/>
        </w:rPr>
        <w:t>et al.</w:t>
      </w:r>
      <w:r w:rsidR="00B667A7" w:rsidRPr="00537E35">
        <w:rPr>
          <w:lang w:val="en-GB"/>
        </w:rPr>
        <w:t>, 2020)</w:t>
      </w:r>
      <w:r w:rsidR="00B667A7" w:rsidRPr="00537E35">
        <w:rPr>
          <w:lang w:val="en-GB"/>
        </w:rPr>
        <w:fldChar w:fldCharType="end"/>
      </w:r>
      <w:r w:rsidR="00B667A7" w:rsidRPr="00537E35">
        <w:rPr>
          <w:lang w:val="en-GB"/>
        </w:rPr>
        <w:t xml:space="preserve">, by providing significant economic benefits </w:t>
      </w:r>
      <w:r w:rsidR="00B667A7" w:rsidRPr="00537E35">
        <w:rPr>
          <w:lang w:val="en-GB"/>
        </w:rPr>
        <w:fldChar w:fldCharType="begin"/>
      </w:r>
      <w:r w:rsidR="00B667A7" w:rsidRPr="00537E35">
        <w:rPr>
          <w:lang w:val="en-GB"/>
        </w:rPr>
        <w:instrText xml:space="preserve"> ADDIN ZOTERO_ITEM CSL_CITATION {"citationID":"iP6h51jw","properties":{"formattedCitation":"(Socas-Rodr\\uc0\\u237{}guez et al., 2021)","plainCitation":"(Socas-Rodríguez et al., 2021)","noteIndex":0},"citationItems":[{"id":540,"uris":["http://zotero.org/users/local/Kio4mdFQ/items/TBZ9WVA4"],"itemData":{"id":540,"type":"article-journal","abstract":"Background\nReduction of food waste provides important environmental and economic benefits. Valorization of food by-products into edible materials is one of the most interesting strategies in this field. However, food by-products and wastes can contain chemical contaminants or potential pathogens that may endanger consumers’ health. Therefore, assuring quality and safety of these by-products is of utmost importance to take advantage of this valorization strategy.\nScope and approach\nIn this review, safety evaluation of valorized by-products intended for human and animal consumption has been revised and critically discussed. With this aim, the most relevant applications of valorized by-products intended for livestock feed or food, nutraceutical, and pharmaceutical industries, in which quality and safety were assessed have been compiled. Moreover, the most common strategies for the analysis and removal of undesirable substances in these valorized by-products have been pointed out, as well as the requirements established by current regulations.\nKey findings and conclusions\nDespite the great number of applications found on food by-products valorization, only in a reduced number of works safety evaluation studies, such as physicochemical and microbiological assessments or the determination of toxic contaminants, were carried out. Among them, the development of decontamination procedures and processing approaches that avoid the generation of such undesirable substances, as well as effective analysis methods have been reported. However, in most cases the evaluation of results has been very complex and difficult due to the lack of specific legislation that regulates the suitability and safety of the new products to guarantee consumers’ safety.","container-title":"Trends in Food Science &amp; Technology","DOI":"10.1016/j.tifs.2021.05.002","ISSN":"0924-2244","journalAbbreviation":"Trends in Food Science &amp; Technology","language":"en","page":"133-147","source":"ScienceDirect","title":"Food by-products and food wastes: are they safe enough for their valorization?","title-short":"Food by-products and food wastes","volume":"114","author":[{"family":"Socas-Rodríguez","given":"Bárbara"},{"family":"Álvarez-Rivera","given":"Gerardo"},{"family":"Valdés","given":"Alberto"},{"family":"Ibáñez","given":"Elena"},{"family":"Cifuentes","given":"Alejandro"}],"issued":{"date-parts":[["2021",8,1]]}}}],"schema":"https://github.com/citation-style-language/schema/raw/master/csl-citation.json"} </w:instrText>
      </w:r>
      <w:r w:rsidR="00B667A7" w:rsidRPr="00537E35">
        <w:rPr>
          <w:lang w:val="en-GB"/>
        </w:rPr>
        <w:fldChar w:fldCharType="separate"/>
      </w:r>
      <w:r w:rsidR="00B667A7" w:rsidRPr="00537E35">
        <w:rPr>
          <w:lang w:val="en-GB"/>
        </w:rPr>
        <w:t xml:space="preserve">(Socas-Rodríguez </w:t>
      </w:r>
      <w:r w:rsidR="00B667A7" w:rsidRPr="00537E35">
        <w:rPr>
          <w:i/>
          <w:iCs/>
          <w:lang w:val="en-GB"/>
        </w:rPr>
        <w:t>et al.</w:t>
      </w:r>
      <w:r w:rsidR="00B667A7" w:rsidRPr="00537E35">
        <w:rPr>
          <w:lang w:val="en-GB"/>
        </w:rPr>
        <w:t>, 2021)</w:t>
      </w:r>
      <w:r w:rsidR="00B667A7" w:rsidRPr="00537E35">
        <w:rPr>
          <w:lang w:val="en-GB"/>
        </w:rPr>
        <w:fldChar w:fldCharType="end"/>
      </w:r>
      <w:r w:rsidR="00B667A7" w:rsidRPr="00537E35">
        <w:rPr>
          <w:lang w:val="en-GB"/>
        </w:rPr>
        <w:t xml:space="preserve"> and promoting sustainable development </w:t>
      </w:r>
      <w:r w:rsidR="00B667A7" w:rsidRPr="00537E35">
        <w:rPr>
          <w:lang w:val="en-GB"/>
        </w:rPr>
        <w:fldChar w:fldCharType="begin"/>
      </w:r>
      <w:r w:rsidR="00B667A7" w:rsidRPr="00537E35">
        <w:rPr>
          <w:lang w:val="en-GB"/>
        </w:rPr>
        <w:instrText xml:space="preserve"> ADDIN ZOTERO_ITEM CSL_CITATION {"citationID":"DwNXFrqu","properties":{"formattedCitation":"(Picot-Allain et al., 2022)","plainCitation":"(Picot-Allain et al., 2022)","dontUpdate":true,"noteIndex":0},"citationItems":[{"id":602,"uris":["http://zotero.org/users/local/Kio4mdFQ/items/6SPTI3QA"],"itemData":{"id":602,"type":"article-journal","abstract":"Pectin, a polysaccharide, is ubiquitously found in cell wall of higher plants. It is traditionally used in the preparation of jam, jellies, and marmalades as a gelling agent. New applications of pectin continue to emerge, making pectin extraction and commercialisation an attractive investment. Commercially available pectin is extracted from citrus peels and apple pomace worldwide. However, a number of tropical and sub-tropical fruits by-products represent potential sources of pectin which can also be capitalised. It is to be noted that conventional extraction of pectin requires a lot of energy and involves the use of mineral acids. In line with sustainable development goals, studies have been undertaken to assess the eﬃciency of non-conventional green extraction methods, such as microwaveassisted extraction, ultrasound-assisted extraction, and enzymeassisted extraction, on the yield and characteristics of pectin extracted from tropical and sub-tropical fruits. The present review article compares and discusses the eﬀects of conventional and nonconventional pectin extraction techniques on the extraction of pectin from tropical and sub-tropical fruits by-products, as well as the potential applications of pectin extracted from these materials.","container-title":"Food Reviews International","DOI":"10.1080/87559129.2020.1733008","ISSN":"8755-9129, 1525-6103","issue":"3","journalAbbreviation":"Food Reviews International","language":"en","page":"282-312","source":"DOI.org (Crossref)","title":"Extraction, Characterisation, and Application of Pectin from Tropical and Sub-Tropical Fruits: A Review","title-short":"Extraction, Characterisation, and Application of Pectin from Tropical and Sub-Tropical Fruits","volume":"38","author":[{"family":"Picot-Allain","given":"Marie Carene Nancy"},{"family":"Ramasawmy","given":"Brinda"},{"family":"Emmambux","given":"Mohammad Naushad"}],"issued":{"date-parts":[["2022",4,3]]}}}],"schema":"https://github.com/citation-style-language/schema/raw/master/csl-citation.json"} </w:instrText>
      </w:r>
      <w:r w:rsidR="00B667A7" w:rsidRPr="00537E35">
        <w:rPr>
          <w:lang w:val="en-GB"/>
        </w:rPr>
        <w:fldChar w:fldCharType="separate"/>
      </w:r>
      <w:r w:rsidR="00B667A7" w:rsidRPr="00537E35">
        <w:rPr>
          <w:lang w:val="en-GB"/>
        </w:rPr>
        <w:t xml:space="preserve">(Picot-Allain </w:t>
      </w:r>
      <w:r w:rsidR="00B667A7" w:rsidRPr="00537E35">
        <w:rPr>
          <w:i/>
          <w:iCs/>
          <w:lang w:val="en-GB"/>
        </w:rPr>
        <w:t>et al.</w:t>
      </w:r>
      <w:r w:rsidR="00B667A7" w:rsidRPr="00537E35">
        <w:rPr>
          <w:lang w:val="en-GB"/>
        </w:rPr>
        <w:t>, 2020)</w:t>
      </w:r>
      <w:r w:rsidR="00B667A7" w:rsidRPr="00537E35">
        <w:rPr>
          <w:lang w:val="en-GB"/>
        </w:rPr>
        <w:fldChar w:fldCharType="end"/>
      </w:r>
      <w:r w:rsidR="00B667A7" w:rsidRPr="00537E35">
        <w:rPr>
          <w:lang w:val="en-GB"/>
        </w:rPr>
        <w:t xml:space="preserve">. </w:t>
      </w:r>
      <w:r w:rsidRPr="00537E35">
        <w:rPr>
          <w:lang w:val="en-GB"/>
        </w:rPr>
        <w:t xml:space="preserve">Producing </w:t>
      </w:r>
      <w:r w:rsidR="00F15992" w:rsidRPr="00537E35">
        <w:rPr>
          <w:lang w:val="en-GB"/>
        </w:rPr>
        <w:t>interesting molecules for the industry</w:t>
      </w:r>
      <w:r w:rsidR="00B667A7" w:rsidRPr="00537E35">
        <w:rPr>
          <w:lang w:val="en-GB"/>
        </w:rPr>
        <w:t xml:space="preserve"> by biological methods </w:t>
      </w:r>
      <w:r w:rsidRPr="00537E35">
        <w:rPr>
          <w:lang w:val="en-GB"/>
        </w:rPr>
        <w:t>is one of the strategies of the circular economy, especially in the agri-food sector</w:t>
      </w:r>
      <w:r w:rsidR="00B667A7" w:rsidRPr="00537E35">
        <w:rPr>
          <w:lang w:val="en-GB"/>
        </w:rPr>
        <w:t xml:space="preserve"> where</w:t>
      </w:r>
      <w:r w:rsidRPr="00537E35">
        <w:rPr>
          <w:lang w:val="en-GB"/>
        </w:rPr>
        <w:t xml:space="preserve"> </w:t>
      </w:r>
      <w:r w:rsidR="00B667A7" w:rsidRPr="00537E35">
        <w:rPr>
          <w:lang w:val="en-GB"/>
        </w:rPr>
        <w:t xml:space="preserve">food waste and by-products can be used as alternative fermentation matrices </w:t>
      </w:r>
      <w:r w:rsidRPr="00537E35">
        <w:rPr>
          <w:lang w:val="en-GB"/>
        </w:rPr>
        <w:fldChar w:fldCharType="begin"/>
      </w:r>
      <w:r w:rsidRPr="00537E35">
        <w:rPr>
          <w:lang w:val="en-GB"/>
        </w:rPr>
        <w:instrText xml:space="preserve"> ADDIN ZOTERO_ITEM CSL_CITATION {"citationID":"mpFHqcMT","properties":{"formattedCitation":"(Hadj Saadoun et al., 2022)","plainCitation":"(Hadj Saadoun et al., 2022)","noteIndex":0},"citationItems":[{"id":950,"uris":["http://zotero.org/users/local/Kio4mdFQ/items/CNQ6I4RT"],"itemData":{"id":950,"type":"article-journal","abstract":"The market value of vanilla is constantly growing, as it is the aroma most appreciated by consumers worldwide. The key component of the aroma of vanilla beans is vanillin, which can be directly extracted from the plant, produced by chemical synthesis, or by bioconversion of natural precursors. Due to the increasing consumers' demand for products labeled as “natural,” extraction from vanilla pods results in a more valuable aroma source. Once the extraction is completed, what remains are the exhausted beans that still contain small seeds and other compounds, including varying amounts of vanillin trapped in the cellular structures of the plant. The application of fermentation of exhausted vanilla beans is proposed here as a strategy to recover “natural” vanillin and other valuable aroma compounds as a result of the metabolic conversion by lactic acid bacteria (LAB). The aim of this study was to verify the fermentability of exhausted vanilla beans by-products for their valorization, allowing the recovery of high-value molecules or new applications in food products. Design of Experiment (DoE) was used to screen a library of LAB strains to identify the best condition of fermentation in response to varying cultivation conditions. A comparison between mono and co-culture of LAB was assessed. Moreover, sensory panel tests and the evaluation of the aromatic components by Solid Phase Micro Extraction-Gas Chromatography-Mass Spectrometry analysis were carried out to better understand the modification of the aroma profile after fermentation. Fermentation with LAB changed the volatile profile and sensory characteristics of the exhausted vanilla beans and represents a promising method for the valorization of these by-products.","container-title":"Frontiers in Nutrition","DOI":"10.3389/fnut.2022.858716","ISSN":"2296-861X","journalAbbreviation":"Front Nutr","note":"PMID: 35662951\nPMCID: PMC9161551","page":"858716","source":"PubMed Central","title":"Exploring the Potential of Lactic Acid Fermentation for the Recovery of Exhausted Vanilla Beans","volume":"9","author":[{"family":"Hadj Saadoun","given":"Jasmine"},{"family":"Levante","given":"Alessia"},{"family":"Ferrillo","given":"Antonio"},{"family":"Trapani","given":"Francesca"},{"family":"Bernini","given":"Valentina"},{"family":"Galaverna","given":"Gianni"},{"family":"Neviani","given":"Erasmo"},{"family":"Lazzi","given":"Camilla"}],"issued":{"date-parts":[["2022",5,19]]}}}],"schema":"https://github.com/citation-style-language/schema/raw/master/csl-citation.json"} </w:instrText>
      </w:r>
      <w:r w:rsidRPr="00537E35">
        <w:rPr>
          <w:lang w:val="en-GB"/>
        </w:rPr>
        <w:fldChar w:fldCharType="separate"/>
      </w:r>
      <w:r w:rsidRPr="00537E35">
        <w:rPr>
          <w:lang w:val="en-GB"/>
        </w:rPr>
        <w:t xml:space="preserve">(Hadj Saadoun </w:t>
      </w:r>
      <w:r w:rsidRPr="00537E35">
        <w:rPr>
          <w:i/>
          <w:iCs/>
          <w:lang w:val="en-GB"/>
        </w:rPr>
        <w:t>et al.</w:t>
      </w:r>
      <w:r w:rsidRPr="00537E35">
        <w:rPr>
          <w:lang w:val="en-GB"/>
        </w:rPr>
        <w:t>, 2022)</w:t>
      </w:r>
      <w:r w:rsidRPr="00537E35">
        <w:rPr>
          <w:lang w:val="en-GB"/>
        </w:rPr>
        <w:fldChar w:fldCharType="end"/>
      </w:r>
      <w:r w:rsidRPr="00537E35">
        <w:rPr>
          <w:lang w:val="en-GB"/>
        </w:rPr>
        <w:t xml:space="preserve">. </w:t>
      </w:r>
    </w:p>
    <w:p w14:paraId="3D58011C" w14:textId="77777777" w:rsidR="00BC5B33" w:rsidRPr="00537E35" w:rsidRDefault="00034D5C" w:rsidP="00C66952">
      <w:pPr>
        <w:jc w:val="both"/>
        <w:rPr>
          <w:lang w:val="en-GB"/>
        </w:rPr>
      </w:pPr>
      <w:r w:rsidRPr="00537E35">
        <w:rPr>
          <w:lang w:val="en-GB"/>
        </w:rPr>
        <w:t>The term ‘phenotype’ does not only mean the set of observable traits of an organism. Phenotyping aims to explore strain</w:t>
      </w:r>
      <w:r w:rsidR="00F15992" w:rsidRPr="00537E35">
        <w:rPr>
          <w:lang w:val="en-GB"/>
        </w:rPr>
        <w:t>’s</w:t>
      </w:r>
      <w:r w:rsidRPr="00537E35">
        <w:rPr>
          <w:lang w:val="en-GB"/>
        </w:rPr>
        <w:t xml:space="preserve"> niche-specific metabolic traits related to cell physiology and growth, such as substrate consumption, resistance to chemicals, and osmolyte tolerance or other stresses, thus establishing the potential adaptation under specific environmental conditions. Changes </w:t>
      </w:r>
      <w:r w:rsidR="002E088C" w:rsidRPr="00537E35">
        <w:rPr>
          <w:lang w:val="en-GB"/>
        </w:rPr>
        <w:t>i</w:t>
      </w:r>
      <w:r w:rsidRPr="00537E35">
        <w:rPr>
          <w:lang w:val="en-GB"/>
        </w:rPr>
        <w:t>n phenotype depend on the</w:t>
      </w:r>
      <w:r w:rsidR="007204D0" w:rsidRPr="00537E35">
        <w:rPr>
          <w:lang w:val="en-GB"/>
        </w:rPr>
        <w:t xml:space="preserve"> interweaving</w:t>
      </w:r>
      <w:r w:rsidRPr="00537E35">
        <w:rPr>
          <w:lang w:val="en-GB"/>
        </w:rPr>
        <w:t xml:space="preserve"> interactions between environmental pressure and genotype</w:t>
      </w:r>
      <w:r w:rsidR="007204D0" w:rsidRPr="00537E35">
        <w:rPr>
          <w:lang w:val="en-GB"/>
        </w:rPr>
        <w:t xml:space="preserve"> </w:t>
      </w:r>
      <w:r w:rsidR="007204D0" w:rsidRPr="00537E35">
        <w:rPr>
          <w:lang w:val="en-GB"/>
        </w:rPr>
        <w:fldChar w:fldCharType="begin"/>
      </w:r>
      <w:r w:rsidR="007204D0" w:rsidRPr="00537E35">
        <w:rPr>
          <w:lang w:val="en-GB"/>
        </w:rPr>
        <w:instrText xml:space="preserve"> ADDIN ZOTERO_ITEM CSL_CITATION {"citationID":"8V922oYT","properties":{"formattedCitation":"(Acin-Albiac et al., 2020)","plainCitation":"(Acin-Albiac et al., 2020)","noteIndex":0},"citationItems":[{"id":121,"uris":["http://zotero.org/users/local/Kio4mdFQ/items/7NQWMVE2"],"itemData":{"id":121,"type":"article-journal","abstract":"The phenotype-genotype landscape is a projection coming from detailed phenotypic and genotypic data under environmental pressure. Although phenome of microbes or microbial consortia mirrors the functional expression of a genome or set of genomes, metabolic traits rely on the phenotype. Phenomics has the potential to revolution functional genomics. In this review, we discuss why and how phenomics was developed. We described how phenomics may extend our understanding of the assembly of microbial consortia and their functionality, and then we outlined the novel applications within the study of phenomes using Omnilog platform together with a revision of its current application to study lactic acid bacteria (LAB) metabolic traits during food processing. LAB were proposed as a suitable model system to analyze and discuss the implementation and exploitation of this emerging omics approach. We introduced the ‘phenotype switching’, as a new phenotype microarray approach to get insights in bacterial physiology. An overview of methodologies and tools to manage and analyze the generated data was provided. Finally, pro and cons of pipelines developed so far, including the most innovative ones were critically analyzed. We propose an R pipeline, recently deposited, which allows to automatically analyze Omnilog data integrating the latest approaches and implementing the new concepts described here.","container-title":"Computational and Structural Biotechnology Journal","DOI":"10.1016/j.csbj.2020.08.010","ISSN":"20010370","journalAbbreviation":"Computational and Structural Biotechnology Journal","language":"en","page":"2290-2299","source":"DOI.org (Crossref)","title":"Microbial high throughput phenomics: The potential of an irreplaceable omics","title-short":"Microbial high throughput phenomics","volume":"18","author":[{"family":"Acin-Albiac","given":"Marta"},{"family":"Filannino","given":"Pasquale"},{"family":"Gobbetti","given":"Marco"},{"family":"Di Cagno","given":"Raffaella"}],"issued":{"date-parts":[["2020"]]}}}],"schema":"https://github.com/citation-style-language/schema/raw/master/csl-citation.json"} </w:instrText>
      </w:r>
      <w:r w:rsidR="007204D0" w:rsidRPr="00537E35">
        <w:rPr>
          <w:lang w:val="en-GB"/>
        </w:rPr>
        <w:fldChar w:fldCharType="separate"/>
      </w:r>
      <w:r w:rsidR="007204D0" w:rsidRPr="00537E35">
        <w:rPr>
          <w:lang w:val="en-GB"/>
        </w:rPr>
        <w:t xml:space="preserve">(Acin-Albiac </w:t>
      </w:r>
      <w:r w:rsidR="007204D0" w:rsidRPr="00537E35">
        <w:rPr>
          <w:i/>
          <w:iCs/>
          <w:lang w:val="en-GB"/>
        </w:rPr>
        <w:t>et al.</w:t>
      </w:r>
      <w:r w:rsidR="007204D0" w:rsidRPr="00537E35">
        <w:rPr>
          <w:lang w:val="en-GB"/>
        </w:rPr>
        <w:t>, 2020)</w:t>
      </w:r>
      <w:r w:rsidR="007204D0" w:rsidRPr="00537E35">
        <w:rPr>
          <w:lang w:val="en-GB"/>
        </w:rPr>
        <w:fldChar w:fldCharType="end"/>
      </w:r>
      <w:r w:rsidRPr="00537E35">
        <w:rPr>
          <w:lang w:val="en-GB"/>
        </w:rPr>
        <w:t>. S</w:t>
      </w:r>
      <w:r w:rsidR="00D1592C" w:rsidRPr="00537E35">
        <w:rPr>
          <w:lang w:val="en-GB"/>
        </w:rPr>
        <w:t xml:space="preserve">tudies of comparative genomics and metagenomics have been extensively employed to indagate the potential functionality of microbes, while (meta)transcriptomics especially focused on mechanisms for niche adaptation. </w:t>
      </w:r>
      <w:r w:rsidR="00F15992" w:rsidRPr="00537E35">
        <w:rPr>
          <w:lang w:val="en-GB"/>
        </w:rPr>
        <w:t>M</w:t>
      </w:r>
      <w:r w:rsidR="00D1592C" w:rsidRPr="00537E35">
        <w:rPr>
          <w:lang w:val="en-GB"/>
        </w:rPr>
        <w:t xml:space="preserve">etabolic traits interest the phenotype expression but, whilst data analysis methodologies and technologies for sequence-based omics quickly </w:t>
      </w:r>
      <w:r w:rsidR="00D1592C" w:rsidRPr="00537E35">
        <w:rPr>
          <w:lang w:val="en-GB"/>
        </w:rPr>
        <w:lastRenderedPageBreak/>
        <w:t xml:space="preserve">evolved, the systematic study of phenotype profiling stayed somehow hampered by some limitations </w:t>
      </w:r>
      <w:r w:rsidR="00D1592C" w:rsidRPr="00537E35">
        <w:rPr>
          <w:lang w:val="en-GB"/>
        </w:rPr>
        <w:fldChar w:fldCharType="begin"/>
      </w:r>
      <w:r w:rsidR="00D1592C" w:rsidRPr="00537E35">
        <w:rPr>
          <w:lang w:val="en-GB"/>
        </w:rPr>
        <w:instrText xml:space="preserve"> ADDIN ZOTERO_ITEM CSL_CITATION {"citationID":"hsclHrGU","properties":{"formattedCitation":"(Houle et al., 2010)","plainCitation":"(Houle et al., 2010)","noteIndex":0},"citationItems":[{"id":650,"uris":["http://zotero.org/users/local/Kio4mdFQ/items/MUAXHXMX"],"itemData":{"id":650,"type":"article-journal","abstract":"The area of phenomics is the acquisition of high-dimensional phenotypic data on an organism-wide scale.Phenotypes are the characteristics of organisms that are of the most interest. Useful explanations of important outcomes such as disease can be obtained by studying phenotypes.Phenomic data allow a better understanding of the genotype–phenotype map, that is, of the pathways that connect genotypes to phenotypes. Phenomics is also a necessary complement to genomics.The dimensionality of phenomes is high and so analyses of phenomic data call for new concepts and techniques.Nonlinear models that integrate information across the phenotypic hierarchy are necessary to integrate phenomic information.Gathering phenomic data is currently expensive and time consuming; technical advances can increase phenomic throughput and lower costs.The development of phenomic capabilities requires collaborations between scientists with diverse expertise.Accelerating our ability to gather phenomic data should be a priority for funding.","container-title":"Nature Reviews Genetics","DOI":"10.1038/nrg2897","ISSN":"1471-0064","issue":"12","journalAbbreviation":"Nat Rev Genet","language":"en","license":"2010 Nature Publishing Group, a division of Macmillan Publishers Limited. All Rights Reserved.","note":"number: 12\npublisher: Nature Publishing Group","page":"855-866","source":"www.nature.com","title":"Phenomics: the next challenge","title-short":"Phenomics","volume":"11","author":[{"family":"Houle","given":"David"},{"family":"Govindaraju","given":"Diddahally R."},{"family":"Omholt","given":"Stig"}],"issued":{"date-parts":[["2010",12]]}}}],"schema":"https://github.com/citation-style-language/schema/raw/master/csl-citation.json"} </w:instrText>
      </w:r>
      <w:r w:rsidR="00D1592C" w:rsidRPr="00537E35">
        <w:rPr>
          <w:lang w:val="en-GB"/>
        </w:rPr>
        <w:fldChar w:fldCharType="separate"/>
      </w:r>
      <w:r w:rsidR="00D1592C" w:rsidRPr="00537E35">
        <w:rPr>
          <w:lang w:val="en-GB"/>
        </w:rPr>
        <w:t xml:space="preserve">(Houle </w:t>
      </w:r>
      <w:r w:rsidR="00D1592C" w:rsidRPr="00537E35">
        <w:rPr>
          <w:i/>
          <w:iCs/>
          <w:lang w:val="en-GB"/>
        </w:rPr>
        <w:t>et al.</w:t>
      </w:r>
      <w:r w:rsidR="00D1592C" w:rsidRPr="00537E35">
        <w:rPr>
          <w:lang w:val="en-GB"/>
        </w:rPr>
        <w:t>, 2010)</w:t>
      </w:r>
      <w:r w:rsidR="00D1592C" w:rsidRPr="00537E35">
        <w:rPr>
          <w:lang w:val="en-GB"/>
        </w:rPr>
        <w:fldChar w:fldCharType="end"/>
      </w:r>
      <w:r w:rsidR="00D1592C" w:rsidRPr="00537E35">
        <w:rPr>
          <w:lang w:val="en-GB"/>
        </w:rPr>
        <w:t xml:space="preserve">. Techniques like </w:t>
      </w:r>
      <w:proofErr w:type="spellStart"/>
      <w:r w:rsidR="00D1592C" w:rsidRPr="00537E35">
        <w:rPr>
          <w:lang w:val="en-GB"/>
        </w:rPr>
        <w:t>Biolog</w:t>
      </w:r>
      <w:proofErr w:type="spellEnd"/>
      <w:r w:rsidR="00D1592C" w:rsidRPr="00537E35">
        <w:rPr>
          <w:lang w:val="en-GB"/>
        </w:rPr>
        <w:t xml:space="preserve"> System make possible to screen many phenotypes concurrently </w:t>
      </w:r>
      <w:r w:rsidR="00ED6E2A" w:rsidRPr="00537E35">
        <w:rPr>
          <w:lang w:val="en-GB"/>
        </w:rPr>
        <w:t xml:space="preserve">thus </w:t>
      </w:r>
      <w:r w:rsidR="00D1592C" w:rsidRPr="00537E35">
        <w:rPr>
          <w:lang w:val="en-GB"/>
        </w:rPr>
        <w:t>introducing phenomics as the last of the omics techniques</w:t>
      </w:r>
      <w:r w:rsidR="00ED6E2A" w:rsidRPr="00537E35">
        <w:rPr>
          <w:lang w:val="en-GB"/>
        </w:rPr>
        <w:t xml:space="preserve">, whose implementation still has wide margins </w:t>
      </w:r>
      <w:r w:rsidR="00D1592C" w:rsidRPr="00537E35">
        <w:rPr>
          <w:lang w:val="en-GB"/>
        </w:rPr>
        <w:fldChar w:fldCharType="begin"/>
      </w:r>
      <w:r w:rsidR="00941EA3" w:rsidRPr="00537E35">
        <w:rPr>
          <w:lang w:val="en-GB"/>
        </w:rPr>
        <w:instrText xml:space="preserve"> ADDIN ZOTERO_ITEM CSL_CITATION {"citationID":"CuoD1B08","properties":{"formattedCitation":"(Acin-Albiac et al., 2020)","plainCitation":"(Acin-Albiac et al., 2020)","noteIndex":0},"citationItems":[{"id":121,"uris":["http://zotero.org/users/local/Kio4mdFQ/items/7NQWMVE2"],"itemData":{"id":121,"type":"article-journal","abstract":"The phenotype-genotype landscape is a projection coming from detailed phenotypic and genotypic data under environmental pressure. Although phenome of microbes or microbial consortia mirrors the functional expression of a genome or set of genomes, metabolic traits rely on the phenotype. Phenomics has the potential to revolution functional genomics. In this review, we discuss why and how phenomics was developed. We described how phenomics may extend our understanding of the assembly of microbial consortia and their functionality, and then we outlined the novel applications within the study of phenomes using Omnilog platform together with a revision of its current application to study lactic acid bacteria (LAB) metabolic traits during food processing. LAB were proposed as a suitable model system to analyze and discuss the implementation and exploitation of this emerging omics approach. We introduced the ‘phenotype switching’, as a new phenotype microarray approach to get insights in bacterial physiology. An overview of methodologies and tools to manage and analyze the generated data was provided. Finally, pro and cons of pipelines developed so far, including the most innovative ones were critically analyzed. We propose an R pipeline, recently deposited, which allows to automatically analyze Omnilog data integrating the latest approaches and implementing the new concepts described here.","container-title":"Computational and Structural Biotechnology Journal","DOI":"10.1016/j.csbj.2020.08.010","ISSN":"20010370","journalAbbreviation":"Computational and Structural Biotechnology Journal","language":"en","page":"2290-2299","source":"DOI.org (Crossref)","title":"Microbial high throughput phenomics: The potential of an irreplaceable omics","title-short":"Microbial high throughput phenomics","volume":"18","author":[{"family":"Acin-Albiac","given":"Marta"},{"family":"Filannino","given":"Pasquale"},{"family":"Gobbetti","given":"Marco"},{"family":"Di Cagno","given":"Raffaella"}],"issued":{"date-parts":[["2020"]]}}}],"schema":"https://github.com/citation-style-language/schema/raw/master/csl-citation.json"} </w:instrText>
      </w:r>
      <w:r w:rsidR="00D1592C" w:rsidRPr="00537E35">
        <w:rPr>
          <w:lang w:val="en-GB"/>
        </w:rPr>
        <w:fldChar w:fldCharType="separate"/>
      </w:r>
      <w:r w:rsidR="00D1592C" w:rsidRPr="00537E35">
        <w:rPr>
          <w:lang w:val="en-GB"/>
        </w:rPr>
        <w:t xml:space="preserve">(Acin-Albiac </w:t>
      </w:r>
      <w:r w:rsidR="00D1592C" w:rsidRPr="00537E35">
        <w:rPr>
          <w:i/>
          <w:iCs/>
          <w:lang w:val="en-GB"/>
        </w:rPr>
        <w:t>et al.</w:t>
      </w:r>
      <w:r w:rsidR="00D1592C" w:rsidRPr="00537E35">
        <w:rPr>
          <w:lang w:val="en-GB"/>
        </w:rPr>
        <w:t>, 2020)</w:t>
      </w:r>
      <w:r w:rsidR="00D1592C" w:rsidRPr="00537E35">
        <w:rPr>
          <w:lang w:val="en-GB"/>
        </w:rPr>
        <w:fldChar w:fldCharType="end"/>
      </w:r>
      <w:r w:rsidR="00D1592C" w:rsidRPr="00537E35">
        <w:rPr>
          <w:lang w:val="en-GB"/>
        </w:rPr>
        <w:t>.</w:t>
      </w:r>
      <w:r w:rsidR="00BC5B33" w:rsidRPr="00537E35">
        <w:rPr>
          <w:lang w:val="en-GB"/>
        </w:rPr>
        <w:t xml:space="preserve"> </w:t>
      </w:r>
    </w:p>
    <w:p w14:paraId="38FE1071" w14:textId="40F2CAB9" w:rsidR="006607CF" w:rsidRPr="00537E35" w:rsidRDefault="00B922BC" w:rsidP="00C66952">
      <w:pPr>
        <w:jc w:val="both"/>
        <w:rPr>
          <w:lang w:val="en-GB"/>
        </w:rPr>
      </w:pPr>
      <w:r w:rsidRPr="00537E35">
        <w:rPr>
          <w:lang w:val="en-GB"/>
        </w:rPr>
        <w:t xml:space="preserve">However, experiments are </w:t>
      </w:r>
      <w:r w:rsidR="0084374C" w:rsidRPr="00537E35">
        <w:rPr>
          <w:lang w:val="en-GB"/>
        </w:rPr>
        <w:t>expensive</w:t>
      </w:r>
      <w:r w:rsidRPr="00537E35">
        <w:rPr>
          <w:lang w:val="en-GB"/>
        </w:rPr>
        <w:t>, time-consuming</w:t>
      </w:r>
      <w:r w:rsidR="002E088C" w:rsidRPr="00537E35">
        <w:rPr>
          <w:lang w:val="en-GB"/>
        </w:rPr>
        <w:t>,</w:t>
      </w:r>
      <w:r w:rsidRPr="00537E35">
        <w:rPr>
          <w:lang w:val="en-GB"/>
        </w:rPr>
        <w:t xml:space="preserve"> and manually intensive to perform.</w:t>
      </w:r>
      <w:r w:rsidR="00EC1480" w:rsidRPr="00537E35">
        <w:rPr>
          <w:lang w:val="en-GB"/>
        </w:rPr>
        <w:t xml:space="preserve"> Machine learning is a </w:t>
      </w:r>
      <w:r w:rsidR="0084374C" w:rsidRPr="00537E35">
        <w:rPr>
          <w:lang w:val="en-GB"/>
        </w:rPr>
        <w:t>broad field</w:t>
      </w:r>
      <w:r w:rsidR="00EC1480" w:rsidRPr="00537E35">
        <w:rPr>
          <w:lang w:val="en-GB"/>
        </w:rPr>
        <w:t xml:space="preserve"> of advanced computational and statistical methods </w:t>
      </w:r>
      <w:r w:rsidR="002E088C" w:rsidRPr="00537E35">
        <w:rPr>
          <w:lang w:val="en-GB"/>
        </w:rPr>
        <w:t xml:space="preserve">whose models can help to describe complex data relationships and to </w:t>
      </w:r>
      <w:r w:rsidR="00EC1480" w:rsidRPr="00537E35">
        <w:rPr>
          <w:lang w:val="en-GB"/>
        </w:rPr>
        <w:t>facilitat</w:t>
      </w:r>
      <w:r w:rsidR="002E088C" w:rsidRPr="00537E35">
        <w:rPr>
          <w:lang w:val="en-GB"/>
        </w:rPr>
        <w:t>e</w:t>
      </w:r>
      <w:r w:rsidR="0084374C" w:rsidRPr="00537E35">
        <w:rPr>
          <w:lang w:val="en-GB"/>
        </w:rPr>
        <w:t xml:space="preserve"> the</w:t>
      </w:r>
      <w:r w:rsidR="00EC1480" w:rsidRPr="00537E35">
        <w:rPr>
          <w:lang w:val="en-GB"/>
        </w:rPr>
        <w:t xml:space="preserve"> interpretation of </w:t>
      </w:r>
      <w:r w:rsidR="0084374C" w:rsidRPr="00537E35">
        <w:rPr>
          <w:lang w:val="en-GB"/>
        </w:rPr>
        <w:t>large sets of</w:t>
      </w:r>
      <w:r w:rsidR="00EC1480" w:rsidRPr="00537E35">
        <w:rPr>
          <w:lang w:val="en-GB"/>
        </w:rPr>
        <w:t xml:space="preserve"> data in all </w:t>
      </w:r>
      <w:r w:rsidR="002E088C" w:rsidRPr="00537E35">
        <w:rPr>
          <w:lang w:val="en-GB"/>
        </w:rPr>
        <w:t>sectors</w:t>
      </w:r>
      <w:r w:rsidR="00EC1480" w:rsidRPr="00537E35">
        <w:rPr>
          <w:lang w:val="en-GB"/>
        </w:rPr>
        <w:t>, including microbiology</w:t>
      </w:r>
      <w:r w:rsidR="002E088C" w:rsidRPr="00537E35">
        <w:rPr>
          <w:lang w:val="en-GB"/>
        </w:rPr>
        <w:t xml:space="preserve">. A combination of genotypic and phenotypic data provides an insight into the metabolic capabilities of industrially relevant strains, disclosing their potential application for the biotransformation of various substrates, including agro-industrial waste and by-products. Amplified Fragment Length Polymorphism (AFLP) is a well-known PCR-based technique that generates genomic fingerprints </w:t>
      </w:r>
      <w:r w:rsidR="00714A5A" w:rsidRPr="00537E35">
        <w:rPr>
          <w:lang w:val="en-GB"/>
        </w:rPr>
        <w:fldChar w:fldCharType="begin"/>
      </w:r>
      <w:r w:rsidR="00714A5A" w:rsidRPr="00537E35">
        <w:rPr>
          <w:lang w:val="en-GB"/>
        </w:rPr>
        <w:instrText xml:space="preserve"> ADDIN ZOTERO_ITEM CSL_CITATION {"citationID":"SlnLb12b","properties":{"formattedCitation":"(Ramadan, 2022)","plainCitation":"(Ramadan, 2022)","noteIndex":0},"citationItems":[{"id":1079,"uris":["http://zotero.org/users/local/Kio4mdFQ/items/HZZKSZPG"],"itemData":{"id":1079,"type":"article-journal","abstract":"Microbial typing (also known as “fingerprinting” or “characterization”) is a tool employed for years to identify organisms within a species. Different methods were developed, from the traditional phenotypic techniques such as biotyping and antibiogram typing, going through the PCR-based molecular methods, reaching the revolutionary sequencing techniques. Each method has its advantages and drawbacks, but genotypic methods are more reliable and reproducible, with greater discriminatory power than the phenotypic ones. Typing aims to serve various epidemiological, microbiological, and public health investigations. Choosing which method to use typically relies on many circumstances and factors, such as the study's cost, scale, and scope. This review collectively explains the principles of the various bacterial typing methods that have been commonly used throughout the years.","container-title":"Gene Reports","DOI":"10.1016/j.genrep.2022.101675","ISSN":"2452-0144","journalAbbreviation":"Gene Reports","language":"en","page":"101675","source":"ScienceDirect","title":"Bacterial typing methods from past to present: A comprehensive overview","title-short":"Bacterial typing methods from past to present","volume":"29","author":[{"family":"Ramadan","given":"Asmaa A."}],"issued":{"date-parts":[["2022",12,1]]}}}],"schema":"https://github.com/citation-style-language/schema/raw/master/csl-citation.json"} </w:instrText>
      </w:r>
      <w:r w:rsidR="00714A5A" w:rsidRPr="00537E35">
        <w:rPr>
          <w:lang w:val="en-GB"/>
        </w:rPr>
        <w:fldChar w:fldCharType="separate"/>
      </w:r>
      <w:r w:rsidR="00714A5A" w:rsidRPr="00537E35">
        <w:rPr>
          <w:lang w:val="en-GB"/>
        </w:rPr>
        <w:t>(Ramadan, 2022)</w:t>
      </w:r>
      <w:r w:rsidR="00714A5A" w:rsidRPr="00537E35">
        <w:rPr>
          <w:lang w:val="en-GB"/>
        </w:rPr>
        <w:fldChar w:fldCharType="end"/>
      </w:r>
      <w:r w:rsidR="00714A5A" w:rsidRPr="00537E35">
        <w:rPr>
          <w:lang w:val="en-GB"/>
        </w:rPr>
        <w:t xml:space="preserve">. This is largely shown by wet lab </w:t>
      </w:r>
      <w:r w:rsidR="0021071A" w:rsidRPr="00537E35">
        <w:rPr>
          <w:lang w:val="en-GB"/>
        </w:rPr>
        <w:t>analyses,</w:t>
      </w:r>
      <w:r w:rsidR="00714A5A" w:rsidRPr="00537E35">
        <w:rPr>
          <w:lang w:val="en-GB"/>
        </w:rPr>
        <w:t xml:space="preserve"> but no computational model is currently available to exploit its power.</w:t>
      </w:r>
      <w:r w:rsidR="00714A5A" w:rsidRPr="00537E35" w:rsidDel="00714A5A">
        <w:rPr>
          <w:lang w:val="en-GB"/>
        </w:rPr>
        <w:t xml:space="preserve"> </w:t>
      </w:r>
    </w:p>
    <w:p w14:paraId="7B1DF5C4" w14:textId="19DB3BBD" w:rsidR="007D40F9" w:rsidRPr="00537E35" w:rsidRDefault="000B3E65" w:rsidP="00C66952">
      <w:pPr>
        <w:pStyle w:val="Heading1"/>
        <w:tabs>
          <w:tab w:val="left" w:pos="567"/>
        </w:tabs>
        <w:rPr>
          <w:b w:val="0"/>
          <w:bCs/>
          <w:szCs w:val="24"/>
          <w:lang w:val="en-GB"/>
        </w:rPr>
      </w:pPr>
      <w:r w:rsidRPr="00537E35">
        <w:rPr>
          <w:bCs/>
          <w:szCs w:val="24"/>
          <w:lang w:val="en-GB"/>
        </w:rPr>
        <w:t>3</w:t>
      </w:r>
      <w:r w:rsidR="007D40F9" w:rsidRPr="00537E35">
        <w:rPr>
          <w:bCs/>
          <w:szCs w:val="24"/>
          <w:lang w:val="en-GB"/>
        </w:rPr>
        <w:t>. Materials and Methods</w:t>
      </w:r>
    </w:p>
    <w:p w14:paraId="0B0F245B" w14:textId="7DDE3A09" w:rsidR="005B7718" w:rsidRPr="00537E35" w:rsidRDefault="00346DF5" w:rsidP="00C66952">
      <w:pPr>
        <w:jc w:val="both"/>
        <w:rPr>
          <w:lang w:val="en-GB"/>
        </w:rPr>
      </w:pPr>
      <w:r w:rsidRPr="00537E35">
        <w:rPr>
          <w:lang w:val="en-GB"/>
        </w:rPr>
        <w:t>The SMC consists of 15</w:t>
      </w:r>
      <w:r w:rsidR="00606EE9" w:rsidRPr="00537E35">
        <w:rPr>
          <w:lang w:val="en-GB"/>
        </w:rPr>
        <w:t>0</w:t>
      </w:r>
      <w:r w:rsidRPr="00537E35">
        <w:rPr>
          <w:lang w:val="en-GB"/>
        </w:rPr>
        <w:t xml:space="preserve"> strains of LAB of food origin belonging to the University of Parma Culture Collection (UPCC).</w:t>
      </w:r>
      <w:r w:rsidR="005B7718" w:rsidRPr="00537E35">
        <w:rPr>
          <w:lang w:val="en-GB"/>
        </w:rPr>
        <w:t xml:space="preserve"> </w:t>
      </w:r>
      <w:r w:rsidR="002E088C" w:rsidRPr="00537E35">
        <w:rPr>
          <w:lang w:val="en-GB"/>
        </w:rPr>
        <w:t>T</w:t>
      </w:r>
      <w:r w:rsidR="005B7718" w:rsidRPr="00537E35">
        <w:rPr>
          <w:lang w:val="en-GB"/>
        </w:rPr>
        <w:t xml:space="preserve">he screening involved species belonging to 12 genera, previously isolated across a 10 </w:t>
      </w:r>
      <w:proofErr w:type="gramStart"/>
      <w:r w:rsidR="005B7718" w:rsidRPr="00537E35">
        <w:rPr>
          <w:lang w:val="en-GB"/>
        </w:rPr>
        <w:t>years</w:t>
      </w:r>
      <w:proofErr w:type="gramEnd"/>
      <w:r w:rsidR="005B7718" w:rsidRPr="00537E35">
        <w:rPr>
          <w:lang w:val="en-GB"/>
        </w:rPr>
        <w:t xml:space="preserve"> temporal range (2012-2022) from several food matrices, especially of dairy origin.</w:t>
      </w:r>
      <w:r w:rsidRPr="00537E35">
        <w:rPr>
          <w:lang w:val="en-GB"/>
        </w:rPr>
        <w:t xml:space="preserve"> </w:t>
      </w:r>
      <w:r w:rsidR="00072D83" w:rsidRPr="00537E35">
        <w:rPr>
          <w:lang w:val="en-GB"/>
        </w:rPr>
        <w:t>Ecological diversity indices were used to describe the biodiversity of the microbial core (Table 1)</w:t>
      </w:r>
      <w:r w:rsidR="00F05DA1" w:rsidRPr="00537E35">
        <w:rPr>
          <w:lang w:val="en-GB"/>
        </w:rPr>
        <w:t>.</w:t>
      </w:r>
    </w:p>
    <w:p w14:paraId="7EC09F03" w14:textId="4A0E396F" w:rsidR="0075291F" w:rsidRPr="00537E35" w:rsidRDefault="000B3E65" w:rsidP="00C66952">
      <w:pPr>
        <w:pStyle w:val="Heading2"/>
        <w:jc w:val="both"/>
        <w:rPr>
          <w:b w:val="0"/>
          <w:bCs/>
          <w:lang w:val="en-GB"/>
        </w:rPr>
      </w:pPr>
      <w:r w:rsidRPr="00537E35">
        <w:rPr>
          <w:bCs/>
          <w:lang w:val="en-GB"/>
        </w:rPr>
        <w:t>3</w:t>
      </w:r>
      <w:r w:rsidR="0075291F" w:rsidRPr="00537E35">
        <w:rPr>
          <w:bCs/>
          <w:lang w:val="en-GB"/>
        </w:rPr>
        <w:t>.1 Genotyping</w:t>
      </w:r>
    </w:p>
    <w:p w14:paraId="68347BFB" w14:textId="31654CDA" w:rsidR="005B7718" w:rsidRPr="00537E35" w:rsidRDefault="00F15992" w:rsidP="00C66952">
      <w:pPr>
        <w:jc w:val="both"/>
        <w:rPr>
          <w:lang w:val="en-GB"/>
        </w:rPr>
      </w:pPr>
      <w:r w:rsidRPr="00537E35">
        <w:rPr>
          <w:lang w:val="en-GB"/>
        </w:rPr>
        <w:t>The</w:t>
      </w:r>
      <w:r w:rsidR="007B22E2" w:rsidRPr="00537E35">
        <w:rPr>
          <w:lang w:val="en-GB"/>
        </w:rPr>
        <w:t xml:space="preserve"> </w:t>
      </w:r>
      <w:r w:rsidR="005B7718" w:rsidRPr="00537E35">
        <w:rPr>
          <w:lang w:val="en-GB"/>
        </w:rPr>
        <w:t xml:space="preserve">DNA </w:t>
      </w:r>
      <w:r w:rsidR="007B22E2" w:rsidRPr="00537E35">
        <w:rPr>
          <w:lang w:val="en-GB"/>
        </w:rPr>
        <w:t>of each strain</w:t>
      </w:r>
      <w:r w:rsidRPr="00537E35">
        <w:rPr>
          <w:lang w:val="en-GB"/>
        </w:rPr>
        <w:t xml:space="preserve"> was extracted and used</w:t>
      </w:r>
      <w:r w:rsidR="007B22E2" w:rsidRPr="00537E35">
        <w:rPr>
          <w:lang w:val="en-GB"/>
        </w:rPr>
        <w:t xml:space="preserve"> to perform the Amplified Fragment </w:t>
      </w:r>
      <w:proofErr w:type="spellStart"/>
      <w:r w:rsidR="007B22E2" w:rsidRPr="00537E35">
        <w:rPr>
          <w:lang w:val="en-GB"/>
        </w:rPr>
        <w:t>Lenght</w:t>
      </w:r>
      <w:proofErr w:type="spellEnd"/>
      <w:r w:rsidR="007B22E2" w:rsidRPr="00537E35">
        <w:rPr>
          <w:lang w:val="en-GB"/>
        </w:rPr>
        <w:t xml:space="preserve"> </w:t>
      </w:r>
      <w:proofErr w:type="spellStart"/>
      <w:r w:rsidR="007B22E2" w:rsidRPr="00537E35">
        <w:rPr>
          <w:lang w:val="en-GB"/>
        </w:rPr>
        <w:t>Polymorfism</w:t>
      </w:r>
      <w:proofErr w:type="spellEnd"/>
      <w:r w:rsidR="007B22E2" w:rsidRPr="00537E35">
        <w:rPr>
          <w:lang w:val="en-GB"/>
        </w:rPr>
        <w:t xml:space="preserve"> (AFLP) as reported by </w:t>
      </w:r>
      <w:r w:rsidR="007B22E2" w:rsidRPr="00537E35">
        <w:rPr>
          <w:lang w:val="en-GB"/>
        </w:rPr>
        <w:fldChar w:fldCharType="begin"/>
      </w:r>
      <w:r w:rsidR="007B22E2" w:rsidRPr="00537E35">
        <w:rPr>
          <w:lang w:val="en-GB"/>
        </w:rPr>
        <w:instrText xml:space="preserve"> ADDIN ZOTERO_ITEM CSL_CITATION {"citationID":"RAFb9BaO","properties":{"formattedCitation":"(Bertani et al., 2019)","plainCitation":"(Bertani et al., 2019)","dontUpdate":true,"noteIndex":0},"citationItems":[{"id":454,"uris":["http://zotero.org/users/local/Kio4mdFQ/items/CIUEJ2IT"],"itemData":{"id":454,"type":"article-journal","abstract":"Over the last decade, several methods based on genomic DNA have been developed for the identification and genotyping of prokaryotic and eukaryotic organisms. These genomic methods differ regarding taxonomic range, discriminatory power, reproducibility, and ease of interpretation and standardization. The amplified fragment length polymorphism (AFLP) technique is a very powerful DNA fingerprinting technique for DNA of any source or complexity, varying in both size and base composition. In addition, this method shows high discriminatory power and good reproducibility allowing it to be efficient in discriminating at both the species and strain levels. The development and application of AFLP have allowed significant progress in the study of biodiversity and taxonomy of microorganisms. In the last years, the Applied Biosystems AFLP Microbial Fingerprinting Kit, now out of production, was widely used in various studies to perform AFLP characterization of selected bacteria strains (described by Vos et al. (Nucleic Acids Res 23(21):4407–4414, 1995)). Its replacement gives the possibility for laboratories to continue the use of the previous AFLP data as a reference for bacteria genetic fingerprinting analysis in biodiversity studies. To overcome this issue a result comparison, by using an improved AFLP protocol and the AFLP commercial kit, was performed. In particular, previous results on different species (Listeria monocytogenes, Lactobacillus plantarum, and Streptococcus thermophilus) obtained with the commercial kit were compared with the improved AFLP procedure to validate the protocol. When compared with the AFLP Microbial Fingerprinting Kit, the improved protocol shows high reproducibility, resolution, and overall, is a faster method with lower costs.","container-title":"Journal of Applied Genetics","DOI":"10.1007/s13353-019-00492-0","ISSN":"2190-3883","issue":"2","journalAbbreviation":"J Appl Genetics","language":"en","page":"217-223","source":"Springer Link","title":"AFLP protocol comparison for microbial diversity fingerprinting","volume":"60","author":[{"family":"Bertani","given":"Gaia"},{"family":"Savo Sardaro","given":"Maria Luisa"},{"family":"Neviani","given":"Erasmo"},{"family":"Lazzi","given":"Camilla"}],"issued":{"date-parts":[["2019",5,1]]}}}],"schema":"https://github.com/citation-style-language/schema/raw/master/csl-citation.json"} </w:instrText>
      </w:r>
      <w:r w:rsidR="007B22E2" w:rsidRPr="00537E35">
        <w:rPr>
          <w:lang w:val="en-GB"/>
        </w:rPr>
        <w:fldChar w:fldCharType="separate"/>
      </w:r>
      <w:r w:rsidR="007B22E2" w:rsidRPr="00537E35">
        <w:rPr>
          <w:lang w:val="en-GB"/>
        </w:rPr>
        <w:t xml:space="preserve">Bertani </w:t>
      </w:r>
      <w:r w:rsidR="007B22E2" w:rsidRPr="00537E35">
        <w:rPr>
          <w:i/>
          <w:iCs/>
          <w:lang w:val="en-GB"/>
        </w:rPr>
        <w:t>et al.</w:t>
      </w:r>
      <w:r w:rsidR="007B22E2" w:rsidRPr="00537E35">
        <w:rPr>
          <w:lang w:val="en-GB"/>
        </w:rPr>
        <w:t xml:space="preserve"> (2019)</w:t>
      </w:r>
      <w:r w:rsidR="007B22E2" w:rsidRPr="00537E35">
        <w:rPr>
          <w:lang w:val="en-GB"/>
        </w:rPr>
        <w:fldChar w:fldCharType="end"/>
      </w:r>
      <w:r w:rsidR="007B22E2" w:rsidRPr="00537E35">
        <w:rPr>
          <w:lang w:val="en-GB"/>
        </w:rPr>
        <w:t>. R</w:t>
      </w:r>
      <w:r w:rsidR="005B7718" w:rsidRPr="00537E35">
        <w:rPr>
          <w:lang w:val="en-GB"/>
        </w:rPr>
        <w:t xml:space="preserve">esulting electropherograms were </w:t>
      </w:r>
      <w:r w:rsidR="000B3E65" w:rsidRPr="00537E35">
        <w:rPr>
          <w:lang w:val="en-GB"/>
        </w:rPr>
        <w:t>analysed</w:t>
      </w:r>
      <w:r w:rsidR="005B7718" w:rsidRPr="00537E35">
        <w:rPr>
          <w:lang w:val="en-GB"/>
        </w:rPr>
        <w:t xml:space="preserve"> through </w:t>
      </w:r>
      <w:proofErr w:type="spellStart"/>
      <w:r w:rsidR="005B7718" w:rsidRPr="00537E35">
        <w:rPr>
          <w:lang w:val="en-GB"/>
        </w:rPr>
        <w:t>Bionumerics</w:t>
      </w:r>
      <w:proofErr w:type="spellEnd"/>
      <w:r w:rsidR="005B7718" w:rsidRPr="00537E35">
        <w:rPr>
          <w:lang w:val="en-GB"/>
        </w:rPr>
        <w:t xml:space="preserve"> Software v 8.0 (Applied Maths NV, Belgium)</w:t>
      </w:r>
      <w:r w:rsidR="007B22E2" w:rsidRPr="00537E35">
        <w:rPr>
          <w:lang w:val="en-GB"/>
        </w:rPr>
        <w:t xml:space="preserve"> to have a clear fingerprint of the SMC.</w:t>
      </w:r>
    </w:p>
    <w:p w14:paraId="5A34CBE6" w14:textId="79735E90" w:rsidR="0075291F" w:rsidRPr="00537E35" w:rsidRDefault="000B3E65" w:rsidP="00C66952">
      <w:pPr>
        <w:pStyle w:val="Heading2"/>
        <w:jc w:val="both"/>
        <w:rPr>
          <w:b w:val="0"/>
          <w:bCs/>
          <w:lang w:val="en-GB"/>
        </w:rPr>
      </w:pPr>
      <w:r w:rsidRPr="00537E35">
        <w:rPr>
          <w:bCs/>
          <w:lang w:val="en-GB"/>
        </w:rPr>
        <w:t>3</w:t>
      </w:r>
      <w:r w:rsidR="0075291F" w:rsidRPr="00537E35">
        <w:rPr>
          <w:bCs/>
          <w:lang w:val="en-GB"/>
        </w:rPr>
        <w:t>.2 Phenotyping</w:t>
      </w:r>
    </w:p>
    <w:p w14:paraId="530DC091" w14:textId="47691601" w:rsidR="00C61EE3" w:rsidRPr="00537E35" w:rsidRDefault="000B3E65" w:rsidP="00C61EE3">
      <w:pPr>
        <w:pStyle w:val="Heading3"/>
        <w:rPr>
          <w:lang w:val="en-GB"/>
        </w:rPr>
      </w:pPr>
      <w:r w:rsidRPr="00537E35">
        <w:rPr>
          <w:lang w:val="en-GB"/>
        </w:rPr>
        <w:t>3</w:t>
      </w:r>
      <w:r w:rsidR="00C61EE3" w:rsidRPr="00537E35">
        <w:rPr>
          <w:lang w:val="en-GB"/>
        </w:rPr>
        <w:t>.2.1 Metabolic activity on several carbon sources</w:t>
      </w:r>
    </w:p>
    <w:p w14:paraId="197CD5BE" w14:textId="77777777" w:rsidR="00B24F0A" w:rsidRPr="00537E35" w:rsidRDefault="0093161B" w:rsidP="00202752">
      <w:pPr>
        <w:jc w:val="both"/>
        <w:rPr>
          <w:lang w:val="en-GB"/>
        </w:rPr>
      </w:pPr>
      <w:r w:rsidRPr="00537E35">
        <w:rPr>
          <w:lang w:val="en-GB"/>
        </w:rPr>
        <w:t xml:space="preserve">Metabolic profiling of the SMC was evaluated through </w:t>
      </w:r>
      <w:proofErr w:type="spellStart"/>
      <w:r w:rsidRPr="00537E35">
        <w:rPr>
          <w:lang w:val="en-GB"/>
        </w:rPr>
        <w:t>Biolog</w:t>
      </w:r>
      <w:proofErr w:type="spellEnd"/>
      <w:r w:rsidRPr="00537E35">
        <w:rPr>
          <w:lang w:val="en-GB"/>
        </w:rPr>
        <w:t xml:space="preserve"> GENIII </w:t>
      </w:r>
      <w:proofErr w:type="spellStart"/>
      <w:r w:rsidRPr="00537E35">
        <w:rPr>
          <w:lang w:val="en-GB"/>
        </w:rPr>
        <w:t>MicroPlates</w:t>
      </w:r>
      <w:proofErr w:type="spellEnd"/>
      <w:r w:rsidRPr="00537E35">
        <w:rPr>
          <w:lang w:val="en-GB"/>
        </w:rPr>
        <w:t xml:space="preserve"> (BIOLOG Inc.©, USA)</w:t>
      </w:r>
      <w:r w:rsidR="00B7575B" w:rsidRPr="00537E35">
        <w:rPr>
          <w:lang w:val="en-GB"/>
        </w:rPr>
        <w:t xml:space="preserve"> which incorporate a patented tetrazolium violet dye used as colorimetric indicator of</w:t>
      </w:r>
      <w:r w:rsidRPr="00537E35">
        <w:rPr>
          <w:lang w:val="en-GB"/>
        </w:rPr>
        <w:t xml:space="preserve"> the microbial activity on 71 different carbon sources. The final concentration of the </w:t>
      </w:r>
      <w:r w:rsidR="0054685E" w:rsidRPr="00537E35">
        <w:rPr>
          <w:lang w:val="en-GB"/>
        </w:rPr>
        <w:t>cell suspension</w:t>
      </w:r>
      <w:r w:rsidRPr="00537E35">
        <w:rPr>
          <w:lang w:val="en-GB"/>
        </w:rPr>
        <w:t xml:space="preserve"> used </w:t>
      </w:r>
      <w:r w:rsidR="0054685E" w:rsidRPr="00537E35">
        <w:rPr>
          <w:lang w:val="en-GB"/>
        </w:rPr>
        <w:t>for the inoculum</w:t>
      </w:r>
      <w:r w:rsidRPr="00537E35">
        <w:rPr>
          <w:lang w:val="en-GB"/>
        </w:rPr>
        <w:t xml:space="preserve"> ranged between 90-98% of transmittance</w:t>
      </w:r>
      <w:r w:rsidR="0054685E" w:rsidRPr="00537E35">
        <w:rPr>
          <w:lang w:val="en-GB"/>
        </w:rPr>
        <w:t xml:space="preserve">. The microplates were incubated at the optimal temperature </w:t>
      </w:r>
      <w:r w:rsidR="00072D83" w:rsidRPr="00537E35">
        <w:rPr>
          <w:lang w:val="en-GB"/>
        </w:rPr>
        <w:t xml:space="preserve">of strains </w:t>
      </w:r>
      <w:r w:rsidR="0054685E" w:rsidRPr="00537E35">
        <w:rPr>
          <w:lang w:val="en-GB"/>
        </w:rPr>
        <w:t>for 72 h. The metabolic activity was detected by absorbance reading at 590nm</w:t>
      </w:r>
      <w:r w:rsidR="00B7575B" w:rsidRPr="00537E35">
        <w:rPr>
          <w:lang w:val="en-GB"/>
        </w:rPr>
        <w:t xml:space="preserve"> at a single </w:t>
      </w:r>
      <w:proofErr w:type="gramStart"/>
      <w:r w:rsidR="0021071A" w:rsidRPr="00537E35">
        <w:rPr>
          <w:lang w:val="en-GB"/>
        </w:rPr>
        <w:t>end-point</w:t>
      </w:r>
      <w:proofErr w:type="gramEnd"/>
      <w:r w:rsidR="00B7575B" w:rsidRPr="00537E35">
        <w:rPr>
          <w:lang w:val="en-GB"/>
        </w:rPr>
        <w:t xml:space="preserve"> (72 h)</w:t>
      </w:r>
      <w:r w:rsidR="0054685E" w:rsidRPr="00537E35">
        <w:rPr>
          <w:lang w:val="en-GB"/>
        </w:rPr>
        <w:t>. Raw data were refer</w:t>
      </w:r>
      <w:r w:rsidR="00DE0831" w:rsidRPr="00537E35">
        <w:rPr>
          <w:lang w:val="en-GB"/>
        </w:rPr>
        <w:t>r</w:t>
      </w:r>
      <w:r w:rsidR="0054685E" w:rsidRPr="00537E35">
        <w:rPr>
          <w:lang w:val="en-GB"/>
        </w:rPr>
        <w:t xml:space="preserve">ed against the negative control well and normalized by the </w:t>
      </w:r>
      <w:r w:rsidR="002053D3" w:rsidRPr="00537E35">
        <w:rPr>
          <w:lang w:val="en-GB"/>
        </w:rPr>
        <w:t xml:space="preserve">Average Well </w:t>
      </w:r>
      <w:proofErr w:type="spellStart"/>
      <w:r w:rsidR="002053D3" w:rsidRPr="00537E35">
        <w:rPr>
          <w:lang w:val="en-GB"/>
        </w:rPr>
        <w:t>Color</w:t>
      </w:r>
      <w:proofErr w:type="spellEnd"/>
      <w:r w:rsidR="002053D3" w:rsidRPr="00537E35">
        <w:rPr>
          <w:lang w:val="en-GB"/>
        </w:rPr>
        <w:t xml:space="preserve"> Development (AWCD, average absorbance of all wells considered</w:t>
      </w:r>
      <w:r w:rsidR="0054685E" w:rsidRPr="00537E35">
        <w:rPr>
          <w:lang w:val="en-GB"/>
        </w:rPr>
        <w:t xml:space="preserve">). Results were elaborated with </w:t>
      </w:r>
      <w:proofErr w:type="spellStart"/>
      <w:r w:rsidR="0054685E" w:rsidRPr="00537E35">
        <w:rPr>
          <w:lang w:val="en-GB"/>
        </w:rPr>
        <w:t>Rstudio</w:t>
      </w:r>
      <w:proofErr w:type="spellEnd"/>
      <w:r w:rsidR="0054685E" w:rsidRPr="00537E35">
        <w:rPr>
          <w:lang w:val="en-GB"/>
        </w:rPr>
        <w:t xml:space="preserve"> (R version 4.2.0).</w:t>
      </w:r>
    </w:p>
    <w:p w14:paraId="535ED86E" w14:textId="1DA336DF" w:rsidR="005F599F" w:rsidRPr="00537E35" w:rsidRDefault="00072D83" w:rsidP="00202752">
      <w:pPr>
        <w:jc w:val="both"/>
        <w:rPr>
          <w:lang w:val="en-GB"/>
        </w:rPr>
      </w:pPr>
      <w:r w:rsidRPr="00537E35">
        <w:rPr>
          <w:lang w:val="en-GB"/>
        </w:rPr>
        <w:t xml:space="preserve">Ecological diversity indices were adapted </w:t>
      </w:r>
      <w:r w:rsidR="00782516" w:rsidRPr="00537E35">
        <w:rPr>
          <w:lang w:val="en-GB"/>
        </w:rPr>
        <w:t xml:space="preserve">as reported in Table 1 </w:t>
      </w:r>
      <w:r w:rsidRPr="00537E35">
        <w:rPr>
          <w:lang w:val="en-GB"/>
        </w:rPr>
        <w:t xml:space="preserve">to estimate also </w:t>
      </w:r>
      <w:r w:rsidR="0054685E" w:rsidRPr="00537E35">
        <w:rPr>
          <w:lang w:val="en-GB"/>
        </w:rPr>
        <w:t>the metabolic functional diversity of the SMC</w:t>
      </w:r>
      <w:r w:rsidR="00941EA3" w:rsidRPr="00537E35">
        <w:rPr>
          <w:lang w:val="en-GB"/>
        </w:rPr>
        <w:t xml:space="preserve"> </w:t>
      </w:r>
      <w:r w:rsidR="0021071A" w:rsidRPr="00537E35">
        <w:rPr>
          <w:lang w:val="en-GB"/>
        </w:rPr>
        <w:t>(</w:t>
      </w:r>
      <w:r w:rsidR="00941EA3" w:rsidRPr="00537E35">
        <w:rPr>
          <w:lang w:val="en-GB"/>
        </w:rPr>
        <w:fldChar w:fldCharType="begin"/>
      </w:r>
      <w:r w:rsidR="005000E5" w:rsidRPr="00537E35">
        <w:rPr>
          <w:lang w:val="en-GB"/>
        </w:rPr>
        <w:instrText xml:space="preserve"> ADDIN ZOTERO_ITEM CSL_CITATION {"citationID":"mtLVShnK","properties":{"formattedCitation":"(Acin-Albiac et al., 2020; Daly et al., 2018; Dubey et al., 2022; Feigl et al., 2017; Ge et al., 2018)","plainCitation":"(Acin-Albiac et al., 2020; Daly et al., 2018; Dubey et al., 2022; Feigl et al., 2017; Ge et al., 2018)","dontUpdate":true,"noteIndex":0},"citationItems":[{"id":121,"uris":["http://zotero.org/users/local/Kio4mdFQ/items/7NQWMVE2"],"itemData":{"id":121,"type":"article-journal","abstract":"The phenotype-genotype landscape is a projection coming from detailed phenotypic and genotypic data under environmental pressure. Although phenome of microbes or microbial consortia mirrors the functional expression of a genome or set of genomes, metabolic traits rely on the phenotype. Phenomics has the potential to revolution functional genomics. In this review, we discuss why and how phenomics was developed. We described how phenomics may extend our understanding of the assembly of microbial consortia and their functionality, and then we outlined the novel applications within the study of phenomes using Omnilog platform together with a revision of its current application to study lactic acid bacteria (LAB) metabolic traits during food processing. LAB were proposed as a suitable model system to analyze and discuss the implementation and exploitation of this emerging omics approach. We introduced the ‘phenotype switching’, as a new phenotype microarray approach to get insights in bacterial physiology. An overview of methodologies and tools to manage and analyze the generated data was provided. Finally, pro and cons of pipelines developed so far, including the most innovative ones were critically analyzed. We propose an R pipeline, recently deposited, which allows to automatically analyze Omnilog data integrating the latest approaches and implementing the new concepts described here.","container-title":"Computational and Structural Biotechnology Journal","DOI":"10.1016/j.csbj.2020.08.010","ISSN":"20010370","journalAbbreviation":"Computational and Structural Biotechnology Journal","language":"en","page":"2290-2299","source":"DOI.org (Crossref)","title":"Microbial high throughput phenomics: The potential of an irreplaceable omics","title-short":"Microbial high throughput phenomics","volume":"18","author":[{"family":"Acin-Albiac","given":"Marta"},{"family":"Filannino","given":"Pasquale"},{"family":"Gobbetti","given":"Marco"},{"family":"Di Cagno","given":"Raffaella"}],"issued":{"date-parts":[["2020"]]}}},{"id":647,"uris":["http://zotero.org/users/local/Kio4mdFQ/items/QFN83N2I"],"itemData":{"id":647,"type":"article-journal","abstract":"Diversity is a concept central to ecology, and its measurement is essential for any study of ecosystem health. But summarizing this complex and multidimensional concept in a single measure is problematic. Dozens of mathematical indices have been proposed for this purpose, but these can provide contradictory results leading to misleading or incorrect conclusions about a community’s diversity. In this review, we summarize the key conceptual issues underlying the measurement of ecological diversity, survey the indices most commonly used in ecology, and discuss their relative suitability. We advocate for indices that: (i) satisfy key mathematical axioms; (ii) can be expressed as so-called effective numbers; (iii) can be extended to account for disparity between types; (iv) can be parameterized to obtain diversity profiles; and (v) for which an estimator (preferably unbiased) can be found so that the index is useful for practical applications.","container-title":"Mathematics","DOI":"10.3390/math6070119","ISSN":"2227-7390","issue":"7","language":"en","license":"http://creativecommons.org/licenses/by/3.0/","note":"number: 7\npublisher: Multidisciplinary Digital Publishing Institute","page":"119","source":"www.mdpi.com","title":"Ecological Diversity: Measuring the Unmeasurable","title-short":"Ecological Diversity","volume":"6","author":[{"family":"Daly","given":"Aisling J."},{"family":"Baetens","given":"Jan M."},{"family":"De Baets","given":"Bernard"}],"issued":{"date-parts":[["2018",7]]}}},{"id":576,"uris":["http://zotero.org/users/local/Kio4mdFQ/items/YLQ6R59X"],"itemData":{"id":576,"type":"article-journal","abstract":"Highly varied bacterial communities inhabiting the soybean rhizosphere perform important roles in its growth and production; nevertheless, little is known about the changes that occur in these communities under disease-stress conditions. The present study investigated the bacterial diversity and their metabolic profile in the rhizosphere of disease-resistant (JS-20–34) and disease-susceptible (JS-335) soybean (Glycine max (L.) Merr.) cultivars using 16S rRNA amplicon sequencing and community-level physiological profiling (CLPP). In disease-resistant soybean (AKADR) samples, the most dominating phyla were Actinobacteria (40%) followed by Chloroflexi (24%), Proteobacteria (20%), and Firmicutes (12%), while in the disease-susceptible (AKADS) sample, the most dominating phyla were Proteobacteria (35%) followed by Actinobacteria (27%) and Bacteroidetes (17%). Functional profiling of bacterial communities was done using the METAGENassist, and PICRUSt2 software, which shows that AKADR samples have more ammonifying, chitin degrading, nitrogen-fixing, and nitrite reducing bacteria compared to AKADS rhizosphere samples. The bacterial communities present in disease-resistant samples were significantly enriched with genes involved in nitrogen fixation, carbon fixation, ammonification, denitrification, and antibiotic production. Furthermore, the CLPP results show that carbohydrates and carboxylic acids were the most frequently utilized nutrients by the microbes. The principal component analysis (PCA) revealed that the AKADR soils had higher functional activity (strong association with the Shannon–Wiener index, richness index, and hydrocarbon consumption) than AKADS rhizospheric soils. Overall, our findings suggested that the rhizosphere of resistant varieties of soybean comprises of beneficial bacterial population over susceptible varieties.","container-title":"Brazilian Journal of Microbiology","DOI":"10.1007/s42770-022-00746-w","ISSN":"1678-4405","journalAbbreviation":"Braz J Microbiol","language":"en","source":"Springer Link","title":"Taxonomical and functional bacterial community profiling in disease-resistant and disease-susceptible soybean cultivars","URL":"https://doi.org/10.1007/s42770-022-00746-w","author":[{"family":"Dubey","given":"Anamika"},{"family":"Malla","given":"Muneer Ahmad"},{"family":"Kumar","given":"Ashwani"}],"accessed":{"date-parts":[["2022",8,5]]},"issued":{"date-parts":[["2022",4,12]]}}},{"id":646,"uris":["http://zotero.org/users/local/Kio4mdFQ/items/FFX6S58H"],"itemData":{"id":646,"type":"article-journal","abstract":"Red mud can be applied as soil ameliorant to acidic, sandy and micronutrient deﬁcient soils. There are still knowledge gaps regarding the effects of red mud on the soil microbial community. The Biolog EcoPlate technique is a promising tool for community level physiological proﬁling. This study presents a detailed evaluation of Biolog EcoPlate data from two case studies. In experiment “A” red mud from Ajka (Hungary) was mixed into acidic sandy soil in soil microcosms at 5–50 w/w%. In experiement “B” red mud soil mixture was mixed into low quality subsoil in a ﬁeld experiment at 5–50 w/w%. According to average well color development, substrate average well color development and substrate richness 5–20% red mud increased the microbial activity of the acidic sandy soil over the short term, but the effect did not last for 10 months. Shannon diversity index showed that red mud at up to 20% did not change microbial diversity over the short term, but the diversity decreased by the 10th month. 30–50% red mud had deteriorating effect on the soil microﬂora. 5–20% red mud soil mixture in the low quality subsoil had a long lasting enhancing effect on the microbial community based on all Biolog EcoPlate parameters. However, 50% red mud soil mixture caused a decrease in diversity and substrate richness. With the Biolog EcoPlate we were able to monitor the changes of the microbial community in red mud affected soils and to assess the amount of red mud and red mud soil mixture applicable for soil treatment in these cases.","container-title":"Science of The Total Environment","DOI":"10.1016/j.scitotenv.2017.03.266","ISSN":"00489697","journalAbbreviation":"Science of The Total Environment","language":"en","page":"903-911","source":"DOI.org (Crossref)","title":"Influence of red mud on soil microbial communities: Application and comprehensive evaluation of the Biolog EcoPlate approach as a tool in soil microbiological studies","title-short":"Influence of red mud on soil microbial communities","volume":"595","author":[{"family":"Feigl","given":"Viktória"},{"family":"Ujaczki","given":"Éva"},{"family":"Vaszita","given":"Emese"},{"family":"Molnár","given":"Mónika"}],"issued":{"date-parts":[["2017",10]]}}},{"id":644,"uris":["http://zotero.org/users/local/Kio4mdFQ/items/QLUG4TWF"],"itemData":{"id":644,"type":"article-journal","abstract":"Microbial contamination has been a pervasive issue during the rice storage and triggers extensive researches. The metabolism of microorganisms was proved as an indicator to mirror the degree of microbial contamination. It is necessary to develop a scientiﬁc method to analyze the metabolism of rice microbial communities, thereby monitoring the microbial contamination. In this study, the metabolism of rice microbial communities in different storing-year were investigated by BIOLOG ECO microplates. The three rice samples were respectively stored for 1–3 years. The related indicators of BIOLOG ECO microplates were determined, including average well-color development (AWCD) of carbon sources and three metabolic functional diversity indices. The results showed that there were signiﬁcant differences in the AWCD of all carbon sources among the three rice microbial communities (p &lt; 0.05), and the functional diversity indices except Simpson index showed signiﬁcant differences (p &lt; 0.05). Additionally, the three rice microbial communities differed signiﬁcantly in the metabolic utilization of carboxylic acids and miscellaneous (p &lt; 0.05), and there were, however, no signiﬁcant differences in the other four types of carbon sources. Furthermore, principal component analysis revealed that the microbial communities of stored rice had obviously different metabolic functions in different storage period. Therefore, the study indicated that the BIOLOG ECO microplate was applicable to evaluate the metabolic functions of rice microbial communities, and carboxylic acids and miscellaneous were two crucial parameters of carbon sources to identify the metabolic differences of microbial communities, a case in which it reﬂected the conditions of rice microbial contamination.","container-title":"Frontiers in Microbiology","DOI":"10.3389/fmicb.2018.01375","ISSN":"1664-302X","journalAbbreviation":"Front. Microbiol.","language":"en","page":"1375","source":"DOI.org (Crossref)","title":"Analysis on Metabolic Functions of Stored Rice Microbial Communities by BIOLOG ECO Microplates","volume":"9","author":[{"family":"Ge","given":"Zhiwen"},{"family":"Du","given":"Hengjun"},{"family":"Gao","given":"Yulong"},{"family":"Qiu","given":"Weifen"}],"issued":{"date-parts":[["2018",7,3]]}}}],"schema":"https://github.com/citation-style-language/schema/raw/master/csl-citation.json"} </w:instrText>
      </w:r>
      <w:r w:rsidR="00941EA3" w:rsidRPr="00537E35">
        <w:rPr>
          <w:lang w:val="en-GB"/>
        </w:rPr>
        <w:fldChar w:fldCharType="separate"/>
      </w:r>
      <w:r w:rsidR="00020FAB" w:rsidRPr="00537E35">
        <w:rPr>
          <w:lang w:val="en-GB"/>
        </w:rPr>
        <w:t xml:space="preserve">Daly </w:t>
      </w:r>
      <w:r w:rsidR="00020FAB" w:rsidRPr="00537E35">
        <w:rPr>
          <w:i/>
          <w:iCs/>
          <w:lang w:val="en-GB"/>
        </w:rPr>
        <w:t>et al.</w:t>
      </w:r>
      <w:r w:rsidR="00020FAB" w:rsidRPr="00537E35">
        <w:rPr>
          <w:lang w:val="en-GB"/>
        </w:rPr>
        <w:t xml:space="preserve">, 2018; Dubey </w:t>
      </w:r>
      <w:r w:rsidR="00020FAB" w:rsidRPr="00537E35">
        <w:rPr>
          <w:i/>
          <w:iCs/>
          <w:lang w:val="en-GB"/>
        </w:rPr>
        <w:t>et al.</w:t>
      </w:r>
      <w:r w:rsidR="00020FAB" w:rsidRPr="00537E35">
        <w:rPr>
          <w:lang w:val="en-GB"/>
        </w:rPr>
        <w:t>, 2022)</w:t>
      </w:r>
      <w:r w:rsidR="00941EA3" w:rsidRPr="00537E35">
        <w:rPr>
          <w:lang w:val="en-GB"/>
        </w:rPr>
        <w:fldChar w:fldCharType="end"/>
      </w:r>
      <w:r w:rsidR="00B8037C" w:rsidRPr="00537E35">
        <w:rPr>
          <w:lang w:val="en-GB"/>
        </w:rPr>
        <w:t>.</w:t>
      </w:r>
    </w:p>
    <w:tbl>
      <w:tblPr>
        <w:tblStyle w:val="TableGrid"/>
        <w:tblpPr w:leftFromText="142" w:rightFromText="142" w:bottomFromText="142" w:vertAnchor="text" w:horzAnchor="margin" w:tblpXSpec="center" w:tblpY="1"/>
        <w:tblOverlap w:val="never"/>
        <w:tblW w:w="9214"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276"/>
        <w:gridCol w:w="2410"/>
        <w:gridCol w:w="2693"/>
        <w:gridCol w:w="2835"/>
      </w:tblGrid>
      <w:tr w:rsidR="00537E35" w:rsidRPr="00FB7FCF" w14:paraId="301A885E" w14:textId="77777777" w:rsidTr="00A47DC7">
        <w:tc>
          <w:tcPr>
            <w:tcW w:w="9214" w:type="dxa"/>
            <w:gridSpan w:val="4"/>
            <w:tcBorders>
              <w:top w:val="nil"/>
              <w:bottom w:val="single" w:sz="4" w:space="0" w:color="auto"/>
            </w:tcBorders>
            <w:vAlign w:val="center"/>
          </w:tcPr>
          <w:p w14:paraId="007F5633" w14:textId="05C0F03F" w:rsidR="00202752" w:rsidRPr="00537E35" w:rsidRDefault="00202752" w:rsidP="00A47DC7">
            <w:pPr>
              <w:pStyle w:val="Caption"/>
              <w:keepNext/>
              <w:spacing w:before="300" w:after="120"/>
              <w:rPr>
                <w:color w:val="auto"/>
                <w:lang w:val="en-GB"/>
              </w:rPr>
            </w:pPr>
            <w:r w:rsidRPr="00537E35">
              <w:rPr>
                <w:b/>
                <w:bCs/>
                <w:i w:val="0"/>
                <w:iCs w:val="0"/>
                <w:color w:val="auto"/>
                <w:lang w:val="en-GB"/>
              </w:rPr>
              <w:t>Table 1</w:t>
            </w:r>
            <w:r w:rsidRPr="00537E35">
              <w:rPr>
                <w:b/>
                <w:bCs/>
                <w:color w:val="auto"/>
                <w:lang w:val="en-GB"/>
              </w:rPr>
              <w:t xml:space="preserve"> </w:t>
            </w:r>
            <w:r w:rsidRPr="00537E35">
              <w:rPr>
                <w:color w:val="auto"/>
                <w:lang w:val="en-GB"/>
              </w:rPr>
              <w:t>Ecological diversity indices</w:t>
            </w:r>
            <w:r w:rsidR="0021071A" w:rsidRPr="00537E35">
              <w:rPr>
                <w:color w:val="auto"/>
                <w:lang w:val="en-GB"/>
              </w:rPr>
              <w:t xml:space="preserve"> used to describe the biodiversity </w:t>
            </w:r>
            <w:r w:rsidR="007261D0" w:rsidRPr="00537E35">
              <w:rPr>
                <w:color w:val="auto"/>
                <w:lang w:val="en-GB"/>
              </w:rPr>
              <w:t xml:space="preserve">of the SMC </w:t>
            </w:r>
            <w:r w:rsidR="0021071A" w:rsidRPr="00537E35">
              <w:rPr>
                <w:color w:val="auto"/>
                <w:lang w:val="en-GB"/>
              </w:rPr>
              <w:t xml:space="preserve">and its metabolic </w:t>
            </w:r>
            <w:r w:rsidR="007261D0" w:rsidRPr="00537E35">
              <w:rPr>
                <w:color w:val="auto"/>
                <w:lang w:val="en-GB"/>
              </w:rPr>
              <w:t>variability.</w:t>
            </w:r>
          </w:p>
        </w:tc>
      </w:tr>
      <w:tr w:rsidR="00537E35" w:rsidRPr="00537E35" w14:paraId="14D51169" w14:textId="77777777" w:rsidTr="00A47DC7">
        <w:tc>
          <w:tcPr>
            <w:tcW w:w="1276" w:type="dxa"/>
            <w:tcBorders>
              <w:top w:val="single" w:sz="4" w:space="0" w:color="auto"/>
              <w:bottom w:val="single" w:sz="4" w:space="0" w:color="auto"/>
            </w:tcBorders>
            <w:vAlign w:val="center"/>
          </w:tcPr>
          <w:p w14:paraId="784BCBC0" w14:textId="77777777" w:rsidR="00020FAB" w:rsidRPr="00537E35" w:rsidRDefault="00020FAB" w:rsidP="00A47DC7">
            <w:pPr>
              <w:rPr>
                <w:b/>
                <w:bCs/>
                <w:lang w:val="en-GB"/>
              </w:rPr>
            </w:pPr>
            <w:r w:rsidRPr="00537E35">
              <w:rPr>
                <w:b/>
                <w:bCs/>
                <w:lang w:val="en-GB"/>
              </w:rPr>
              <w:t>Index</w:t>
            </w:r>
          </w:p>
        </w:tc>
        <w:tc>
          <w:tcPr>
            <w:tcW w:w="2410" w:type="dxa"/>
            <w:tcBorders>
              <w:top w:val="single" w:sz="4" w:space="0" w:color="auto"/>
              <w:bottom w:val="single" w:sz="4" w:space="0" w:color="auto"/>
            </w:tcBorders>
            <w:vAlign w:val="center"/>
          </w:tcPr>
          <w:p w14:paraId="0795B41E" w14:textId="2C5F5386" w:rsidR="00020FAB" w:rsidRPr="00537E35" w:rsidRDefault="00020FAB" w:rsidP="00A47DC7">
            <w:pPr>
              <w:jc w:val="center"/>
              <w:rPr>
                <w:b/>
                <w:bCs/>
                <w:lang w:val="en-GB"/>
              </w:rPr>
            </w:pPr>
            <w:r w:rsidRPr="00537E35">
              <w:rPr>
                <w:b/>
                <w:bCs/>
                <w:lang w:val="en-GB"/>
              </w:rPr>
              <w:t>Formula</w:t>
            </w:r>
          </w:p>
        </w:tc>
        <w:tc>
          <w:tcPr>
            <w:tcW w:w="2693" w:type="dxa"/>
            <w:tcBorders>
              <w:top w:val="single" w:sz="4" w:space="0" w:color="auto"/>
              <w:bottom w:val="single" w:sz="4" w:space="0" w:color="auto"/>
            </w:tcBorders>
            <w:vAlign w:val="center"/>
          </w:tcPr>
          <w:p w14:paraId="0ED477EB" w14:textId="5FE67790" w:rsidR="00020FAB" w:rsidRPr="00537E35" w:rsidRDefault="00020FAB" w:rsidP="00A47DC7">
            <w:pPr>
              <w:jc w:val="center"/>
              <w:rPr>
                <w:b/>
                <w:bCs/>
                <w:lang w:val="en-GB"/>
              </w:rPr>
            </w:pPr>
            <w:r w:rsidRPr="00537E35">
              <w:rPr>
                <w:b/>
                <w:bCs/>
                <w:lang w:val="en-GB"/>
              </w:rPr>
              <w:t>SMC biodiversity</w:t>
            </w:r>
          </w:p>
        </w:tc>
        <w:tc>
          <w:tcPr>
            <w:tcW w:w="2835" w:type="dxa"/>
            <w:tcBorders>
              <w:top w:val="single" w:sz="4" w:space="0" w:color="auto"/>
              <w:bottom w:val="single" w:sz="4" w:space="0" w:color="auto"/>
            </w:tcBorders>
            <w:vAlign w:val="center"/>
          </w:tcPr>
          <w:p w14:paraId="08092CE5" w14:textId="2785CAF2" w:rsidR="00020FAB" w:rsidRPr="00537E35" w:rsidRDefault="00020FAB" w:rsidP="00A47DC7">
            <w:pPr>
              <w:jc w:val="center"/>
              <w:rPr>
                <w:b/>
                <w:bCs/>
                <w:lang w:val="en-GB"/>
              </w:rPr>
            </w:pPr>
            <w:r w:rsidRPr="00537E35">
              <w:rPr>
                <w:b/>
                <w:bCs/>
                <w:lang w:val="en-GB"/>
              </w:rPr>
              <w:t>Metabolic functional diversity</w:t>
            </w:r>
          </w:p>
        </w:tc>
      </w:tr>
      <w:tr w:rsidR="00537E35" w:rsidRPr="00FB7FCF" w14:paraId="55988FF0" w14:textId="77777777" w:rsidTr="00A47DC7">
        <w:tc>
          <w:tcPr>
            <w:tcW w:w="1276" w:type="dxa"/>
            <w:tcBorders>
              <w:top w:val="single" w:sz="4" w:space="0" w:color="auto"/>
              <w:bottom w:val="nil"/>
            </w:tcBorders>
            <w:shd w:val="clear" w:color="auto" w:fill="auto"/>
          </w:tcPr>
          <w:p w14:paraId="7F0259E1" w14:textId="77777777" w:rsidR="001B7706" w:rsidRPr="00537E35" w:rsidRDefault="00020FAB" w:rsidP="00A47DC7">
            <w:pPr>
              <w:rPr>
                <w:lang w:val="en-GB"/>
              </w:rPr>
            </w:pPr>
            <w:r w:rsidRPr="00537E35">
              <w:rPr>
                <w:lang w:val="en-GB"/>
              </w:rPr>
              <w:t xml:space="preserve">Richness </w:t>
            </w:r>
          </w:p>
          <w:p w14:paraId="5DB65AF9" w14:textId="6C908319" w:rsidR="00020FAB" w:rsidRPr="00537E35" w:rsidRDefault="00020FAB" w:rsidP="00A47DC7">
            <w:pPr>
              <w:rPr>
                <w:lang w:val="en-GB"/>
              </w:rPr>
            </w:pPr>
            <w:r w:rsidRPr="00537E35">
              <w:rPr>
                <w:lang w:val="en-GB"/>
              </w:rPr>
              <w:t>(S) (SR)</w:t>
            </w:r>
          </w:p>
        </w:tc>
        <w:tc>
          <w:tcPr>
            <w:tcW w:w="2410" w:type="dxa"/>
            <w:tcBorders>
              <w:top w:val="single" w:sz="4" w:space="0" w:color="auto"/>
              <w:bottom w:val="nil"/>
            </w:tcBorders>
            <w:shd w:val="clear" w:color="auto" w:fill="auto"/>
          </w:tcPr>
          <w:p w14:paraId="42F2C108" w14:textId="77777777" w:rsidR="00020FAB" w:rsidRPr="00537E35" w:rsidRDefault="00020FAB" w:rsidP="00A47DC7">
            <w:pPr>
              <w:jc w:val="center"/>
              <w:rPr>
                <w:lang w:val="en-GB"/>
              </w:rPr>
            </w:pPr>
          </w:p>
        </w:tc>
        <w:tc>
          <w:tcPr>
            <w:tcW w:w="2693" w:type="dxa"/>
            <w:tcBorders>
              <w:top w:val="single" w:sz="4" w:space="0" w:color="auto"/>
              <w:bottom w:val="nil"/>
            </w:tcBorders>
            <w:shd w:val="clear" w:color="auto" w:fill="auto"/>
          </w:tcPr>
          <w:p w14:paraId="37CCF3E6" w14:textId="152B8DFC" w:rsidR="00020FAB" w:rsidRPr="00537E35" w:rsidRDefault="00020FAB" w:rsidP="00A47DC7">
            <w:pPr>
              <w:rPr>
                <w:lang w:val="en-GB"/>
              </w:rPr>
            </w:pPr>
            <w:r w:rsidRPr="00537E35">
              <w:rPr>
                <w:lang w:val="en-GB"/>
              </w:rPr>
              <w:t>Total number of species in the microbial community</w:t>
            </w:r>
          </w:p>
        </w:tc>
        <w:tc>
          <w:tcPr>
            <w:tcW w:w="2835" w:type="dxa"/>
            <w:tcBorders>
              <w:top w:val="single" w:sz="4" w:space="0" w:color="auto"/>
              <w:bottom w:val="nil"/>
            </w:tcBorders>
            <w:shd w:val="clear" w:color="auto" w:fill="auto"/>
          </w:tcPr>
          <w:p w14:paraId="4CB5988B" w14:textId="52C77483" w:rsidR="00020FAB" w:rsidRPr="00537E35" w:rsidRDefault="00020FAB" w:rsidP="00A47DC7">
            <w:pPr>
              <w:rPr>
                <w:lang w:val="en-GB"/>
              </w:rPr>
            </w:pPr>
            <w:r w:rsidRPr="00537E35">
              <w:rPr>
                <w:lang w:val="en-GB"/>
              </w:rPr>
              <w:t>Total number of substrates utilized by each strain (normalized value at 72h ≥ 1)</w:t>
            </w:r>
          </w:p>
        </w:tc>
      </w:tr>
      <w:tr w:rsidR="00537E35" w:rsidRPr="00537E35" w14:paraId="0700D7A9" w14:textId="77777777" w:rsidTr="00A47DC7">
        <w:tc>
          <w:tcPr>
            <w:tcW w:w="1276" w:type="dxa"/>
            <w:tcBorders>
              <w:top w:val="nil"/>
              <w:bottom w:val="nil"/>
            </w:tcBorders>
            <w:shd w:val="clear" w:color="auto" w:fill="auto"/>
          </w:tcPr>
          <w:p w14:paraId="43657F95" w14:textId="68CC719A" w:rsidR="00020FAB" w:rsidRPr="00537E35" w:rsidRDefault="00020FAB" w:rsidP="00A47DC7">
            <w:pPr>
              <w:rPr>
                <w:lang w:val="en-GB"/>
              </w:rPr>
            </w:pPr>
            <w:r w:rsidRPr="00537E35">
              <w:rPr>
                <w:lang w:val="en-GB"/>
              </w:rPr>
              <w:t>% SR</w:t>
            </w:r>
          </w:p>
        </w:tc>
        <w:tc>
          <w:tcPr>
            <w:tcW w:w="2410" w:type="dxa"/>
            <w:tcBorders>
              <w:top w:val="nil"/>
              <w:bottom w:val="nil"/>
            </w:tcBorders>
            <w:shd w:val="clear" w:color="auto" w:fill="auto"/>
          </w:tcPr>
          <w:p w14:paraId="4D3F14C4" w14:textId="1A0174FD" w:rsidR="00020FAB" w:rsidRPr="00537E35" w:rsidRDefault="00020FAB" w:rsidP="00A47DC7">
            <w:pPr>
              <w:jc w:val="center"/>
              <w:rPr>
                <w:lang w:val="en-GB"/>
              </w:rPr>
            </w:pPr>
            <m:oMathPara>
              <m:oMath>
                <m:r>
                  <w:rPr>
                    <w:rFonts w:ascii="Cambria Math" w:hAnsi="Cambria Math"/>
                    <w:lang w:val="en-GB"/>
                  </w:rPr>
                  <m:t>% SR=</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SR</m:t>
                        </m:r>
                      </m:num>
                      <m:den>
                        <m:r>
                          <w:rPr>
                            <w:rFonts w:ascii="Cambria Math" w:hAnsi="Cambria Math"/>
                            <w:lang w:val="en-GB"/>
                          </w:rPr>
                          <m:t>n</m:t>
                        </m:r>
                      </m:den>
                    </m:f>
                  </m:e>
                </m:d>
                <m:r>
                  <w:rPr>
                    <w:rFonts w:ascii="Cambria Math" w:hAnsi="Cambria Math"/>
                    <w:lang w:val="en-GB"/>
                  </w:rPr>
                  <m:t>*100</m:t>
                </m:r>
              </m:oMath>
            </m:oMathPara>
          </w:p>
        </w:tc>
        <w:tc>
          <w:tcPr>
            <w:tcW w:w="2693" w:type="dxa"/>
            <w:tcBorders>
              <w:top w:val="nil"/>
              <w:bottom w:val="nil"/>
            </w:tcBorders>
            <w:shd w:val="clear" w:color="auto" w:fill="auto"/>
            <w:vAlign w:val="center"/>
          </w:tcPr>
          <w:p w14:paraId="27DC5B3C" w14:textId="75E42A7E" w:rsidR="00020FAB" w:rsidRPr="00537E35" w:rsidRDefault="00020FAB" w:rsidP="00A47DC7">
            <w:pPr>
              <w:jc w:val="center"/>
              <w:rPr>
                <w:lang w:val="en-GB"/>
              </w:rPr>
            </w:pPr>
            <w:r w:rsidRPr="00537E35">
              <w:rPr>
                <w:lang w:val="en-GB"/>
              </w:rPr>
              <w:t>/</w:t>
            </w:r>
          </w:p>
        </w:tc>
        <w:tc>
          <w:tcPr>
            <w:tcW w:w="2835" w:type="dxa"/>
            <w:tcBorders>
              <w:top w:val="nil"/>
              <w:bottom w:val="nil"/>
            </w:tcBorders>
            <w:shd w:val="clear" w:color="auto" w:fill="auto"/>
          </w:tcPr>
          <w:p w14:paraId="4BA4DA0C" w14:textId="56741F1A" w:rsidR="00020FAB" w:rsidRPr="00537E35" w:rsidRDefault="00020FAB" w:rsidP="00A47DC7">
            <w:pPr>
              <w:rPr>
                <w:lang w:val="en-GB"/>
              </w:rPr>
            </w:pPr>
            <w:r w:rsidRPr="00537E35">
              <w:rPr>
                <w:lang w:val="en-GB"/>
              </w:rPr>
              <w:t>Percentage of substrates assimilated</w:t>
            </w:r>
          </w:p>
        </w:tc>
      </w:tr>
      <w:tr w:rsidR="00537E35" w:rsidRPr="00FB7FCF" w14:paraId="5D126BAF" w14:textId="77777777" w:rsidTr="00A47DC7">
        <w:tc>
          <w:tcPr>
            <w:tcW w:w="1276" w:type="dxa"/>
            <w:tcBorders>
              <w:top w:val="nil"/>
            </w:tcBorders>
            <w:shd w:val="clear" w:color="auto" w:fill="auto"/>
          </w:tcPr>
          <w:p w14:paraId="2AD398F5" w14:textId="77777777" w:rsidR="00020FAB" w:rsidRPr="00537E35" w:rsidRDefault="00020FAB" w:rsidP="00A47DC7">
            <w:pPr>
              <w:rPr>
                <w:lang w:val="en-GB"/>
              </w:rPr>
            </w:pPr>
            <w:r w:rsidRPr="00537E35">
              <w:rPr>
                <w:lang w:val="en-GB"/>
              </w:rPr>
              <w:t>Shannon Diversity Index (H’)</w:t>
            </w:r>
          </w:p>
        </w:tc>
        <w:tc>
          <w:tcPr>
            <w:tcW w:w="2410" w:type="dxa"/>
            <w:tcBorders>
              <w:top w:val="nil"/>
            </w:tcBorders>
            <w:shd w:val="clear" w:color="auto" w:fill="auto"/>
          </w:tcPr>
          <w:p w14:paraId="61A7665B" w14:textId="302AFB8E" w:rsidR="00020FAB" w:rsidRPr="00537E35" w:rsidRDefault="00000000" w:rsidP="00A47DC7">
            <w:pPr>
              <w:jc w:val="center"/>
              <w:rPr>
                <w:lang w:val="en-GB"/>
              </w:rPr>
            </w:pPr>
            <m:oMathPara>
              <m:oMath>
                <m:sSup>
                  <m:sSupPr>
                    <m:ctrlPr>
                      <w:rPr>
                        <w:rFonts w:ascii="Cambria Math" w:hAnsi="Cambria Math"/>
                        <w:i/>
                        <w:lang w:val="en-GB"/>
                      </w:rPr>
                    </m:ctrlPr>
                  </m:sSupPr>
                  <m:e>
                    <m:r>
                      <w:rPr>
                        <w:rFonts w:ascii="Cambria Math" w:hAnsi="Cambria Math"/>
                        <w:lang w:val="en-GB"/>
                      </w:rPr>
                      <m:t>H</m:t>
                    </m:r>
                  </m:e>
                  <m:sup>
                    <m:r>
                      <w:rPr>
                        <w:rFonts w:ascii="Cambria Math" w:hAnsi="Cambria Math"/>
                        <w:lang w:val="en-GB"/>
                      </w:rPr>
                      <m:t>'</m:t>
                    </m:r>
                  </m:sup>
                </m:sSup>
                <m:r>
                  <w:rPr>
                    <w:rFonts w:ascii="Cambria Math" w:hAnsi="Cambria Math"/>
                    <w:lang w:val="en-GB"/>
                  </w:rPr>
                  <m:t>=-</m:t>
                </m:r>
                <m:nary>
                  <m:naryPr>
                    <m:chr m:val="∑"/>
                    <m:grow m:val="1"/>
                    <m:ctrlPr>
                      <w:rPr>
                        <w:rFonts w:ascii="Cambria Math" w:hAnsi="Cambria Math"/>
                        <w:lang w:val="en-GB"/>
                      </w:rPr>
                    </m:ctrlPr>
                  </m:naryPr>
                  <m:sub>
                    <m:r>
                      <w:rPr>
                        <w:rFonts w:ascii="Cambria Math" w:eastAsia="Cambria Math" w:hAnsi="Cambria Math"/>
                        <w:lang w:val="en-GB"/>
                      </w:rPr>
                      <m:t>i=1</m:t>
                    </m:r>
                  </m:sub>
                  <m:sup>
                    <m:r>
                      <w:rPr>
                        <w:rFonts w:ascii="Cambria Math" w:eastAsia="Cambria Math" w:hAnsi="Cambria Math"/>
                        <w:lang w:val="en-GB"/>
                      </w:rPr>
                      <m:t>n</m:t>
                    </m:r>
                  </m:sup>
                  <m:e>
                    <m:r>
                      <w:rPr>
                        <w:rFonts w:ascii="Cambria Math" w:hAnsi="Cambria Math"/>
                        <w:lang w:val="en-GB"/>
                      </w:rPr>
                      <m:t>Pi*lnPi</m:t>
                    </m:r>
                  </m:e>
                </m:nary>
              </m:oMath>
            </m:oMathPara>
          </w:p>
        </w:tc>
        <w:tc>
          <w:tcPr>
            <w:tcW w:w="2693" w:type="dxa"/>
            <w:tcBorders>
              <w:top w:val="nil"/>
            </w:tcBorders>
            <w:shd w:val="clear" w:color="auto" w:fill="auto"/>
          </w:tcPr>
          <w:p w14:paraId="6E027429" w14:textId="77777777" w:rsidR="00020FAB" w:rsidRPr="00537E35" w:rsidRDefault="00020FAB" w:rsidP="00A47DC7">
            <w:pPr>
              <w:rPr>
                <w:lang w:val="en-GB"/>
              </w:rPr>
            </w:pPr>
            <w:r w:rsidRPr="00537E35">
              <w:rPr>
                <w:lang w:val="en-GB"/>
              </w:rPr>
              <w:t>Entropy or disorder of the population</w:t>
            </w:r>
          </w:p>
          <w:p w14:paraId="6F2F2A39" w14:textId="247C730C" w:rsidR="00020FAB" w:rsidRPr="00537E35" w:rsidRDefault="00020FAB" w:rsidP="00A47DC7">
            <w:pPr>
              <w:rPr>
                <w:rFonts w:eastAsiaTheme="minorEastAsia"/>
                <w:lang w:val="en-GB"/>
              </w:rPr>
            </w:pPr>
            <m:oMath>
              <m:r>
                <w:rPr>
                  <w:rFonts w:ascii="Cambria Math" w:hAnsi="Cambria Math"/>
                  <w:lang w:val="en-GB"/>
                </w:rPr>
                <m:t>Pi=ni/N</m:t>
              </m:r>
            </m:oMath>
            <w:r w:rsidRPr="00537E35">
              <w:rPr>
                <w:rFonts w:eastAsiaTheme="minorEastAsia"/>
                <w:lang w:val="en-GB"/>
              </w:rPr>
              <w:t xml:space="preserve"> proportional abundance of species </w:t>
            </w:r>
            <w:proofErr w:type="spellStart"/>
            <w:r w:rsidRPr="00537E35">
              <w:rPr>
                <w:rFonts w:eastAsiaTheme="minorEastAsia"/>
                <w:i/>
                <w:iCs/>
                <w:lang w:val="en-GB"/>
              </w:rPr>
              <w:t>i</w:t>
            </w:r>
            <w:proofErr w:type="spellEnd"/>
            <w:r w:rsidRPr="00537E35">
              <w:rPr>
                <w:rFonts w:eastAsiaTheme="minorEastAsia"/>
                <w:lang w:val="en-GB"/>
              </w:rPr>
              <w:t xml:space="preserve"> where:</w:t>
            </w:r>
          </w:p>
          <w:p w14:paraId="7F73CB1C" w14:textId="77777777" w:rsidR="00020FAB" w:rsidRPr="00537E35" w:rsidRDefault="00020FAB" w:rsidP="00A47DC7">
            <w:pPr>
              <w:rPr>
                <w:rFonts w:eastAsia="Calibri"/>
                <w:lang w:val="en-GB"/>
              </w:rPr>
            </w:pPr>
            <w:proofErr w:type="spellStart"/>
            <w:r w:rsidRPr="00537E35">
              <w:rPr>
                <w:rFonts w:eastAsia="Calibri"/>
                <w:i/>
                <w:iCs/>
                <w:lang w:val="en-GB"/>
              </w:rPr>
              <w:t>ni</w:t>
            </w:r>
            <w:proofErr w:type="spellEnd"/>
            <w:r w:rsidRPr="00537E35">
              <w:rPr>
                <w:rFonts w:eastAsia="Calibri"/>
                <w:lang w:val="en-GB"/>
              </w:rPr>
              <w:t xml:space="preserve"> = number of strains of species </w:t>
            </w:r>
            <w:proofErr w:type="spellStart"/>
            <w:r w:rsidRPr="00537E35">
              <w:rPr>
                <w:rFonts w:eastAsia="Calibri"/>
                <w:i/>
                <w:iCs/>
                <w:lang w:val="en-GB"/>
              </w:rPr>
              <w:t>i</w:t>
            </w:r>
            <w:proofErr w:type="spellEnd"/>
          </w:p>
          <w:p w14:paraId="129FBE0E" w14:textId="1843DB7F" w:rsidR="00020FAB" w:rsidRPr="00537E35" w:rsidRDefault="00020FAB" w:rsidP="00A47DC7">
            <w:pPr>
              <w:rPr>
                <w:lang w:val="en-GB"/>
              </w:rPr>
            </w:pPr>
            <w:r w:rsidRPr="00537E35">
              <w:rPr>
                <w:rFonts w:eastAsia="Calibri"/>
                <w:i/>
                <w:iCs/>
                <w:lang w:val="en-GB"/>
              </w:rPr>
              <w:t>N</w:t>
            </w:r>
            <w:r w:rsidRPr="00537E35">
              <w:rPr>
                <w:rFonts w:eastAsia="Calibri"/>
                <w:lang w:val="en-GB"/>
              </w:rPr>
              <w:t xml:space="preserve"> = total number of strains</w:t>
            </w:r>
          </w:p>
        </w:tc>
        <w:tc>
          <w:tcPr>
            <w:tcW w:w="2835" w:type="dxa"/>
            <w:tcBorders>
              <w:top w:val="nil"/>
            </w:tcBorders>
            <w:shd w:val="clear" w:color="auto" w:fill="auto"/>
          </w:tcPr>
          <w:p w14:paraId="7B5F2657" w14:textId="77777777" w:rsidR="00020FAB" w:rsidRPr="00537E35" w:rsidRDefault="00020FAB" w:rsidP="00A47DC7">
            <w:pPr>
              <w:rPr>
                <w:lang w:val="en-GB"/>
              </w:rPr>
            </w:pPr>
            <w:r w:rsidRPr="00537E35">
              <w:rPr>
                <w:lang w:val="en-GB"/>
              </w:rPr>
              <w:t>Diversity of substrate utilization pattern where:</w:t>
            </w:r>
          </w:p>
          <w:p w14:paraId="2B1D09E8" w14:textId="6A723D2E" w:rsidR="00020FAB" w:rsidRPr="00537E35" w:rsidRDefault="00020FAB" w:rsidP="00A47DC7">
            <w:pPr>
              <w:rPr>
                <w:rFonts w:eastAsia="Calibri"/>
                <w:lang w:val="en-GB"/>
              </w:rPr>
            </w:pPr>
            <m:oMath>
              <m:r>
                <w:rPr>
                  <w:rFonts w:ascii="Cambria Math" w:hAnsi="Cambria Math"/>
                  <w:lang w:val="en-GB"/>
                </w:rPr>
                <m:t>Pi=Rsi/∑Rsi</m:t>
              </m:r>
            </m:oMath>
            <w:r w:rsidRPr="00537E35">
              <w:rPr>
                <w:rFonts w:eastAsiaTheme="minorEastAsia"/>
                <w:lang w:val="en-GB"/>
              </w:rPr>
              <w:t xml:space="preserve"> is the proportional color development of the well over</w:t>
            </w:r>
            <w:r w:rsidR="00B8037C" w:rsidRPr="00537E35">
              <w:rPr>
                <w:rFonts w:eastAsiaTheme="minorEastAsia"/>
                <w:lang w:val="en-GB"/>
              </w:rPr>
              <w:t xml:space="preserve"> the</w:t>
            </w:r>
            <w:r w:rsidRPr="00537E35">
              <w:rPr>
                <w:rFonts w:eastAsiaTheme="minorEastAsia"/>
                <w:lang w:val="en-GB"/>
              </w:rPr>
              <w:t xml:space="preserve"> total </w:t>
            </w:r>
            <w:proofErr w:type="spellStart"/>
            <w:r w:rsidRPr="00537E35">
              <w:rPr>
                <w:rFonts w:eastAsiaTheme="minorEastAsia"/>
                <w:lang w:val="en-GB"/>
              </w:rPr>
              <w:t>color</w:t>
            </w:r>
            <w:proofErr w:type="spellEnd"/>
            <w:r w:rsidRPr="00537E35">
              <w:rPr>
                <w:rFonts w:eastAsiaTheme="minorEastAsia"/>
                <w:lang w:val="en-GB"/>
              </w:rPr>
              <w:t xml:space="preserve"> development of all wells of a plate, with </w:t>
            </w:r>
            <w:proofErr w:type="spellStart"/>
            <w:r w:rsidRPr="00537E35">
              <w:rPr>
                <w:rFonts w:eastAsia="Calibri"/>
                <w:i/>
                <w:iCs/>
                <w:lang w:val="en-GB"/>
              </w:rPr>
              <w:t>Rsi</w:t>
            </w:r>
            <w:proofErr w:type="spellEnd"/>
            <w:r w:rsidRPr="00537E35">
              <w:rPr>
                <w:rFonts w:eastAsia="Calibri"/>
                <w:lang w:val="en-GB"/>
              </w:rPr>
              <w:t xml:space="preserve"> = normalized OD value</w:t>
            </w:r>
          </w:p>
        </w:tc>
      </w:tr>
      <w:tr w:rsidR="00537E35" w:rsidRPr="00FB7FCF" w14:paraId="0AD95E59" w14:textId="77777777" w:rsidTr="00A47DC7">
        <w:tc>
          <w:tcPr>
            <w:tcW w:w="1276" w:type="dxa"/>
            <w:shd w:val="clear" w:color="auto" w:fill="auto"/>
          </w:tcPr>
          <w:p w14:paraId="0D290F1A" w14:textId="77777777" w:rsidR="00020FAB" w:rsidRPr="00537E35" w:rsidRDefault="00020FAB" w:rsidP="00A47DC7">
            <w:pPr>
              <w:rPr>
                <w:lang w:val="en-GB"/>
              </w:rPr>
            </w:pPr>
            <w:proofErr w:type="spellStart"/>
            <w:r w:rsidRPr="00537E35">
              <w:rPr>
                <w:lang w:val="en-GB"/>
              </w:rPr>
              <w:t>Pielou’s</w:t>
            </w:r>
            <w:proofErr w:type="spellEnd"/>
            <w:r w:rsidRPr="00537E35">
              <w:rPr>
                <w:lang w:val="en-GB"/>
              </w:rPr>
              <w:t xml:space="preserve"> Evenness Index (E)</w:t>
            </w:r>
          </w:p>
        </w:tc>
        <w:tc>
          <w:tcPr>
            <w:tcW w:w="2410" w:type="dxa"/>
            <w:shd w:val="clear" w:color="auto" w:fill="auto"/>
          </w:tcPr>
          <w:p w14:paraId="430F7BE5" w14:textId="236EE0C4" w:rsidR="00020FAB" w:rsidRPr="00537E35" w:rsidRDefault="00020FAB" w:rsidP="00A47DC7">
            <w:pPr>
              <w:jc w:val="center"/>
              <w:rPr>
                <w:lang w:val="en-GB"/>
              </w:rPr>
            </w:pPr>
            <m:oMathPara>
              <m:oMath>
                <m:r>
                  <w:rPr>
                    <w:rFonts w:ascii="Cambria Math" w:hAnsi="Cambria Math"/>
                    <w:lang w:val="en-GB"/>
                  </w:rPr>
                  <m:t>E=</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H</m:t>
                        </m:r>
                      </m:e>
                      <m:sup>
                        <m:r>
                          <w:rPr>
                            <w:rFonts w:ascii="Cambria Math" w:hAnsi="Cambria Math"/>
                            <w:lang w:val="en-GB"/>
                          </w:rPr>
                          <m:t>'</m:t>
                        </m:r>
                      </m:sup>
                    </m:sSup>
                  </m:num>
                  <m:den>
                    <m:r>
                      <w:rPr>
                        <w:rFonts w:ascii="Cambria Math" w:hAnsi="Cambria Math"/>
                        <w:lang w:val="en-GB"/>
                      </w:rPr>
                      <m:t>logS</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H</m:t>
                    </m:r>
                  </m:e>
                  <m:sup>
                    <m:r>
                      <w:rPr>
                        <w:rFonts w:ascii="Cambria Math" w:hAnsi="Cambria Math"/>
                        <w:lang w:val="en-GB"/>
                      </w:rPr>
                      <m:t>'</m:t>
                    </m:r>
                  </m:sup>
                </m:sSup>
                <m:r>
                  <w:rPr>
                    <w:rFonts w:ascii="Cambria Math" w:hAnsi="Cambria Math"/>
                    <w:lang w:val="en-GB"/>
                  </w:rPr>
                  <m:t>/</m:t>
                </m:r>
                <m:r>
                  <m:rPr>
                    <m:sty m:val="p"/>
                  </m:rPr>
                  <w:rPr>
                    <w:rFonts w:ascii="Cambria Math" w:hAnsi="Cambria Math"/>
                    <w:lang w:val="en-GB"/>
                  </w:rPr>
                  <m:t>ln⁡</m:t>
                </m:r>
                <m:r>
                  <w:rPr>
                    <w:rFonts w:ascii="Cambria Math" w:hAnsi="Cambria Math"/>
                    <w:lang w:val="en-GB"/>
                  </w:rPr>
                  <m:t>(SR)</m:t>
                </m:r>
              </m:oMath>
            </m:oMathPara>
          </w:p>
        </w:tc>
        <w:tc>
          <w:tcPr>
            <w:tcW w:w="2693" w:type="dxa"/>
            <w:shd w:val="clear" w:color="auto" w:fill="auto"/>
          </w:tcPr>
          <w:p w14:paraId="7B350A32" w14:textId="1318B492" w:rsidR="00020FAB" w:rsidRPr="00537E35" w:rsidRDefault="00020FAB" w:rsidP="00A47DC7">
            <w:pPr>
              <w:rPr>
                <w:lang w:val="en-GB"/>
              </w:rPr>
            </w:pPr>
            <w:r w:rsidRPr="00537E35">
              <w:rPr>
                <w:lang w:val="en-GB"/>
              </w:rPr>
              <w:t>Equitability of the population’s species abundance distribution</w:t>
            </w:r>
          </w:p>
        </w:tc>
        <w:tc>
          <w:tcPr>
            <w:tcW w:w="2835" w:type="dxa"/>
            <w:shd w:val="clear" w:color="auto" w:fill="auto"/>
          </w:tcPr>
          <w:p w14:paraId="3CD51162" w14:textId="1F21FFF3" w:rsidR="00020FAB" w:rsidRPr="00537E35" w:rsidRDefault="00020FAB" w:rsidP="00A47DC7">
            <w:pPr>
              <w:rPr>
                <w:lang w:val="en-GB"/>
              </w:rPr>
            </w:pPr>
            <w:r w:rsidRPr="00537E35">
              <w:rPr>
                <w:lang w:val="en-GB"/>
              </w:rPr>
              <w:t>Equitability of C source assimilation across all utilized substrates</w:t>
            </w:r>
          </w:p>
        </w:tc>
      </w:tr>
      <w:tr w:rsidR="00537E35" w:rsidRPr="00537E35" w14:paraId="1B2EB3B7" w14:textId="77777777" w:rsidTr="00A47DC7">
        <w:tc>
          <w:tcPr>
            <w:tcW w:w="1276" w:type="dxa"/>
            <w:shd w:val="clear" w:color="auto" w:fill="auto"/>
          </w:tcPr>
          <w:p w14:paraId="4732826B" w14:textId="77777777" w:rsidR="00020FAB" w:rsidRPr="00537E35" w:rsidRDefault="00020FAB" w:rsidP="00A47DC7">
            <w:pPr>
              <w:rPr>
                <w:lang w:val="en-GB"/>
              </w:rPr>
            </w:pPr>
            <w:r w:rsidRPr="00537E35">
              <w:rPr>
                <w:lang w:val="en-GB"/>
              </w:rPr>
              <w:t>Simpson Dominance Index (D)</w:t>
            </w:r>
          </w:p>
        </w:tc>
        <w:tc>
          <w:tcPr>
            <w:tcW w:w="2410" w:type="dxa"/>
            <w:shd w:val="clear" w:color="auto" w:fill="auto"/>
          </w:tcPr>
          <w:p w14:paraId="53A64C4E" w14:textId="65903919" w:rsidR="00020FAB" w:rsidRPr="00537E35" w:rsidRDefault="00020FAB" w:rsidP="00A47DC7">
            <w:pPr>
              <w:jc w:val="center"/>
              <w:rPr>
                <w:lang w:val="en-GB"/>
              </w:rPr>
            </w:pPr>
            <m:oMathPara>
              <m:oMath>
                <m:r>
                  <w:rPr>
                    <w:rFonts w:ascii="Cambria Math" w:hAnsi="Cambria Math"/>
                    <w:lang w:val="en-GB"/>
                  </w:rPr>
                  <m:t>D=</m:t>
                </m:r>
                <m:nary>
                  <m:naryPr>
                    <m:chr m:val="∑"/>
                    <m:grow m:val="1"/>
                    <m:ctrlPr>
                      <w:rPr>
                        <w:rFonts w:ascii="Cambria Math" w:hAnsi="Cambria Math"/>
                        <w:lang w:val="en-GB"/>
                      </w:rPr>
                    </m:ctrlPr>
                  </m:naryPr>
                  <m:sub>
                    <m:r>
                      <w:rPr>
                        <w:rFonts w:ascii="Cambria Math" w:eastAsia="Cambria Math" w:hAnsi="Cambria Math"/>
                        <w:lang w:val="en-GB"/>
                      </w:rPr>
                      <m:t>i=1</m:t>
                    </m:r>
                  </m:sub>
                  <m:sup>
                    <m:r>
                      <w:rPr>
                        <w:rFonts w:ascii="Cambria Math" w:eastAsia="Cambria Math" w:hAnsi="Cambria Math"/>
                        <w:lang w:val="en-GB"/>
                      </w:rPr>
                      <m:t>n</m:t>
                    </m:r>
                  </m:sup>
                  <m:e>
                    <m:r>
                      <w:rPr>
                        <w:rFonts w:ascii="Cambria Math" w:hAnsi="Cambria Math"/>
                        <w:lang w:val="en-GB"/>
                      </w:rPr>
                      <m:t>P</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2</m:t>
                        </m:r>
                      </m:sup>
                    </m:sSup>
                  </m:e>
                </m:nary>
              </m:oMath>
            </m:oMathPara>
          </w:p>
        </w:tc>
        <w:tc>
          <w:tcPr>
            <w:tcW w:w="2693" w:type="dxa"/>
            <w:shd w:val="clear" w:color="auto" w:fill="auto"/>
          </w:tcPr>
          <w:p w14:paraId="77C20EC5" w14:textId="18A1A862" w:rsidR="00020FAB" w:rsidRPr="00537E35" w:rsidRDefault="00020FAB" w:rsidP="00A47DC7">
            <w:pPr>
              <w:rPr>
                <w:lang w:val="en-GB"/>
              </w:rPr>
            </w:pPr>
            <w:r w:rsidRPr="00537E35">
              <w:rPr>
                <w:lang w:val="en-GB"/>
              </w:rPr>
              <w:t>Probability that two strains randomly picked up from the community belong to the same species</w:t>
            </w:r>
          </w:p>
        </w:tc>
        <w:tc>
          <w:tcPr>
            <w:tcW w:w="2835" w:type="dxa"/>
            <w:shd w:val="clear" w:color="auto" w:fill="auto"/>
            <w:vAlign w:val="center"/>
          </w:tcPr>
          <w:p w14:paraId="6ABD9BD7" w14:textId="40B3700B" w:rsidR="00020FAB" w:rsidRPr="00537E35" w:rsidRDefault="00020FAB" w:rsidP="00A47DC7">
            <w:pPr>
              <w:jc w:val="center"/>
              <w:rPr>
                <w:lang w:val="en-GB"/>
              </w:rPr>
            </w:pPr>
            <w:r w:rsidRPr="00537E35">
              <w:rPr>
                <w:lang w:val="en-GB"/>
              </w:rPr>
              <w:t>/</w:t>
            </w:r>
          </w:p>
        </w:tc>
      </w:tr>
      <w:tr w:rsidR="00537E35" w:rsidRPr="00537E35" w14:paraId="66B6D572" w14:textId="77777777" w:rsidTr="00A47DC7">
        <w:tc>
          <w:tcPr>
            <w:tcW w:w="1276" w:type="dxa"/>
            <w:shd w:val="clear" w:color="auto" w:fill="auto"/>
          </w:tcPr>
          <w:p w14:paraId="1FF5B571" w14:textId="77777777" w:rsidR="00020FAB" w:rsidRPr="00537E35" w:rsidRDefault="00020FAB" w:rsidP="00A47DC7">
            <w:pPr>
              <w:rPr>
                <w:lang w:val="en-GB"/>
              </w:rPr>
            </w:pPr>
            <w:r w:rsidRPr="00537E35">
              <w:rPr>
                <w:lang w:val="en-GB"/>
              </w:rPr>
              <w:t>Simpson Dominance Index (D’)</w:t>
            </w:r>
          </w:p>
        </w:tc>
        <w:tc>
          <w:tcPr>
            <w:tcW w:w="2410" w:type="dxa"/>
            <w:shd w:val="clear" w:color="auto" w:fill="auto"/>
          </w:tcPr>
          <w:p w14:paraId="3F5B1BB1" w14:textId="2AB547E5" w:rsidR="00020FAB" w:rsidRPr="00537E35" w:rsidRDefault="00000000" w:rsidP="00A47DC7">
            <w:pPr>
              <w:jc w:val="center"/>
              <w:rPr>
                <w:lang w:val="en-GB"/>
              </w:rPr>
            </w:pPr>
            <m:oMathPara>
              <m:oMath>
                <m:sSup>
                  <m:sSupPr>
                    <m:ctrlPr>
                      <w:rPr>
                        <w:rFonts w:ascii="Cambria Math" w:hAnsi="Cambria Math"/>
                        <w:i/>
                        <w:lang w:val="en-GB"/>
                      </w:rPr>
                    </m:ctrlPr>
                  </m:sSupPr>
                  <m:e>
                    <m:r>
                      <w:rPr>
                        <w:rFonts w:ascii="Cambria Math" w:hAnsi="Cambria Math"/>
                        <w:lang w:val="en-GB"/>
                      </w:rPr>
                      <m:t>D</m:t>
                    </m:r>
                  </m:e>
                  <m:sup>
                    <m:r>
                      <w:rPr>
                        <w:rFonts w:ascii="Cambria Math" w:hAnsi="Cambria Math"/>
                        <w:lang w:val="en-GB"/>
                      </w:rPr>
                      <m:t>'</m:t>
                    </m:r>
                  </m:sup>
                </m:sSup>
                <m:r>
                  <w:rPr>
                    <w:rFonts w:ascii="Cambria Math" w:hAnsi="Cambria Math"/>
                    <w:lang w:val="en-GB"/>
                  </w:rPr>
                  <m:t>=1/D</m:t>
                </m:r>
              </m:oMath>
            </m:oMathPara>
          </w:p>
        </w:tc>
        <w:tc>
          <w:tcPr>
            <w:tcW w:w="2693" w:type="dxa"/>
            <w:shd w:val="clear" w:color="auto" w:fill="auto"/>
          </w:tcPr>
          <w:p w14:paraId="303E7EA7" w14:textId="54E77851" w:rsidR="00020FAB" w:rsidRPr="00537E35" w:rsidRDefault="00020FAB" w:rsidP="00A47DC7">
            <w:pPr>
              <w:rPr>
                <w:rFonts w:eastAsia="Calibri"/>
                <w:lang w:val="en-GB"/>
              </w:rPr>
            </w:pPr>
            <w:r w:rsidRPr="00537E35">
              <w:rPr>
                <w:lang w:val="en-GB"/>
              </w:rPr>
              <w:t>Weight the common species more than the rare ones</w:t>
            </w:r>
          </w:p>
        </w:tc>
        <w:tc>
          <w:tcPr>
            <w:tcW w:w="2835" w:type="dxa"/>
            <w:shd w:val="clear" w:color="auto" w:fill="auto"/>
            <w:vAlign w:val="center"/>
          </w:tcPr>
          <w:p w14:paraId="688D94E6" w14:textId="75D5C997" w:rsidR="00020FAB" w:rsidRPr="00537E35" w:rsidRDefault="00020FAB" w:rsidP="00A47DC7">
            <w:pPr>
              <w:jc w:val="center"/>
              <w:rPr>
                <w:lang w:val="en-GB"/>
              </w:rPr>
            </w:pPr>
            <w:r w:rsidRPr="00537E35">
              <w:rPr>
                <w:lang w:val="en-GB"/>
              </w:rPr>
              <w:t>/</w:t>
            </w:r>
          </w:p>
        </w:tc>
      </w:tr>
    </w:tbl>
    <w:p w14:paraId="306A3603" w14:textId="649EFA87" w:rsidR="00A47DC7" w:rsidRPr="00537E35" w:rsidRDefault="000B3E65" w:rsidP="00A47DC7">
      <w:pPr>
        <w:pStyle w:val="Heading3"/>
        <w:rPr>
          <w:lang w:val="en-GB"/>
        </w:rPr>
      </w:pPr>
      <w:r w:rsidRPr="00537E35">
        <w:rPr>
          <w:lang w:val="en-GB"/>
        </w:rPr>
        <w:lastRenderedPageBreak/>
        <w:t>3</w:t>
      </w:r>
      <w:r w:rsidR="00A47DC7" w:rsidRPr="00537E35">
        <w:rPr>
          <w:lang w:val="en-GB"/>
        </w:rPr>
        <w:t>.2.2 Tolerance to extreme growing conditions</w:t>
      </w:r>
    </w:p>
    <w:p w14:paraId="1D3AEF49" w14:textId="54C4DDF0" w:rsidR="00202752" w:rsidRPr="00537E35" w:rsidRDefault="00A47DC7" w:rsidP="00A47DC7">
      <w:pPr>
        <w:jc w:val="both"/>
        <w:rPr>
          <w:lang w:val="en-GB"/>
        </w:rPr>
      </w:pPr>
      <w:r w:rsidRPr="00537E35">
        <w:rPr>
          <w:lang w:val="en-GB"/>
        </w:rPr>
        <w:t xml:space="preserve">The aptitude of strains to grow and colonize habitats particularly </w:t>
      </w:r>
      <w:r w:rsidR="00607B5D" w:rsidRPr="00537E35">
        <w:rPr>
          <w:lang w:val="en-GB"/>
        </w:rPr>
        <w:t xml:space="preserve">different </w:t>
      </w:r>
      <w:r w:rsidRPr="00537E35">
        <w:rPr>
          <w:lang w:val="en-GB"/>
        </w:rPr>
        <w:t xml:space="preserve">from the optimal laboratory cultivation was investigated by phenotyping microarrays. Strains were inoculated (3% v/v) in 96-well plates on their optimal medium properly modified as reported in Table 2. Microplates were incubated until 72 h in aerobic condition. Growth was indirectly measured through absorbance readings at 590 nm, at 9 different time point (0h, 2h, 4h, 6h, 8h, 16h, 24h, 48h, and 72h) by using a BIOLOG </w:t>
      </w:r>
      <w:proofErr w:type="spellStart"/>
      <w:r w:rsidRPr="00537E35">
        <w:rPr>
          <w:lang w:val="en-GB"/>
        </w:rPr>
        <w:t>MicroReader</w:t>
      </w:r>
      <w:proofErr w:type="spellEnd"/>
      <w:r w:rsidRPr="00537E35">
        <w:rPr>
          <w:lang w:val="en-GB"/>
        </w:rPr>
        <w:t xml:space="preserve"> Station (BIOLOG Inc.©, USA). Results were refer</w:t>
      </w:r>
      <w:r w:rsidR="00DE0831" w:rsidRPr="00537E35">
        <w:rPr>
          <w:lang w:val="en-GB"/>
        </w:rPr>
        <w:t>r</w:t>
      </w:r>
      <w:r w:rsidRPr="00537E35">
        <w:rPr>
          <w:lang w:val="en-GB"/>
        </w:rPr>
        <w:t xml:space="preserve">ed against the blank and </w:t>
      </w:r>
      <w:r w:rsidR="00C328BF" w:rsidRPr="00537E35">
        <w:rPr>
          <w:lang w:val="en-GB"/>
        </w:rPr>
        <w:t>t</w:t>
      </w:r>
      <w:r w:rsidR="00C328BF" w:rsidRPr="00537E35">
        <w:rPr>
          <w:bCs/>
          <w:lang w:val="en-GB"/>
        </w:rPr>
        <w:t xml:space="preserve">he variability of tolerating non-physiological conditions was described by the areas under the various sections of the curve: 0-8 h, 8-16 h, 16-24 h, 24-48 h, 48-72 h. Not to lose important information at the beginning of the growth, intervals of 2 h from 0 to 8 h were evaluated. </w:t>
      </w:r>
      <w:r w:rsidRPr="00537E35">
        <w:rPr>
          <w:lang w:val="en-GB"/>
        </w:rPr>
        <w:t>Thanks to a collaboration with the Department of Mathematical, Physical and Computer Sciences, raw data were also elaborated with Phyton to reduce the dimensionality of the dataset through t-SNE analysis.</w:t>
      </w:r>
    </w:p>
    <w:tbl>
      <w:tblPr>
        <w:tblStyle w:val="TableGrid"/>
        <w:tblpPr w:leftFromText="142" w:rightFromText="142" w:bottomFromText="142"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72"/>
        <w:gridCol w:w="1842"/>
        <w:gridCol w:w="567"/>
        <w:gridCol w:w="1134"/>
      </w:tblGrid>
      <w:tr w:rsidR="00537E35" w:rsidRPr="00FB7FCF" w14:paraId="2336A458" w14:textId="77777777" w:rsidTr="00A47DC7">
        <w:tc>
          <w:tcPr>
            <w:tcW w:w="4536" w:type="dxa"/>
            <w:gridSpan w:val="4"/>
            <w:tcBorders>
              <w:bottom w:val="single" w:sz="4" w:space="0" w:color="auto"/>
            </w:tcBorders>
            <w:shd w:val="clear" w:color="auto" w:fill="auto"/>
          </w:tcPr>
          <w:p w14:paraId="201D684A" w14:textId="57ECEBE9" w:rsidR="00A47DC7" w:rsidRPr="00537E35" w:rsidRDefault="00A47DC7" w:rsidP="00A47DC7">
            <w:pPr>
              <w:pStyle w:val="Caption"/>
              <w:keepNext/>
              <w:spacing w:after="120"/>
              <w:rPr>
                <w:color w:val="auto"/>
                <w:lang w:val="en-GB"/>
              </w:rPr>
            </w:pPr>
            <w:r w:rsidRPr="00537E35">
              <w:rPr>
                <w:b/>
                <w:bCs/>
                <w:i w:val="0"/>
                <w:iCs w:val="0"/>
                <w:color w:val="auto"/>
                <w:lang w:val="en-GB"/>
              </w:rPr>
              <w:t xml:space="preserve">Table 2 </w:t>
            </w:r>
            <w:r w:rsidRPr="00537E35">
              <w:rPr>
                <w:color w:val="auto"/>
                <w:lang w:val="en-GB"/>
              </w:rPr>
              <w:t>Non-physiological conditions utilized to evaluate microbial environmental tolerance</w:t>
            </w:r>
            <w:r w:rsidR="0021071A" w:rsidRPr="00537E35">
              <w:rPr>
                <w:color w:val="auto"/>
                <w:lang w:val="en-GB"/>
              </w:rPr>
              <w:t>.</w:t>
            </w:r>
          </w:p>
        </w:tc>
      </w:tr>
      <w:tr w:rsidR="00537E35" w:rsidRPr="00537E35" w14:paraId="608EA473" w14:textId="77777777" w:rsidTr="00A47DC7">
        <w:tc>
          <w:tcPr>
            <w:tcW w:w="993" w:type="dxa"/>
            <w:tcBorders>
              <w:top w:val="single" w:sz="4" w:space="0" w:color="auto"/>
              <w:bottom w:val="single" w:sz="4" w:space="0" w:color="auto"/>
            </w:tcBorders>
            <w:shd w:val="clear" w:color="auto" w:fill="auto"/>
          </w:tcPr>
          <w:p w14:paraId="52A5D9DD" w14:textId="701F3E79" w:rsidR="00202752" w:rsidRPr="00537E35" w:rsidRDefault="0021071A" w:rsidP="00A47DC7">
            <w:pPr>
              <w:jc w:val="both"/>
              <w:rPr>
                <w:b/>
                <w:bCs/>
                <w:lang w:val="en-GB"/>
              </w:rPr>
            </w:pPr>
            <w:r w:rsidRPr="00537E35">
              <w:rPr>
                <w:b/>
                <w:bCs/>
                <w:lang w:val="en-GB"/>
              </w:rPr>
              <w:t xml:space="preserve">Condition </w:t>
            </w:r>
          </w:p>
        </w:tc>
        <w:tc>
          <w:tcPr>
            <w:tcW w:w="1842" w:type="dxa"/>
            <w:tcBorders>
              <w:top w:val="single" w:sz="4" w:space="0" w:color="auto"/>
              <w:bottom w:val="single" w:sz="4" w:space="0" w:color="auto"/>
            </w:tcBorders>
            <w:shd w:val="clear" w:color="auto" w:fill="auto"/>
          </w:tcPr>
          <w:p w14:paraId="3FA3C675" w14:textId="77777777" w:rsidR="00202752" w:rsidRPr="00537E35" w:rsidRDefault="00202752" w:rsidP="00A47DC7">
            <w:pPr>
              <w:jc w:val="center"/>
              <w:rPr>
                <w:b/>
                <w:bCs/>
                <w:lang w:val="en-GB"/>
              </w:rPr>
            </w:pPr>
            <w:r w:rsidRPr="00537E35">
              <w:rPr>
                <w:b/>
                <w:bCs/>
                <w:lang w:val="en-GB"/>
              </w:rPr>
              <w:t>Temperature (°C)</w:t>
            </w:r>
          </w:p>
        </w:tc>
        <w:tc>
          <w:tcPr>
            <w:tcW w:w="567" w:type="dxa"/>
            <w:tcBorders>
              <w:top w:val="single" w:sz="4" w:space="0" w:color="auto"/>
              <w:bottom w:val="single" w:sz="4" w:space="0" w:color="auto"/>
            </w:tcBorders>
            <w:shd w:val="clear" w:color="auto" w:fill="auto"/>
          </w:tcPr>
          <w:p w14:paraId="09014D46" w14:textId="77777777" w:rsidR="00202752" w:rsidRPr="00537E35" w:rsidRDefault="00202752" w:rsidP="00A47DC7">
            <w:pPr>
              <w:jc w:val="center"/>
              <w:rPr>
                <w:b/>
                <w:bCs/>
                <w:lang w:val="en-GB"/>
              </w:rPr>
            </w:pPr>
            <w:r w:rsidRPr="00537E35">
              <w:rPr>
                <w:b/>
                <w:bCs/>
                <w:lang w:val="en-GB"/>
              </w:rPr>
              <w:t>pH</w:t>
            </w:r>
          </w:p>
        </w:tc>
        <w:tc>
          <w:tcPr>
            <w:tcW w:w="1134" w:type="dxa"/>
            <w:tcBorders>
              <w:top w:val="single" w:sz="4" w:space="0" w:color="auto"/>
              <w:bottom w:val="single" w:sz="4" w:space="0" w:color="auto"/>
            </w:tcBorders>
            <w:shd w:val="clear" w:color="auto" w:fill="auto"/>
          </w:tcPr>
          <w:p w14:paraId="11FE36F2" w14:textId="77777777" w:rsidR="00202752" w:rsidRPr="00537E35" w:rsidRDefault="00202752" w:rsidP="00A47DC7">
            <w:pPr>
              <w:ind w:right="31"/>
              <w:jc w:val="center"/>
              <w:rPr>
                <w:b/>
                <w:bCs/>
                <w:lang w:val="en-GB"/>
              </w:rPr>
            </w:pPr>
            <w:r w:rsidRPr="00537E35">
              <w:rPr>
                <w:b/>
                <w:bCs/>
                <w:lang w:val="en-GB"/>
              </w:rPr>
              <w:t>NaCl (%)</w:t>
            </w:r>
          </w:p>
        </w:tc>
      </w:tr>
      <w:tr w:rsidR="00537E35" w:rsidRPr="00537E35" w14:paraId="3D543AC7" w14:textId="77777777" w:rsidTr="00A47DC7">
        <w:tc>
          <w:tcPr>
            <w:tcW w:w="993" w:type="dxa"/>
            <w:tcBorders>
              <w:top w:val="single" w:sz="4" w:space="0" w:color="auto"/>
            </w:tcBorders>
            <w:shd w:val="clear" w:color="auto" w:fill="auto"/>
          </w:tcPr>
          <w:p w14:paraId="5B47B501" w14:textId="77777777" w:rsidR="00202752" w:rsidRPr="00537E35" w:rsidRDefault="00202752" w:rsidP="00A47DC7">
            <w:pPr>
              <w:jc w:val="both"/>
              <w:rPr>
                <w:lang w:val="en-GB"/>
              </w:rPr>
            </w:pPr>
            <w:proofErr w:type="spellStart"/>
            <w:r w:rsidRPr="00537E35">
              <w:rPr>
                <w:lang w:val="en-GB"/>
              </w:rPr>
              <w:t>Tmax</w:t>
            </w:r>
            <w:proofErr w:type="spellEnd"/>
          </w:p>
        </w:tc>
        <w:tc>
          <w:tcPr>
            <w:tcW w:w="1842" w:type="dxa"/>
            <w:tcBorders>
              <w:top w:val="single" w:sz="4" w:space="0" w:color="auto"/>
            </w:tcBorders>
            <w:shd w:val="clear" w:color="auto" w:fill="auto"/>
          </w:tcPr>
          <w:p w14:paraId="68F7D069" w14:textId="77777777" w:rsidR="00202752" w:rsidRPr="00537E35" w:rsidRDefault="00202752" w:rsidP="00A47DC7">
            <w:pPr>
              <w:jc w:val="center"/>
              <w:rPr>
                <w:lang w:val="en-GB"/>
              </w:rPr>
            </w:pPr>
            <w:r w:rsidRPr="00537E35">
              <w:rPr>
                <w:lang w:val="en-GB"/>
              </w:rPr>
              <w:t>50</w:t>
            </w:r>
          </w:p>
        </w:tc>
        <w:tc>
          <w:tcPr>
            <w:tcW w:w="567" w:type="dxa"/>
            <w:tcBorders>
              <w:top w:val="single" w:sz="4" w:space="0" w:color="auto"/>
            </w:tcBorders>
            <w:shd w:val="clear" w:color="auto" w:fill="auto"/>
          </w:tcPr>
          <w:p w14:paraId="06033F50" w14:textId="77777777" w:rsidR="00202752" w:rsidRPr="00537E35" w:rsidRDefault="00202752" w:rsidP="00A47DC7">
            <w:pPr>
              <w:jc w:val="center"/>
              <w:rPr>
                <w:lang w:val="en-GB"/>
              </w:rPr>
            </w:pPr>
            <w:r w:rsidRPr="00537E35">
              <w:rPr>
                <w:lang w:val="en-GB"/>
              </w:rPr>
              <w:t>6.5</w:t>
            </w:r>
          </w:p>
        </w:tc>
        <w:tc>
          <w:tcPr>
            <w:tcW w:w="1134" w:type="dxa"/>
            <w:tcBorders>
              <w:top w:val="single" w:sz="4" w:space="0" w:color="auto"/>
            </w:tcBorders>
            <w:shd w:val="clear" w:color="auto" w:fill="auto"/>
          </w:tcPr>
          <w:p w14:paraId="45A09A82" w14:textId="77777777" w:rsidR="00202752" w:rsidRPr="00537E35" w:rsidRDefault="00202752" w:rsidP="00A47DC7">
            <w:pPr>
              <w:jc w:val="center"/>
              <w:rPr>
                <w:lang w:val="en-GB"/>
              </w:rPr>
            </w:pPr>
            <w:r w:rsidRPr="00537E35">
              <w:rPr>
                <w:lang w:val="en-GB"/>
              </w:rPr>
              <w:t>0</w:t>
            </w:r>
          </w:p>
        </w:tc>
      </w:tr>
      <w:tr w:rsidR="00537E35" w:rsidRPr="00537E35" w14:paraId="459D5F16" w14:textId="77777777" w:rsidTr="00A47DC7">
        <w:tc>
          <w:tcPr>
            <w:tcW w:w="993" w:type="dxa"/>
            <w:shd w:val="clear" w:color="auto" w:fill="auto"/>
          </w:tcPr>
          <w:p w14:paraId="635FBE0E" w14:textId="77777777" w:rsidR="00202752" w:rsidRPr="00537E35" w:rsidRDefault="00202752" w:rsidP="00A47DC7">
            <w:pPr>
              <w:jc w:val="both"/>
              <w:rPr>
                <w:lang w:val="en-GB"/>
              </w:rPr>
            </w:pPr>
            <w:proofErr w:type="spellStart"/>
            <w:r w:rsidRPr="00537E35">
              <w:rPr>
                <w:lang w:val="en-GB"/>
              </w:rPr>
              <w:t>Tmin</w:t>
            </w:r>
            <w:proofErr w:type="spellEnd"/>
          </w:p>
        </w:tc>
        <w:tc>
          <w:tcPr>
            <w:tcW w:w="1842" w:type="dxa"/>
            <w:shd w:val="clear" w:color="auto" w:fill="auto"/>
          </w:tcPr>
          <w:p w14:paraId="6B0B1027" w14:textId="77777777" w:rsidR="00202752" w:rsidRPr="00537E35" w:rsidRDefault="00202752" w:rsidP="00A47DC7">
            <w:pPr>
              <w:jc w:val="center"/>
              <w:rPr>
                <w:lang w:val="en-GB"/>
              </w:rPr>
            </w:pPr>
            <w:r w:rsidRPr="00537E35">
              <w:rPr>
                <w:lang w:val="en-GB"/>
              </w:rPr>
              <w:t>15</w:t>
            </w:r>
          </w:p>
        </w:tc>
        <w:tc>
          <w:tcPr>
            <w:tcW w:w="567" w:type="dxa"/>
            <w:shd w:val="clear" w:color="auto" w:fill="auto"/>
          </w:tcPr>
          <w:p w14:paraId="227785AE" w14:textId="77777777" w:rsidR="00202752" w:rsidRPr="00537E35" w:rsidRDefault="00202752" w:rsidP="00A47DC7">
            <w:pPr>
              <w:jc w:val="center"/>
              <w:rPr>
                <w:lang w:val="en-GB"/>
              </w:rPr>
            </w:pPr>
            <w:r w:rsidRPr="00537E35">
              <w:rPr>
                <w:lang w:val="en-GB"/>
              </w:rPr>
              <w:t>6.5</w:t>
            </w:r>
          </w:p>
        </w:tc>
        <w:tc>
          <w:tcPr>
            <w:tcW w:w="1134" w:type="dxa"/>
            <w:shd w:val="clear" w:color="auto" w:fill="auto"/>
          </w:tcPr>
          <w:p w14:paraId="5E50320F" w14:textId="77777777" w:rsidR="00202752" w:rsidRPr="00537E35" w:rsidRDefault="00202752" w:rsidP="00A47DC7">
            <w:pPr>
              <w:jc w:val="center"/>
              <w:rPr>
                <w:lang w:val="en-GB"/>
              </w:rPr>
            </w:pPr>
            <w:r w:rsidRPr="00537E35">
              <w:rPr>
                <w:lang w:val="en-GB"/>
              </w:rPr>
              <w:t>0</w:t>
            </w:r>
          </w:p>
        </w:tc>
      </w:tr>
      <w:tr w:rsidR="00537E35" w:rsidRPr="00537E35" w14:paraId="3FDC8ECD" w14:textId="77777777" w:rsidTr="00A47DC7">
        <w:tc>
          <w:tcPr>
            <w:tcW w:w="993" w:type="dxa"/>
            <w:shd w:val="clear" w:color="auto" w:fill="auto"/>
          </w:tcPr>
          <w:p w14:paraId="4155AF93" w14:textId="77777777" w:rsidR="00202752" w:rsidRPr="00537E35" w:rsidRDefault="00202752" w:rsidP="00A47DC7">
            <w:pPr>
              <w:jc w:val="both"/>
              <w:rPr>
                <w:lang w:val="en-GB"/>
              </w:rPr>
            </w:pPr>
            <w:proofErr w:type="spellStart"/>
            <w:r w:rsidRPr="00537E35">
              <w:rPr>
                <w:lang w:val="en-GB"/>
              </w:rPr>
              <w:t>pHmax</w:t>
            </w:r>
            <w:proofErr w:type="spellEnd"/>
          </w:p>
        </w:tc>
        <w:tc>
          <w:tcPr>
            <w:tcW w:w="1842" w:type="dxa"/>
            <w:shd w:val="clear" w:color="auto" w:fill="auto"/>
          </w:tcPr>
          <w:p w14:paraId="0F3D796A" w14:textId="77777777" w:rsidR="00202752" w:rsidRPr="00537E35" w:rsidRDefault="00202752" w:rsidP="00A47DC7">
            <w:pPr>
              <w:jc w:val="center"/>
              <w:rPr>
                <w:lang w:val="en-GB"/>
              </w:rPr>
            </w:pPr>
            <w:r w:rsidRPr="00537E35">
              <w:rPr>
                <w:lang w:val="en-GB"/>
              </w:rPr>
              <w:t>30-37</w:t>
            </w:r>
          </w:p>
        </w:tc>
        <w:tc>
          <w:tcPr>
            <w:tcW w:w="567" w:type="dxa"/>
            <w:shd w:val="clear" w:color="auto" w:fill="auto"/>
          </w:tcPr>
          <w:p w14:paraId="44679746" w14:textId="77777777" w:rsidR="00202752" w:rsidRPr="00537E35" w:rsidRDefault="00202752" w:rsidP="00A47DC7">
            <w:pPr>
              <w:jc w:val="center"/>
              <w:rPr>
                <w:lang w:val="en-GB"/>
              </w:rPr>
            </w:pPr>
            <w:r w:rsidRPr="00537E35">
              <w:rPr>
                <w:lang w:val="en-GB"/>
              </w:rPr>
              <w:t>9</w:t>
            </w:r>
          </w:p>
        </w:tc>
        <w:tc>
          <w:tcPr>
            <w:tcW w:w="1134" w:type="dxa"/>
            <w:shd w:val="clear" w:color="auto" w:fill="auto"/>
          </w:tcPr>
          <w:p w14:paraId="55232202" w14:textId="77777777" w:rsidR="00202752" w:rsidRPr="00537E35" w:rsidRDefault="00202752" w:rsidP="00A47DC7">
            <w:pPr>
              <w:jc w:val="center"/>
              <w:rPr>
                <w:lang w:val="en-GB"/>
              </w:rPr>
            </w:pPr>
            <w:r w:rsidRPr="00537E35">
              <w:rPr>
                <w:lang w:val="en-GB"/>
              </w:rPr>
              <w:t>0</w:t>
            </w:r>
          </w:p>
        </w:tc>
      </w:tr>
      <w:tr w:rsidR="00537E35" w:rsidRPr="00537E35" w14:paraId="5A5D1F77" w14:textId="77777777" w:rsidTr="00A47DC7">
        <w:tc>
          <w:tcPr>
            <w:tcW w:w="993" w:type="dxa"/>
            <w:shd w:val="clear" w:color="auto" w:fill="auto"/>
          </w:tcPr>
          <w:p w14:paraId="0B5F33C7" w14:textId="77777777" w:rsidR="00202752" w:rsidRPr="00537E35" w:rsidRDefault="00202752" w:rsidP="00A47DC7">
            <w:pPr>
              <w:jc w:val="both"/>
              <w:rPr>
                <w:lang w:val="en-GB"/>
              </w:rPr>
            </w:pPr>
            <w:proofErr w:type="spellStart"/>
            <w:r w:rsidRPr="00537E35">
              <w:rPr>
                <w:lang w:val="en-GB"/>
              </w:rPr>
              <w:t>pHmin</w:t>
            </w:r>
            <w:proofErr w:type="spellEnd"/>
          </w:p>
        </w:tc>
        <w:tc>
          <w:tcPr>
            <w:tcW w:w="1842" w:type="dxa"/>
            <w:shd w:val="clear" w:color="auto" w:fill="auto"/>
          </w:tcPr>
          <w:p w14:paraId="5E5222F2" w14:textId="77777777" w:rsidR="00202752" w:rsidRPr="00537E35" w:rsidRDefault="00202752" w:rsidP="00A47DC7">
            <w:pPr>
              <w:jc w:val="center"/>
              <w:rPr>
                <w:lang w:val="en-GB"/>
              </w:rPr>
            </w:pPr>
            <w:r w:rsidRPr="00537E35">
              <w:rPr>
                <w:lang w:val="en-GB"/>
              </w:rPr>
              <w:t>30-37</w:t>
            </w:r>
          </w:p>
        </w:tc>
        <w:tc>
          <w:tcPr>
            <w:tcW w:w="567" w:type="dxa"/>
            <w:shd w:val="clear" w:color="auto" w:fill="auto"/>
          </w:tcPr>
          <w:p w14:paraId="10138CF6" w14:textId="77777777" w:rsidR="00202752" w:rsidRPr="00537E35" w:rsidRDefault="00202752" w:rsidP="00A47DC7">
            <w:pPr>
              <w:jc w:val="center"/>
              <w:rPr>
                <w:lang w:val="en-GB"/>
              </w:rPr>
            </w:pPr>
            <w:r w:rsidRPr="00537E35">
              <w:rPr>
                <w:lang w:val="en-GB"/>
              </w:rPr>
              <w:t>4</w:t>
            </w:r>
          </w:p>
        </w:tc>
        <w:tc>
          <w:tcPr>
            <w:tcW w:w="1134" w:type="dxa"/>
            <w:shd w:val="clear" w:color="auto" w:fill="auto"/>
          </w:tcPr>
          <w:p w14:paraId="5913742F" w14:textId="77777777" w:rsidR="00202752" w:rsidRPr="00537E35" w:rsidRDefault="00202752" w:rsidP="00A47DC7">
            <w:pPr>
              <w:jc w:val="center"/>
              <w:rPr>
                <w:lang w:val="en-GB"/>
              </w:rPr>
            </w:pPr>
            <w:r w:rsidRPr="00537E35">
              <w:rPr>
                <w:lang w:val="en-GB"/>
              </w:rPr>
              <w:t>0</w:t>
            </w:r>
          </w:p>
        </w:tc>
      </w:tr>
      <w:tr w:rsidR="00537E35" w:rsidRPr="00537E35" w14:paraId="7151B879" w14:textId="77777777" w:rsidTr="00A47DC7">
        <w:tc>
          <w:tcPr>
            <w:tcW w:w="993" w:type="dxa"/>
            <w:tcBorders>
              <w:bottom w:val="single" w:sz="4" w:space="0" w:color="auto"/>
            </w:tcBorders>
            <w:shd w:val="clear" w:color="auto" w:fill="auto"/>
          </w:tcPr>
          <w:p w14:paraId="418D03C1" w14:textId="77777777" w:rsidR="00202752" w:rsidRPr="00537E35" w:rsidRDefault="00202752" w:rsidP="00A47DC7">
            <w:pPr>
              <w:jc w:val="both"/>
              <w:rPr>
                <w:lang w:val="en-GB"/>
              </w:rPr>
            </w:pPr>
            <w:r w:rsidRPr="00537E35">
              <w:rPr>
                <w:lang w:val="en-GB"/>
              </w:rPr>
              <w:t>salt</w:t>
            </w:r>
          </w:p>
        </w:tc>
        <w:tc>
          <w:tcPr>
            <w:tcW w:w="1842" w:type="dxa"/>
            <w:tcBorders>
              <w:bottom w:val="single" w:sz="4" w:space="0" w:color="auto"/>
            </w:tcBorders>
            <w:shd w:val="clear" w:color="auto" w:fill="auto"/>
          </w:tcPr>
          <w:p w14:paraId="59D5CFB0" w14:textId="77777777" w:rsidR="00202752" w:rsidRPr="00537E35" w:rsidRDefault="00202752" w:rsidP="00A47DC7">
            <w:pPr>
              <w:jc w:val="center"/>
              <w:rPr>
                <w:lang w:val="en-GB"/>
              </w:rPr>
            </w:pPr>
            <w:r w:rsidRPr="00537E35">
              <w:rPr>
                <w:lang w:val="en-GB"/>
              </w:rPr>
              <w:t>30-37</w:t>
            </w:r>
          </w:p>
        </w:tc>
        <w:tc>
          <w:tcPr>
            <w:tcW w:w="567" w:type="dxa"/>
            <w:tcBorders>
              <w:bottom w:val="single" w:sz="4" w:space="0" w:color="auto"/>
            </w:tcBorders>
            <w:shd w:val="clear" w:color="auto" w:fill="auto"/>
          </w:tcPr>
          <w:p w14:paraId="7A8D8533" w14:textId="77777777" w:rsidR="00202752" w:rsidRPr="00537E35" w:rsidRDefault="00202752" w:rsidP="00A47DC7">
            <w:pPr>
              <w:jc w:val="center"/>
              <w:rPr>
                <w:lang w:val="en-GB"/>
              </w:rPr>
            </w:pPr>
            <w:r w:rsidRPr="00537E35">
              <w:rPr>
                <w:lang w:val="en-GB"/>
              </w:rPr>
              <w:t>6.5</w:t>
            </w:r>
          </w:p>
        </w:tc>
        <w:tc>
          <w:tcPr>
            <w:tcW w:w="1134" w:type="dxa"/>
            <w:tcBorders>
              <w:bottom w:val="single" w:sz="4" w:space="0" w:color="auto"/>
            </w:tcBorders>
            <w:shd w:val="clear" w:color="auto" w:fill="auto"/>
          </w:tcPr>
          <w:p w14:paraId="223BF5CF" w14:textId="77777777" w:rsidR="00202752" w:rsidRPr="00537E35" w:rsidRDefault="00202752" w:rsidP="00A47DC7">
            <w:pPr>
              <w:jc w:val="center"/>
              <w:rPr>
                <w:lang w:val="en-GB"/>
              </w:rPr>
            </w:pPr>
            <w:r w:rsidRPr="00537E35">
              <w:rPr>
                <w:lang w:val="en-GB"/>
              </w:rPr>
              <w:t>6</w:t>
            </w:r>
          </w:p>
        </w:tc>
      </w:tr>
    </w:tbl>
    <w:p w14:paraId="4FA1CF19" w14:textId="3454C07A" w:rsidR="00C61EE3" w:rsidRPr="00537E35" w:rsidRDefault="000B3E65" w:rsidP="00D00A9D">
      <w:pPr>
        <w:pStyle w:val="Heading3"/>
        <w:rPr>
          <w:lang w:val="en-GB"/>
        </w:rPr>
      </w:pPr>
      <w:r w:rsidRPr="00537E35">
        <w:rPr>
          <w:lang w:val="en-GB"/>
        </w:rPr>
        <w:t>3</w:t>
      </w:r>
      <w:r w:rsidR="00C61EE3" w:rsidRPr="00537E35">
        <w:rPr>
          <w:lang w:val="en-GB"/>
        </w:rPr>
        <w:t>.2.3 Technological capabilities</w:t>
      </w:r>
    </w:p>
    <w:p w14:paraId="04964533" w14:textId="271E1EBD" w:rsidR="008D0E96" w:rsidRPr="00537E35" w:rsidRDefault="00137BED" w:rsidP="00211BDD">
      <w:pPr>
        <w:jc w:val="both"/>
        <w:rPr>
          <w:lang w:val="en-GB"/>
        </w:rPr>
      </w:pPr>
      <w:r w:rsidRPr="00537E35">
        <w:rPr>
          <w:lang w:val="en-GB"/>
        </w:rPr>
        <w:t>T</w:t>
      </w:r>
      <w:r w:rsidR="00211BDD" w:rsidRPr="00537E35">
        <w:rPr>
          <w:lang w:val="en-GB"/>
        </w:rPr>
        <w:t xml:space="preserve">he capability of LAB to produce key-molecules for the bioplastic industry was investigated. </w:t>
      </w:r>
    </w:p>
    <w:p w14:paraId="4193F75B" w14:textId="22BA69DD" w:rsidR="00211BDD" w:rsidRPr="00537E35" w:rsidRDefault="00211BDD" w:rsidP="00211BDD">
      <w:pPr>
        <w:jc w:val="both"/>
        <w:rPr>
          <w:lang w:val="en-GB"/>
        </w:rPr>
      </w:pPr>
      <w:r w:rsidRPr="00537E35">
        <w:rPr>
          <w:lang w:val="en-GB"/>
        </w:rPr>
        <w:t xml:space="preserve">Lactic acid (LA) is the building block of polylactic acids (PLAs), widely used as a sustainable alternative to oil-based plastics. </w:t>
      </w:r>
      <w:r w:rsidR="002D0E91" w:rsidRPr="00537E35">
        <w:rPr>
          <w:lang w:val="en-GB"/>
        </w:rPr>
        <w:t xml:space="preserve">From </w:t>
      </w:r>
      <w:r w:rsidR="00B7575B" w:rsidRPr="00537E35">
        <w:rPr>
          <w:lang w:val="en-GB"/>
        </w:rPr>
        <w:t>24 h</w:t>
      </w:r>
      <w:r w:rsidR="008D0E96" w:rsidRPr="00537E35">
        <w:rPr>
          <w:lang w:val="en-GB"/>
        </w:rPr>
        <w:t xml:space="preserve"> old culture</w:t>
      </w:r>
      <w:r w:rsidR="007261D0" w:rsidRPr="00537E35">
        <w:rPr>
          <w:lang w:val="en-GB"/>
        </w:rPr>
        <w:t>s</w:t>
      </w:r>
      <w:r w:rsidR="002D0E91" w:rsidRPr="00537E35">
        <w:rPr>
          <w:lang w:val="en-GB"/>
        </w:rPr>
        <w:t xml:space="preserve"> </w:t>
      </w:r>
      <w:r w:rsidR="00B7425F" w:rsidRPr="00537E35">
        <w:rPr>
          <w:lang w:val="en-GB"/>
        </w:rPr>
        <w:t>grown</w:t>
      </w:r>
      <w:r w:rsidR="008D0E96" w:rsidRPr="00537E35">
        <w:rPr>
          <w:lang w:val="en-GB"/>
        </w:rPr>
        <w:t xml:space="preserve"> in optimal </w:t>
      </w:r>
      <w:proofErr w:type="gramStart"/>
      <w:r w:rsidR="008D0E96" w:rsidRPr="00537E35">
        <w:rPr>
          <w:lang w:val="en-GB"/>
        </w:rPr>
        <w:t>conditions</w:t>
      </w:r>
      <w:r w:rsidR="00B7425F" w:rsidRPr="00537E35">
        <w:rPr>
          <w:lang w:val="en-GB"/>
        </w:rPr>
        <w:t>,</w:t>
      </w:r>
      <w:proofErr w:type="gramEnd"/>
      <w:r w:rsidR="00B7425F" w:rsidRPr="00537E35">
        <w:rPr>
          <w:lang w:val="en-GB"/>
        </w:rPr>
        <w:t xml:space="preserve"> t</w:t>
      </w:r>
      <w:r w:rsidRPr="00537E35">
        <w:rPr>
          <w:lang w:val="en-GB"/>
        </w:rPr>
        <w:t xml:space="preserve">he two isoforms of </w:t>
      </w:r>
      <w:r w:rsidR="00B8037C" w:rsidRPr="00537E35">
        <w:rPr>
          <w:lang w:val="en-GB"/>
        </w:rPr>
        <w:t>LA</w:t>
      </w:r>
      <w:r w:rsidR="00B7575B" w:rsidRPr="00537E35">
        <w:rPr>
          <w:lang w:val="en-GB"/>
        </w:rPr>
        <w:t xml:space="preserve"> w</w:t>
      </w:r>
      <w:r w:rsidRPr="00537E35">
        <w:rPr>
          <w:lang w:val="en-GB"/>
        </w:rPr>
        <w:t>ere</w:t>
      </w:r>
      <w:r w:rsidR="00B7575B" w:rsidRPr="00537E35">
        <w:rPr>
          <w:lang w:val="en-GB"/>
        </w:rPr>
        <w:t xml:space="preserve"> </w:t>
      </w:r>
      <w:r w:rsidRPr="00537E35">
        <w:rPr>
          <w:lang w:val="en-GB"/>
        </w:rPr>
        <w:t>determined</w:t>
      </w:r>
      <w:r w:rsidR="00B7575B" w:rsidRPr="00537E35">
        <w:rPr>
          <w:lang w:val="en-GB"/>
        </w:rPr>
        <w:t xml:space="preserve"> by enzymatic method (</w:t>
      </w:r>
      <w:proofErr w:type="spellStart"/>
      <w:r w:rsidR="00B7575B" w:rsidRPr="00537E35">
        <w:rPr>
          <w:lang w:val="en-GB"/>
        </w:rPr>
        <w:t>Megazyme</w:t>
      </w:r>
      <w:proofErr w:type="spellEnd"/>
      <w:r w:rsidR="00B7575B" w:rsidRPr="00537E35">
        <w:rPr>
          <w:lang w:val="en-GB"/>
        </w:rPr>
        <w:t>®, Ireland)</w:t>
      </w:r>
      <w:r w:rsidR="007261D0" w:rsidRPr="00537E35">
        <w:rPr>
          <w:lang w:val="en-GB"/>
        </w:rPr>
        <w:t xml:space="preserve"> </w:t>
      </w:r>
      <w:r w:rsidR="008C1337" w:rsidRPr="00537E35">
        <w:rPr>
          <w:lang w:val="en-GB"/>
        </w:rPr>
        <w:t>measuring</w:t>
      </w:r>
      <w:r w:rsidRPr="00537E35">
        <w:rPr>
          <w:lang w:val="en-GB"/>
        </w:rPr>
        <w:t xml:space="preserve"> </w:t>
      </w:r>
      <w:r w:rsidR="007261D0" w:rsidRPr="00537E35">
        <w:rPr>
          <w:lang w:val="en-GB"/>
        </w:rPr>
        <w:t xml:space="preserve">the </w:t>
      </w:r>
      <w:r w:rsidRPr="00537E35">
        <w:rPr>
          <w:lang w:val="en-GB"/>
        </w:rPr>
        <w:t>OD at 340nm.</w:t>
      </w:r>
      <w:r w:rsidR="00B7575B" w:rsidRPr="00537E35">
        <w:rPr>
          <w:lang w:val="en-GB"/>
        </w:rPr>
        <w:t xml:space="preserve"> </w:t>
      </w:r>
      <w:r w:rsidRPr="00537E35">
        <w:rPr>
          <w:lang w:val="en-GB"/>
        </w:rPr>
        <w:t>Based on the highest amount and purity (</w:t>
      </w:r>
      <w:r w:rsidR="007261D0" w:rsidRPr="00537E35">
        <w:rPr>
          <w:lang w:val="en-GB"/>
        </w:rPr>
        <w:t>&gt;</w:t>
      </w:r>
      <w:r w:rsidRPr="00537E35">
        <w:rPr>
          <w:lang w:val="en-GB"/>
        </w:rPr>
        <w:t xml:space="preserve"> 97%) of D-</w:t>
      </w:r>
      <w:r w:rsidR="00B8037C" w:rsidRPr="00537E35">
        <w:rPr>
          <w:lang w:val="en-GB"/>
        </w:rPr>
        <w:t>LA</w:t>
      </w:r>
      <w:r w:rsidRPr="00537E35">
        <w:rPr>
          <w:lang w:val="en-GB"/>
        </w:rPr>
        <w:t xml:space="preserve"> produced, two strains (UPPC-4516 and UPCC-2214) were selected</w:t>
      </w:r>
      <w:r w:rsidR="008D0E96" w:rsidRPr="00537E35">
        <w:rPr>
          <w:lang w:val="en-GB"/>
        </w:rPr>
        <w:t>.</w:t>
      </w:r>
      <w:r w:rsidR="007261D0" w:rsidRPr="00537E35">
        <w:rPr>
          <w:lang w:val="en-GB"/>
        </w:rPr>
        <w:t xml:space="preserve"> During the period abroad at the University of Natural Resources and Life Science of Vienna,</w:t>
      </w:r>
      <w:r w:rsidR="008D0E96" w:rsidRPr="00537E35">
        <w:rPr>
          <w:lang w:val="en-GB"/>
        </w:rPr>
        <w:t xml:space="preserve"> </w:t>
      </w:r>
      <w:r w:rsidR="007261D0" w:rsidRPr="00537E35">
        <w:rPr>
          <w:lang w:val="en-GB"/>
        </w:rPr>
        <w:t>the cultures</w:t>
      </w:r>
      <w:r w:rsidR="008D0E96" w:rsidRPr="00537E35">
        <w:rPr>
          <w:lang w:val="en-GB"/>
        </w:rPr>
        <w:t xml:space="preserve"> were scaled in </w:t>
      </w:r>
      <w:r w:rsidR="005462F8" w:rsidRPr="00537E35">
        <w:rPr>
          <w:lang w:val="en-GB"/>
        </w:rPr>
        <w:t xml:space="preserve">1L </w:t>
      </w:r>
      <w:r w:rsidR="008D0E96" w:rsidRPr="00537E35">
        <w:rPr>
          <w:lang w:val="en-GB"/>
        </w:rPr>
        <w:t>bioreactor</w:t>
      </w:r>
      <w:r w:rsidR="00B8037C" w:rsidRPr="00537E35">
        <w:rPr>
          <w:lang w:val="en-GB"/>
        </w:rPr>
        <w:t>s</w:t>
      </w:r>
      <w:r w:rsidRPr="00537E35">
        <w:rPr>
          <w:lang w:val="en-GB"/>
        </w:rPr>
        <w:t xml:space="preserve"> </w:t>
      </w:r>
      <w:r w:rsidR="005462F8" w:rsidRPr="00537E35">
        <w:rPr>
          <w:lang w:val="en-GB"/>
        </w:rPr>
        <w:t xml:space="preserve">(DASGIP AG, </w:t>
      </w:r>
      <w:proofErr w:type="spellStart"/>
      <w:r w:rsidR="005462F8" w:rsidRPr="00537E35">
        <w:rPr>
          <w:lang w:val="en-GB"/>
        </w:rPr>
        <w:t>Jülich</w:t>
      </w:r>
      <w:proofErr w:type="spellEnd"/>
      <w:r w:rsidR="005462F8" w:rsidRPr="00537E35">
        <w:rPr>
          <w:lang w:val="en-GB"/>
        </w:rPr>
        <w:t xml:space="preserve">, Germany) </w:t>
      </w:r>
      <w:r w:rsidR="00E35697" w:rsidRPr="00537E35">
        <w:rPr>
          <w:lang w:val="en-GB"/>
        </w:rPr>
        <w:t>carrying out a</w:t>
      </w:r>
      <w:r w:rsidR="00B7575B" w:rsidRPr="00537E35">
        <w:rPr>
          <w:lang w:val="en-GB"/>
        </w:rPr>
        <w:t xml:space="preserve"> </w:t>
      </w:r>
      <w:r w:rsidR="008D0E96" w:rsidRPr="00537E35">
        <w:rPr>
          <w:lang w:val="en-GB"/>
        </w:rPr>
        <w:t>b</w:t>
      </w:r>
      <w:r w:rsidRPr="00537E35">
        <w:rPr>
          <w:lang w:val="en-GB"/>
        </w:rPr>
        <w:t>atch process</w:t>
      </w:r>
      <w:r w:rsidR="00E35697" w:rsidRPr="00537E35">
        <w:rPr>
          <w:lang w:val="en-GB"/>
        </w:rPr>
        <w:t xml:space="preserve"> </w:t>
      </w:r>
      <w:r w:rsidR="001A0D67" w:rsidRPr="00537E35">
        <w:rPr>
          <w:lang w:val="en-GB"/>
        </w:rPr>
        <w:t>with 20 g/L</w:t>
      </w:r>
      <w:r w:rsidR="00B10F6C" w:rsidRPr="00537E35">
        <w:rPr>
          <w:lang w:val="en-GB"/>
        </w:rPr>
        <w:t xml:space="preserve"> initial</w:t>
      </w:r>
      <w:r w:rsidR="001A0D67" w:rsidRPr="00537E35">
        <w:rPr>
          <w:lang w:val="en-GB"/>
        </w:rPr>
        <w:t xml:space="preserve"> glucose</w:t>
      </w:r>
      <w:r w:rsidR="00E35697" w:rsidRPr="00537E35">
        <w:rPr>
          <w:lang w:val="en-GB"/>
        </w:rPr>
        <w:t>,</w:t>
      </w:r>
      <w:r w:rsidR="00F15992" w:rsidRPr="00537E35">
        <w:rPr>
          <w:lang w:val="en-GB"/>
        </w:rPr>
        <w:t xml:space="preserve"> </w:t>
      </w:r>
      <w:r w:rsidR="008D0E96" w:rsidRPr="00537E35">
        <w:rPr>
          <w:lang w:val="en-GB"/>
        </w:rPr>
        <w:t>followed by</w:t>
      </w:r>
      <w:r w:rsidRPr="00537E35">
        <w:rPr>
          <w:lang w:val="en-GB"/>
        </w:rPr>
        <w:t xml:space="preserve"> a </w:t>
      </w:r>
      <w:r w:rsidR="008D0E96" w:rsidRPr="00537E35">
        <w:rPr>
          <w:lang w:val="en-GB"/>
        </w:rPr>
        <w:t>f</w:t>
      </w:r>
      <w:r w:rsidRPr="00537E35">
        <w:rPr>
          <w:lang w:val="en-GB"/>
        </w:rPr>
        <w:t>ed-batch</w:t>
      </w:r>
      <w:r w:rsidR="00E35697" w:rsidRPr="00537E35">
        <w:rPr>
          <w:lang w:val="en-GB"/>
        </w:rPr>
        <w:t xml:space="preserve"> one </w:t>
      </w:r>
      <w:r w:rsidR="008D0E96" w:rsidRPr="00537E35">
        <w:rPr>
          <w:lang w:val="en-GB"/>
        </w:rPr>
        <w:t xml:space="preserve">after </w:t>
      </w:r>
      <w:r w:rsidR="00E35697" w:rsidRPr="00537E35">
        <w:rPr>
          <w:lang w:val="en-GB"/>
        </w:rPr>
        <w:t xml:space="preserve">total </w:t>
      </w:r>
      <w:r w:rsidR="008D0E96" w:rsidRPr="00537E35">
        <w:rPr>
          <w:lang w:val="en-GB"/>
        </w:rPr>
        <w:t>glucose consumption</w:t>
      </w:r>
      <w:r w:rsidR="001A0D67" w:rsidRPr="00537E35">
        <w:rPr>
          <w:lang w:val="en-GB"/>
        </w:rPr>
        <w:t xml:space="preserve"> (constant feeding rate = 2,5 ml/h of 50 % (w/v) glucose)</w:t>
      </w:r>
      <w:r w:rsidR="00E35697" w:rsidRPr="00537E35">
        <w:rPr>
          <w:lang w:val="en-GB"/>
        </w:rPr>
        <w:t>.</w:t>
      </w:r>
      <w:r w:rsidR="008D0E96" w:rsidRPr="00537E35">
        <w:rPr>
          <w:lang w:val="en-GB"/>
        </w:rPr>
        <w:t xml:space="preserve"> </w:t>
      </w:r>
      <w:r w:rsidR="001A0D67" w:rsidRPr="00537E35">
        <w:rPr>
          <w:lang w:val="en-GB"/>
        </w:rPr>
        <w:t>The process was then optimized by keeping constant the pH = 6.2 and increasing the feeding rate (4 ml/h for UPCC-2214 and 6 ml/h for UPPC-4516).</w:t>
      </w:r>
    </w:p>
    <w:p w14:paraId="0AAF34CC" w14:textId="4B126A09" w:rsidR="00C61EE3" w:rsidRPr="00537E35" w:rsidRDefault="00211BDD" w:rsidP="00C66952">
      <w:pPr>
        <w:jc w:val="both"/>
        <w:rPr>
          <w:lang w:val="en-GB"/>
        </w:rPr>
      </w:pPr>
      <w:r w:rsidRPr="00537E35">
        <w:rPr>
          <w:lang w:val="en-GB"/>
        </w:rPr>
        <w:t xml:space="preserve">The production of </w:t>
      </w:r>
      <w:proofErr w:type="spellStart"/>
      <w:r w:rsidRPr="00537E35">
        <w:rPr>
          <w:lang w:val="en-GB"/>
        </w:rPr>
        <w:t>polyhydroxyalkanoates</w:t>
      </w:r>
      <w:proofErr w:type="spellEnd"/>
      <w:r w:rsidRPr="00537E35">
        <w:rPr>
          <w:lang w:val="en-GB"/>
        </w:rPr>
        <w:t xml:space="preserve"> (PHAs), other precursors of bioplastics, was explored as suggested by Bosco </w:t>
      </w:r>
      <w:r w:rsidRPr="00537E35">
        <w:rPr>
          <w:i/>
          <w:iCs/>
          <w:lang w:val="en-GB"/>
        </w:rPr>
        <w:t>et al.</w:t>
      </w:r>
      <w:r w:rsidRPr="00537E35">
        <w:rPr>
          <w:lang w:val="en-GB"/>
        </w:rPr>
        <w:t xml:space="preserve"> (2021) with some modifications to the protocol. </w:t>
      </w:r>
      <w:r w:rsidR="001A0D67" w:rsidRPr="00537E35">
        <w:rPr>
          <w:lang w:val="en-GB"/>
        </w:rPr>
        <w:t>S</w:t>
      </w:r>
      <w:r w:rsidRPr="00537E35">
        <w:rPr>
          <w:lang w:val="en-GB"/>
        </w:rPr>
        <w:t xml:space="preserve">trains were </w:t>
      </w:r>
      <w:r w:rsidR="008D0E96" w:rsidRPr="00537E35">
        <w:rPr>
          <w:lang w:val="en-GB"/>
        </w:rPr>
        <w:t>firstly screened</w:t>
      </w:r>
      <w:r w:rsidRPr="00537E35">
        <w:rPr>
          <w:lang w:val="en-GB"/>
        </w:rPr>
        <w:t xml:space="preserve"> on Malt Extract Agar plates containing 0,5 </w:t>
      </w:r>
      <w:r w:rsidRPr="00537E35">
        <w:t>μ</w:t>
      </w:r>
      <w:r w:rsidRPr="00537E35">
        <w:rPr>
          <w:lang w:val="en-GB"/>
        </w:rPr>
        <w:t>g/ml Nile Red in DSMO which binds to lipid molecules and emits fluorescence under UV light. Plates were incubated at the optimal temperature in the dark until 48</w:t>
      </w:r>
      <w:r w:rsidR="00B10F6C" w:rsidRPr="00537E35">
        <w:rPr>
          <w:lang w:val="en-GB"/>
        </w:rPr>
        <w:t xml:space="preserve"> </w:t>
      </w:r>
      <w:r w:rsidRPr="00537E35">
        <w:rPr>
          <w:lang w:val="en-GB"/>
        </w:rPr>
        <w:t xml:space="preserve">h. </w:t>
      </w:r>
      <w:r w:rsidR="001A0D67" w:rsidRPr="00537E35">
        <w:rPr>
          <w:lang w:val="en-GB"/>
        </w:rPr>
        <w:t xml:space="preserve">Strains that showed </w:t>
      </w:r>
      <w:r w:rsidR="008A7447" w:rsidRPr="00537E35">
        <w:rPr>
          <w:lang w:val="en-GB"/>
        </w:rPr>
        <w:t>fluorescence</w:t>
      </w:r>
      <w:r w:rsidR="001A0D67" w:rsidRPr="00537E35">
        <w:rPr>
          <w:lang w:val="en-GB"/>
        </w:rPr>
        <w:t xml:space="preserve"> were moved in liquid</w:t>
      </w:r>
      <w:r w:rsidR="008A7447" w:rsidRPr="00537E35">
        <w:rPr>
          <w:lang w:val="en-GB"/>
        </w:rPr>
        <w:t xml:space="preserve"> culture to boost the biomass production and extract as much lipids as possible to make their chemical characterization possible. </w:t>
      </w:r>
    </w:p>
    <w:p w14:paraId="252D2745" w14:textId="3E67A5BA" w:rsidR="0075291F" w:rsidRPr="00537E35" w:rsidRDefault="000B3E65" w:rsidP="00C66952">
      <w:pPr>
        <w:pStyle w:val="Heading2"/>
        <w:jc w:val="both"/>
        <w:rPr>
          <w:b w:val="0"/>
          <w:bCs/>
          <w:lang w:val="en-GB"/>
        </w:rPr>
      </w:pPr>
      <w:r w:rsidRPr="00537E35">
        <w:rPr>
          <w:bCs/>
          <w:lang w:val="en-GB"/>
        </w:rPr>
        <w:t>3</w:t>
      </w:r>
      <w:r w:rsidR="0075291F" w:rsidRPr="00537E35">
        <w:rPr>
          <w:bCs/>
          <w:lang w:val="en-GB"/>
        </w:rPr>
        <w:t xml:space="preserve">.3 </w:t>
      </w:r>
      <w:r w:rsidR="00C66952" w:rsidRPr="00537E35">
        <w:rPr>
          <w:bCs/>
          <w:lang w:val="en-GB"/>
        </w:rPr>
        <w:t>Machine learning for prediction</w:t>
      </w:r>
    </w:p>
    <w:p w14:paraId="029BC93A" w14:textId="05C94A2D" w:rsidR="0075291F" w:rsidRPr="00537E35" w:rsidRDefault="007833AA" w:rsidP="00C66952">
      <w:pPr>
        <w:jc w:val="both"/>
        <w:rPr>
          <w:lang w:val="en-GB"/>
        </w:rPr>
      </w:pPr>
      <w:r w:rsidRPr="00537E35">
        <w:rPr>
          <w:lang w:val="en-GB"/>
        </w:rPr>
        <w:t>This part was focused on</w:t>
      </w:r>
      <w:r w:rsidR="00AF4492" w:rsidRPr="00537E35">
        <w:rPr>
          <w:lang w:val="en-GB"/>
        </w:rPr>
        <w:t xml:space="preserve"> the exploitation of the fragment length distribution profile of bacterial genomes provided by the AFLP technology </w:t>
      </w:r>
      <w:r w:rsidR="001F13D5" w:rsidRPr="00537E35">
        <w:rPr>
          <w:lang w:val="en-GB"/>
        </w:rPr>
        <w:t>to obtain</w:t>
      </w:r>
      <w:r w:rsidR="00AF4492" w:rsidRPr="00537E35">
        <w:rPr>
          <w:lang w:val="en-GB"/>
        </w:rPr>
        <w:t xml:space="preserve"> computational predictive models</w:t>
      </w:r>
      <w:r w:rsidR="0041295C" w:rsidRPr="00537E35">
        <w:rPr>
          <w:lang w:val="en-GB"/>
        </w:rPr>
        <w:t>.</w:t>
      </w:r>
      <w:r w:rsidR="00AF4492" w:rsidRPr="00537E35" w:rsidDel="007B22E2">
        <w:rPr>
          <w:lang w:val="en-GB"/>
        </w:rPr>
        <w:t xml:space="preserve"> </w:t>
      </w:r>
      <w:r w:rsidR="0041295C" w:rsidRPr="00537E35">
        <w:rPr>
          <w:lang w:val="en-GB"/>
        </w:rPr>
        <w:t>Two different benchmark has been developed</w:t>
      </w:r>
      <w:r w:rsidR="0026279E" w:rsidRPr="00537E35">
        <w:rPr>
          <w:lang w:val="en-GB"/>
        </w:rPr>
        <w:t xml:space="preserve"> using genotypic and phenotypic information obtained from this work (141 strains) and extracted from publicly available database (in silico AFLP profiles and API-50 results</w:t>
      </w:r>
      <w:r w:rsidR="000D12E5" w:rsidRPr="00537E35">
        <w:rPr>
          <w:lang w:val="en-GB"/>
        </w:rPr>
        <w:t xml:space="preserve"> from </w:t>
      </w:r>
      <w:proofErr w:type="spellStart"/>
      <w:r w:rsidR="000D12E5" w:rsidRPr="00537E35">
        <w:rPr>
          <w:lang w:val="en-GB"/>
        </w:rPr>
        <w:t>BacDive</w:t>
      </w:r>
      <w:proofErr w:type="spellEnd"/>
      <w:r w:rsidR="0026279E" w:rsidRPr="00537E35">
        <w:rPr>
          <w:lang w:val="en-GB"/>
        </w:rPr>
        <w:t xml:space="preserve">) (509 genomes). </w:t>
      </w:r>
      <w:r w:rsidR="00DC12CB" w:rsidRPr="00537E35">
        <w:rPr>
          <w:lang w:val="en-GB"/>
        </w:rPr>
        <w:t>These datasets were used for training the machine learning models and c</w:t>
      </w:r>
      <w:r w:rsidR="0026279E" w:rsidRPr="00537E35">
        <w:rPr>
          <w:lang w:val="en-GB"/>
        </w:rPr>
        <w:t xml:space="preserve">lassification algorithms to predict the metabolic traits encoded by </w:t>
      </w:r>
      <w:r w:rsidR="00DC12CB" w:rsidRPr="00537E35">
        <w:rPr>
          <w:lang w:val="en-GB"/>
        </w:rPr>
        <w:t>bacteria</w:t>
      </w:r>
      <w:r w:rsidR="0026279E" w:rsidRPr="00537E35">
        <w:rPr>
          <w:lang w:val="en-GB"/>
        </w:rPr>
        <w:t xml:space="preserve"> according to their phylogenetic profiles were applied.</w:t>
      </w:r>
      <w:r w:rsidR="00DC12CB" w:rsidRPr="00537E35">
        <w:rPr>
          <w:lang w:val="en-GB"/>
        </w:rPr>
        <w:t xml:space="preserve"> </w:t>
      </w:r>
    </w:p>
    <w:p w14:paraId="6BCC39CD" w14:textId="191508BD" w:rsidR="0075291F" w:rsidRPr="00537E35" w:rsidRDefault="000B3E65" w:rsidP="00C66952">
      <w:pPr>
        <w:pStyle w:val="Heading1"/>
        <w:tabs>
          <w:tab w:val="left" w:pos="567"/>
        </w:tabs>
        <w:rPr>
          <w:b w:val="0"/>
          <w:bCs/>
          <w:szCs w:val="24"/>
          <w:lang w:val="en-GB"/>
        </w:rPr>
      </w:pPr>
      <w:r w:rsidRPr="00537E35">
        <w:rPr>
          <w:bCs/>
          <w:szCs w:val="24"/>
          <w:lang w:val="en-GB"/>
        </w:rPr>
        <w:t>4</w:t>
      </w:r>
      <w:r w:rsidR="007D40F9" w:rsidRPr="00537E35">
        <w:rPr>
          <w:bCs/>
          <w:szCs w:val="24"/>
          <w:lang w:val="en-GB"/>
        </w:rPr>
        <w:t>. Results and Discussion</w:t>
      </w:r>
    </w:p>
    <w:p w14:paraId="7B9A8CB9" w14:textId="6992583D" w:rsidR="0075291F" w:rsidRPr="00537E35" w:rsidRDefault="000B3E65" w:rsidP="00C66952">
      <w:pPr>
        <w:pStyle w:val="Heading2"/>
        <w:jc w:val="both"/>
        <w:rPr>
          <w:b w:val="0"/>
          <w:bCs/>
          <w:lang w:val="en-GB"/>
        </w:rPr>
      </w:pPr>
      <w:r w:rsidRPr="00537E35">
        <w:rPr>
          <w:bCs/>
          <w:lang w:val="en-GB"/>
        </w:rPr>
        <w:t>4</w:t>
      </w:r>
      <w:r w:rsidR="0075291F" w:rsidRPr="00537E35">
        <w:rPr>
          <w:bCs/>
          <w:lang w:val="en-GB"/>
        </w:rPr>
        <w:t xml:space="preserve">.1 </w:t>
      </w:r>
      <w:r w:rsidR="00DB61F6" w:rsidRPr="00537E35">
        <w:rPr>
          <w:bCs/>
          <w:lang w:val="en-GB"/>
        </w:rPr>
        <w:t>B</w:t>
      </w:r>
      <w:r w:rsidR="0075291F" w:rsidRPr="00537E35">
        <w:rPr>
          <w:bCs/>
          <w:lang w:val="en-GB"/>
        </w:rPr>
        <w:t>iodiversity</w:t>
      </w:r>
      <w:r w:rsidR="00DB61F6" w:rsidRPr="00537E35">
        <w:rPr>
          <w:bCs/>
          <w:lang w:val="en-GB"/>
        </w:rPr>
        <w:t xml:space="preserve"> into the SMC</w:t>
      </w:r>
    </w:p>
    <w:p w14:paraId="187ADA93" w14:textId="5D33BF3E" w:rsidR="0075291F" w:rsidRPr="00537E35" w:rsidRDefault="00DB61F6" w:rsidP="00C66952">
      <w:pPr>
        <w:jc w:val="both"/>
        <w:rPr>
          <w:lang w:val="en-GB"/>
        </w:rPr>
      </w:pPr>
      <w:r w:rsidRPr="00537E35">
        <w:rPr>
          <w:lang w:val="en-GB"/>
        </w:rPr>
        <w:t>Indices calculated to describe the SMC’s biodiversity g</w:t>
      </w:r>
      <w:r w:rsidR="00DE0831" w:rsidRPr="00537E35">
        <w:rPr>
          <w:lang w:val="en-GB"/>
        </w:rPr>
        <w:t>a</w:t>
      </w:r>
      <w:r w:rsidRPr="00537E35">
        <w:rPr>
          <w:lang w:val="en-GB"/>
        </w:rPr>
        <w:t>ve us information concerning the entropy of the population</w:t>
      </w:r>
      <w:r w:rsidR="003B3BDE" w:rsidRPr="00537E35">
        <w:rPr>
          <w:lang w:val="en-GB"/>
        </w:rPr>
        <w:t xml:space="preserve"> (H´), the homogeneity of the community (E),</w:t>
      </w:r>
      <w:r w:rsidR="006D3E18" w:rsidRPr="00537E35">
        <w:rPr>
          <w:lang w:val="en-GB"/>
        </w:rPr>
        <w:t xml:space="preserve"> and the</w:t>
      </w:r>
      <w:r w:rsidR="003B3BDE" w:rsidRPr="00537E35">
        <w:rPr>
          <w:lang w:val="en-GB"/>
        </w:rPr>
        <w:t xml:space="preserve"> </w:t>
      </w:r>
      <w:r w:rsidR="006D3E18" w:rsidRPr="00537E35">
        <w:rPr>
          <w:lang w:val="en-GB"/>
        </w:rPr>
        <w:t>dominance of some species</w:t>
      </w:r>
      <w:r w:rsidR="003B3BDE" w:rsidRPr="00537E35">
        <w:rPr>
          <w:lang w:val="en-GB"/>
        </w:rPr>
        <w:t xml:space="preserve"> </w:t>
      </w:r>
      <w:r w:rsidR="006D3E18" w:rsidRPr="00537E35">
        <w:rPr>
          <w:lang w:val="en-GB"/>
        </w:rPr>
        <w:t>over others (D</w:t>
      </w:r>
      <w:r w:rsidR="00911A23" w:rsidRPr="00537E35">
        <w:rPr>
          <w:lang w:val="en-GB"/>
        </w:rPr>
        <w:t>’</w:t>
      </w:r>
      <w:r w:rsidR="006D3E18" w:rsidRPr="00537E35">
        <w:rPr>
          <w:lang w:val="en-GB"/>
        </w:rPr>
        <w:t xml:space="preserve">). </w:t>
      </w:r>
      <w:r w:rsidR="003B3BDE" w:rsidRPr="00537E35">
        <w:rPr>
          <w:lang w:val="en-GB"/>
        </w:rPr>
        <w:t xml:space="preserve"> </w:t>
      </w:r>
      <w:r w:rsidR="006D3E18" w:rsidRPr="00537E35">
        <w:rPr>
          <w:lang w:val="en-GB"/>
        </w:rPr>
        <w:t xml:space="preserve">The higher the number of species (S = 29), the higher H’: </w:t>
      </w:r>
      <w:r w:rsidR="0075291F" w:rsidRPr="00537E35">
        <w:rPr>
          <w:lang w:val="en-GB"/>
        </w:rPr>
        <w:t>H</w:t>
      </w:r>
      <w:r w:rsidR="006D3E18" w:rsidRPr="00537E35">
        <w:rPr>
          <w:lang w:val="en-GB"/>
        </w:rPr>
        <w:t>’</w:t>
      </w:r>
      <w:r w:rsidR="003B3BDE" w:rsidRPr="00537E35">
        <w:rPr>
          <w:lang w:val="en-GB"/>
        </w:rPr>
        <w:t xml:space="preserve"> = 1.3</w:t>
      </w:r>
      <w:r w:rsidR="00911A23" w:rsidRPr="00537E35">
        <w:rPr>
          <w:lang w:val="en-GB"/>
        </w:rPr>
        <w:t>2</w:t>
      </w:r>
      <w:r w:rsidR="003B3BDE" w:rsidRPr="00537E35">
        <w:rPr>
          <w:lang w:val="en-GB"/>
        </w:rPr>
        <w:t xml:space="preserve"> </w:t>
      </w:r>
      <w:r w:rsidR="0075291F" w:rsidRPr="00537E35">
        <w:rPr>
          <w:lang w:val="en-GB"/>
        </w:rPr>
        <w:t xml:space="preserve">indicates that </w:t>
      </w:r>
      <w:r w:rsidR="006D3E18" w:rsidRPr="00537E35">
        <w:rPr>
          <w:lang w:val="en-GB"/>
        </w:rPr>
        <w:t xml:space="preserve">the selection </w:t>
      </w:r>
      <w:r w:rsidR="0075291F" w:rsidRPr="00537E35">
        <w:rPr>
          <w:lang w:val="en-GB"/>
        </w:rPr>
        <w:t xml:space="preserve">criteria </w:t>
      </w:r>
      <w:r w:rsidR="006D3E18" w:rsidRPr="00537E35">
        <w:rPr>
          <w:lang w:val="en-GB"/>
        </w:rPr>
        <w:t>guaranteed a</w:t>
      </w:r>
      <w:r w:rsidR="0075291F" w:rsidRPr="00537E35">
        <w:rPr>
          <w:lang w:val="en-GB"/>
        </w:rPr>
        <w:t xml:space="preserve"> good level of diversity into the SMC.</w:t>
      </w:r>
      <w:r w:rsidR="006D3E18" w:rsidRPr="00537E35">
        <w:rPr>
          <w:lang w:val="en-GB"/>
        </w:rPr>
        <w:t xml:space="preserve"> E = 0</w:t>
      </w:r>
      <w:r w:rsidR="00911A23" w:rsidRPr="00537E35">
        <w:rPr>
          <w:lang w:val="en-GB"/>
        </w:rPr>
        <w:t>.</w:t>
      </w:r>
      <w:r w:rsidR="006D3E18" w:rsidRPr="00537E35">
        <w:rPr>
          <w:lang w:val="en-GB"/>
        </w:rPr>
        <w:t>9</w:t>
      </w:r>
      <w:r w:rsidR="00911A23" w:rsidRPr="00537E35">
        <w:rPr>
          <w:lang w:val="en-GB"/>
        </w:rPr>
        <w:t>0</w:t>
      </w:r>
      <w:r w:rsidR="006D3E18" w:rsidRPr="00537E35">
        <w:rPr>
          <w:lang w:val="en-GB"/>
        </w:rPr>
        <w:t xml:space="preserve"> means</w:t>
      </w:r>
      <w:r w:rsidR="00911A23" w:rsidRPr="00537E35">
        <w:rPr>
          <w:lang w:val="en-GB"/>
        </w:rPr>
        <w:t xml:space="preserve"> a</w:t>
      </w:r>
      <w:r w:rsidR="006D3E18" w:rsidRPr="00537E35">
        <w:rPr>
          <w:lang w:val="en-GB"/>
        </w:rPr>
        <w:t xml:space="preserve"> comparable distribution among all species as it ranges between 0 and 1. </w:t>
      </w:r>
      <w:r w:rsidR="00911A23" w:rsidRPr="00537E35">
        <w:rPr>
          <w:lang w:val="en-GB"/>
        </w:rPr>
        <w:t xml:space="preserve">Despite the diversity, </w:t>
      </w:r>
      <w:r w:rsidR="0075291F" w:rsidRPr="00537E35">
        <w:rPr>
          <w:lang w:val="en-GB"/>
        </w:rPr>
        <w:t xml:space="preserve">D’ = </w:t>
      </w:r>
      <w:r w:rsidR="00911A23" w:rsidRPr="00537E35">
        <w:rPr>
          <w:lang w:val="en-GB"/>
        </w:rPr>
        <w:t>17.88</w:t>
      </w:r>
      <w:r w:rsidR="0075291F" w:rsidRPr="00537E35">
        <w:rPr>
          <w:lang w:val="en-GB"/>
        </w:rPr>
        <w:t xml:space="preserve"> highlights that </w:t>
      </w:r>
      <w:r w:rsidR="006D3E18" w:rsidRPr="00537E35">
        <w:rPr>
          <w:lang w:val="en-GB"/>
        </w:rPr>
        <w:t xml:space="preserve">some species </w:t>
      </w:r>
      <w:r w:rsidR="0075291F" w:rsidRPr="00537E35">
        <w:rPr>
          <w:lang w:val="en-GB"/>
        </w:rPr>
        <w:t>are more representative than others in terms of number of individuals.</w:t>
      </w:r>
      <w:r w:rsidR="00911A23" w:rsidRPr="00537E35">
        <w:rPr>
          <w:lang w:val="en-GB"/>
        </w:rPr>
        <w:t xml:space="preserve"> </w:t>
      </w:r>
      <w:r w:rsidR="00911A23" w:rsidRPr="00537E35">
        <w:rPr>
          <w:rFonts w:cstheme="minorHAnsi"/>
          <w:lang w:val="en-GB"/>
        </w:rPr>
        <w:t xml:space="preserve">The AFLP clustering generally </w:t>
      </w:r>
      <w:r w:rsidR="00C64762" w:rsidRPr="00537E35">
        <w:rPr>
          <w:rFonts w:cstheme="minorHAnsi"/>
          <w:lang w:val="en-GB"/>
        </w:rPr>
        <w:t>validate</w:t>
      </w:r>
      <w:r w:rsidR="00DE0831" w:rsidRPr="00537E35">
        <w:rPr>
          <w:rFonts w:cstheme="minorHAnsi"/>
          <w:lang w:val="en-GB"/>
        </w:rPr>
        <w:t>d</w:t>
      </w:r>
      <w:r w:rsidR="00C64762" w:rsidRPr="00537E35">
        <w:rPr>
          <w:rFonts w:cstheme="minorHAnsi"/>
          <w:lang w:val="en-GB"/>
        </w:rPr>
        <w:t xml:space="preserve"> the biodiversity since it </w:t>
      </w:r>
      <w:r w:rsidR="00911A23" w:rsidRPr="00537E35">
        <w:rPr>
          <w:rFonts w:cstheme="minorHAnsi"/>
          <w:lang w:val="en-GB"/>
        </w:rPr>
        <w:t>reflects the belonging to the species, as well as</w:t>
      </w:r>
      <w:r w:rsidR="00770F0D" w:rsidRPr="00537E35">
        <w:rPr>
          <w:rFonts w:cstheme="minorHAnsi"/>
          <w:lang w:val="en-GB"/>
        </w:rPr>
        <w:t xml:space="preserve"> </w:t>
      </w:r>
      <w:r w:rsidR="00770F0D" w:rsidRPr="00537E35">
        <w:rPr>
          <w:lang w:val="en-GB"/>
        </w:rPr>
        <w:t xml:space="preserve">the </w:t>
      </w:r>
      <w:r w:rsidR="00911A23" w:rsidRPr="00537E35">
        <w:rPr>
          <w:lang w:val="en-GB"/>
        </w:rPr>
        <w:t>metabolism</w:t>
      </w:r>
      <w:r w:rsidR="00C64762" w:rsidRPr="00537E35">
        <w:rPr>
          <w:lang w:val="en-GB"/>
        </w:rPr>
        <w:t xml:space="preserve"> characterizing microorganisms</w:t>
      </w:r>
      <w:r w:rsidR="00911A23" w:rsidRPr="00537E35">
        <w:rPr>
          <w:lang w:val="en-GB"/>
        </w:rPr>
        <w:t xml:space="preserve">. Despite the overall evenness of clusters, </w:t>
      </w:r>
      <w:r w:rsidR="00770F0D" w:rsidRPr="00537E35">
        <w:rPr>
          <w:rFonts w:cstheme="minorHAnsi"/>
          <w:lang w:val="en-GB"/>
        </w:rPr>
        <w:t>the fingerprints of individual strains show</w:t>
      </w:r>
      <w:r w:rsidR="00DE0831" w:rsidRPr="00537E35">
        <w:rPr>
          <w:rFonts w:cstheme="minorHAnsi"/>
          <w:lang w:val="en-GB"/>
        </w:rPr>
        <w:t>ed</w:t>
      </w:r>
      <w:r w:rsidR="00770F0D" w:rsidRPr="00537E35">
        <w:rPr>
          <w:rFonts w:cstheme="minorHAnsi"/>
          <w:lang w:val="en-GB"/>
        </w:rPr>
        <w:t xml:space="preserve"> a certain level of intra-specific biodiversity and even more within the same genus, mainly due to the different </w:t>
      </w:r>
      <w:r w:rsidR="00911A23" w:rsidRPr="00537E35">
        <w:rPr>
          <w:rFonts w:cstheme="minorHAnsi"/>
          <w:lang w:val="en-GB"/>
        </w:rPr>
        <w:t>source and moment of isolation.</w:t>
      </w:r>
      <w:r w:rsidR="00770F0D" w:rsidRPr="00537E35">
        <w:rPr>
          <w:rFonts w:cstheme="minorHAnsi"/>
          <w:lang w:val="en-GB"/>
        </w:rPr>
        <w:t xml:space="preserve"> However, </w:t>
      </w:r>
      <w:r w:rsidR="00770F0D" w:rsidRPr="00537E35">
        <w:rPr>
          <w:lang w:val="en-GB"/>
        </w:rPr>
        <w:t xml:space="preserve">the distribution of metabolic profiles based on both the species and the metabolism type, </w:t>
      </w:r>
      <w:r w:rsidR="00DE0831" w:rsidRPr="00537E35">
        <w:rPr>
          <w:lang w:val="en-GB"/>
        </w:rPr>
        <w:t>was</w:t>
      </w:r>
      <w:r w:rsidR="00770F0D" w:rsidRPr="00537E35">
        <w:rPr>
          <w:lang w:val="en-GB"/>
        </w:rPr>
        <w:t xml:space="preserve"> more disordered than the genotypic one indicating that the variability into a community is better represented by phenotyping than genotyping.</w:t>
      </w:r>
    </w:p>
    <w:p w14:paraId="63C72E8C" w14:textId="56CB1805" w:rsidR="00096D28" w:rsidRPr="00537E35" w:rsidRDefault="0071088A" w:rsidP="00C66952">
      <w:pPr>
        <w:pStyle w:val="Heading2"/>
        <w:jc w:val="both"/>
        <w:rPr>
          <w:b w:val="0"/>
          <w:bCs/>
          <w:lang w:val="en-GB"/>
        </w:rPr>
      </w:pPr>
      <w:r w:rsidRPr="00537E35">
        <w:rPr>
          <w:bCs/>
          <w:lang w:val="en-GB"/>
        </w:rPr>
        <w:t>4</w:t>
      </w:r>
      <w:r w:rsidR="007D40F9" w:rsidRPr="00537E35">
        <w:rPr>
          <w:bCs/>
          <w:lang w:val="en-GB"/>
        </w:rPr>
        <w:t>.</w:t>
      </w:r>
      <w:r w:rsidR="00C55DC1" w:rsidRPr="00537E35">
        <w:rPr>
          <w:bCs/>
          <w:lang w:val="en-GB"/>
        </w:rPr>
        <w:t>2</w:t>
      </w:r>
      <w:r w:rsidR="007D40F9" w:rsidRPr="00537E35">
        <w:rPr>
          <w:bCs/>
          <w:lang w:val="en-GB"/>
        </w:rPr>
        <w:t xml:space="preserve"> </w:t>
      </w:r>
      <w:r w:rsidRPr="00537E35">
        <w:rPr>
          <w:bCs/>
          <w:lang w:val="en-GB"/>
        </w:rPr>
        <w:t>Phenotypic studie</w:t>
      </w:r>
      <w:r w:rsidR="00BC5B33" w:rsidRPr="00537E35">
        <w:rPr>
          <w:bCs/>
          <w:lang w:val="en-GB"/>
        </w:rPr>
        <w:t>s</w:t>
      </w:r>
    </w:p>
    <w:p w14:paraId="6E732C97" w14:textId="53950E06" w:rsidR="0071088A" w:rsidRPr="00537E35" w:rsidRDefault="00BC5B33" w:rsidP="0071088A">
      <w:pPr>
        <w:pStyle w:val="Heading3"/>
        <w:rPr>
          <w:lang w:val="en-GB"/>
        </w:rPr>
      </w:pPr>
      <w:r w:rsidRPr="00537E35">
        <w:rPr>
          <w:lang w:val="en-GB"/>
        </w:rPr>
        <w:t>4</w:t>
      </w:r>
      <w:r w:rsidR="0071088A" w:rsidRPr="00537E35">
        <w:rPr>
          <w:lang w:val="en-GB"/>
        </w:rPr>
        <w:t>.2.</w:t>
      </w:r>
      <w:r w:rsidRPr="00537E35">
        <w:rPr>
          <w:lang w:val="en-GB"/>
        </w:rPr>
        <w:t>1</w:t>
      </w:r>
      <w:r w:rsidR="0071088A" w:rsidRPr="00537E35">
        <w:rPr>
          <w:lang w:val="en-GB"/>
        </w:rPr>
        <w:t xml:space="preserve"> </w:t>
      </w:r>
      <w:r w:rsidRPr="00537E35">
        <w:rPr>
          <w:lang w:val="en-GB"/>
        </w:rPr>
        <w:t>Metabolic profiling</w:t>
      </w:r>
    </w:p>
    <w:p w14:paraId="0E3D156F" w14:textId="0E4E572E" w:rsidR="00136F70" w:rsidRPr="00537E35" w:rsidRDefault="007E7222" w:rsidP="00C66952">
      <w:pPr>
        <w:jc w:val="both"/>
        <w:rPr>
          <w:shd w:val="clear" w:color="auto" w:fill="FFFFFF"/>
          <w:lang w:val="en-GB"/>
        </w:rPr>
      </w:pPr>
      <w:r w:rsidRPr="00537E35">
        <w:rPr>
          <w:lang w:val="en-GB"/>
        </w:rPr>
        <w:t>The majority of LAB mostly metabolized 25 of the 71 carbon sources supplied. No strain show</w:t>
      </w:r>
      <w:r w:rsidR="00DE0831" w:rsidRPr="00537E35">
        <w:rPr>
          <w:lang w:val="en-GB"/>
        </w:rPr>
        <w:t>ed</w:t>
      </w:r>
      <w:r w:rsidRPr="00537E35">
        <w:rPr>
          <w:lang w:val="en-GB"/>
        </w:rPr>
        <w:t xml:space="preserve"> any activity on gelatin</w:t>
      </w:r>
      <w:r w:rsidR="009D1CB7" w:rsidRPr="00537E35">
        <w:rPr>
          <w:lang w:val="en-GB"/>
        </w:rPr>
        <w:t>e</w:t>
      </w:r>
      <w:r w:rsidRPr="00537E35">
        <w:rPr>
          <w:lang w:val="en-GB"/>
        </w:rPr>
        <w:t>, p-hydroxy-phenylacetic acid, γ-amino-</w:t>
      </w:r>
      <w:proofErr w:type="spellStart"/>
      <w:r w:rsidRPr="00537E35">
        <w:rPr>
          <w:lang w:val="en-GB"/>
        </w:rPr>
        <w:t>butryric</w:t>
      </w:r>
      <w:proofErr w:type="spellEnd"/>
      <w:r w:rsidRPr="00537E35">
        <w:rPr>
          <w:lang w:val="en-GB"/>
        </w:rPr>
        <w:t xml:space="preserve"> acid, and D-lactic acid methyl-ester. All other substrates were used by less than 30 strains over 150 tested. Ecological diversity indices were used also to express the variability among metabolic profiles. </w:t>
      </w:r>
      <w:r w:rsidR="00936CC7" w:rsidRPr="00537E35">
        <w:rPr>
          <w:lang w:val="en-GB"/>
        </w:rPr>
        <w:t xml:space="preserve">Phenotype of </w:t>
      </w:r>
      <w:r w:rsidR="00C55DC1" w:rsidRPr="00537E35">
        <w:rPr>
          <w:lang w:val="en-GB"/>
        </w:rPr>
        <w:t>homofermentative bacteria (</w:t>
      </w:r>
      <w:r w:rsidR="00936CC7" w:rsidRPr="00537E35">
        <w:rPr>
          <w:lang w:val="en-GB"/>
        </w:rPr>
        <w:t xml:space="preserve">HMF, </w:t>
      </w:r>
      <w:r w:rsidR="00C55DC1" w:rsidRPr="00537E35">
        <w:rPr>
          <w:lang w:val="en-GB"/>
        </w:rPr>
        <w:t>62 strains)</w:t>
      </w:r>
      <w:r w:rsidR="00936CC7" w:rsidRPr="00537E35">
        <w:rPr>
          <w:lang w:val="en-GB"/>
        </w:rPr>
        <w:t>, fa</w:t>
      </w:r>
      <w:r w:rsidR="00C55DC1" w:rsidRPr="00537E35">
        <w:rPr>
          <w:lang w:val="en-GB"/>
        </w:rPr>
        <w:t>cultatively heterofermentative bacteria (</w:t>
      </w:r>
      <w:r w:rsidR="00936CC7" w:rsidRPr="00537E35">
        <w:rPr>
          <w:lang w:val="en-GB"/>
        </w:rPr>
        <w:t xml:space="preserve">FHTF, </w:t>
      </w:r>
      <w:r w:rsidR="00C55DC1" w:rsidRPr="00537E35">
        <w:rPr>
          <w:lang w:val="en-GB"/>
        </w:rPr>
        <w:t xml:space="preserve">51 strains), </w:t>
      </w:r>
      <w:r w:rsidR="00936CC7" w:rsidRPr="00537E35">
        <w:rPr>
          <w:lang w:val="en-GB"/>
        </w:rPr>
        <w:t>and</w:t>
      </w:r>
      <w:r w:rsidR="00C55DC1" w:rsidRPr="00537E35">
        <w:rPr>
          <w:lang w:val="en-GB"/>
        </w:rPr>
        <w:t xml:space="preserve"> obligately heterofermentative bacteria (</w:t>
      </w:r>
      <w:r w:rsidR="00936CC7" w:rsidRPr="00537E35">
        <w:rPr>
          <w:lang w:val="en-GB"/>
        </w:rPr>
        <w:t xml:space="preserve">OHTF, </w:t>
      </w:r>
      <w:r w:rsidR="00C55DC1" w:rsidRPr="00537E35">
        <w:rPr>
          <w:lang w:val="en-GB"/>
        </w:rPr>
        <w:t>37 strains)</w:t>
      </w:r>
      <w:r w:rsidR="00936CC7" w:rsidRPr="00537E35">
        <w:rPr>
          <w:lang w:val="en-GB"/>
        </w:rPr>
        <w:t xml:space="preserve"> was </w:t>
      </w:r>
      <w:r w:rsidR="00936CC7" w:rsidRPr="00537E35">
        <w:rPr>
          <w:lang w:val="en-GB"/>
        </w:rPr>
        <w:lastRenderedPageBreak/>
        <w:t>evaluated separately (Figure 1)</w:t>
      </w:r>
      <w:r w:rsidR="00C55DC1" w:rsidRPr="00537E35">
        <w:rPr>
          <w:lang w:val="en-GB"/>
        </w:rPr>
        <w:t xml:space="preserve">. </w:t>
      </w:r>
      <w:r w:rsidR="00936CC7" w:rsidRPr="00537E35">
        <w:rPr>
          <w:lang w:val="en-GB"/>
        </w:rPr>
        <w:t>HMF show</w:t>
      </w:r>
      <w:r w:rsidR="00DE0831" w:rsidRPr="00537E35">
        <w:rPr>
          <w:lang w:val="en-GB"/>
        </w:rPr>
        <w:t>ed</w:t>
      </w:r>
      <w:r w:rsidR="00936CC7" w:rsidRPr="00537E35">
        <w:rPr>
          <w:lang w:val="en-GB"/>
        </w:rPr>
        <w:t xml:space="preserve"> a wider phenotypic variability than FHTF and OHTF as they belong to genera phylogenetically more divergent compared to the latter. </w:t>
      </w:r>
      <w:r w:rsidR="00C20AEA" w:rsidRPr="00537E35">
        <w:rPr>
          <w:lang w:val="en-GB"/>
        </w:rPr>
        <w:t xml:space="preserve">Within HMF, it is remarked a metabolic heterogeneity inside the </w:t>
      </w:r>
      <w:r w:rsidR="00C20AEA" w:rsidRPr="00537E35">
        <w:rPr>
          <w:i/>
          <w:iCs/>
          <w:lang w:val="en-GB"/>
        </w:rPr>
        <w:t>Streptococcus</w:t>
      </w:r>
      <w:r w:rsidR="00C20AEA" w:rsidRPr="00537E35">
        <w:rPr>
          <w:lang w:val="en-GB"/>
        </w:rPr>
        <w:t xml:space="preserve"> genus and within the species </w:t>
      </w:r>
      <w:r w:rsidR="00C20AEA" w:rsidRPr="00537E35">
        <w:rPr>
          <w:i/>
          <w:iCs/>
          <w:lang w:val="en-GB"/>
        </w:rPr>
        <w:t xml:space="preserve">L. </w:t>
      </w:r>
      <w:proofErr w:type="spellStart"/>
      <w:r w:rsidR="00C20AEA" w:rsidRPr="00537E35">
        <w:rPr>
          <w:i/>
          <w:iCs/>
          <w:lang w:val="en-GB"/>
        </w:rPr>
        <w:t>delbruecki</w:t>
      </w:r>
      <w:proofErr w:type="spellEnd"/>
      <w:r w:rsidR="00C20AEA" w:rsidRPr="00537E35">
        <w:rPr>
          <w:lang w:val="en-GB"/>
        </w:rPr>
        <w:t xml:space="preserve"> and </w:t>
      </w:r>
      <w:r w:rsidR="00C20AEA" w:rsidRPr="00537E35">
        <w:rPr>
          <w:i/>
          <w:iCs/>
          <w:lang w:val="en-GB"/>
        </w:rPr>
        <w:t xml:space="preserve">L. </w:t>
      </w:r>
      <w:proofErr w:type="spellStart"/>
      <w:r w:rsidR="00C20AEA" w:rsidRPr="00537E35">
        <w:rPr>
          <w:i/>
          <w:iCs/>
          <w:lang w:val="en-GB"/>
        </w:rPr>
        <w:t>helveticus</w:t>
      </w:r>
      <w:proofErr w:type="spellEnd"/>
      <w:r w:rsidR="00C20AEA" w:rsidRPr="00537E35">
        <w:rPr>
          <w:i/>
          <w:iCs/>
          <w:lang w:val="en-GB"/>
        </w:rPr>
        <w:t>.</w:t>
      </w:r>
      <w:r w:rsidR="00C20AEA" w:rsidRPr="00537E35">
        <w:rPr>
          <w:lang w:val="en-GB"/>
        </w:rPr>
        <w:t xml:space="preserve"> Metabolic profiles of FHTF </w:t>
      </w:r>
      <w:r w:rsidR="00DE0831" w:rsidRPr="00537E35">
        <w:rPr>
          <w:lang w:val="en-GB"/>
        </w:rPr>
        <w:t>were</w:t>
      </w:r>
      <w:r w:rsidR="00C20AEA" w:rsidRPr="00537E35">
        <w:rPr>
          <w:lang w:val="en-GB"/>
        </w:rPr>
        <w:t xml:space="preserve"> homogeneous within each species except for</w:t>
      </w:r>
      <w:r w:rsidR="00C20AEA" w:rsidRPr="00537E35">
        <w:rPr>
          <w:i/>
          <w:iCs/>
          <w:lang w:val="en-GB"/>
        </w:rPr>
        <w:t xml:space="preserve"> L. </w:t>
      </w:r>
      <w:proofErr w:type="spellStart"/>
      <w:r w:rsidR="00C20AEA" w:rsidRPr="00537E35">
        <w:rPr>
          <w:i/>
          <w:iCs/>
          <w:lang w:val="en-GB"/>
        </w:rPr>
        <w:t>curvatus</w:t>
      </w:r>
      <w:proofErr w:type="spellEnd"/>
      <w:r w:rsidR="00C20AEA" w:rsidRPr="00537E35">
        <w:rPr>
          <w:lang w:val="en-GB"/>
        </w:rPr>
        <w:t xml:space="preserve"> whose strains show</w:t>
      </w:r>
      <w:r w:rsidR="00DE0831" w:rsidRPr="00537E35">
        <w:rPr>
          <w:lang w:val="en-GB"/>
        </w:rPr>
        <w:t>ed</w:t>
      </w:r>
      <w:r w:rsidR="00C20AEA" w:rsidRPr="00537E35">
        <w:rPr>
          <w:lang w:val="en-GB"/>
        </w:rPr>
        <w:t xml:space="preserve"> </w:t>
      </w:r>
      <w:r w:rsidR="001F637E" w:rsidRPr="00537E35">
        <w:rPr>
          <w:noProof/>
          <w:lang w:val="en-GB"/>
        </w:rPr>
        <w:drawing>
          <wp:anchor distT="0" distB="0" distL="114300" distR="114300" simplePos="0" relativeHeight="251658240" behindDoc="0" locked="0" layoutInCell="1" allowOverlap="1" wp14:anchorId="4CDF5771" wp14:editId="0EC62E4C">
            <wp:simplePos x="0" y="0"/>
            <wp:positionH relativeFrom="margin">
              <wp:posOffset>3077</wp:posOffset>
            </wp:positionH>
            <wp:positionV relativeFrom="margin">
              <wp:posOffset>-2638</wp:posOffset>
            </wp:positionV>
            <wp:extent cx="5759450" cy="2688590"/>
            <wp:effectExtent l="0" t="0" r="0" b="0"/>
            <wp:wrapSquare wrapText="bothSides"/>
            <wp:docPr id="343217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17883" name="Picture 3432178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688590"/>
                    </a:xfrm>
                    <a:prstGeom prst="rect">
                      <a:avLst/>
                    </a:prstGeom>
                  </pic:spPr>
                </pic:pic>
              </a:graphicData>
            </a:graphic>
            <wp14:sizeRelH relativeFrom="margin">
              <wp14:pctWidth>0</wp14:pctWidth>
            </wp14:sizeRelH>
            <wp14:sizeRelV relativeFrom="margin">
              <wp14:pctHeight>0</wp14:pctHeight>
            </wp14:sizeRelV>
          </wp:anchor>
        </w:drawing>
      </w:r>
      <w:r w:rsidR="00C768E9" w:rsidRPr="00537E35">
        <w:rPr>
          <w:noProof/>
        </w:rPr>
        <mc:AlternateContent>
          <mc:Choice Requires="wps">
            <w:drawing>
              <wp:anchor distT="0" distB="0" distL="114300" distR="114300" simplePos="0" relativeHeight="251660288" behindDoc="0" locked="0" layoutInCell="1" allowOverlap="1" wp14:anchorId="42665D3A" wp14:editId="69AEE6E7">
                <wp:simplePos x="0" y="0"/>
                <wp:positionH relativeFrom="margin">
                  <wp:align>right</wp:align>
                </wp:positionH>
                <wp:positionV relativeFrom="paragraph">
                  <wp:posOffset>2708910</wp:posOffset>
                </wp:positionV>
                <wp:extent cx="5759450" cy="635"/>
                <wp:effectExtent l="0" t="0" r="0" b="1905"/>
                <wp:wrapSquare wrapText="bothSides"/>
                <wp:docPr id="1234521013" name="Text Box 1"/>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603B6B07" w14:textId="147BEDF9" w:rsidR="007E0EBE" w:rsidRPr="007B6529" w:rsidRDefault="007E0EBE" w:rsidP="00C768E9">
                            <w:pPr>
                              <w:pStyle w:val="Caption"/>
                              <w:spacing w:after="120"/>
                              <w:rPr>
                                <w:noProof/>
                                <w:color w:val="auto"/>
                                <w:sz w:val="20"/>
                                <w:szCs w:val="20"/>
                                <w:lang w:val="en-GB"/>
                              </w:rPr>
                            </w:pPr>
                            <w:r w:rsidRPr="007B6529">
                              <w:rPr>
                                <w:b/>
                                <w:bCs/>
                                <w:i w:val="0"/>
                                <w:iCs w:val="0"/>
                                <w:color w:val="auto"/>
                                <w:lang w:val="en-GB"/>
                              </w:rPr>
                              <w:t xml:space="preserve">Figure </w:t>
                            </w:r>
                            <w:r w:rsidRPr="00070EFD">
                              <w:rPr>
                                <w:b/>
                                <w:bCs/>
                                <w:i w:val="0"/>
                                <w:iCs w:val="0"/>
                                <w:color w:val="auto"/>
                              </w:rPr>
                              <w:fldChar w:fldCharType="begin"/>
                            </w:r>
                            <w:r w:rsidRPr="007B6529">
                              <w:rPr>
                                <w:b/>
                                <w:bCs/>
                                <w:i w:val="0"/>
                                <w:iCs w:val="0"/>
                                <w:color w:val="auto"/>
                                <w:lang w:val="en-GB"/>
                              </w:rPr>
                              <w:instrText xml:space="preserve"> SEQ Figure \* ARABIC </w:instrText>
                            </w:r>
                            <w:r w:rsidRPr="00070EFD">
                              <w:rPr>
                                <w:b/>
                                <w:bCs/>
                                <w:i w:val="0"/>
                                <w:iCs w:val="0"/>
                                <w:color w:val="auto"/>
                              </w:rPr>
                              <w:fldChar w:fldCharType="separate"/>
                            </w:r>
                            <w:r w:rsidRPr="007B6529">
                              <w:rPr>
                                <w:b/>
                                <w:bCs/>
                                <w:i w:val="0"/>
                                <w:iCs w:val="0"/>
                                <w:noProof/>
                                <w:color w:val="auto"/>
                                <w:lang w:val="en-GB"/>
                              </w:rPr>
                              <w:t>1</w:t>
                            </w:r>
                            <w:r w:rsidRPr="00070EFD">
                              <w:rPr>
                                <w:b/>
                                <w:bCs/>
                                <w:i w:val="0"/>
                                <w:iCs w:val="0"/>
                                <w:color w:val="auto"/>
                              </w:rPr>
                              <w:fldChar w:fldCharType="end"/>
                            </w:r>
                            <w:r w:rsidRPr="007B6529">
                              <w:rPr>
                                <w:b/>
                                <w:bCs/>
                                <w:i w:val="0"/>
                                <w:iCs w:val="0"/>
                                <w:color w:val="auto"/>
                                <w:lang w:val="en-GB"/>
                              </w:rPr>
                              <w:t xml:space="preserve"> </w:t>
                            </w:r>
                            <w:r w:rsidR="00070EFD" w:rsidRPr="007B6529">
                              <w:rPr>
                                <w:color w:val="auto"/>
                                <w:lang w:val="en-GB"/>
                              </w:rPr>
                              <w:t xml:space="preserve">Heatmaps </w:t>
                            </w:r>
                            <w:r w:rsidR="002457A7">
                              <w:rPr>
                                <w:color w:val="auto"/>
                                <w:lang w:val="en-GB"/>
                              </w:rPr>
                              <w:t xml:space="preserve">of </w:t>
                            </w:r>
                            <w:r w:rsidR="007B6529" w:rsidRPr="007B6529">
                              <w:rPr>
                                <w:color w:val="auto"/>
                                <w:lang w:val="en-GB"/>
                              </w:rPr>
                              <w:t>favourite C sources</w:t>
                            </w:r>
                            <w:r w:rsidR="007B6529">
                              <w:rPr>
                                <w:color w:val="auto"/>
                                <w:lang w:val="en-GB"/>
                              </w:rPr>
                              <w:t xml:space="preserve"> of </w:t>
                            </w:r>
                            <w:r w:rsidR="002457A7">
                              <w:rPr>
                                <w:color w:val="auto"/>
                                <w:lang w:val="en-GB"/>
                              </w:rPr>
                              <w:t xml:space="preserve">the </w:t>
                            </w:r>
                            <w:r w:rsidR="007B6529">
                              <w:rPr>
                                <w:color w:val="auto"/>
                                <w:lang w:val="en-GB"/>
                              </w:rPr>
                              <w:t>SMC’s strains</w:t>
                            </w:r>
                            <w:r w:rsidR="007B6529" w:rsidRPr="007B6529">
                              <w:rPr>
                                <w:color w:val="auto"/>
                                <w:lang w:val="en-GB"/>
                              </w:rPr>
                              <w:t xml:space="preserve"> divided by type of microbial metabolism</w:t>
                            </w:r>
                            <w:r w:rsidR="007B6529">
                              <w:rPr>
                                <w:color w:val="auto"/>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665D3A" id="_x0000_t202" coordsize="21600,21600" o:spt="202" path="m,l,21600r21600,l21600,xe">
                <v:stroke joinstyle="miter"/>
                <v:path gradientshapeok="t" o:connecttype="rect"/>
              </v:shapetype>
              <v:shape id="Text Box 1" o:spid="_x0000_s1026" type="#_x0000_t202" style="position:absolute;left:0;text-align:left;margin-left:402.3pt;margin-top:213.3pt;width:453.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AqFgIAADgEAAAOAAAAZHJzL2Uyb0RvYy54bWysU1Fv0zAQfkfiP1h+p2kHHSNqOpVORUjT&#10;NqlDe3Ydu4nk+MzZbVJ+PWcnaWHwhHhxLr7zd77v+7y47RrDjgp9Dbbgs8mUM2UllLXdF/zb8+bd&#10;DWc+CFsKA1YV/KQ8v12+fbNoXa6uoAJTKmQEYn3euoJXIbg8y7ysVCP8BJyylNSAjQj0i/usRNES&#10;emOyq+n0OmsBS4cglfe0e9cn+TLha61keNTaq8BMweluIa2Y1l1cs+VC5HsUrqrlcA3xD7doRG2p&#10;6RnqTgTBDlj/AdXUEsGDDhMJTQZa11KlGWia2fTVNNtKOJVmIXK8O9Pk/x+sfDhu3ROy0H2GjgSM&#10;hLTO55424zydxiZ+6aaM8kTh6Uyb6gKTtDn/OP/0YU4pSbnr9/OIkV2OOvThi4KGxaDgSJokqsTx&#10;3oe+dCyJnTyYutzUxsSfmFgbZEdB+rVVHdQA/luVsbHWQjzVA8ad7DJHjEK364bhdlCeaGaE3g7e&#10;yU1Nje6FD08CSX+ahTwdHmnRBtqCwxBxVgH++Nt+rCdZKMtZS34quP9+EKg4M18tCRbNNwY4Brsx&#10;sIdmDTTijF6LkymkAxjMGGqE5oWsvopdKCWspF4FD2O4Dr2r6alItVqlIrKYE+Hebp2M0COhz92L&#10;QDfIEUjFBxidJvJXqvS1SRe3OgSiOEkWCe1ZHHgmeybRh6cU/f/rf6q6PPjlTwAAAP//AwBQSwME&#10;FAAGAAgAAAAhADceIGHeAAAACAEAAA8AAABkcnMvZG93bnJldi54bWxMj8FOwzAQRO9I/IO1SFwQ&#10;dShR2oY4VVXBAS4VoRdubryNA/E6ip02/D0LFzjuzGj2TbGeXCdOOITWk4K7WQICqfampUbB/u3p&#10;dgkiRE1Gd55QwRcGWJeXF4XOjT/TK56q2AguoZBrBTbGPpcy1BadDjPfI7F39IPTkc+hkWbQZy53&#10;nZwnSSadbok/WN3j1mL9WY1OwS5939mb8fj4sknvh+f9uM0+mkqp66tp8wAi4hT/wvCDz+hQMtPB&#10;j2SC6BTwkKggnWcZCLZXyYKVw6+yAFkW8v+A8hsAAP//AwBQSwECLQAUAAYACAAAACEAtoM4kv4A&#10;AADhAQAAEwAAAAAAAAAAAAAAAAAAAAAAW0NvbnRlbnRfVHlwZXNdLnhtbFBLAQItABQABgAIAAAA&#10;IQA4/SH/1gAAAJQBAAALAAAAAAAAAAAAAAAAAC8BAABfcmVscy8ucmVsc1BLAQItABQABgAIAAAA&#10;IQBcQEAqFgIAADgEAAAOAAAAAAAAAAAAAAAAAC4CAABkcnMvZTJvRG9jLnhtbFBLAQItABQABgAI&#10;AAAAIQA3HiBh3gAAAAgBAAAPAAAAAAAAAAAAAAAAAHAEAABkcnMvZG93bnJldi54bWxQSwUGAAAA&#10;AAQABADzAAAAewUAAAAA&#10;" stroked="f">
                <v:textbox style="mso-fit-shape-to-text:t" inset="0,0,0,0">
                  <w:txbxContent>
                    <w:p w14:paraId="603B6B07" w14:textId="147BEDF9" w:rsidR="007E0EBE" w:rsidRPr="007B6529" w:rsidRDefault="007E0EBE" w:rsidP="00C768E9">
                      <w:pPr>
                        <w:pStyle w:val="Caption"/>
                        <w:spacing w:after="120"/>
                        <w:rPr>
                          <w:noProof/>
                          <w:color w:val="auto"/>
                          <w:sz w:val="20"/>
                          <w:szCs w:val="20"/>
                          <w:lang w:val="en-GB"/>
                        </w:rPr>
                      </w:pPr>
                      <w:r w:rsidRPr="007B6529">
                        <w:rPr>
                          <w:b/>
                          <w:bCs/>
                          <w:i w:val="0"/>
                          <w:iCs w:val="0"/>
                          <w:color w:val="auto"/>
                          <w:lang w:val="en-GB"/>
                        </w:rPr>
                        <w:t xml:space="preserve">Figure </w:t>
                      </w:r>
                      <w:r w:rsidRPr="00070EFD">
                        <w:rPr>
                          <w:b/>
                          <w:bCs/>
                          <w:i w:val="0"/>
                          <w:iCs w:val="0"/>
                          <w:color w:val="auto"/>
                        </w:rPr>
                        <w:fldChar w:fldCharType="begin"/>
                      </w:r>
                      <w:r w:rsidRPr="007B6529">
                        <w:rPr>
                          <w:b/>
                          <w:bCs/>
                          <w:i w:val="0"/>
                          <w:iCs w:val="0"/>
                          <w:color w:val="auto"/>
                          <w:lang w:val="en-GB"/>
                        </w:rPr>
                        <w:instrText xml:space="preserve"> SEQ Figure \* ARABIC </w:instrText>
                      </w:r>
                      <w:r w:rsidRPr="00070EFD">
                        <w:rPr>
                          <w:b/>
                          <w:bCs/>
                          <w:i w:val="0"/>
                          <w:iCs w:val="0"/>
                          <w:color w:val="auto"/>
                        </w:rPr>
                        <w:fldChar w:fldCharType="separate"/>
                      </w:r>
                      <w:r w:rsidRPr="007B6529">
                        <w:rPr>
                          <w:b/>
                          <w:bCs/>
                          <w:i w:val="0"/>
                          <w:iCs w:val="0"/>
                          <w:noProof/>
                          <w:color w:val="auto"/>
                          <w:lang w:val="en-GB"/>
                        </w:rPr>
                        <w:t>1</w:t>
                      </w:r>
                      <w:r w:rsidRPr="00070EFD">
                        <w:rPr>
                          <w:b/>
                          <w:bCs/>
                          <w:i w:val="0"/>
                          <w:iCs w:val="0"/>
                          <w:color w:val="auto"/>
                        </w:rPr>
                        <w:fldChar w:fldCharType="end"/>
                      </w:r>
                      <w:r w:rsidRPr="007B6529">
                        <w:rPr>
                          <w:b/>
                          <w:bCs/>
                          <w:i w:val="0"/>
                          <w:iCs w:val="0"/>
                          <w:color w:val="auto"/>
                          <w:lang w:val="en-GB"/>
                        </w:rPr>
                        <w:t xml:space="preserve"> </w:t>
                      </w:r>
                      <w:r w:rsidR="00070EFD" w:rsidRPr="007B6529">
                        <w:rPr>
                          <w:color w:val="auto"/>
                          <w:lang w:val="en-GB"/>
                        </w:rPr>
                        <w:t xml:space="preserve">Heatmaps </w:t>
                      </w:r>
                      <w:r w:rsidR="002457A7">
                        <w:rPr>
                          <w:color w:val="auto"/>
                          <w:lang w:val="en-GB"/>
                        </w:rPr>
                        <w:t xml:space="preserve">of </w:t>
                      </w:r>
                      <w:r w:rsidR="007B6529" w:rsidRPr="007B6529">
                        <w:rPr>
                          <w:color w:val="auto"/>
                          <w:lang w:val="en-GB"/>
                        </w:rPr>
                        <w:t>favourite C sources</w:t>
                      </w:r>
                      <w:r w:rsidR="007B6529">
                        <w:rPr>
                          <w:color w:val="auto"/>
                          <w:lang w:val="en-GB"/>
                        </w:rPr>
                        <w:t xml:space="preserve"> of </w:t>
                      </w:r>
                      <w:r w:rsidR="002457A7">
                        <w:rPr>
                          <w:color w:val="auto"/>
                          <w:lang w:val="en-GB"/>
                        </w:rPr>
                        <w:t xml:space="preserve">the </w:t>
                      </w:r>
                      <w:r w:rsidR="007B6529">
                        <w:rPr>
                          <w:color w:val="auto"/>
                          <w:lang w:val="en-GB"/>
                        </w:rPr>
                        <w:t>SMC’s strains</w:t>
                      </w:r>
                      <w:r w:rsidR="007B6529" w:rsidRPr="007B6529">
                        <w:rPr>
                          <w:color w:val="auto"/>
                          <w:lang w:val="en-GB"/>
                        </w:rPr>
                        <w:t xml:space="preserve"> divided by type of microbial metabolism</w:t>
                      </w:r>
                      <w:r w:rsidR="007B6529">
                        <w:rPr>
                          <w:color w:val="auto"/>
                          <w:lang w:val="en-GB"/>
                        </w:rPr>
                        <w:t>.</w:t>
                      </w:r>
                    </w:p>
                  </w:txbxContent>
                </v:textbox>
                <w10:wrap type="square" anchorx="margin"/>
              </v:shape>
            </w:pict>
          </mc:Fallback>
        </mc:AlternateContent>
      </w:r>
      <w:r w:rsidR="00C20AEA" w:rsidRPr="00537E35">
        <w:rPr>
          <w:lang w:val="en-GB"/>
        </w:rPr>
        <w:t>different substrates assimilation capability</w:t>
      </w:r>
      <w:r w:rsidR="00DE0831" w:rsidRPr="00537E35">
        <w:rPr>
          <w:lang w:val="en-GB"/>
        </w:rPr>
        <w:t>,</w:t>
      </w:r>
      <w:r w:rsidR="0083630F" w:rsidRPr="00537E35">
        <w:rPr>
          <w:lang w:val="en-GB"/>
        </w:rPr>
        <w:t xml:space="preserve"> while,</w:t>
      </w:r>
      <w:r w:rsidR="00C20AEA" w:rsidRPr="00537E35">
        <w:rPr>
          <w:lang w:val="en-GB"/>
        </w:rPr>
        <w:t xml:space="preserve"> </w:t>
      </w:r>
      <w:r w:rsidR="0083630F" w:rsidRPr="00537E35">
        <w:rPr>
          <w:lang w:val="en-GB"/>
        </w:rPr>
        <w:t>a</w:t>
      </w:r>
      <w:r w:rsidR="007E0EBE" w:rsidRPr="00537E35">
        <w:rPr>
          <w:lang w:val="en-GB"/>
        </w:rPr>
        <w:t>mong OHTF, s</w:t>
      </w:r>
      <w:r w:rsidR="007E0EBE" w:rsidRPr="00537E35">
        <w:rPr>
          <w:rFonts w:cstheme="minorHAnsi"/>
          <w:lang w:val="en-GB"/>
        </w:rPr>
        <w:t xml:space="preserve">trains of </w:t>
      </w:r>
      <w:r w:rsidR="007E0EBE" w:rsidRPr="00537E35">
        <w:rPr>
          <w:rFonts w:cstheme="minorHAnsi"/>
          <w:i/>
          <w:iCs/>
          <w:lang w:val="en-GB"/>
        </w:rPr>
        <w:t>L. fermentum</w:t>
      </w:r>
      <w:r w:rsidR="007E0EBE" w:rsidRPr="00537E35">
        <w:rPr>
          <w:rFonts w:cstheme="minorHAnsi"/>
          <w:lang w:val="en-GB"/>
        </w:rPr>
        <w:t xml:space="preserve"> show</w:t>
      </w:r>
      <w:r w:rsidR="00DE0831" w:rsidRPr="00537E35">
        <w:rPr>
          <w:rFonts w:cstheme="minorHAnsi"/>
          <w:lang w:val="en-GB"/>
        </w:rPr>
        <w:t>ed</w:t>
      </w:r>
      <w:r w:rsidR="007E0EBE" w:rsidRPr="00537E35">
        <w:rPr>
          <w:rFonts w:cstheme="minorHAnsi"/>
          <w:lang w:val="en-GB"/>
        </w:rPr>
        <w:t xml:space="preserve"> different metabolic patterns.</w:t>
      </w:r>
      <w:r w:rsidR="0083630F" w:rsidRPr="00537E35">
        <w:rPr>
          <w:rFonts w:cstheme="minorHAnsi"/>
          <w:lang w:val="en-GB"/>
        </w:rPr>
        <w:t xml:space="preserve"> </w:t>
      </w:r>
      <w:r w:rsidR="00DD46C2" w:rsidRPr="00537E35">
        <w:rPr>
          <w:lang w:val="en-GB"/>
        </w:rPr>
        <w:t>Among the f</w:t>
      </w:r>
      <w:r w:rsidR="005B7718" w:rsidRPr="00537E35">
        <w:rPr>
          <w:lang w:val="en-GB"/>
        </w:rPr>
        <w:t>avourite C sources</w:t>
      </w:r>
      <w:r w:rsidR="001F637E" w:rsidRPr="00537E35">
        <w:rPr>
          <w:lang w:val="en-GB"/>
        </w:rPr>
        <w:t xml:space="preserve"> of the screening </w:t>
      </w:r>
      <w:r w:rsidR="00DD46C2" w:rsidRPr="00537E35">
        <w:rPr>
          <w:lang w:val="en-GB"/>
        </w:rPr>
        <w:t xml:space="preserve">there </w:t>
      </w:r>
      <w:r w:rsidR="001F637E" w:rsidRPr="00537E35">
        <w:rPr>
          <w:lang w:val="en-GB"/>
        </w:rPr>
        <w:t>are monosaccharides</w:t>
      </w:r>
      <w:r w:rsidR="005B7718" w:rsidRPr="00537E35">
        <w:rPr>
          <w:lang w:val="en-GB"/>
        </w:rPr>
        <w:t xml:space="preserve">, disaccharides, sugar derivatives </w:t>
      </w:r>
      <w:r w:rsidR="00DD46C2" w:rsidRPr="00537E35">
        <w:rPr>
          <w:lang w:val="en-GB"/>
        </w:rPr>
        <w:t>and a purine nucleoside</w:t>
      </w:r>
      <w:r w:rsidR="0083630F" w:rsidRPr="00537E35">
        <w:rPr>
          <w:lang w:val="en-GB"/>
        </w:rPr>
        <w:t>.</w:t>
      </w:r>
      <w:r w:rsidR="005B7718" w:rsidRPr="00537E35">
        <w:rPr>
          <w:shd w:val="clear" w:color="auto" w:fill="FFFFFF"/>
          <w:lang w:val="en-GB"/>
        </w:rPr>
        <w:t xml:space="preserve"> </w:t>
      </w:r>
      <w:r w:rsidR="0083630F" w:rsidRPr="00537E35">
        <w:rPr>
          <w:shd w:val="clear" w:color="auto" w:fill="FFFFFF"/>
          <w:lang w:val="en-GB"/>
        </w:rPr>
        <w:t xml:space="preserve">Glucose </w:t>
      </w:r>
      <w:r w:rsidR="00DE0831" w:rsidRPr="00537E35">
        <w:rPr>
          <w:shd w:val="clear" w:color="auto" w:fill="FFFFFF"/>
          <w:lang w:val="en-GB"/>
        </w:rPr>
        <w:t>was</w:t>
      </w:r>
      <w:r w:rsidR="0083630F" w:rsidRPr="00537E35">
        <w:rPr>
          <w:shd w:val="clear" w:color="auto" w:fill="FFFFFF"/>
          <w:lang w:val="en-GB"/>
        </w:rPr>
        <w:t xml:space="preserve"> the most frequently used </w:t>
      </w:r>
      <w:r w:rsidR="00DD46C2" w:rsidRPr="00537E35">
        <w:rPr>
          <w:shd w:val="clear" w:color="auto" w:fill="FFFFFF"/>
          <w:lang w:val="en-GB"/>
        </w:rPr>
        <w:t>substrate</w:t>
      </w:r>
      <w:r w:rsidR="0083630F" w:rsidRPr="00537E35">
        <w:rPr>
          <w:shd w:val="clear" w:color="auto" w:fill="FFFFFF"/>
          <w:lang w:val="en-GB"/>
        </w:rPr>
        <w:t xml:space="preserve">, </w:t>
      </w:r>
      <w:r w:rsidR="00DD46C2" w:rsidRPr="00537E35">
        <w:rPr>
          <w:shd w:val="clear" w:color="auto" w:fill="FFFFFF"/>
          <w:lang w:val="en-GB"/>
        </w:rPr>
        <w:t>however</w:t>
      </w:r>
      <w:r w:rsidR="0083630F" w:rsidRPr="00537E35">
        <w:rPr>
          <w:shd w:val="clear" w:color="auto" w:fill="FFFFFF"/>
          <w:lang w:val="en-GB"/>
        </w:rPr>
        <w:t xml:space="preserve"> most of other substrates can be actively consumed by LAB to levels comparable with </w:t>
      </w:r>
      <w:r w:rsidR="00DD46C2" w:rsidRPr="00537E35">
        <w:rPr>
          <w:shd w:val="clear" w:color="auto" w:fill="FFFFFF"/>
          <w:lang w:val="en-GB"/>
        </w:rPr>
        <w:t>it</w:t>
      </w:r>
      <w:r w:rsidR="0083630F" w:rsidRPr="00537E35">
        <w:rPr>
          <w:shd w:val="clear" w:color="auto" w:fill="FFFFFF"/>
          <w:lang w:val="en-GB"/>
        </w:rPr>
        <w:t xml:space="preserve">. </w:t>
      </w:r>
      <w:r w:rsidR="00DD46C2" w:rsidRPr="00537E35">
        <w:rPr>
          <w:shd w:val="clear" w:color="auto" w:fill="FFFFFF"/>
          <w:lang w:val="en-GB"/>
        </w:rPr>
        <w:t>Differently</w:t>
      </w:r>
      <w:r w:rsidR="0083630F" w:rsidRPr="00537E35">
        <w:rPr>
          <w:shd w:val="clear" w:color="auto" w:fill="FFFFFF"/>
          <w:lang w:val="en-GB"/>
        </w:rPr>
        <w:t xml:space="preserve">, some compounds </w:t>
      </w:r>
      <w:r w:rsidR="00DE0831" w:rsidRPr="00537E35">
        <w:rPr>
          <w:shd w:val="clear" w:color="auto" w:fill="FFFFFF"/>
          <w:lang w:val="en-GB"/>
        </w:rPr>
        <w:t>were</w:t>
      </w:r>
      <w:r w:rsidR="0083630F" w:rsidRPr="00537E35">
        <w:rPr>
          <w:shd w:val="clear" w:color="auto" w:fill="FFFFFF"/>
          <w:lang w:val="en-GB"/>
        </w:rPr>
        <w:t xml:space="preserve"> only metabolized by specific strains to a much higher measure than glucose</w:t>
      </w:r>
      <w:r w:rsidR="004F0837" w:rsidRPr="00537E35">
        <w:rPr>
          <w:shd w:val="clear" w:color="auto" w:fill="FFFFFF"/>
          <w:lang w:val="en-GB"/>
        </w:rPr>
        <w:t xml:space="preserve">. </w:t>
      </w:r>
      <w:r w:rsidR="004F0837" w:rsidRPr="00537E35">
        <w:rPr>
          <w:noProof/>
          <w:lang w:val="en-GB"/>
        </w:rPr>
        <w:t>HMF and FHTF result</w:t>
      </w:r>
      <w:r w:rsidR="00DE0831" w:rsidRPr="00537E35">
        <w:rPr>
          <w:noProof/>
          <w:lang w:val="en-GB"/>
        </w:rPr>
        <w:t>ed</w:t>
      </w:r>
      <w:r w:rsidR="004F0837" w:rsidRPr="00537E35">
        <w:rPr>
          <w:noProof/>
          <w:lang w:val="en-GB"/>
        </w:rPr>
        <w:t xml:space="preserve"> to be more flexible and adaptable than OHTF. This versatility allows a wider spectrum of applications, while metabolically limited microorganisms can be involved in adaptive evolutionary studies by betting on their edges and addressing towards targeted selection processes for industrial specific uses.</w:t>
      </w:r>
    </w:p>
    <w:p w14:paraId="12AD3BBD" w14:textId="54AC0F64" w:rsidR="007D40F9" w:rsidRPr="00537E35" w:rsidRDefault="0071088A" w:rsidP="00BC5B33">
      <w:pPr>
        <w:pStyle w:val="Heading3"/>
        <w:rPr>
          <w:b/>
          <w:lang w:val="en-GB"/>
        </w:rPr>
      </w:pPr>
      <w:r w:rsidRPr="00537E35">
        <w:rPr>
          <w:lang w:val="en-GB"/>
        </w:rPr>
        <w:t>4</w:t>
      </w:r>
      <w:r w:rsidR="007D40F9" w:rsidRPr="00537E35">
        <w:rPr>
          <w:lang w:val="en-GB"/>
        </w:rPr>
        <w:t>.</w:t>
      </w:r>
      <w:r w:rsidR="00BC5B33" w:rsidRPr="00537E35">
        <w:rPr>
          <w:lang w:val="en-GB"/>
        </w:rPr>
        <w:t>2.2</w:t>
      </w:r>
      <w:r w:rsidR="007D40F9" w:rsidRPr="00537E35">
        <w:rPr>
          <w:lang w:val="en-GB"/>
        </w:rPr>
        <w:t xml:space="preserve"> </w:t>
      </w:r>
      <w:r w:rsidR="005B7718" w:rsidRPr="00537E35">
        <w:rPr>
          <w:lang w:val="en-GB"/>
        </w:rPr>
        <w:t>Stress tolerance</w:t>
      </w:r>
    </w:p>
    <w:p w14:paraId="72881FA8" w14:textId="7D91F8CB" w:rsidR="003A2A0D" w:rsidRPr="00537E35" w:rsidRDefault="00C328BF" w:rsidP="00C66952">
      <w:pPr>
        <w:tabs>
          <w:tab w:val="left" w:pos="570"/>
          <w:tab w:val="left" w:pos="7371"/>
        </w:tabs>
        <w:jc w:val="both"/>
        <w:rPr>
          <w:lang w:val="en-GB"/>
        </w:rPr>
      </w:pPr>
      <w:r w:rsidRPr="00537E35">
        <w:rPr>
          <w:lang w:val="en-GB"/>
        </w:rPr>
        <w:t xml:space="preserve">The areas of the trapezes under the curve based on the different time intervals were used to describe </w:t>
      </w:r>
      <w:r w:rsidR="003F312C" w:rsidRPr="00537E35">
        <w:rPr>
          <w:lang w:val="en-GB"/>
        </w:rPr>
        <w:t xml:space="preserve">the </w:t>
      </w:r>
      <w:r w:rsidRPr="00537E35">
        <w:rPr>
          <w:lang w:val="en-GB"/>
        </w:rPr>
        <w:t>microbial growth</w:t>
      </w:r>
      <w:r w:rsidR="00EC0598" w:rsidRPr="00537E35">
        <w:rPr>
          <w:lang w:val="en-GB"/>
        </w:rPr>
        <w:t xml:space="preserve"> and they were referred against</w:t>
      </w:r>
      <w:r w:rsidR="003F312C" w:rsidRPr="00537E35">
        <w:rPr>
          <w:lang w:val="en-GB"/>
        </w:rPr>
        <w:t xml:space="preserve"> the </w:t>
      </w:r>
      <w:r w:rsidR="00345424" w:rsidRPr="00537E35">
        <w:rPr>
          <w:lang w:val="en-GB"/>
        </w:rPr>
        <w:t>optimal condition</w:t>
      </w:r>
      <w:r w:rsidR="00EC0598" w:rsidRPr="00537E35">
        <w:rPr>
          <w:lang w:val="en-GB"/>
        </w:rPr>
        <w:t>.</w:t>
      </w:r>
      <w:r w:rsidR="00345424" w:rsidRPr="00537E35">
        <w:rPr>
          <w:lang w:val="en-GB"/>
        </w:rPr>
        <w:t xml:space="preserve"> </w:t>
      </w:r>
      <w:r w:rsidR="00EC0598" w:rsidRPr="00537E35">
        <w:rPr>
          <w:lang w:val="en-GB"/>
        </w:rPr>
        <w:t>O</w:t>
      </w:r>
      <w:r w:rsidR="00250C9F" w:rsidRPr="00537E35">
        <w:rPr>
          <w:lang w:val="en-GB"/>
        </w:rPr>
        <w:t>nly species composed of more than 5 individuals are here discussed</w:t>
      </w:r>
      <w:r w:rsidR="00345424" w:rsidRPr="00537E35">
        <w:rPr>
          <w:lang w:val="en-GB"/>
        </w:rPr>
        <w:t xml:space="preserve">. </w:t>
      </w:r>
      <w:r w:rsidR="002457A7" w:rsidRPr="00537E35">
        <w:rPr>
          <w:lang w:val="en-GB"/>
        </w:rPr>
        <w:t xml:space="preserve">The further away the growth from the optimum and the longer the lag phase, the lower the slope of the curve and the lower the y-end. </w:t>
      </w:r>
      <w:r w:rsidR="004C3234" w:rsidRPr="00537E35">
        <w:rPr>
          <w:lang w:val="en-GB"/>
        </w:rPr>
        <w:t xml:space="preserve">In </w:t>
      </w:r>
      <w:r w:rsidR="00EC0598" w:rsidRPr="00537E35">
        <w:rPr>
          <w:lang w:val="en-GB"/>
        </w:rPr>
        <w:t xml:space="preserve">the </w:t>
      </w:r>
      <w:r w:rsidR="004C3234" w:rsidRPr="00537E35">
        <w:rPr>
          <w:lang w:val="en-GB"/>
        </w:rPr>
        <w:t xml:space="preserve">optimal condition, </w:t>
      </w:r>
      <w:proofErr w:type="spellStart"/>
      <w:r w:rsidR="004C3234" w:rsidRPr="00537E35">
        <w:rPr>
          <w:i/>
          <w:iCs/>
          <w:lang w:val="en-GB"/>
        </w:rPr>
        <w:t>Lacticaseibacillus</w:t>
      </w:r>
      <w:proofErr w:type="spellEnd"/>
      <w:r w:rsidR="004C3234" w:rsidRPr="00537E35">
        <w:rPr>
          <w:lang w:val="en-GB"/>
        </w:rPr>
        <w:t xml:space="preserve"> spp. and </w:t>
      </w:r>
      <w:r w:rsidR="004C3234" w:rsidRPr="00537E35">
        <w:rPr>
          <w:i/>
          <w:iCs/>
          <w:lang w:val="en-GB"/>
        </w:rPr>
        <w:t>L. plantarum</w:t>
      </w:r>
      <w:r w:rsidR="004C3234" w:rsidRPr="00537E35">
        <w:rPr>
          <w:lang w:val="en-GB"/>
        </w:rPr>
        <w:t xml:space="preserve"> </w:t>
      </w:r>
      <w:r w:rsidR="00EC0598" w:rsidRPr="00537E35">
        <w:rPr>
          <w:lang w:val="en-GB"/>
        </w:rPr>
        <w:t xml:space="preserve">generally </w:t>
      </w:r>
      <w:r w:rsidR="004C3234" w:rsidRPr="00537E35">
        <w:rPr>
          <w:lang w:val="en-GB"/>
        </w:rPr>
        <w:t xml:space="preserve">grew better than other species in terms of biomass, </w:t>
      </w:r>
      <w:r w:rsidR="00EC0598" w:rsidRPr="00537E35">
        <w:rPr>
          <w:lang w:val="en-GB"/>
        </w:rPr>
        <w:t>while</w:t>
      </w:r>
      <w:r w:rsidR="004C3234" w:rsidRPr="00537E35">
        <w:rPr>
          <w:lang w:val="en-GB"/>
        </w:rPr>
        <w:t xml:space="preserve"> </w:t>
      </w:r>
      <w:r w:rsidR="004C3234" w:rsidRPr="00537E35">
        <w:rPr>
          <w:i/>
          <w:iCs/>
          <w:lang w:val="en-GB"/>
        </w:rPr>
        <w:t>L. fermentum</w:t>
      </w:r>
      <w:r w:rsidR="004C3234" w:rsidRPr="00537E35">
        <w:rPr>
          <w:lang w:val="en-GB"/>
        </w:rPr>
        <w:t xml:space="preserve"> was the fastest in the first 8 h. </w:t>
      </w:r>
      <w:r w:rsidR="0016150E" w:rsidRPr="00537E35">
        <w:rPr>
          <w:lang w:val="en-GB"/>
        </w:rPr>
        <w:t>A</w:t>
      </w:r>
      <w:r w:rsidR="00A61153" w:rsidRPr="00537E35">
        <w:rPr>
          <w:lang w:val="en-GB"/>
        </w:rPr>
        <w:t>pplying an osmotic pressure,</w:t>
      </w:r>
      <w:r w:rsidR="004C3234" w:rsidRPr="00537E35">
        <w:rPr>
          <w:lang w:val="en-GB"/>
        </w:rPr>
        <w:t xml:space="preserve"> only </w:t>
      </w:r>
      <w:r w:rsidR="004C3234" w:rsidRPr="00537E35">
        <w:rPr>
          <w:i/>
          <w:iCs/>
          <w:lang w:val="en-GB"/>
        </w:rPr>
        <w:t xml:space="preserve">L. </w:t>
      </w:r>
      <w:proofErr w:type="spellStart"/>
      <w:r w:rsidR="004C3234" w:rsidRPr="00537E35">
        <w:rPr>
          <w:i/>
          <w:iCs/>
          <w:lang w:val="en-GB"/>
        </w:rPr>
        <w:t>zeae</w:t>
      </w:r>
      <w:proofErr w:type="spellEnd"/>
      <w:r w:rsidR="004C3234" w:rsidRPr="00537E35">
        <w:rPr>
          <w:lang w:val="en-GB"/>
        </w:rPr>
        <w:t xml:space="preserve"> kept on growing until 72 h</w:t>
      </w:r>
      <w:r w:rsidR="00ED5716" w:rsidRPr="00537E35">
        <w:rPr>
          <w:lang w:val="en-GB"/>
        </w:rPr>
        <w:t>,</w:t>
      </w:r>
      <w:r w:rsidR="004C3234" w:rsidRPr="00537E35">
        <w:rPr>
          <w:lang w:val="en-GB"/>
        </w:rPr>
        <w:t xml:space="preserve"> although it reached </w:t>
      </w:r>
      <w:r w:rsidR="00F976E4" w:rsidRPr="00537E35">
        <w:rPr>
          <w:lang w:val="en-GB"/>
        </w:rPr>
        <w:t xml:space="preserve">less than </w:t>
      </w:r>
      <w:r w:rsidR="004C3234" w:rsidRPr="00537E35">
        <w:rPr>
          <w:lang w:val="en-GB"/>
        </w:rPr>
        <w:t xml:space="preserve">half growth of the optimal </w:t>
      </w:r>
      <w:r w:rsidR="00D474DA" w:rsidRPr="00537E35">
        <w:rPr>
          <w:lang w:val="en-GB"/>
        </w:rPr>
        <w:t xml:space="preserve">one. </w:t>
      </w:r>
      <w:r w:rsidR="00D474DA" w:rsidRPr="00537E35">
        <w:rPr>
          <w:i/>
          <w:iCs/>
          <w:lang w:val="en-GB"/>
        </w:rPr>
        <w:t>Lactobacillus</w:t>
      </w:r>
      <w:r w:rsidR="00D474DA" w:rsidRPr="00537E35">
        <w:rPr>
          <w:lang w:val="en-GB"/>
        </w:rPr>
        <w:t xml:space="preserve"> spp., </w:t>
      </w:r>
      <w:r w:rsidR="00D474DA" w:rsidRPr="00537E35">
        <w:rPr>
          <w:i/>
          <w:iCs/>
          <w:lang w:val="en-GB"/>
        </w:rPr>
        <w:t>L. brevis</w:t>
      </w:r>
      <w:r w:rsidR="00D474DA" w:rsidRPr="00537E35">
        <w:rPr>
          <w:lang w:val="en-GB"/>
        </w:rPr>
        <w:t xml:space="preserve"> and </w:t>
      </w:r>
      <w:r w:rsidR="00D474DA" w:rsidRPr="00537E35">
        <w:rPr>
          <w:i/>
          <w:iCs/>
          <w:lang w:val="en-GB"/>
        </w:rPr>
        <w:t>Streptococcus</w:t>
      </w:r>
      <w:r w:rsidR="00D474DA" w:rsidRPr="00537E35">
        <w:rPr>
          <w:lang w:val="en-GB"/>
        </w:rPr>
        <w:t xml:space="preserve"> spp. did not grow with </w:t>
      </w:r>
      <w:r w:rsidR="00A61153" w:rsidRPr="00537E35">
        <w:rPr>
          <w:lang w:val="en-GB"/>
        </w:rPr>
        <w:t>6% NaCl</w:t>
      </w:r>
      <w:r w:rsidR="00D474DA" w:rsidRPr="00537E35">
        <w:rPr>
          <w:lang w:val="en-GB"/>
        </w:rPr>
        <w:t xml:space="preserve">. </w:t>
      </w:r>
      <w:r w:rsidR="00A61153" w:rsidRPr="00537E35">
        <w:rPr>
          <w:lang w:val="en-GB"/>
        </w:rPr>
        <w:t>Mov</w:t>
      </w:r>
      <w:r w:rsidR="00EC0598" w:rsidRPr="00537E35">
        <w:rPr>
          <w:lang w:val="en-GB"/>
        </w:rPr>
        <w:t>ing</w:t>
      </w:r>
      <w:r w:rsidR="00A61153" w:rsidRPr="00537E35">
        <w:rPr>
          <w:lang w:val="en-GB"/>
        </w:rPr>
        <w:t xml:space="preserve"> away from neutrality, </w:t>
      </w:r>
      <w:proofErr w:type="spellStart"/>
      <w:r w:rsidR="00A61153" w:rsidRPr="00537E35">
        <w:rPr>
          <w:i/>
          <w:iCs/>
          <w:lang w:val="en-GB"/>
        </w:rPr>
        <w:t>Lacticaseibacillus</w:t>
      </w:r>
      <w:proofErr w:type="spellEnd"/>
      <w:r w:rsidR="00A61153" w:rsidRPr="00537E35">
        <w:rPr>
          <w:lang w:val="en-GB"/>
        </w:rPr>
        <w:t xml:space="preserve"> spp. well tolerated </w:t>
      </w:r>
      <w:r w:rsidR="002340CC" w:rsidRPr="00537E35">
        <w:rPr>
          <w:lang w:val="en-GB"/>
        </w:rPr>
        <w:t xml:space="preserve">both </w:t>
      </w:r>
      <w:r w:rsidR="00D474DA" w:rsidRPr="00537E35">
        <w:rPr>
          <w:lang w:val="en-GB"/>
        </w:rPr>
        <w:t>pH = 9</w:t>
      </w:r>
      <w:r w:rsidR="002340CC" w:rsidRPr="00537E35">
        <w:rPr>
          <w:lang w:val="en-GB"/>
        </w:rPr>
        <w:t xml:space="preserve"> and pH = 4, with a remarkable preference for alkaline environments.</w:t>
      </w:r>
      <w:r w:rsidR="00D474DA" w:rsidRPr="00537E35">
        <w:rPr>
          <w:lang w:val="en-GB"/>
        </w:rPr>
        <w:t xml:space="preserve"> </w:t>
      </w:r>
      <w:r w:rsidR="002340CC" w:rsidRPr="00537E35">
        <w:rPr>
          <w:lang w:val="en-GB"/>
        </w:rPr>
        <w:t>However,</w:t>
      </w:r>
      <w:r w:rsidR="00D474DA" w:rsidRPr="00537E35">
        <w:rPr>
          <w:lang w:val="en-GB"/>
        </w:rPr>
        <w:t xml:space="preserve"> </w:t>
      </w:r>
      <w:r w:rsidR="00D474DA" w:rsidRPr="00537E35">
        <w:rPr>
          <w:i/>
          <w:iCs/>
          <w:lang w:val="en-GB"/>
        </w:rPr>
        <w:t>Lactobacillus</w:t>
      </w:r>
      <w:r w:rsidR="00D474DA" w:rsidRPr="00537E35">
        <w:rPr>
          <w:lang w:val="en-GB"/>
        </w:rPr>
        <w:t xml:space="preserve"> spp., </w:t>
      </w:r>
      <w:r w:rsidR="00D474DA" w:rsidRPr="00537E35">
        <w:rPr>
          <w:i/>
          <w:iCs/>
          <w:lang w:val="en-GB"/>
        </w:rPr>
        <w:t>L. brevis</w:t>
      </w:r>
      <w:r w:rsidR="00EC0598" w:rsidRPr="00537E35">
        <w:rPr>
          <w:i/>
          <w:iCs/>
          <w:lang w:val="en-GB"/>
        </w:rPr>
        <w:t>,</w:t>
      </w:r>
      <w:r w:rsidR="00D474DA" w:rsidRPr="00537E35">
        <w:rPr>
          <w:lang w:val="en-GB"/>
        </w:rPr>
        <w:t xml:space="preserve"> and </w:t>
      </w:r>
      <w:r w:rsidR="00D474DA" w:rsidRPr="00537E35">
        <w:rPr>
          <w:i/>
          <w:iCs/>
          <w:lang w:val="en-GB"/>
        </w:rPr>
        <w:t>L. fermentum</w:t>
      </w:r>
      <w:r w:rsidR="00D474DA" w:rsidRPr="00537E35">
        <w:rPr>
          <w:lang w:val="en-GB"/>
        </w:rPr>
        <w:t xml:space="preserve"> did not </w:t>
      </w:r>
      <w:r w:rsidR="002340CC" w:rsidRPr="00537E35">
        <w:rPr>
          <w:lang w:val="en-GB"/>
        </w:rPr>
        <w:t>grow at pH = 9, as well as</w:t>
      </w:r>
      <w:r w:rsidR="00D474DA" w:rsidRPr="00537E35">
        <w:rPr>
          <w:lang w:val="en-GB"/>
        </w:rPr>
        <w:t xml:space="preserve"> </w:t>
      </w:r>
      <w:r w:rsidR="002340CC" w:rsidRPr="00537E35">
        <w:rPr>
          <w:i/>
          <w:iCs/>
          <w:lang w:val="en-GB"/>
        </w:rPr>
        <w:t xml:space="preserve">Leu. </w:t>
      </w:r>
      <w:proofErr w:type="spellStart"/>
      <w:r w:rsidR="002340CC" w:rsidRPr="00537E35">
        <w:rPr>
          <w:i/>
          <w:iCs/>
          <w:lang w:val="en-GB"/>
        </w:rPr>
        <w:t>mesenteroides</w:t>
      </w:r>
      <w:proofErr w:type="spellEnd"/>
      <w:r w:rsidR="002340CC" w:rsidRPr="00537E35">
        <w:rPr>
          <w:lang w:val="en-GB"/>
        </w:rPr>
        <w:t xml:space="preserve"> and </w:t>
      </w:r>
      <w:r w:rsidR="002340CC" w:rsidRPr="00537E35">
        <w:rPr>
          <w:i/>
          <w:iCs/>
          <w:lang w:val="en-GB"/>
        </w:rPr>
        <w:t>Streptococcus</w:t>
      </w:r>
      <w:r w:rsidR="002340CC" w:rsidRPr="00537E35">
        <w:rPr>
          <w:lang w:val="en-GB"/>
        </w:rPr>
        <w:t xml:space="preserve"> spp. did not tolerat</w:t>
      </w:r>
      <w:r w:rsidR="00EC0598" w:rsidRPr="00537E35">
        <w:rPr>
          <w:lang w:val="en-GB"/>
        </w:rPr>
        <w:t>e</w:t>
      </w:r>
      <w:r w:rsidR="00D474DA" w:rsidRPr="00537E35">
        <w:rPr>
          <w:lang w:val="en-GB"/>
        </w:rPr>
        <w:t xml:space="preserve"> </w:t>
      </w:r>
      <w:r w:rsidR="00A61153" w:rsidRPr="00537E35">
        <w:rPr>
          <w:lang w:val="en-GB"/>
        </w:rPr>
        <w:t>acidic environment</w:t>
      </w:r>
      <w:r w:rsidR="002340CC" w:rsidRPr="00537E35">
        <w:rPr>
          <w:lang w:val="en-GB"/>
        </w:rPr>
        <w:t xml:space="preserve">s. Finally, studying the growth at extreme temperatures, </w:t>
      </w:r>
      <w:r w:rsidR="002340CC" w:rsidRPr="00537E35">
        <w:rPr>
          <w:i/>
          <w:iCs/>
          <w:lang w:val="en-GB"/>
        </w:rPr>
        <w:t xml:space="preserve">L. </w:t>
      </w:r>
      <w:proofErr w:type="spellStart"/>
      <w:r w:rsidR="002340CC" w:rsidRPr="00537E35">
        <w:rPr>
          <w:i/>
          <w:iCs/>
          <w:lang w:val="en-GB"/>
        </w:rPr>
        <w:t>rhamnosus</w:t>
      </w:r>
      <w:proofErr w:type="spellEnd"/>
      <w:r w:rsidR="002340CC" w:rsidRPr="00537E35">
        <w:rPr>
          <w:lang w:val="en-GB"/>
        </w:rPr>
        <w:t xml:space="preserve"> and </w:t>
      </w:r>
      <w:r w:rsidR="002340CC" w:rsidRPr="00537E35">
        <w:rPr>
          <w:i/>
          <w:iCs/>
          <w:lang w:val="en-GB"/>
        </w:rPr>
        <w:t xml:space="preserve">L. </w:t>
      </w:r>
      <w:proofErr w:type="spellStart"/>
      <w:r w:rsidR="002340CC" w:rsidRPr="00537E35">
        <w:rPr>
          <w:i/>
          <w:iCs/>
          <w:lang w:val="en-GB"/>
        </w:rPr>
        <w:t>delbrueckii</w:t>
      </w:r>
      <w:proofErr w:type="spellEnd"/>
      <w:r w:rsidR="002340CC" w:rsidRPr="00537E35">
        <w:rPr>
          <w:lang w:val="en-GB"/>
        </w:rPr>
        <w:t xml:space="preserve"> well reac</w:t>
      </w:r>
      <w:r w:rsidR="0016150E" w:rsidRPr="00537E35">
        <w:rPr>
          <w:lang w:val="en-GB"/>
        </w:rPr>
        <w:t>t</w:t>
      </w:r>
      <w:r w:rsidR="002340CC" w:rsidRPr="00537E35">
        <w:rPr>
          <w:lang w:val="en-GB"/>
        </w:rPr>
        <w:t>ed to T =</w:t>
      </w:r>
      <w:r w:rsidR="00ED5716" w:rsidRPr="00537E35">
        <w:rPr>
          <w:lang w:val="en-GB"/>
        </w:rPr>
        <w:t xml:space="preserve"> </w:t>
      </w:r>
      <w:r w:rsidR="002340CC" w:rsidRPr="00537E35">
        <w:rPr>
          <w:lang w:val="en-GB"/>
        </w:rPr>
        <w:t>50°C</w:t>
      </w:r>
      <w:r w:rsidR="0016150E" w:rsidRPr="00537E35">
        <w:rPr>
          <w:lang w:val="en-GB"/>
        </w:rPr>
        <w:t>, with a short lag phase,</w:t>
      </w:r>
      <w:r w:rsidR="002340CC" w:rsidRPr="00537E35">
        <w:rPr>
          <w:lang w:val="en-GB"/>
        </w:rPr>
        <w:t xml:space="preserve"> contrarily to </w:t>
      </w:r>
      <w:r w:rsidR="00F976E4" w:rsidRPr="00537E35">
        <w:rPr>
          <w:i/>
          <w:iCs/>
          <w:lang w:val="en-GB"/>
        </w:rPr>
        <w:t xml:space="preserve">L. </w:t>
      </w:r>
      <w:proofErr w:type="spellStart"/>
      <w:r w:rsidR="00F976E4" w:rsidRPr="00537E35">
        <w:rPr>
          <w:i/>
          <w:iCs/>
          <w:lang w:val="en-GB"/>
        </w:rPr>
        <w:t>curvatus</w:t>
      </w:r>
      <w:proofErr w:type="spellEnd"/>
      <w:r w:rsidR="00F976E4" w:rsidRPr="00537E35">
        <w:rPr>
          <w:lang w:val="en-GB"/>
        </w:rPr>
        <w:t>,</w:t>
      </w:r>
      <w:r w:rsidR="00F976E4" w:rsidRPr="00537E35">
        <w:rPr>
          <w:i/>
          <w:iCs/>
          <w:lang w:val="en-GB"/>
        </w:rPr>
        <w:t xml:space="preserve"> L. brevis</w:t>
      </w:r>
      <w:r w:rsidR="008C75B7" w:rsidRPr="00537E35">
        <w:rPr>
          <w:lang w:val="en-GB"/>
        </w:rPr>
        <w:t xml:space="preserve">, </w:t>
      </w:r>
      <w:proofErr w:type="spellStart"/>
      <w:r w:rsidR="002340CC" w:rsidRPr="00537E35">
        <w:rPr>
          <w:i/>
          <w:iCs/>
          <w:lang w:val="en-GB"/>
        </w:rPr>
        <w:t>Leu</w:t>
      </w:r>
      <w:r w:rsidR="00F976E4" w:rsidRPr="00537E35">
        <w:rPr>
          <w:i/>
          <w:iCs/>
          <w:lang w:val="en-GB"/>
        </w:rPr>
        <w:t>conostoc</w:t>
      </w:r>
      <w:proofErr w:type="spellEnd"/>
      <w:r w:rsidR="00F976E4" w:rsidRPr="00537E35">
        <w:rPr>
          <w:i/>
          <w:iCs/>
          <w:lang w:val="en-GB"/>
        </w:rPr>
        <w:t xml:space="preserve"> </w:t>
      </w:r>
      <w:r w:rsidR="00F976E4" w:rsidRPr="00537E35">
        <w:rPr>
          <w:lang w:val="en-GB"/>
        </w:rPr>
        <w:t>spp.</w:t>
      </w:r>
      <w:r w:rsidR="00DC7ABC" w:rsidRPr="00537E35">
        <w:rPr>
          <w:lang w:val="en-GB"/>
        </w:rPr>
        <w:t xml:space="preserve"> and </w:t>
      </w:r>
      <w:r w:rsidR="00DC7ABC" w:rsidRPr="00537E35">
        <w:rPr>
          <w:i/>
          <w:iCs/>
          <w:lang w:val="en-GB"/>
        </w:rPr>
        <w:t>Streptococcus</w:t>
      </w:r>
      <w:r w:rsidR="00DC7ABC" w:rsidRPr="00537E35">
        <w:rPr>
          <w:lang w:val="en-GB"/>
        </w:rPr>
        <w:t xml:space="preserve"> spp.</w:t>
      </w:r>
      <w:r w:rsidR="0016150E" w:rsidRPr="00537E35">
        <w:rPr>
          <w:lang w:val="en-GB"/>
        </w:rPr>
        <w:t xml:space="preserve"> </w:t>
      </w:r>
      <w:r w:rsidR="00AB4E1B" w:rsidRPr="00537E35">
        <w:rPr>
          <w:lang w:val="en-GB"/>
        </w:rPr>
        <w:t>At high temperature</w:t>
      </w:r>
      <w:r w:rsidR="0016150E" w:rsidRPr="00537E35">
        <w:rPr>
          <w:lang w:val="en-GB"/>
        </w:rPr>
        <w:t xml:space="preserve">, all species generally reached the death phase before 72 h. </w:t>
      </w:r>
      <w:r w:rsidR="00AB4E1B" w:rsidRPr="00537E35">
        <w:rPr>
          <w:lang w:val="en-GB"/>
        </w:rPr>
        <w:t>On the other hand, g</w:t>
      </w:r>
      <w:r w:rsidR="0016150E" w:rsidRPr="00537E35">
        <w:rPr>
          <w:lang w:val="en-GB"/>
        </w:rPr>
        <w:t xml:space="preserve">rowth at low temperature was characterized by a very long lag phase. This condition was well tolerated by </w:t>
      </w:r>
      <w:proofErr w:type="spellStart"/>
      <w:r w:rsidR="0016150E" w:rsidRPr="00537E35">
        <w:rPr>
          <w:i/>
          <w:iCs/>
          <w:lang w:val="en-GB"/>
        </w:rPr>
        <w:t>Lacticaseibacillus</w:t>
      </w:r>
      <w:proofErr w:type="spellEnd"/>
      <w:r w:rsidR="0016150E" w:rsidRPr="00537E35">
        <w:rPr>
          <w:lang w:val="en-GB"/>
        </w:rPr>
        <w:t xml:space="preserve"> spp., </w:t>
      </w:r>
      <w:r w:rsidR="0016150E" w:rsidRPr="00537E35">
        <w:rPr>
          <w:i/>
          <w:iCs/>
          <w:lang w:val="en-GB"/>
        </w:rPr>
        <w:t>L. plantarum</w:t>
      </w:r>
      <w:r w:rsidR="00EC0598" w:rsidRPr="00537E35">
        <w:rPr>
          <w:i/>
          <w:iCs/>
          <w:lang w:val="en-GB"/>
        </w:rPr>
        <w:t>,</w:t>
      </w:r>
      <w:r w:rsidR="0016150E" w:rsidRPr="00537E35">
        <w:rPr>
          <w:lang w:val="en-GB"/>
        </w:rPr>
        <w:t xml:space="preserve"> and </w:t>
      </w:r>
      <w:r w:rsidR="0016150E" w:rsidRPr="00537E35">
        <w:rPr>
          <w:i/>
          <w:iCs/>
          <w:lang w:val="en-GB"/>
        </w:rPr>
        <w:t xml:space="preserve">L. </w:t>
      </w:r>
      <w:proofErr w:type="spellStart"/>
      <w:r w:rsidR="0016150E" w:rsidRPr="00537E35">
        <w:rPr>
          <w:i/>
          <w:iCs/>
          <w:lang w:val="en-GB"/>
        </w:rPr>
        <w:t>curvatus</w:t>
      </w:r>
      <w:proofErr w:type="spellEnd"/>
      <w:r w:rsidR="0016150E" w:rsidRPr="00537E35">
        <w:rPr>
          <w:lang w:val="en-GB"/>
        </w:rPr>
        <w:t xml:space="preserve">, but not by </w:t>
      </w:r>
      <w:r w:rsidR="008C75B7" w:rsidRPr="00537E35">
        <w:rPr>
          <w:i/>
          <w:iCs/>
          <w:lang w:val="en-GB"/>
        </w:rPr>
        <w:t>L. fermentum</w:t>
      </w:r>
      <w:r w:rsidR="008C75B7" w:rsidRPr="00537E35">
        <w:rPr>
          <w:lang w:val="en-GB"/>
        </w:rPr>
        <w:t xml:space="preserve">, </w:t>
      </w:r>
      <w:r w:rsidR="0016150E" w:rsidRPr="00537E35">
        <w:rPr>
          <w:i/>
          <w:iCs/>
          <w:lang w:val="en-GB"/>
        </w:rPr>
        <w:t>Streptococcus</w:t>
      </w:r>
      <w:r w:rsidR="0016150E" w:rsidRPr="00537E35">
        <w:rPr>
          <w:lang w:val="en-GB"/>
        </w:rPr>
        <w:t xml:space="preserve"> spp. and </w:t>
      </w:r>
      <w:r w:rsidR="0016150E" w:rsidRPr="00537E35">
        <w:rPr>
          <w:i/>
          <w:iCs/>
          <w:lang w:val="en-GB"/>
        </w:rPr>
        <w:t>Lactobacillus</w:t>
      </w:r>
      <w:r w:rsidR="0016150E" w:rsidRPr="00537E35">
        <w:rPr>
          <w:lang w:val="en-GB"/>
        </w:rPr>
        <w:t xml:space="preserve"> spp.</w:t>
      </w:r>
      <w:r w:rsidR="004B7473" w:rsidRPr="00537E35">
        <w:rPr>
          <w:lang w:val="en-GB"/>
        </w:rPr>
        <w:t xml:space="preserve"> Summarizing</w:t>
      </w:r>
      <w:r w:rsidR="0016150E" w:rsidRPr="00537E35">
        <w:rPr>
          <w:lang w:val="en-GB"/>
        </w:rPr>
        <w:t>,</w:t>
      </w:r>
      <w:r w:rsidR="004B7473" w:rsidRPr="00537E35">
        <w:rPr>
          <w:lang w:val="en-GB"/>
        </w:rPr>
        <w:t xml:space="preserve"> in terms of adaptability,</w:t>
      </w:r>
      <w:r w:rsidR="0016150E" w:rsidRPr="00537E35">
        <w:rPr>
          <w:lang w:val="en-GB"/>
        </w:rPr>
        <w:t xml:space="preserve"> </w:t>
      </w:r>
      <w:proofErr w:type="spellStart"/>
      <w:r w:rsidR="0016150E" w:rsidRPr="00537E35">
        <w:rPr>
          <w:i/>
          <w:iCs/>
          <w:lang w:val="en-GB"/>
        </w:rPr>
        <w:t>Lacticaseibacillus</w:t>
      </w:r>
      <w:proofErr w:type="spellEnd"/>
      <w:r w:rsidR="0016150E" w:rsidRPr="00537E35">
        <w:rPr>
          <w:lang w:val="en-GB"/>
        </w:rPr>
        <w:t xml:space="preserve"> </w:t>
      </w:r>
      <w:r w:rsidR="004B7473" w:rsidRPr="00537E35">
        <w:rPr>
          <w:lang w:val="en-GB"/>
        </w:rPr>
        <w:t>appear</w:t>
      </w:r>
      <w:r w:rsidR="00EC0598" w:rsidRPr="00537E35">
        <w:rPr>
          <w:lang w:val="en-GB"/>
        </w:rPr>
        <w:t>s</w:t>
      </w:r>
      <w:r w:rsidR="004B7473" w:rsidRPr="00537E35">
        <w:rPr>
          <w:lang w:val="en-GB"/>
        </w:rPr>
        <w:t xml:space="preserve"> the most promising </w:t>
      </w:r>
      <w:r w:rsidR="00EC0598" w:rsidRPr="00537E35">
        <w:rPr>
          <w:lang w:val="en-GB"/>
        </w:rPr>
        <w:t xml:space="preserve">genus </w:t>
      </w:r>
      <w:r w:rsidR="004B7473" w:rsidRPr="00537E35">
        <w:rPr>
          <w:lang w:val="en-GB"/>
        </w:rPr>
        <w:t xml:space="preserve">within the screening, while </w:t>
      </w:r>
      <w:r w:rsidR="004B7473" w:rsidRPr="00537E35">
        <w:rPr>
          <w:i/>
          <w:iCs/>
          <w:lang w:val="en-GB"/>
        </w:rPr>
        <w:t>Lactobacillus</w:t>
      </w:r>
      <w:r w:rsidR="004B7473" w:rsidRPr="00537E35">
        <w:rPr>
          <w:lang w:val="en-GB"/>
        </w:rPr>
        <w:t xml:space="preserve"> spp., </w:t>
      </w:r>
      <w:r w:rsidR="004B7473" w:rsidRPr="00537E35">
        <w:rPr>
          <w:i/>
          <w:iCs/>
          <w:lang w:val="en-GB"/>
        </w:rPr>
        <w:t>Streptococcus</w:t>
      </w:r>
      <w:r w:rsidR="004B7473" w:rsidRPr="00537E35">
        <w:rPr>
          <w:lang w:val="en-GB"/>
        </w:rPr>
        <w:t xml:space="preserve"> spp.</w:t>
      </w:r>
      <w:r w:rsidR="00EC0598" w:rsidRPr="00537E35">
        <w:rPr>
          <w:lang w:val="en-GB"/>
        </w:rPr>
        <w:t>,</w:t>
      </w:r>
      <w:r w:rsidR="004B7473" w:rsidRPr="00537E35">
        <w:rPr>
          <w:lang w:val="en-GB"/>
        </w:rPr>
        <w:t xml:space="preserve"> and </w:t>
      </w:r>
      <w:r w:rsidR="004B7473" w:rsidRPr="00537E35">
        <w:rPr>
          <w:i/>
          <w:iCs/>
          <w:lang w:val="en-GB"/>
        </w:rPr>
        <w:t>L. brevis</w:t>
      </w:r>
      <w:r w:rsidR="004B7473" w:rsidRPr="00537E35">
        <w:rPr>
          <w:lang w:val="en-GB"/>
        </w:rPr>
        <w:t xml:space="preserve"> struggle more than others to get out of their comfort zone.</w:t>
      </w:r>
      <w:r w:rsidR="00351A0F" w:rsidRPr="00537E35">
        <w:rPr>
          <w:lang w:val="en-GB"/>
        </w:rPr>
        <w:t xml:space="preserve"> The t-SNE analysis clustered strains based on their similarities, confirming the </w:t>
      </w:r>
      <w:r w:rsidR="008C75B7" w:rsidRPr="00537E35">
        <w:rPr>
          <w:lang w:val="en-GB"/>
        </w:rPr>
        <w:t>behaviours</w:t>
      </w:r>
      <w:r w:rsidR="00351A0F" w:rsidRPr="00537E35">
        <w:rPr>
          <w:lang w:val="en-GB"/>
        </w:rPr>
        <w:t xml:space="preserve"> cited above and highlighting differences among individuals belonging to the same species or genus.</w:t>
      </w:r>
    </w:p>
    <w:p w14:paraId="17BB250B" w14:textId="30BF96F9" w:rsidR="00C61EE3" w:rsidRPr="00537E35" w:rsidRDefault="0071088A" w:rsidP="00BC5B33">
      <w:pPr>
        <w:pStyle w:val="Heading3"/>
        <w:rPr>
          <w:lang w:val="en-GB"/>
        </w:rPr>
      </w:pPr>
      <w:r w:rsidRPr="00537E35">
        <w:rPr>
          <w:lang w:val="en-GB"/>
        </w:rPr>
        <w:t>4</w:t>
      </w:r>
      <w:r w:rsidR="00C61EE3" w:rsidRPr="00537E35">
        <w:rPr>
          <w:lang w:val="en-GB"/>
        </w:rPr>
        <w:t>.</w:t>
      </w:r>
      <w:r w:rsidR="00BC5B33" w:rsidRPr="00537E35">
        <w:rPr>
          <w:lang w:val="en-GB"/>
        </w:rPr>
        <w:t>2.3</w:t>
      </w:r>
      <w:r w:rsidR="00C61EE3" w:rsidRPr="00537E35">
        <w:rPr>
          <w:lang w:val="en-GB"/>
        </w:rPr>
        <w:t xml:space="preserve"> Lactic acid production</w:t>
      </w:r>
    </w:p>
    <w:p w14:paraId="2AEF818F" w14:textId="57DEC4FD" w:rsidR="00C61EE3" w:rsidRPr="00537E35" w:rsidRDefault="00606EE9" w:rsidP="00211BDD">
      <w:pPr>
        <w:jc w:val="both"/>
        <w:rPr>
          <w:lang w:val="en-GB"/>
        </w:rPr>
      </w:pPr>
      <w:r w:rsidRPr="00537E35">
        <w:rPr>
          <w:lang w:val="en-GB"/>
        </w:rPr>
        <w:t>Over 150 strains, 72 produced L-</w:t>
      </w:r>
      <w:r w:rsidR="000D12E5" w:rsidRPr="00537E35">
        <w:rPr>
          <w:lang w:val="en-GB"/>
        </w:rPr>
        <w:t>LA</w:t>
      </w:r>
      <w:r w:rsidRPr="00537E35">
        <w:rPr>
          <w:lang w:val="en-GB"/>
        </w:rPr>
        <w:t xml:space="preserve"> (</w:t>
      </w:r>
      <w:r w:rsidR="0013311E" w:rsidRPr="00537E35">
        <w:rPr>
          <w:lang w:val="en-GB"/>
        </w:rPr>
        <w:t>&gt;</w:t>
      </w:r>
      <w:r w:rsidRPr="00537E35">
        <w:rPr>
          <w:lang w:val="en-GB"/>
        </w:rPr>
        <w:t xml:space="preserve"> 80% of the total </w:t>
      </w:r>
      <w:r w:rsidR="000D12E5" w:rsidRPr="00537E35">
        <w:rPr>
          <w:lang w:val="en-GB"/>
        </w:rPr>
        <w:t>LA</w:t>
      </w:r>
      <w:r w:rsidRPr="00537E35">
        <w:rPr>
          <w:lang w:val="en-GB"/>
        </w:rPr>
        <w:t>), 18 produced D-</w:t>
      </w:r>
      <w:r w:rsidR="000D12E5" w:rsidRPr="00537E35">
        <w:rPr>
          <w:lang w:val="en-GB"/>
        </w:rPr>
        <w:t>LA</w:t>
      </w:r>
      <w:r w:rsidRPr="00537E35">
        <w:rPr>
          <w:lang w:val="en-GB"/>
        </w:rPr>
        <w:t xml:space="preserve"> and the rest produced a racemic mixture of them. </w:t>
      </w:r>
      <w:r w:rsidRPr="00537E35">
        <w:rPr>
          <w:i/>
          <w:iCs/>
          <w:lang w:val="en-GB"/>
        </w:rPr>
        <w:t xml:space="preserve">L. </w:t>
      </w:r>
      <w:proofErr w:type="spellStart"/>
      <w:r w:rsidRPr="00537E35">
        <w:rPr>
          <w:i/>
          <w:iCs/>
          <w:lang w:val="en-GB"/>
        </w:rPr>
        <w:t>delbrueckii</w:t>
      </w:r>
      <w:proofErr w:type="spellEnd"/>
      <w:r w:rsidRPr="00537E35">
        <w:rPr>
          <w:lang w:val="en-GB"/>
        </w:rPr>
        <w:t xml:space="preserve"> UPCC-2214 and </w:t>
      </w:r>
      <w:r w:rsidRPr="00537E35">
        <w:rPr>
          <w:i/>
          <w:iCs/>
          <w:lang w:val="en-GB"/>
        </w:rPr>
        <w:t xml:space="preserve">Leu. </w:t>
      </w:r>
      <w:proofErr w:type="spellStart"/>
      <w:r w:rsidRPr="00537E35">
        <w:rPr>
          <w:i/>
          <w:iCs/>
          <w:lang w:val="en-GB"/>
        </w:rPr>
        <w:t>Citre</w:t>
      </w:r>
      <w:r w:rsidR="002C37E5" w:rsidRPr="00537E35">
        <w:rPr>
          <w:i/>
          <w:iCs/>
          <w:lang w:val="en-GB"/>
        </w:rPr>
        <w:t>u</w:t>
      </w:r>
      <w:r w:rsidRPr="00537E35">
        <w:rPr>
          <w:i/>
          <w:iCs/>
          <w:lang w:val="en-GB"/>
        </w:rPr>
        <w:t>m</w:t>
      </w:r>
      <w:proofErr w:type="spellEnd"/>
      <w:r w:rsidRPr="00537E35">
        <w:rPr>
          <w:lang w:val="en-GB"/>
        </w:rPr>
        <w:t xml:space="preserve"> UPCC-4516 resulted the </w:t>
      </w:r>
      <w:r w:rsidR="0013311E" w:rsidRPr="00537E35">
        <w:rPr>
          <w:lang w:val="en-GB"/>
        </w:rPr>
        <w:t>main</w:t>
      </w:r>
      <w:r w:rsidRPr="00537E35">
        <w:rPr>
          <w:lang w:val="en-GB"/>
        </w:rPr>
        <w:t xml:space="preserve"> producers of D-</w:t>
      </w:r>
      <w:r w:rsidR="000D12E5" w:rsidRPr="00537E35">
        <w:rPr>
          <w:lang w:val="en-GB"/>
        </w:rPr>
        <w:t>LA</w:t>
      </w:r>
      <w:r w:rsidRPr="00537E35">
        <w:rPr>
          <w:lang w:val="en-GB"/>
        </w:rPr>
        <w:t xml:space="preserve"> with the highest isomeric purity</w:t>
      </w:r>
      <w:r w:rsidR="002C37E5" w:rsidRPr="00537E35">
        <w:rPr>
          <w:lang w:val="en-GB"/>
        </w:rPr>
        <w:t>. In small scale tests, they produced 20.40 g and 11.69 g in 72 h, respectively.</w:t>
      </w:r>
      <w:r w:rsidR="005462F8" w:rsidRPr="00537E35">
        <w:rPr>
          <w:lang w:val="en-GB"/>
        </w:rPr>
        <w:t xml:space="preserve"> </w:t>
      </w:r>
      <w:r w:rsidR="002C37E5" w:rsidRPr="00537E35">
        <w:rPr>
          <w:lang w:val="en-GB"/>
        </w:rPr>
        <w:t>T</w:t>
      </w:r>
      <w:r w:rsidR="005462F8" w:rsidRPr="00537E35">
        <w:rPr>
          <w:lang w:val="en-GB"/>
        </w:rPr>
        <w:t>hey were scaled up in bioreactors</w:t>
      </w:r>
      <w:r w:rsidR="002C37E5" w:rsidRPr="00537E35">
        <w:rPr>
          <w:lang w:val="en-GB"/>
        </w:rPr>
        <w:t xml:space="preserve"> and,</w:t>
      </w:r>
      <w:r w:rsidRPr="00537E35">
        <w:rPr>
          <w:lang w:val="en-GB"/>
        </w:rPr>
        <w:t xml:space="preserve"> </w:t>
      </w:r>
      <w:r w:rsidR="002C37E5" w:rsidRPr="00537E35">
        <w:rPr>
          <w:lang w:val="en-GB"/>
        </w:rPr>
        <w:t>a</w:t>
      </w:r>
      <w:r w:rsidR="005462F8" w:rsidRPr="00537E35">
        <w:rPr>
          <w:lang w:val="en-GB"/>
        </w:rPr>
        <w:t>fter optimization</w:t>
      </w:r>
      <w:r w:rsidR="002C37E5" w:rsidRPr="00537E35">
        <w:rPr>
          <w:lang w:val="en-GB"/>
        </w:rPr>
        <w:t xml:space="preserve">, </w:t>
      </w:r>
      <w:r w:rsidR="002C37E5" w:rsidRPr="00537E35">
        <w:rPr>
          <w:i/>
          <w:iCs/>
          <w:lang w:val="en-GB"/>
        </w:rPr>
        <w:t xml:space="preserve">Leu. </w:t>
      </w:r>
      <w:proofErr w:type="spellStart"/>
      <w:r w:rsidR="002C37E5" w:rsidRPr="00537E35">
        <w:rPr>
          <w:i/>
          <w:iCs/>
          <w:lang w:val="en-GB"/>
        </w:rPr>
        <w:t>Citreum</w:t>
      </w:r>
      <w:proofErr w:type="spellEnd"/>
      <w:r w:rsidR="002C37E5" w:rsidRPr="00537E35">
        <w:rPr>
          <w:i/>
          <w:iCs/>
          <w:lang w:val="en-GB"/>
        </w:rPr>
        <w:t xml:space="preserve"> </w:t>
      </w:r>
      <w:r w:rsidR="002C37E5" w:rsidRPr="00537E35">
        <w:rPr>
          <w:lang w:val="en-GB"/>
        </w:rPr>
        <w:t xml:space="preserve">consumed the double amount of glucose (134.66 ± 14.21 g) compared to </w:t>
      </w:r>
      <w:r w:rsidR="002C37E5" w:rsidRPr="00537E35">
        <w:rPr>
          <w:i/>
          <w:iCs/>
          <w:lang w:val="en-GB"/>
        </w:rPr>
        <w:t xml:space="preserve">L. </w:t>
      </w:r>
      <w:proofErr w:type="spellStart"/>
      <w:r w:rsidR="002C37E5" w:rsidRPr="00537E35">
        <w:rPr>
          <w:i/>
          <w:iCs/>
          <w:lang w:val="en-GB"/>
        </w:rPr>
        <w:t>delbrueckii</w:t>
      </w:r>
      <w:proofErr w:type="spellEnd"/>
      <w:r w:rsidR="002C37E5" w:rsidRPr="00537E35">
        <w:rPr>
          <w:lang w:val="en-GB"/>
        </w:rPr>
        <w:t xml:space="preserve"> (71.77 ± 4.42 g) to finally produce about the same amount of lactate (58.33 ± 4.98 and 51.93 ± 1.22, respectively). In 58 h, </w:t>
      </w:r>
      <w:r w:rsidR="00211BDD" w:rsidRPr="00537E35">
        <w:rPr>
          <w:i/>
          <w:iCs/>
          <w:lang w:val="en-GB"/>
        </w:rPr>
        <w:t xml:space="preserve">L. </w:t>
      </w:r>
      <w:proofErr w:type="spellStart"/>
      <w:r w:rsidR="00211BDD" w:rsidRPr="00537E35">
        <w:rPr>
          <w:i/>
          <w:iCs/>
          <w:lang w:val="en-GB"/>
        </w:rPr>
        <w:t>delbruecki</w:t>
      </w:r>
      <w:proofErr w:type="spellEnd"/>
      <w:r w:rsidR="00211BDD" w:rsidRPr="00537E35">
        <w:rPr>
          <w:lang w:val="en-GB"/>
        </w:rPr>
        <w:t xml:space="preserve"> </w:t>
      </w:r>
      <w:r w:rsidR="00067DAA" w:rsidRPr="00537E35">
        <w:rPr>
          <w:lang w:val="en-GB"/>
        </w:rPr>
        <w:t>reached</w:t>
      </w:r>
      <w:r w:rsidR="00211BDD" w:rsidRPr="00537E35">
        <w:rPr>
          <w:lang w:val="en-GB"/>
        </w:rPr>
        <w:t xml:space="preserve"> twice the yield</w:t>
      </w:r>
      <w:r w:rsidR="0013311E" w:rsidRPr="00537E35">
        <w:rPr>
          <w:lang w:val="en-GB"/>
        </w:rPr>
        <w:t xml:space="preserve"> (g/g) </w:t>
      </w:r>
      <w:r w:rsidR="00211BDD" w:rsidRPr="00537E35">
        <w:rPr>
          <w:lang w:val="en-GB"/>
        </w:rPr>
        <w:t>of</w:t>
      </w:r>
      <w:r w:rsidR="00067DAA" w:rsidRPr="00537E35">
        <w:rPr>
          <w:lang w:val="en-GB"/>
        </w:rPr>
        <w:t xml:space="preserve"> </w:t>
      </w:r>
      <w:r w:rsidR="00067DAA" w:rsidRPr="00537E35">
        <w:rPr>
          <w:i/>
          <w:iCs/>
          <w:lang w:val="en-GB"/>
        </w:rPr>
        <w:t xml:space="preserve">Leu. </w:t>
      </w:r>
      <w:proofErr w:type="spellStart"/>
      <w:r w:rsidR="00067DAA" w:rsidRPr="00537E35">
        <w:rPr>
          <w:i/>
          <w:iCs/>
          <w:lang w:val="en-GB"/>
        </w:rPr>
        <w:t>Citre</w:t>
      </w:r>
      <w:r w:rsidR="002C37E5" w:rsidRPr="00537E35">
        <w:rPr>
          <w:i/>
          <w:iCs/>
          <w:lang w:val="en-GB"/>
        </w:rPr>
        <w:t>u</w:t>
      </w:r>
      <w:r w:rsidR="00067DAA" w:rsidRPr="00537E35">
        <w:rPr>
          <w:i/>
          <w:iCs/>
          <w:lang w:val="en-GB"/>
        </w:rPr>
        <w:t>m</w:t>
      </w:r>
      <w:proofErr w:type="spellEnd"/>
      <w:r w:rsidR="0013311E" w:rsidRPr="00537E35">
        <w:rPr>
          <w:i/>
          <w:iCs/>
          <w:lang w:val="en-GB"/>
        </w:rPr>
        <w:t xml:space="preserve"> </w:t>
      </w:r>
      <w:r w:rsidR="0013311E" w:rsidRPr="00537E35">
        <w:rPr>
          <w:lang w:val="en-GB"/>
        </w:rPr>
        <w:t>(0.73 ± 0.03 and 0.43 ± 0.01</w:t>
      </w:r>
      <w:r w:rsidR="00E97742" w:rsidRPr="00537E35">
        <w:rPr>
          <w:lang w:val="en-GB"/>
        </w:rPr>
        <w:t>, respectively</w:t>
      </w:r>
      <w:r w:rsidR="0013311E" w:rsidRPr="00537E35">
        <w:rPr>
          <w:lang w:val="en-GB"/>
        </w:rPr>
        <w:t xml:space="preserve">), although presented a similar </w:t>
      </w:r>
      <w:r w:rsidR="00E97742" w:rsidRPr="00537E35">
        <w:rPr>
          <w:lang w:val="en-GB"/>
        </w:rPr>
        <w:t xml:space="preserve">volumetric </w:t>
      </w:r>
      <w:r w:rsidR="0013311E" w:rsidRPr="00537E35">
        <w:rPr>
          <w:lang w:val="en-GB"/>
        </w:rPr>
        <w:t>productivity (</w:t>
      </w:r>
      <w:r w:rsidR="00E97742" w:rsidRPr="00537E35">
        <w:rPr>
          <w:lang w:val="en-GB"/>
        </w:rPr>
        <w:t xml:space="preserve">1.17 ± 0.03 and </w:t>
      </w:r>
      <w:r w:rsidR="00AD355B" w:rsidRPr="00537E35">
        <w:rPr>
          <w:lang w:val="en-GB"/>
        </w:rPr>
        <w:t>1.02</w:t>
      </w:r>
      <w:r w:rsidR="00E97742" w:rsidRPr="00537E35">
        <w:rPr>
          <w:lang w:val="en-GB"/>
        </w:rPr>
        <w:t xml:space="preserve"> ± 0.0</w:t>
      </w:r>
      <w:r w:rsidR="00AD355B" w:rsidRPr="00537E35">
        <w:rPr>
          <w:lang w:val="en-GB"/>
        </w:rPr>
        <w:t>2</w:t>
      </w:r>
      <w:r w:rsidR="00E97742" w:rsidRPr="00537E35">
        <w:rPr>
          <w:lang w:val="en-GB"/>
        </w:rPr>
        <w:t>, respectively)</w:t>
      </w:r>
      <w:r w:rsidR="00211BDD" w:rsidRPr="00537E35">
        <w:rPr>
          <w:lang w:val="en-GB"/>
        </w:rPr>
        <w:t>.</w:t>
      </w:r>
      <w:r w:rsidR="002C37E5" w:rsidRPr="00537E35">
        <w:rPr>
          <w:lang w:val="en-GB"/>
        </w:rPr>
        <w:t xml:space="preserve"> Cultivation in bioreactor allowed to further select UPCC-2214 as the most efficient strains of the SMC for the D-lactic acid production, and to increase the productivity</w:t>
      </w:r>
      <w:r w:rsidR="00AD355B" w:rsidRPr="00537E35">
        <w:rPr>
          <w:lang w:val="en-GB"/>
        </w:rPr>
        <w:t xml:space="preserve">. </w:t>
      </w:r>
    </w:p>
    <w:p w14:paraId="4F4506AC" w14:textId="45BB1917" w:rsidR="00C61EE3" w:rsidRPr="00537E35" w:rsidRDefault="0071088A" w:rsidP="00BC5B33">
      <w:pPr>
        <w:pStyle w:val="Heading3"/>
        <w:rPr>
          <w:lang w:val="en-GB"/>
        </w:rPr>
      </w:pPr>
      <w:r w:rsidRPr="00537E35">
        <w:rPr>
          <w:lang w:val="en-GB"/>
        </w:rPr>
        <w:lastRenderedPageBreak/>
        <w:t>4</w:t>
      </w:r>
      <w:r w:rsidR="00C61EE3" w:rsidRPr="00537E35">
        <w:rPr>
          <w:lang w:val="en-GB"/>
        </w:rPr>
        <w:t>.</w:t>
      </w:r>
      <w:r w:rsidR="00BC5B33" w:rsidRPr="00537E35">
        <w:rPr>
          <w:lang w:val="en-GB"/>
        </w:rPr>
        <w:t>2.4</w:t>
      </w:r>
      <w:r w:rsidR="00C61EE3" w:rsidRPr="00537E35">
        <w:rPr>
          <w:lang w:val="en-GB"/>
        </w:rPr>
        <w:t xml:space="preserve"> PHA production</w:t>
      </w:r>
    </w:p>
    <w:p w14:paraId="31454F11" w14:textId="54073866" w:rsidR="00C61EE3" w:rsidRPr="00537E35" w:rsidRDefault="00211BDD" w:rsidP="004F3C73">
      <w:pPr>
        <w:jc w:val="both"/>
        <w:rPr>
          <w:lang w:val="en-GB"/>
        </w:rPr>
      </w:pPr>
      <w:r w:rsidRPr="00537E35">
        <w:rPr>
          <w:lang w:val="en-GB"/>
        </w:rPr>
        <w:t xml:space="preserve">PHAs are </w:t>
      </w:r>
      <w:r w:rsidR="00B91F02" w:rsidRPr="00537E35">
        <w:rPr>
          <w:lang w:val="en-GB"/>
        </w:rPr>
        <w:t>produced and stored</w:t>
      </w:r>
      <w:r w:rsidRPr="00537E35">
        <w:rPr>
          <w:lang w:val="en-GB"/>
        </w:rPr>
        <w:t xml:space="preserve"> </w:t>
      </w:r>
      <w:r w:rsidR="00B91F02" w:rsidRPr="00537E35">
        <w:rPr>
          <w:lang w:val="en-GB"/>
        </w:rPr>
        <w:t>as</w:t>
      </w:r>
      <w:r w:rsidRPr="00537E35">
        <w:rPr>
          <w:lang w:val="en-GB"/>
        </w:rPr>
        <w:t xml:space="preserve"> lipid</w:t>
      </w:r>
      <w:r w:rsidR="00B91F02" w:rsidRPr="00537E35">
        <w:rPr>
          <w:lang w:val="en-GB"/>
        </w:rPr>
        <w:t>ic</w:t>
      </w:r>
      <w:r w:rsidRPr="00537E35">
        <w:rPr>
          <w:lang w:val="en-GB"/>
        </w:rPr>
        <w:t xml:space="preserve"> granules inside the cell</w:t>
      </w:r>
      <w:r w:rsidR="00B91F02" w:rsidRPr="00537E35">
        <w:rPr>
          <w:lang w:val="en-GB"/>
        </w:rPr>
        <w:t xml:space="preserve"> </w:t>
      </w:r>
      <w:r w:rsidRPr="00537E35">
        <w:rPr>
          <w:lang w:val="en-GB"/>
        </w:rPr>
        <w:t>when the culture medium is strongly unbalanced for the C/N ratio.</w:t>
      </w:r>
      <w:r w:rsidR="00B91F02" w:rsidRPr="00537E35">
        <w:rPr>
          <w:lang w:val="en-GB"/>
        </w:rPr>
        <w:t xml:space="preserve"> </w:t>
      </w:r>
      <w:r w:rsidR="004F3C73" w:rsidRPr="00537E35">
        <w:rPr>
          <w:lang w:val="en-GB"/>
        </w:rPr>
        <w:t>From the primary screening resulted</w:t>
      </w:r>
      <w:r w:rsidRPr="00537E35">
        <w:rPr>
          <w:lang w:val="en-GB"/>
        </w:rPr>
        <w:t xml:space="preserve"> 56 </w:t>
      </w:r>
      <w:r w:rsidR="004F3C73" w:rsidRPr="00537E35">
        <w:rPr>
          <w:lang w:val="en-GB"/>
        </w:rPr>
        <w:t>lipid-</w:t>
      </w:r>
      <w:r w:rsidRPr="00537E35">
        <w:rPr>
          <w:lang w:val="en-GB"/>
        </w:rPr>
        <w:t>produc</w:t>
      </w:r>
      <w:r w:rsidR="005462F8" w:rsidRPr="00537E35">
        <w:rPr>
          <w:lang w:val="en-GB"/>
        </w:rPr>
        <w:t>ing</w:t>
      </w:r>
      <w:r w:rsidRPr="00537E35">
        <w:rPr>
          <w:lang w:val="en-GB"/>
        </w:rPr>
        <w:t xml:space="preserve"> strains</w:t>
      </w:r>
      <w:r w:rsidR="004F3C73" w:rsidRPr="00537E35">
        <w:rPr>
          <w:lang w:val="en-GB"/>
        </w:rPr>
        <w:t xml:space="preserve">. </w:t>
      </w:r>
      <w:r w:rsidR="00C63F19" w:rsidRPr="00537E35">
        <w:rPr>
          <w:lang w:val="en-GB"/>
        </w:rPr>
        <w:t>This work is promising since the production of PHAs by LAB is still explorable, thus the</w:t>
      </w:r>
      <w:r w:rsidR="004F3C73" w:rsidRPr="00537E35">
        <w:rPr>
          <w:lang w:val="en-GB"/>
        </w:rPr>
        <w:t xml:space="preserve"> next step is to </w:t>
      </w:r>
      <w:r w:rsidR="00171E17" w:rsidRPr="00537E35">
        <w:rPr>
          <w:lang w:val="en-GB"/>
        </w:rPr>
        <w:t xml:space="preserve">chemically </w:t>
      </w:r>
      <w:r w:rsidR="004F3C73" w:rsidRPr="00537E35">
        <w:rPr>
          <w:lang w:val="en-GB"/>
        </w:rPr>
        <w:t xml:space="preserve">characterize the molecules </w:t>
      </w:r>
      <w:r w:rsidR="00C63F19" w:rsidRPr="00537E35">
        <w:rPr>
          <w:lang w:val="en-GB"/>
        </w:rPr>
        <w:t xml:space="preserve">produced </w:t>
      </w:r>
      <w:r w:rsidR="004F3C73" w:rsidRPr="00537E35">
        <w:rPr>
          <w:lang w:val="en-GB"/>
        </w:rPr>
        <w:t xml:space="preserve">and eventually scale the production up. </w:t>
      </w:r>
    </w:p>
    <w:p w14:paraId="29A8E6D4" w14:textId="3C81784E" w:rsidR="007D40F9" w:rsidRPr="00537E35" w:rsidRDefault="0071088A" w:rsidP="0095471B">
      <w:pPr>
        <w:pStyle w:val="Heading2"/>
        <w:jc w:val="both"/>
        <w:rPr>
          <w:b w:val="0"/>
          <w:bCs/>
          <w:lang w:val="en-GB"/>
        </w:rPr>
      </w:pPr>
      <w:r w:rsidRPr="00537E35">
        <w:rPr>
          <w:bCs/>
          <w:lang w:val="en-GB"/>
        </w:rPr>
        <w:t>4</w:t>
      </w:r>
      <w:r w:rsidR="007D40F9" w:rsidRPr="00537E35">
        <w:rPr>
          <w:bCs/>
          <w:lang w:val="en-GB"/>
        </w:rPr>
        <w:t>.</w:t>
      </w:r>
      <w:r w:rsidR="00BC5B33" w:rsidRPr="00537E35">
        <w:rPr>
          <w:bCs/>
          <w:lang w:val="en-GB"/>
        </w:rPr>
        <w:t>3</w:t>
      </w:r>
      <w:r w:rsidR="007D40F9" w:rsidRPr="00537E35">
        <w:rPr>
          <w:bCs/>
          <w:lang w:val="en-GB"/>
        </w:rPr>
        <w:t xml:space="preserve"> </w:t>
      </w:r>
      <w:r w:rsidR="005B7718" w:rsidRPr="00537E35">
        <w:rPr>
          <w:bCs/>
          <w:lang w:val="en-GB"/>
        </w:rPr>
        <w:t>Prediction</w:t>
      </w:r>
    </w:p>
    <w:p w14:paraId="28D2BF39" w14:textId="159D2677" w:rsidR="00256279" w:rsidRPr="00537E35" w:rsidRDefault="00256279" w:rsidP="0095471B">
      <w:pPr>
        <w:jc w:val="both"/>
        <w:rPr>
          <w:lang w:val="en-GB"/>
        </w:rPr>
      </w:pPr>
      <w:r w:rsidRPr="00537E35">
        <w:rPr>
          <w:lang w:val="en-GB"/>
        </w:rPr>
        <w:t xml:space="preserve">As a result, we </w:t>
      </w:r>
      <w:r w:rsidR="009D1CB7" w:rsidRPr="00537E35">
        <w:rPr>
          <w:lang w:val="en-GB"/>
        </w:rPr>
        <w:t>could</w:t>
      </w:r>
      <w:r w:rsidRPr="00537E35">
        <w:rPr>
          <w:lang w:val="en-GB"/>
        </w:rPr>
        <w:t xml:space="preserve"> correctly classify a good portion of phenotypic traits with an average accuracy of 0.8 and by using 70% of the data set for the training.</w:t>
      </w:r>
      <w:r w:rsidR="009D1CB7" w:rsidRPr="00537E35">
        <w:rPr>
          <w:lang w:val="en-GB"/>
        </w:rPr>
        <w:t xml:space="preserve"> </w:t>
      </w:r>
      <w:r w:rsidR="0079174C" w:rsidRPr="00537E35">
        <w:rPr>
          <w:lang w:val="en-GB"/>
        </w:rPr>
        <w:t xml:space="preserve">Regarding the </w:t>
      </w:r>
      <w:proofErr w:type="spellStart"/>
      <w:r w:rsidR="0079174C" w:rsidRPr="00537E35">
        <w:rPr>
          <w:lang w:val="en-GB"/>
        </w:rPr>
        <w:t>BacDive</w:t>
      </w:r>
      <w:proofErr w:type="spellEnd"/>
      <w:r w:rsidR="0079174C" w:rsidRPr="00537E35">
        <w:rPr>
          <w:lang w:val="en-GB"/>
        </w:rPr>
        <w:t xml:space="preserve"> benchmark, a</w:t>
      </w:r>
      <w:r w:rsidR="009D1CB7" w:rsidRPr="00537E35">
        <w:rPr>
          <w:lang w:val="en-GB"/>
        </w:rPr>
        <w:t>ll the computational models showed an accuracy greater than 0.6 (average 0.85) for every API-50 activity.</w:t>
      </w:r>
      <w:r w:rsidR="0079174C" w:rsidRPr="00537E35">
        <w:rPr>
          <w:lang w:val="en-GB"/>
        </w:rPr>
        <w:t xml:space="preserve"> Therefore, Random</w:t>
      </w:r>
      <w:r w:rsidR="00171E17" w:rsidRPr="00537E35">
        <w:rPr>
          <w:lang w:val="en-GB"/>
        </w:rPr>
        <w:t>-</w:t>
      </w:r>
      <w:r w:rsidR="0079174C" w:rsidRPr="00537E35">
        <w:rPr>
          <w:lang w:val="en-GB"/>
        </w:rPr>
        <w:t xml:space="preserve">Forest was the best machine-learning model for </w:t>
      </w:r>
      <w:proofErr w:type="spellStart"/>
      <w:r w:rsidR="0079174C" w:rsidRPr="00537E35">
        <w:rPr>
          <w:lang w:val="en-GB"/>
        </w:rPr>
        <w:t>BacDive</w:t>
      </w:r>
      <w:proofErr w:type="spellEnd"/>
      <w:r w:rsidR="0079174C" w:rsidRPr="00537E35">
        <w:rPr>
          <w:lang w:val="en-GB"/>
        </w:rPr>
        <w:t xml:space="preserve"> dataset.  Similar results were obtained for the other benchmark with an average accuracy of 0.72. Feature importance techniques were also applied to produce a selection of fragment lengths associated with the predictive power within a given group of genomes and/or for a specific metabolic activity.</w:t>
      </w:r>
      <w:r w:rsidR="00910182" w:rsidRPr="00537E35">
        <w:rPr>
          <w:lang w:val="en-GB"/>
        </w:rPr>
        <w:t xml:space="preserve"> On top of this selection, the idea is to perform functional enrichment of the selected fragments by comparing their position within the genome with the coordinates of genes for which functional annotation is already available.</w:t>
      </w:r>
      <w:r w:rsidR="00E67A96" w:rsidRPr="00537E35">
        <w:rPr>
          <w:lang w:val="en-GB"/>
        </w:rPr>
        <w:t xml:space="preserve"> </w:t>
      </w:r>
    </w:p>
    <w:p w14:paraId="19E51C6B" w14:textId="130B36AF" w:rsidR="007D40F9" w:rsidRPr="00537E35" w:rsidRDefault="0071088A" w:rsidP="00C66952">
      <w:pPr>
        <w:pStyle w:val="Heading1"/>
        <w:tabs>
          <w:tab w:val="left" w:pos="567"/>
        </w:tabs>
        <w:rPr>
          <w:b w:val="0"/>
          <w:bCs/>
          <w:szCs w:val="24"/>
          <w:lang w:val="en-GB"/>
        </w:rPr>
      </w:pPr>
      <w:r w:rsidRPr="00537E35">
        <w:rPr>
          <w:bCs/>
          <w:szCs w:val="24"/>
          <w:lang w:val="en-GB"/>
        </w:rPr>
        <w:t>5</w:t>
      </w:r>
      <w:r w:rsidR="007D40F9" w:rsidRPr="00537E35">
        <w:rPr>
          <w:bCs/>
          <w:szCs w:val="24"/>
          <w:lang w:val="en-GB"/>
        </w:rPr>
        <w:t>. Conclusions and Future Perspectives</w:t>
      </w:r>
    </w:p>
    <w:p w14:paraId="5081527A" w14:textId="64E0B9A8" w:rsidR="00BC3C1D" w:rsidRPr="00537E35" w:rsidRDefault="00C123EE" w:rsidP="00C66952">
      <w:pPr>
        <w:jc w:val="both"/>
        <w:rPr>
          <w:lang w:val="en-GB"/>
        </w:rPr>
      </w:pPr>
      <w:r w:rsidRPr="00537E35">
        <w:rPr>
          <w:lang w:val="en-GB"/>
        </w:rPr>
        <w:t xml:space="preserve">The </w:t>
      </w:r>
      <w:r w:rsidR="00A16B26" w:rsidRPr="00537E35">
        <w:rPr>
          <w:lang w:val="en-GB"/>
        </w:rPr>
        <w:t xml:space="preserve">combination of genotypic and phenotypic data provides an insight into the functionalities of industrially relevant strains, displaying their potential leverage for the recovery of </w:t>
      </w:r>
      <w:r w:rsidR="00805FC0" w:rsidRPr="00537E35">
        <w:rPr>
          <w:lang w:val="en-GB"/>
        </w:rPr>
        <w:t xml:space="preserve">food </w:t>
      </w:r>
      <w:r w:rsidR="00A16B26" w:rsidRPr="00537E35">
        <w:rPr>
          <w:lang w:val="en-GB"/>
        </w:rPr>
        <w:t>waste and by-products</w:t>
      </w:r>
      <w:r w:rsidR="00805FC0" w:rsidRPr="00537E35">
        <w:rPr>
          <w:lang w:val="en-GB"/>
        </w:rPr>
        <w:t xml:space="preserve"> </w:t>
      </w:r>
      <w:r w:rsidR="00A16B26" w:rsidRPr="00537E35">
        <w:rPr>
          <w:lang w:val="en-GB"/>
        </w:rPr>
        <w:t>and the production of added-value compounds</w:t>
      </w:r>
      <w:r w:rsidR="006502F6" w:rsidRPr="00537E35">
        <w:rPr>
          <w:lang w:val="en-GB"/>
        </w:rPr>
        <w:t xml:space="preserve">, with the advantage of reducing costs and increasing sustainability. </w:t>
      </w:r>
      <w:r w:rsidR="00A16B26" w:rsidRPr="00537E35">
        <w:rPr>
          <w:lang w:val="en-GB"/>
        </w:rPr>
        <w:t xml:space="preserve">Results of this primary screening notice that LAB </w:t>
      </w:r>
      <w:r w:rsidR="006502F6" w:rsidRPr="00537E35">
        <w:rPr>
          <w:lang w:val="en-GB"/>
        </w:rPr>
        <w:t>can</w:t>
      </w:r>
      <w:r w:rsidR="00A16B26" w:rsidRPr="00537E35">
        <w:rPr>
          <w:lang w:val="en-GB"/>
        </w:rPr>
        <w:t xml:space="preserve"> </w:t>
      </w:r>
      <w:r w:rsidR="006502F6" w:rsidRPr="00537E35">
        <w:rPr>
          <w:lang w:val="en-GB"/>
        </w:rPr>
        <w:t>metabolize substrates not traditionally associated with</w:t>
      </w:r>
      <w:r w:rsidR="00805FC0" w:rsidRPr="00537E35">
        <w:rPr>
          <w:lang w:val="en-GB"/>
        </w:rPr>
        <w:t xml:space="preserve"> the</w:t>
      </w:r>
      <w:r w:rsidR="006502F6" w:rsidRPr="00537E35">
        <w:rPr>
          <w:lang w:val="en-GB"/>
        </w:rPr>
        <w:t xml:space="preserve"> matrices of isolation. Moreover</w:t>
      </w:r>
      <w:r w:rsidR="00A16B26" w:rsidRPr="00537E35">
        <w:rPr>
          <w:lang w:val="en-GB"/>
        </w:rPr>
        <w:t xml:space="preserve">, the variability </w:t>
      </w:r>
      <w:r w:rsidR="006502F6" w:rsidRPr="00537E35">
        <w:rPr>
          <w:lang w:val="en-GB"/>
        </w:rPr>
        <w:t>on</w:t>
      </w:r>
      <w:r w:rsidR="00A16B26" w:rsidRPr="00537E35">
        <w:rPr>
          <w:lang w:val="en-GB"/>
        </w:rPr>
        <w:t xml:space="preserve"> metabolic profiles and </w:t>
      </w:r>
      <w:r w:rsidR="006502F6" w:rsidRPr="00537E35">
        <w:rPr>
          <w:lang w:val="en-GB"/>
        </w:rPr>
        <w:t xml:space="preserve">tolerance to stressful </w:t>
      </w:r>
      <w:r w:rsidR="00A16B26" w:rsidRPr="00537E35">
        <w:rPr>
          <w:lang w:val="en-GB"/>
        </w:rPr>
        <w:t>environmental conditions can allow us to better understand niche adaptations.</w:t>
      </w:r>
      <w:r w:rsidR="006502F6" w:rsidRPr="00537E35">
        <w:rPr>
          <w:lang w:val="en-GB"/>
        </w:rPr>
        <w:t xml:space="preserve"> Finally</w:t>
      </w:r>
      <w:r w:rsidR="00A16B26" w:rsidRPr="00537E35">
        <w:rPr>
          <w:lang w:val="en-GB"/>
        </w:rPr>
        <w:t xml:space="preserve">, besides the enrichment of the </w:t>
      </w:r>
      <w:r w:rsidR="00805FC0" w:rsidRPr="00537E35">
        <w:rPr>
          <w:lang w:val="en-GB"/>
        </w:rPr>
        <w:t>UPCC</w:t>
      </w:r>
      <w:r w:rsidR="00A16B26" w:rsidRPr="00537E35">
        <w:rPr>
          <w:lang w:val="en-GB"/>
        </w:rPr>
        <w:t xml:space="preserve"> database, all data obtained from this study will be useful to develop an Artificial Intelligence </w:t>
      </w:r>
      <w:r w:rsidR="00805FC0" w:rsidRPr="00537E35">
        <w:rPr>
          <w:lang w:val="en-GB"/>
        </w:rPr>
        <w:t xml:space="preserve">(AI) </w:t>
      </w:r>
      <w:r w:rsidR="00A16B26" w:rsidRPr="00537E35">
        <w:rPr>
          <w:lang w:val="en-GB"/>
        </w:rPr>
        <w:t>algorithm to predict the microbial behavio</w:t>
      </w:r>
      <w:r w:rsidR="006502F6" w:rsidRPr="00537E35">
        <w:rPr>
          <w:lang w:val="en-GB"/>
        </w:rPr>
        <w:t>u</w:t>
      </w:r>
      <w:r w:rsidR="00A16B26" w:rsidRPr="00537E35">
        <w:rPr>
          <w:lang w:val="en-GB"/>
        </w:rPr>
        <w:t>r in terms of what LAB metabolize, where and how they grow, what they produce and in which conditions.</w:t>
      </w:r>
      <w:r w:rsidR="006502F6" w:rsidRPr="00537E35">
        <w:rPr>
          <w:lang w:val="en-GB"/>
        </w:rPr>
        <w:t xml:space="preserve"> </w:t>
      </w:r>
      <w:r w:rsidR="00E67A96" w:rsidRPr="00537E35">
        <w:rPr>
          <w:lang w:val="en-GB"/>
        </w:rPr>
        <w:t xml:space="preserve">The predictive approach will allow to design ad-hoc experimentation and have a </w:t>
      </w:r>
      <w:r w:rsidR="00072088" w:rsidRPr="00537E35">
        <w:rPr>
          <w:lang w:val="en-GB"/>
        </w:rPr>
        <w:t>preliminary</w:t>
      </w:r>
      <w:r w:rsidR="00E67A96" w:rsidRPr="00537E35">
        <w:rPr>
          <w:lang w:val="en-GB"/>
        </w:rPr>
        <w:t xml:space="preserve"> idea</w:t>
      </w:r>
      <w:r w:rsidR="00072088" w:rsidRPr="00537E35">
        <w:rPr>
          <w:lang w:val="en-GB"/>
        </w:rPr>
        <w:t xml:space="preserve"> of</w:t>
      </w:r>
      <w:r w:rsidR="00E67A96" w:rsidRPr="00537E35">
        <w:rPr>
          <w:lang w:val="en-GB"/>
        </w:rPr>
        <w:t xml:space="preserve"> </w:t>
      </w:r>
      <w:r w:rsidR="006502F6" w:rsidRPr="00537E35">
        <w:rPr>
          <w:lang w:val="en-GB"/>
        </w:rPr>
        <w:t>the</w:t>
      </w:r>
      <w:r w:rsidR="00E67A96" w:rsidRPr="00537E35">
        <w:rPr>
          <w:lang w:val="en-GB"/>
        </w:rPr>
        <w:t xml:space="preserve"> </w:t>
      </w:r>
      <w:r w:rsidR="006502F6" w:rsidRPr="00537E35">
        <w:rPr>
          <w:lang w:val="en-GB"/>
        </w:rPr>
        <w:t xml:space="preserve">feasibility and microbial </w:t>
      </w:r>
      <w:r w:rsidR="00E67A96" w:rsidRPr="00537E35">
        <w:rPr>
          <w:lang w:val="en-GB"/>
        </w:rPr>
        <w:t>performance t</w:t>
      </w:r>
      <w:r w:rsidR="007D40F9" w:rsidRPr="00537E35">
        <w:rPr>
          <w:lang w:val="en-GB"/>
        </w:rPr>
        <w:t xml:space="preserve">o </w:t>
      </w:r>
      <w:r w:rsidR="00E67A96" w:rsidRPr="00537E35">
        <w:rPr>
          <w:lang w:val="en-GB"/>
        </w:rPr>
        <w:t xml:space="preserve">avoid waste of </w:t>
      </w:r>
      <w:r w:rsidR="00072088" w:rsidRPr="00537E35">
        <w:rPr>
          <w:lang w:val="en-GB"/>
        </w:rPr>
        <w:t xml:space="preserve">material, </w:t>
      </w:r>
      <w:r w:rsidR="00E67A96" w:rsidRPr="00537E35">
        <w:rPr>
          <w:lang w:val="en-GB"/>
        </w:rPr>
        <w:t xml:space="preserve">work, </w:t>
      </w:r>
      <w:r w:rsidR="00072088" w:rsidRPr="00537E35">
        <w:rPr>
          <w:lang w:val="en-GB"/>
        </w:rPr>
        <w:t xml:space="preserve">and </w:t>
      </w:r>
      <w:r w:rsidR="00E67A96" w:rsidRPr="00537E35">
        <w:rPr>
          <w:lang w:val="en-GB"/>
        </w:rPr>
        <w:t>time</w:t>
      </w:r>
      <w:r w:rsidR="00072088" w:rsidRPr="00537E35">
        <w:rPr>
          <w:lang w:val="en-GB"/>
        </w:rPr>
        <w:t xml:space="preserve"> </w:t>
      </w:r>
      <w:r w:rsidR="00E67A96" w:rsidRPr="00537E35">
        <w:rPr>
          <w:lang w:val="en-GB"/>
        </w:rPr>
        <w:t>in</w:t>
      </w:r>
      <w:r w:rsidR="00072088" w:rsidRPr="00537E35">
        <w:rPr>
          <w:lang w:val="en-GB"/>
        </w:rPr>
        <w:t xml:space="preserve"> the </w:t>
      </w:r>
      <w:r w:rsidR="00E67A96" w:rsidRPr="00537E35">
        <w:rPr>
          <w:lang w:val="en-GB"/>
        </w:rPr>
        <w:t>laboratory.</w:t>
      </w:r>
      <w:r w:rsidR="007D40F9" w:rsidRPr="00537E35">
        <w:rPr>
          <w:lang w:val="en-GB"/>
        </w:rPr>
        <w:t xml:space="preserve"> </w:t>
      </w:r>
      <w:r w:rsidR="00BC3C1D" w:rsidRPr="00537E35">
        <w:rPr>
          <w:lang w:val="en-GB"/>
        </w:rPr>
        <w:t xml:space="preserve">The application of </w:t>
      </w:r>
      <w:r w:rsidR="00805FC0" w:rsidRPr="00537E35">
        <w:rPr>
          <w:lang w:val="en-GB"/>
        </w:rPr>
        <w:t xml:space="preserve">AI </w:t>
      </w:r>
      <w:r w:rsidR="00BC3C1D" w:rsidRPr="00537E35">
        <w:rPr>
          <w:lang w:val="en-GB"/>
        </w:rPr>
        <w:t>to investigate the biodiversity of microorganisms represents a powerful approach to expand the existing knowledge on bacterial physiology and can set a step in developing novel industrial applications of LAB</w:t>
      </w:r>
      <w:r w:rsidR="006502F6" w:rsidRPr="00537E35">
        <w:rPr>
          <w:lang w:val="en-GB"/>
        </w:rPr>
        <w:t>.</w:t>
      </w:r>
    </w:p>
    <w:p w14:paraId="523308C9" w14:textId="24AE719E" w:rsidR="008604A1" w:rsidRPr="00FB7FCF" w:rsidRDefault="0071088A" w:rsidP="0095471B">
      <w:pPr>
        <w:pStyle w:val="Heading1"/>
        <w:tabs>
          <w:tab w:val="left" w:pos="567"/>
        </w:tabs>
        <w:rPr>
          <w:b w:val="0"/>
          <w:bCs/>
          <w:szCs w:val="24"/>
          <w:lang w:val="en-GB"/>
        </w:rPr>
      </w:pPr>
      <w:r w:rsidRPr="00FB7FCF">
        <w:rPr>
          <w:bCs/>
          <w:szCs w:val="24"/>
          <w:lang w:val="en-GB"/>
        </w:rPr>
        <w:t>6</w:t>
      </w:r>
      <w:r w:rsidR="007D40F9" w:rsidRPr="00FB7FCF">
        <w:rPr>
          <w:bCs/>
          <w:szCs w:val="24"/>
          <w:lang w:val="en-GB"/>
        </w:rPr>
        <w:t>. References</w:t>
      </w:r>
    </w:p>
    <w:p w14:paraId="43CBCA61" w14:textId="1E845387" w:rsidR="005000E5" w:rsidRPr="00FB7FCF" w:rsidRDefault="005B7718" w:rsidP="00537E35">
      <w:pPr>
        <w:pStyle w:val="Bibliography"/>
        <w:ind w:left="709" w:hanging="709"/>
        <w:jc w:val="both"/>
        <w:rPr>
          <w:sz w:val="18"/>
          <w:szCs w:val="18"/>
        </w:rPr>
      </w:pPr>
      <w:r w:rsidRPr="00537E35">
        <w:rPr>
          <w:sz w:val="18"/>
          <w:szCs w:val="18"/>
        </w:rPr>
        <w:fldChar w:fldCharType="begin"/>
      </w:r>
      <w:r w:rsidR="005000E5" w:rsidRPr="00537E35">
        <w:rPr>
          <w:sz w:val="18"/>
          <w:szCs w:val="18"/>
          <w:lang w:val="en-GB"/>
        </w:rPr>
        <w:instrText xml:space="preserve"> ADDIN ZOTERO_BIBL {"uncited":[],"omitted":[],"custom":[]} CSL_BIBLIOGRAPHY </w:instrText>
      </w:r>
      <w:r w:rsidRPr="00537E35">
        <w:rPr>
          <w:sz w:val="18"/>
          <w:szCs w:val="18"/>
        </w:rPr>
        <w:fldChar w:fldCharType="separate"/>
      </w:r>
      <w:proofErr w:type="spellStart"/>
      <w:r w:rsidR="005000E5" w:rsidRPr="00537E35">
        <w:rPr>
          <w:sz w:val="18"/>
          <w:szCs w:val="18"/>
          <w:lang w:val="en-GB"/>
        </w:rPr>
        <w:t>Acin-Albiac</w:t>
      </w:r>
      <w:proofErr w:type="spellEnd"/>
      <w:r w:rsidR="005000E5" w:rsidRPr="00537E35">
        <w:rPr>
          <w:sz w:val="18"/>
          <w:szCs w:val="18"/>
          <w:lang w:val="en-GB"/>
        </w:rPr>
        <w:t xml:space="preserve"> M, </w:t>
      </w:r>
      <w:proofErr w:type="spellStart"/>
      <w:r w:rsidR="005000E5" w:rsidRPr="00537E35">
        <w:rPr>
          <w:sz w:val="18"/>
          <w:szCs w:val="18"/>
          <w:lang w:val="en-GB"/>
        </w:rPr>
        <w:t>Filannino</w:t>
      </w:r>
      <w:proofErr w:type="spellEnd"/>
      <w:r w:rsidR="005000E5" w:rsidRPr="00537E35">
        <w:rPr>
          <w:sz w:val="18"/>
          <w:szCs w:val="18"/>
          <w:lang w:val="en-GB"/>
        </w:rPr>
        <w:t xml:space="preserve"> P, Gobbetti</w:t>
      </w:r>
      <w:r w:rsidR="00537E35" w:rsidRPr="00537E35">
        <w:rPr>
          <w:sz w:val="18"/>
          <w:szCs w:val="18"/>
          <w:lang w:val="en-GB"/>
        </w:rPr>
        <w:t xml:space="preserve"> </w:t>
      </w:r>
      <w:r w:rsidR="005000E5" w:rsidRPr="00537E35">
        <w:rPr>
          <w:sz w:val="18"/>
          <w:szCs w:val="18"/>
          <w:lang w:val="en-GB"/>
        </w:rPr>
        <w:t>M,</w:t>
      </w:r>
      <w:r w:rsidR="00537E35" w:rsidRPr="00537E35">
        <w:rPr>
          <w:sz w:val="18"/>
          <w:szCs w:val="18"/>
          <w:lang w:val="en-GB"/>
        </w:rPr>
        <w:t xml:space="preserve"> </w:t>
      </w:r>
      <w:r w:rsidR="005000E5" w:rsidRPr="00537E35">
        <w:rPr>
          <w:sz w:val="18"/>
          <w:szCs w:val="18"/>
          <w:lang w:val="en-GB"/>
        </w:rPr>
        <w:t xml:space="preserve">Di Cagno R (2020) Microbial high throughput phenomics: The potential of an irreplaceable omics. </w:t>
      </w:r>
      <w:r w:rsidR="00537E35" w:rsidRPr="00FB7FCF">
        <w:rPr>
          <w:i/>
          <w:iCs/>
          <w:sz w:val="18"/>
          <w:szCs w:val="18"/>
        </w:rPr>
        <w:t>CSBJ</w:t>
      </w:r>
      <w:r w:rsidR="005000E5" w:rsidRPr="00FB7FCF">
        <w:rPr>
          <w:sz w:val="18"/>
          <w:szCs w:val="18"/>
        </w:rPr>
        <w:t xml:space="preserve"> </w:t>
      </w:r>
      <w:r w:rsidR="005000E5" w:rsidRPr="00FB7FCF">
        <w:rPr>
          <w:b/>
          <w:bCs/>
          <w:sz w:val="18"/>
          <w:szCs w:val="18"/>
        </w:rPr>
        <w:t>18</w:t>
      </w:r>
      <w:r w:rsidR="005000E5" w:rsidRPr="00FB7FCF">
        <w:rPr>
          <w:sz w:val="18"/>
          <w:szCs w:val="18"/>
        </w:rPr>
        <w:t>, 2290–2299</w:t>
      </w:r>
      <w:r w:rsidR="00537E35" w:rsidRPr="00FB7FCF">
        <w:rPr>
          <w:sz w:val="18"/>
          <w:szCs w:val="18"/>
        </w:rPr>
        <w:t>.</w:t>
      </w:r>
    </w:p>
    <w:p w14:paraId="7C1FC9DF" w14:textId="16979503" w:rsidR="005000E5" w:rsidRPr="00537E35" w:rsidRDefault="005000E5" w:rsidP="00537E35">
      <w:pPr>
        <w:pStyle w:val="Bibliography"/>
        <w:ind w:left="709" w:hanging="709"/>
        <w:jc w:val="both"/>
        <w:rPr>
          <w:sz w:val="18"/>
          <w:szCs w:val="18"/>
        </w:rPr>
      </w:pPr>
      <w:r w:rsidRPr="00537E35">
        <w:rPr>
          <w:sz w:val="18"/>
          <w:szCs w:val="18"/>
        </w:rPr>
        <w:t xml:space="preserve">Bertani G, Savo </w:t>
      </w:r>
      <w:proofErr w:type="spellStart"/>
      <w:r w:rsidRPr="00537E35">
        <w:rPr>
          <w:sz w:val="18"/>
          <w:szCs w:val="18"/>
        </w:rPr>
        <w:t>Sardaro</w:t>
      </w:r>
      <w:proofErr w:type="spellEnd"/>
      <w:r w:rsidRPr="00537E35">
        <w:rPr>
          <w:sz w:val="18"/>
          <w:szCs w:val="18"/>
        </w:rPr>
        <w:t xml:space="preserve"> ML, Neviani E, Lazzi C (2019) AFLP protocol comparison for microbial diversity fingerprinting. </w:t>
      </w:r>
      <w:r w:rsidR="00537E35" w:rsidRPr="00537E35">
        <w:rPr>
          <w:i/>
          <w:iCs/>
          <w:sz w:val="18"/>
          <w:szCs w:val="18"/>
        </w:rPr>
        <w:t>J. Appl. Genet.</w:t>
      </w:r>
      <w:r w:rsidRPr="00537E35">
        <w:rPr>
          <w:sz w:val="18"/>
          <w:szCs w:val="18"/>
        </w:rPr>
        <w:t xml:space="preserve"> </w:t>
      </w:r>
      <w:r w:rsidRPr="00537E35">
        <w:rPr>
          <w:b/>
          <w:bCs/>
          <w:sz w:val="18"/>
          <w:szCs w:val="18"/>
        </w:rPr>
        <w:t>60</w:t>
      </w:r>
      <w:r w:rsidRPr="00537E35">
        <w:rPr>
          <w:sz w:val="18"/>
          <w:szCs w:val="18"/>
        </w:rPr>
        <w:t>(2), 217–223</w:t>
      </w:r>
      <w:r w:rsidR="00537E35" w:rsidRPr="00537E35">
        <w:rPr>
          <w:sz w:val="18"/>
          <w:szCs w:val="18"/>
        </w:rPr>
        <w:t>.</w:t>
      </w:r>
    </w:p>
    <w:p w14:paraId="6A9059A9" w14:textId="54FC02AC" w:rsidR="005000E5" w:rsidRPr="00FB7FCF" w:rsidRDefault="005000E5" w:rsidP="00537E35">
      <w:pPr>
        <w:pStyle w:val="Bibliography"/>
        <w:ind w:left="709" w:hanging="709"/>
        <w:jc w:val="both"/>
        <w:rPr>
          <w:sz w:val="18"/>
          <w:szCs w:val="18"/>
          <w:lang w:val="en-GB"/>
        </w:rPr>
      </w:pPr>
      <w:r w:rsidRPr="00537E35">
        <w:rPr>
          <w:sz w:val="18"/>
          <w:szCs w:val="18"/>
        </w:rPr>
        <w:t>Bosco F, Cirrincione S, Carletto R, Marmo L, Chiesa F, Mazzoli R, Pessione E (2021) PHA Production from Cheese Whey and “Scotta”: Comparison between a Consortium and a Pure Culture of Leuconostoc mesenteroides.</w:t>
      </w:r>
      <w:r w:rsidR="00537E35" w:rsidRPr="00537E35">
        <w:rPr>
          <w:sz w:val="18"/>
          <w:szCs w:val="18"/>
        </w:rPr>
        <w:t xml:space="preserve"> </w:t>
      </w:r>
      <w:r w:rsidRPr="00FB7FCF">
        <w:rPr>
          <w:i/>
          <w:iCs/>
          <w:sz w:val="18"/>
          <w:szCs w:val="18"/>
          <w:lang w:val="en-GB"/>
        </w:rPr>
        <w:t>Microorganisms</w:t>
      </w:r>
      <w:r w:rsidRPr="00FB7FCF">
        <w:rPr>
          <w:sz w:val="18"/>
          <w:szCs w:val="18"/>
          <w:lang w:val="en-GB"/>
        </w:rPr>
        <w:t xml:space="preserve"> </w:t>
      </w:r>
      <w:r w:rsidRPr="00FB7FCF">
        <w:rPr>
          <w:b/>
          <w:bCs/>
          <w:sz w:val="18"/>
          <w:szCs w:val="18"/>
          <w:lang w:val="en-GB"/>
        </w:rPr>
        <w:t>9</w:t>
      </w:r>
      <w:r w:rsidRPr="00FB7FCF">
        <w:rPr>
          <w:sz w:val="18"/>
          <w:szCs w:val="18"/>
          <w:lang w:val="en-GB"/>
        </w:rPr>
        <w:t>(12), 2426</w:t>
      </w:r>
      <w:r w:rsidR="00537E35" w:rsidRPr="00FB7FCF">
        <w:rPr>
          <w:sz w:val="18"/>
          <w:szCs w:val="18"/>
          <w:lang w:val="en-GB"/>
        </w:rPr>
        <w:t>.</w:t>
      </w:r>
    </w:p>
    <w:p w14:paraId="3ECC86BB" w14:textId="2041226C" w:rsidR="005000E5" w:rsidRPr="00537E35" w:rsidRDefault="005000E5" w:rsidP="00537E35">
      <w:pPr>
        <w:pStyle w:val="Bibliography"/>
        <w:ind w:left="709" w:hanging="709"/>
        <w:jc w:val="both"/>
        <w:rPr>
          <w:sz w:val="18"/>
          <w:szCs w:val="18"/>
          <w:lang w:val="en-GB"/>
        </w:rPr>
      </w:pPr>
      <w:proofErr w:type="spellStart"/>
      <w:r w:rsidRPr="00537E35">
        <w:rPr>
          <w:sz w:val="18"/>
          <w:szCs w:val="18"/>
          <w:lang w:val="en-GB"/>
        </w:rPr>
        <w:t>Buron</w:t>
      </w:r>
      <w:proofErr w:type="spellEnd"/>
      <w:r w:rsidRPr="00537E35">
        <w:rPr>
          <w:sz w:val="18"/>
          <w:szCs w:val="18"/>
          <w:lang w:val="en-GB"/>
        </w:rPr>
        <w:t xml:space="preserve">-Moles G, </w:t>
      </w:r>
      <w:proofErr w:type="spellStart"/>
      <w:r w:rsidRPr="00537E35">
        <w:rPr>
          <w:sz w:val="18"/>
          <w:szCs w:val="18"/>
          <w:lang w:val="en-GB"/>
        </w:rPr>
        <w:t>Chailyan</w:t>
      </w:r>
      <w:proofErr w:type="spellEnd"/>
      <w:r w:rsidRPr="00537E35">
        <w:rPr>
          <w:sz w:val="18"/>
          <w:szCs w:val="18"/>
          <w:lang w:val="en-GB"/>
        </w:rPr>
        <w:t xml:space="preserve"> A, </w:t>
      </w:r>
      <w:proofErr w:type="spellStart"/>
      <w:r w:rsidRPr="00537E35">
        <w:rPr>
          <w:sz w:val="18"/>
          <w:szCs w:val="18"/>
          <w:lang w:val="en-GB"/>
        </w:rPr>
        <w:t>Dolejs</w:t>
      </w:r>
      <w:proofErr w:type="spellEnd"/>
      <w:r w:rsidRPr="00537E35">
        <w:rPr>
          <w:sz w:val="18"/>
          <w:szCs w:val="18"/>
          <w:lang w:val="en-GB"/>
        </w:rPr>
        <w:t xml:space="preserve"> I, Forster J, Mikš MH (2019) Uncovering carbohydrate metabolism through a genotype-phenotype association study of 56 lactic acid bacteria genomes. </w:t>
      </w:r>
      <w:r w:rsidR="00537E35" w:rsidRPr="00537E35">
        <w:rPr>
          <w:i/>
          <w:iCs/>
          <w:sz w:val="18"/>
          <w:szCs w:val="18"/>
          <w:lang w:val="en-GB"/>
        </w:rPr>
        <w:t>Appl. Microbiol. Biotechnol.</w:t>
      </w:r>
      <w:r w:rsidRPr="00537E35">
        <w:rPr>
          <w:sz w:val="18"/>
          <w:szCs w:val="18"/>
          <w:lang w:val="en-GB"/>
        </w:rPr>
        <w:t xml:space="preserve"> </w:t>
      </w:r>
      <w:r w:rsidRPr="00537E35">
        <w:rPr>
          <w:b/>
          <w:bCs/>
          <w:sz w:val="18"/>
          <w:szCs w:val="18"/>
          <w:lang w:val="en-GB"/>
        </w:rPr>
        <w:t>103</w:t>
      </w:r>
      <w:r w:rsidRPr="00537E35">
        <w:rPr>
          <w:sz w:val="18"/>
          <w:szCs w:val="18"/>
          <w:lang w:val="en-GB"/>
        </w:rPr>
        <w:t>(7), 3135–3152</w:t>
      </w:r>
      <w:r w:rsidR="00537E35" w:rsidRPr="00537E35">
        <w:rPr>
          <w:sz w:val="18"/>
          <w:szCs w:val="18"/>
          <w:lang w:val="en-GB"/>
        </w:rPr>
        <w:t>.</w:t>
      </w:r>
    </w:p>
    <w:p w14:paraId="475981B6" w14:textId="7D02B91D"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Daly AJ, Baetens JM, De Baets B (2018) Ecological Diversity: Measuring the Unmeasurable. </w:t>
      </w:r>
      <w:r w:rsidRPr="00537E35">
        <w:rPr>
          <w:i/>
          <w:iCs/>
          <w:sz w:val="18"/>
          <w:szCs w:val="18"/>
          <w:lang w:val="en-GB"/>
        </w:rPr>
        <w:t>Mathematics</w:t>
      </w:r>
      <w:r w:rsidRPr="00537E35">
        <w:rPr>
          <w:sz w:val="18"/>
          <w:szCs w:val="18"/>
          <w:lang w:val="en-GB"/>
        </w:rPr>
        <w:t xml:space="preserve"> </w:t>
      </w:r>
      <w:r w:rsidRPr="00537E35">
        <w:rPr>
          <w:b/>
          <w:bCs/>
          <w:sz w:val="18"/>
          <w:szCs w:val="18"/>
          <w:lang w:val="en-GB"/>
        </w:rPr>
        <w:t>6</w:t>
      </w:r>
      <w:r w:rsidRPr="00537E35">
        <w:rPr>
          <w:sz w:val="18"/>
          <w:szCs w:val="18"/>
          <w:lang w:val="en-GB"/>
        </w:rPr>
        <w:t>(7), Article 7</w:t>
      </w:r>
      <w:r w:rsidR="00537E35" w:rsidRPr="00537E35">
        <w:rPr>
          <w:sz w:val="18"/>
          <w:szCs w:val="18"/>
          <w:lang w:val="en-GB"/>
        </w:rPr>
        <w:t>.</w:t>
      </w:r>
    </w:p>
    <w:p w14:paraId="4FD1EB6C" w14:textId="65221CAB"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Dubey A, Malla MA, Kumar A (2022) Taxonomical and functional bacterial community profiling in disease-resistant and disease-susceptible soybean cultivars. </w:t>
      </w:r>
      <w:r w:rsidR="00537E35" w:rsidRPr="00537E35">
        <w:rPr>
          <w:i/>
          <w:iCs/>
          <w:sz w:val="18"/>
          <w:szCs w:val="18"/>
          <w:lang w:val="en-GB"/>
        </w:rPr>
        <w:t>Braz. J. Microbiol</w:t>
      </w:r>
      <w:r w:rsidRPr="00537E35">
        <w:rPr>
          <w:sz w:val="18"/>
          <w:szCs w:val="18"/>
          <w:lang w:val="en-GB"/>
        </w:rPr>
        <w:t>. https://doi.org/10.1007/s42770-022-00746-w</w:t>
      </w:r>
      <w:r w:rsidR="00537E35" w:rsidRPr="00537E35">
        <w:rPr>
          <w:sz w:val="18"/>
          <w:szCs w:val="18"/>
          <w:lang w:val="en-GB"/>
        </w:rPr>
        <w:t>.</w:t>
      </w:r>
    </w:p>
    <w:p w14:paraId="691444F0" w14:textId="23E05099"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Hadj Saadoun J, Levante A, Ferrillo A, Trapani F, Bernini V, Galaverna G, Neviani E, Lazzi C (2022) Exploring the Potential of Lactic Acid Fermentation for the Recovery of Exhausted Vanilla Beans. </w:t>
      </w:r>
      <w:r w:rsidR="00537E35" w:rsidRPr="00537E35">
        <w:rPr>
          <w:i/>
          <w:iCs/>
          <w:sz w:val="18"/>
          <w:szCs w:val="18"/>
          <w:lang w:val="en-GB"/>
        </w:rPr>
        <w:t>FRONT NUTR</w:t>
      </w:r>
      <w:r w:rsidRPr="00537E35">
        <w:rPr>
          <w:sz w:val="18"/>
          <w:szCs w:val="18"/>
          <w:lang w:val="en-GB"/>
        </w:rPr>
        <w:t xml:space="preserve"> </w:t>
      </w:r>
      <w:r w:rsidRPr="00537E35">
        <w:rPr>
          <w:b/>
          <w:bCs/>
          <w:sz w:val="18"/>
          <w:szCs w:val="18"/>
          <w:lang w:val="en-GB"/>
        </w:rPr>
        <w:t>9</w:t>
      </w:r>
      <w:r w:rsidR="00537E35" w:rsidRPr="00537E35">
        <w:rPr>
          <w:sz w:val="18"/>
          <w:szCs w:val="18"/>
          <w:lang w:val="en-GB"/>
        </w:rPr>
        <w:t>,</w:t>
      </w:r>
      <w:r w:rsidRPr="00537E35">
        <w:rPr>
          <w:sz w:val="18"/>
          <w:szCs w:val="18"/>
          <w:lang w:val="en-GB"/>
        </w:rPr>
        <w:t xml:space="preserve"> 858716</w:t>
      </w:r>
      <w:r w:rsidR="00537E35" w:rsidRPr="00537E35">
        <w:rPr>
          <w:sz w:val="18"/>
          <w:szCs w:val="18"/>
          <w:lang w:val="en-GB"/>
        </w:rPr>
        <w:t>.</w:t>
      </w:r>
      <w:r w:rsidRPr="00537E35">
        <w:rPr>
          <w:sz w:val="18"/>
          <w:szCs w:val="18"/>
          <w:lang w:val="en-GB"/>
        </w:rPr>
        <w:t xml:space="preserve"> </w:t>
      </w:r>
    </w:p>
    <w:p w14:paraId="6E93E7B6" w14:textId="05BA0BF9"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Houle D, Govindaraju DR, Omholt S (2010) Phenomics: The next challenge. </w:t>
      </w:r>
      <w:r w:rsidR="00537E35" w:rsidRPr="00537E35">
        <w:rPr>
          <w:i/>
          <w:iCs/>
          <w:sz w:val="18"/>
          <w:szCs w:val="18"/>
          <w:lang w:val="en-GB"/>
        </w:rPr>
        <w:t>Nat. Rev. Genet</w:t>
      </w:r>
      <w:r w:rsidRPr="00537E35">
        <w:rPr>
          <w:sz w:val="18"/>
          <w:szCs w:val="18"/>
          <w:lang w:val="en-GB"/>
        </w:rPr>
        <w:t xml:space="preserve"> </w:t>
      </w:r>
      <w:r w:rsidRPr="00537E35">
        <w:rPr>
          <w:b/>
          <w:bCs/>
          <w:sz w:val="18"/>
          <w:szCs w:val="18"/>
          <w:lang w:val="en-GB"/>
        </w:rPr>
        <w:t>11</w:t>
      </w:r>
      <w:r w:rsidRPr="00537E35">
        <w:rPr>
          <w:sz w:val="18"/>
          <w:szCs w:val="18"/>
          <w:lang w:val="en-GB"/>
        </w:rPr>
        <w:t>(12), Article 12</w:t>
      </w:r>
      <w:r w:rsidR="00537E35" w:rsidRPr="00537E35">
        <w:rPr>
          <w:sz w:val="18"/>
          <w:szCs w:val="18"/>
          <w:lang w:val="en-GB"/>
        </w:rPr>
        <w:t>.</w:t>
      </w:r>
      <w:r w:rsidRPr="00537E35">
        <w:rPr>
          <w:sz w:val="18"/>
          <w:szCs w:val="18"/>
          <w:lang w:val="en-GB"/>
        </w:rPr>
        <w:t xml:space="preserve"> </w:t>
      </w:r>
    </w:p>
    <w:p w14:paraId="3B2D2807" w14:textId="08125DB2" w:rsidR="005000E5" w:rsidRPr="00537E35" w:rsidRDefault="005000E5" w:rsidP="00537E35">
      <w:pPr>
        <w:pStyle w:val="Bibliography"/>
        <w:ind w:left="709" w:hanging="709"/>
        <w:jc w:val="both"/>
        <w:rPr>
          <w:sz w:val="18"/>
          <w:szCs w:val="18"/>
          <w:lang w:val="en-GB"/>
        </w:rPr>
      </w:pPr>
      <w:r w:rsidRPr="00537E35">
        <w:rPr>
          <w:sz w:val="18"/>
          <w:szCs w:val="18"/>
          <w:lang w:val="en-GB"/>
        </w:rPr>
        <w:t>Picot-Allain MCN, Ramasawmy</w:t>
      </w:r>
      <w:r w:rsidR="00537E35" w:rsidRPr="00537E35">
        <w:rPr>
          <w:sz w:val="18"/>
          <w:szCs w:val="18"/>
          <w:lang w:val="en-GB"/>
        </w:rPr>
        <w:t xml:space="preserve"> </w:t>
      </w:r>
      <w:r w:rsidRPr="00537E35">
        <w:rPr>
          <w:sz w:val="18"/>
          <w:szCs w:val="18"/>
          <w:lang w:val="en-GB"/>
        </w:rPr>
        <w:t xml:space="preserve">B, Emmambux MN (2022) Extraction, Characterisation, and Application of Pectin from Tropical and Sub-Tropical Fruits: A Review. </w:t>
      </w:r>
      <w:r w:rsidR="00537E35" w:rsidRPr="00537E35">
        <w:rPr>
          <w:i/>
          <w:iCs/>
          <w:sz w:val="18"/>
          <w:szCs w:val="18"/>
          <w:lang w:val="en-GB"/>
        </w:rPr>
        <w:t>Food Rev. Int.</w:t>
      </w:r>
      <w:r w:rsidRPr="00537E35">
        <w:rPr>
          <w:sz w:val="18"/>
          <w:szCs w:val="18"/>
          <w:lang w:val="en-GB"/>
        </w:rPr>
        <w:t xml:space="preserve"> </w:t>
      </w:r>
      <w:r w:rsidRPr="00537E35">
        <w:rPr>
          <w:b/>
          <w:bCs/>
          <w:sz w:val="18"/>
          <w:szCs w:val="18"/>
          <w:lang w:val="en-GB"/>
        </w:rPr>
        <w:t>38</w:t>
      </w:r>
      <w:r w:rsidRPr="00537E35">
        <w:rPr>
          <w:sz w:val="18"/>
          <w:szCs w:val="18"/>
          <w:lang w:val="en-GB"/>
        </w:rPr>
        <w:t>(3), 282–312</w:t>
      </w:r>
      <w:r w:rsidR="00537E35" w:rsidRPr="00537E35">
        <w:rPr>
          <w:sz w:val="18"/>
          <w:szCs w:val="18"/>
          <w:lang w:val="en-GB"/>
        </w:rPr>
        <w:t>.</w:t>
      </w:r>
    </w:p>
    <w:p w14:paraId="4E657892" w14:textId="16A1CCBD"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Ramadan AA (2022) Bacterial typing methods from past to present: A comprehensive overview. </w:t>
      </w:r>
      <w:r w:rsidR="00537E35" w:rsidRPr="00537E35">
        <w:rPr>
          <w:i/>
          <w:iCs/>
          <w:sz w:val="18"/>
          <w:szCs w:val="18"/>
          <w:lang w:val="en-GB"/>
        </w:rPr>
        <w:t>Gene Rep.</w:t>
      </w:r>
      <w:r w:rsidRPr="00537E35">
        <w:rPr>
          <w:sz w:val="18"/>
          <w:szCs w:val="18"/>
          <w:lang w:val="en-GB"/>
        </w:rPr>
        <w:t xml:space="preserve"> </w:t>
      </w:r>
      <w:r w:rsidRPr="00537E35">
        <w:rPr>
          <w:b/>
          <w:bCs/>
          <w:sz w:val="18"/>
          <w:szCs w:val="18"/>
          <w:lang w:val="en-GB"/>
        </w:rPr>
        <w:t>29</w:t>
      </w:r>
      <w:r w:rsidRPr="00537E35">
        <w:rPr>
          <w:sz w:val="18"/>
          <w:szCs w:val="18"/>
          <w:lang w:val="en-GB"/>
        </w:rPr>
        <w:t>, 101675</w:t>
      </w:r>
      <w:r w:rsidR="00537E35" w:rsidRPr="00537E35">
        <w:rPr>
          <w:sz w:val="18"/>
          <w:szCs w:val="18"/>
          <w:lang w:val="en-GB"/>
        </w:rPr>
        <w:t>.</w:t>
      </w:r>
    </w:p>
    <w:p w14:paraId="25CF65B0" w14:textId="41230428"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Socas-Rodríguez B, Álvarez-Rivera G, Valdés A, Ibáñez E, Cifuentes A (2021) Food by-products and food wastes: Are they safe enough for their valorization? </w:t>
      </w:r>
      <w:r w:rsidR="00537E35" w:rsidRPr="00537E35">
        <w:rPr>
          <w:i/>
          <w:iCs/>
          <w:sz w:val="18"/>
          <w:szCs w:val="18"/>
          <w:lang w:val="en-GB"/>
        </w:rPr>
        <w:t>Trends Food Sci Technol</w:t>
      </w:r>
      <w:r w:rsidRPr="00537E35">
        <w:rPr>
          <w:sz w:val="18"/>
          <w:szCs w:val="18"/>
          <w:lang w:val="en-GB"/>
        </w:rPr>
        <w:t xml:space="preserve"> </w:t>
      </w:r>
      <w:r w:rsidRPr="00537E35">
        <w:rPr>
          <w:b/>
          <w:bCs/>
          <w:sz w:val="18"/>
          <w:szCs w:val="18"/>
          <w:lang w:val="en-GB"/>
        </w:rPr>
        <w:t>114</w:t>
      </w:r>
      <w:r w:rsidRPr="00537E35">
        <w:rPr>
          <w:sz w:val="18"/>
          <w:szCs w:val="18"/>
          <w:lang w:val="en-GB"/>
        </w:rPr>
        <w:t>, 133–147</w:t>
      </w:r>
      <w:r w:rsidR="00537E35" w:rsidRPr="00537E35">
        <w:rPr>
          <w:sz w:val="18"/>
          <w:szCs w:val="18"/>
          <w:lang w:val="en-GB"/>
        </w:rPr>
        <w:t>.</w:t>
      </w:r>
    </w:p>
    <w:p w14:paraId="64309CF5" w14:textId="745149CF" w:rsidR="00537E35" w:rsidRPr="00537E35" w:rsidRDefault="00537E35" w:rsidP="00537E35">
      <w:pPr>
        <w:ind w:left="709" w:hanging="709"/>
        <w:jc w:val="both"/>
        <w:rPr>
          <w:sz w:val="18"/>
          <w:szCs w:val="18"/>
          <w:lang w:val="en-GB"/>
        </w:rPr>
      </w:pPr>
      <w:r w:rsidRPr="00537E35">
        <w:rPr>
          <w:sz w:val="18"/>
          <w:szCs w:val="18"/>
          <w:lang w:val="en-GB"/>
        </w:rPr>
        <w:t xml:space="preserve">Steele AD, Teijaro CN, Yang D, Shen B (2019) Leveraging a large microbial strain collection for natural product discovery. </w:t>
      </w:r>
      <w:r w:rsidRPr="00537E35">
        <w:rPr>
          <w:i/>
          <w:iCs/>
          <w:sz w:val="18"/>
          <w:szCs w:val="18"/>
          <w:lang w:val="en-GB"/>
        </w:rPr>
        <w:t>JBC</w:t>
      </w:r>
      <w:r w:rsidRPr="00537E35">
        <w:rPr>
          <w:sz w:val="18"/>
          <w:szCs w:val="18"/>
          <w:lang w:val="en-GB"/>
        </w:rPr>
        <w:t xml:space="preserve"> </w:t>
      </w:r>
      <w:r w:rsidRPr="00537E35">
        <w:rPr>
          <w:b/>
          <w:bCs/>
          <w:sz w:val="18"/>
          <w:szCs w:val="18"/>
          <w:lang w:val="en-GB"/>
        </w:rPr>
        <w:t>294</w:t>
      </w:r>
      <w:r w:rsidRPr="00537E35">
        <w:rPr>
          <w:sz w:val="18"/>
          <w:szCs w:val="18"/>
          <w:lang w:val="en-GB"/>
        </w:rPr>
        <w:t>(45), 16567–16576.</w:t>
      </w:r>
    </w:p>
    <w:p w14:paraId="27A3EF67" w14:textId="018C60CD" w:rsidR="0071088A" w:rsidRPr="00537E35" w:rsidRDefault="0071088A" w:rsidP="00537E35">
      <w:pPr>
        <w:ind w:left="709" w:hanging="709"/>
        <w:jc w:val="both"/>
        <w:rPr>
          <w:sz w:val="18"/>
          <w:szCs w:val="18"/>
          <w:lang w:val="en-GB"/>
        </w:rPr>
      </w:pPr>
      <w:r w:rsidRPr="00537E35">
        <w:rPr>
          <w:sz w:val="18"/>
          <w:szCs w:val="18"/>
          <w:lang w:val="en-GB"/>
        </w:rPr>
        <w:t>Troiani L (2021) Leveraging lactic acid bacteria collection for new sustainable processes. In Proc.s of the 1</w:t>
      </w:r>
      <w:r w:rsidRPr="00537E35">
        <w:rPr>
          <w:sz w:val="18"/>
          <w:szCs w:val="18"/>
          <w:vertAlign w:val="superscript"/>
          <w:lang w:val="en-GB"/>
        </w:rPr>
        <w:t>st</w:t>
      </w:r>
      <w:r w:rsidRPr="00537E35">
        <w:rPr>
          <w:sz w:val="18"/>
          <w:szCs w:val="18"/>
          <w:lang w:val="en-GB"/>
        </w:rPr>
        <w:t xml:space="preserve"> Virtual (XXV) Workshop on the </w:t>
      </w:r>
      <w:r w:rsidRPr="00537E35">
        <w:rPr>
          <w:i/>
          <w:iCs/>
          <w:sz w:val="18"/>
          <w:szCs w:val="18"/>
          <w:lang w:val="en-GB"/>
        </w:rPr>
        <w:t>Developments in the Italian PhD Research on Food Science and Technology</w:t>
      </w:r>
      <w:r w:rsidRPr="00537E35">
        <w:rPr>
          <w:sz w:val="18"/>
          <w:szCs w:val="18"/>
          <w:lang w:val="en-GB"/>
        </w:rPr>
        <w:t>, Palermo (Italy), 14-15 September, 2021, pp. 140-141</w:t>
      </w:r>
      <w:r w:rsidR="00537E35" w:rsidRPr="00537E35">
        <w:rPr>
          <w:sz w:val="18"/>
          <w:szCs w:val="18"/>
          <w:lang w:val="en-GB"/>
        </w:rPr>
        <w:t>.</w:t>
      </w:r>
    </w:p>
    <w:p w14:paraId="6FB58F16" w14:textId="677A35B2" w:rsidR="005000E5" w:rsidRPr="00537E35" w:rsidRDefault="005000E5" w:rsidP="00537E35">
      <w:pPr>
        <w:pStyle w:val="Bibliography"/>
        <w:ind w:left="709" w:hanging="709"/>
        <w:jc w:val="both"/>
        <w:rPr>
          <w:sz w:val="18"/>
          <w:szCs w:val="18"/>
          <w:lang w:val="en-GB"/>
        </w:rPr>
      </w:pPr>
      <w:r w:rsidRPr="00537E35">
        <w:rPr>
          <w:sz w:val="18"/>
          <w:szCs w:val="18"/>
          <w:lang w:val="en-GB"/>
        </w:rPr>
        <w:t xml:space="preserve">Venkata Mohan S, Varjani S, Pant D, Sauer M, Chang JS (2020) Circular bioeconomy approaches for sustainability. </w:t>
      </w:r>
      <w:r w:rsidR="00537E35" w:rsidRPr="00537E35">
        <w:rPr>
          <w:i/>
          <w:iCs/>
          <w:sz w:val="18"/>
          <w:szCs w:val="18"/>
          <w:lang w:val="en-GB"/>
        </w:rPr>
        <w:t>Bioresour. Technol.</w:t>
      </w:r>
      <w:r w:rsidRPr="00537E35">
        <w:rPr>
          <w:sz w:val="18"/>
          <w:szCs w:val="18"/>
          <w:lang w:val="en-GB"/>
        </w:rPr>
        <w:t xml:space="preserve"> </w:t>
      </w:r>
      <w:r w:rsidRPr="00537E35">
        <w:rPr>
          <w:b/>
          <w:bCs/>
          <w:sz w:val="18"/>
          <w:szCs w:val="18"/>
          <w:lang w:val="en-GB"/>
        </w:rPr>
        <w:t>318</w:t>
      </w:r>
      <w:r w:rsidRPr="00537E35">
        <w:rPr>
          <w:sz w:val="18"/>
          <w:szCs w:val="18"/>
          <w:lang w:val="en-GB"/>
        </w:rPr>
        <w:t xml:space="preserve">, 124084. </w:t>
      </w:r>
    </w:p>
    <w:p w14:paraId="4C36A4EE" w14:textId="4D42A915" w:rsidR="005B7718" w:rsidRPr="00537E35" w:rsidRDefault="005B7718" w:rsidP="00537E35">
      <w:pPr>
        <w:ind w:left="709" w:hanging="709"/>
        <w:jc w:val="both"/>
        <w:rPr>
          <w:sz w:val="18"/>
          <w:szCs w:val="18"/>
          <w:lang w:val="en-GB"/>
        </w:rPr>
      </w:pPr>
      <w:r w:rsidRPr="00537E35">
        <w:rPr>
          <w:sz w:val="18"/>
          <w:szCs w:val="18"/>
        </w:rPr>
        <w:fldChar w:fldCharType="end"/>
      </w:r>
    </w:p>
    <w:p w14:paraId="12D160A5" w14:textId="77777777" w:rsidR="00537E35" w:rsidRPr="00537E35" w:rsidRDefault="00537E35" w:rsidP="00537E35">
      <w:pPr>
        <w:ind w:left="709" w:hanging="709"/>
        <w:jc w:val="both"/>
        <w:rPr>
          <w:sz w:val="18"/>
          <w:szCs w:val="18"/>
          <w:lang w:val="en-GB"/>
        </w:rPr>
      </w:pPr>
    </w:p>
    <w:p w14:paraId="731D0F26" w14:textId="77777777" w:rsidR="00537E35" w:rsidRPr="00537E35" w:rsidRDefault="00537E35" w:rsidP="00537E35">
      <w:pPr>
        <w:ind w:left="709" w:hanging="709"/>
        <w:jc w:val="both"/>
        <w:rPr>
          <w:sz w:val="18"/>
          <w:szCs w:val="18"/>
          <w:lang w:val="en-GB"/>
        </w:rPr>
      </w:pPr>
    </w:p>
    <w:p w14:paraId="11AC2C20" w14:textId="0F552095" w:rsidR="00537E35" w:rsidRPr="00537E35" w:rsidRDefault="00537E35" w:rsidP="00537E35">
      <w:pPr>
        <w:jc w:val="both"/>
        <w:rPr>
          <w:lang w:val="en-GB"/>
        </w:rPr>
      </w:pPr>
    </w:p>
    <w:sectPr w:rsidR="00537E35" w:rsidRPr="00537E35" w:rsidSect="00C6695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1107" w14:textId="77777777" w:rsidR="00541B0D" w:rsidRDefault="00541B0D">
      <w:r>
        <w:separator/>
      </w:r>
    </w:p>
  </w:endnote>
  <w:endnote w:type="continuationSeparator" w:id="0">
    <w:p w14:paraId="52BC548F" w14:textId="77777777" w:rsidR="00541B0D" w:rsidRDefault="0054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797B" w14:textId="77777777" w:rsidR="00541B0D" w:rsidRDefault="00541B0D">
      <w:r>
        <w:separator/>
      </w:r>
    </w:p>
  </w:footnote>
  <w:footnote w:type="continuationSeparator" w:id="0">
    <w:p w14:paraId="5BE79225" w14:textId="77777777" w:rsidR="00541B0D" w:rsidRDefault="0054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652"/>
    <w:multiLevelType w:val="hybridMultilevel"/>
    <w:tmpl w:val="D868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193CF8"/>
    <w:multiLevelType w:val="hybridMultilevel"/>
    <w:tmpl w:val="4B60E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4648073">
    <w:abstractNumId w:val="1"/>
  </w:num>
  <w:num w:numId="2" w16cid:durableId="151075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zE0NbM0NzQ0NjFR0lEKTi0uzszPAykwNK0FANpbZkQtAAAA"/>
  </w:docVars>
  <w:rsids>
    <w:rsidRoot w:val="007D40F9"/>
    <w:rsid w:val="00020FAB"/>
    <w:rsid w:val="000243E6"/>
    <w:rsid w:val="00034D5C"/>
    <w:rsid w:val="0003550A"/>
    <w:rsid w:val="00043B29"/>
    <w:rsid w:val="000471BA"/>
    <w:rsid w:val="00067DAA"/>
    <w:rsid w:val="00070EFD"/>
    <w:rsid w:val="00072088"/>
    <w:rsid w:val="00072D83"/>
    <w:rsid w:val="000818F9"/>
    <w:rsid w:val="000879E6"/>
    <w:rsid w:val="00096D28"/>
    <w:rsid w:val="000B3088"/>
    <w:rsid w:val="000B3E65"/>
    <w:rsid w:val="000C129E"/>
    <w:rsid w:val="000D12E5"/>
    <w:rsid w:val="000D5108"/>
    <w:rsid w:val="000F1E6C"/>
    <w:rsid w:val="0010597B"/>
    <w:rsid w:val="0013311E"/>
    <w:rsid w:val="00136F70"/>
    <w:rsid w:val="00137BED"/>
    <w:rsid w:val="0015190F"/>
    <w:rsid w:val="0016150E"/>
    <w:rsid w:val="00171E17"/>
    <w:rsid w:val="00185B99"/>
    <w:rsid w:val="001A014F"/>
    <w:rsid w:val="001A0D67"/>
    <w:rsid w:val="001B7706"/>
    <w:rsid w:val="001C2202"/>
    <w:rsid w:val="001C6E00"/>
    <w:rsid w:val="001D08C6"/>
    <w:rsid w:val="001F13D5"/>
    <w:rsid w:val="001F3500"/>
    <w:rsid w:val="001F637E"/>
    <w:rsid w:val="00202752"/>
    <w:rsid w:val="002053D3"/>
    <w:rsid w:val="0021071A"/>
    <w:rsid w:val="00211BDD"/>
    <w:rsid w:val="0021765D"/>
    <w:rsid w:val="002340CC"/>
    <w:rsid w:val="002457A7"/>
    <w:rsid w:val="00250C9F"/>
    <w:rsid w:val="00256279"/>
    <w:rsid w:val="0026279E"/>
    <w:rsid w:val="002766EB"/>
    <w:rsid w:val="00285148"/>
    <w:rsid w:val="00297627"/>
    <w:rsid w:val="002C37E5"/>
    <w:rsid w:val="002D0E91"/>
    <w:rsid w:val="002E088C"/>
    <w:rsid w:val="002E0C4D"/>
    <w:rsid w:val="002E6C3B"/>
    <w:rsid w:val="002F6EF3"/>
    <w:rsid w:val="00345424"/>
    <w:rsid w:val="00346DF5"/>
    <w:rsid w:val="00351A0F"/>
    <w:rsid w:val="00353765"/>
    <w:rsid w:val="00362E85"/>
    <w:rsid w:val="00362EF8"/>
    <w:rsid w:val="003701E7"/>
    <w:rsid w:val="00392255"/>
    <w:rsid w:val="00394D73"/>
    <w:rsid w:val="00396A5E"/>
    <w:rsid w:val="003A2A0D"/>
    <w:rsid w:val="003A64D3"/>
    <w:rsid w:val="003B3BDE"/>
    <w:rsid w:val="003B476A"/>
    <w:rsid w:val="003C593B"/>
    <w:rsid w:val="003F312C"/>
    <w:rsid w:val="004016C6"/>
    <w:rsid w:val="0041295C"/>
    <w:rsid w:val="00444383"/>
    <w:rsid w:val="00447EB7"/>
    <w:rsid w:val="00453D8B"/>
    <w:rsid w:val="00475737"/>
    <w:rsid w:val="004771D2"/>
    <w:rsid w:val="00482C7D"/>
    <w:rsid w:val="004A30C9"/>
    <w:rsid w:val="004B00B5"/>
    <w:rsid w:val="004B7473"/>
    <w:rsid w:val="004C2A1F"/>
    <w:rsid w:val="004C3234"/>
    <w:rsid w:val="004F0837"/>
    <w:rsid w:val="004F3C73"/>
    <w:rsid w:val="005000E5"/>
    <w:rsid w:val="00505646"/>
    <w:rsid w:val="00511B97"/>
    <w:rsid w:val="0053366B"/>
    <w:rsid w:val="00537E35"/>
    <w:rsid w:val="00541B0D"/>
    <w:rsid w:val="005462F8"/>
    <w:rsid w:val="0054685E"/>
    <w:rsid w:val="0055081B"/>
    <w:rsid w:val="00580F9E"/>
    <w:rsid w:val="00592494"/>
    <w:rsid w:val="005A3281"/>
    <w:rsid w:val="005A4A3B"/>
    <w:rsid w:val="005B4654"/>
    <w:rsid w:val="005B7718"/>
    <w:rsid w:val="005D090E"/>
    <w:rsid w:val="005D6E1F"/>
    <w:rsid w:val="005E7C95"/>
    <w:rsid w:val="005F599F"/>
    <w:rsid w:val="00606EE9"/>
    <w:rsid w:val="00607B5D"/>
    <w:rsid w:val="00645545"/>
    <w:rsid w:val="006502F6"/>
    <w:rsid w:val="006607CF"/>
    <w:rsid w:val="006C0C32"/>
    <w:rsid w:val="006C13F9"/>
    <w:rsid w:val="006D3E18"/>
    <w:rsid w:val="00703043"/>
    <w:rsid w:val="00707050"/>
    <w:rsid w:val="0071088A"/>
    <w:rsid w:val="00714A5A"/>
    <w:rsid w:val="007204D0"/>
    <w:rsid w:val="007242E7"/>
    <w:rsid w:val="007261D0"/>
    <w:rsid w:val="00730689"/>
    <w:rsid w:val="00732336"/>
    <w:rsid w:val="0075291F"/>
    <w:rsid w:val="00757FFD"/>
    <w:rsid w:val="00770F0D"/>
    <w:rsid w:val="007763B5"/>
    <w:rsid w:val="00782516"/>
    <w:rsid w:val="007833AA"/>
    <w:rsid w:val="0078712E"/>
    <w:rsid w:val="0079174C"/>
    <w:rsid w:val="007917C8"/>
    <w:rsid w:val="007A0AB6"/>
    <w:rsid w:val="007A17B3"/>
    <w:rsid w:val="007B22E2"/>
    <w:rsid w:val="007B4D2A"/>
    <w:rsid w:val="007B6529"/>
    <w:rsid w:val="007D40F9"/>
    <w:rsid w:val="007E0EBE"/>
    <w:rsid w:val="007E1370"/>
    <w:rsid w:val="007E7222"/>
    <w:rsid w:val="00805FC0"/>
    <w:rsid w:val="00826209"/>
    <w:rsid w:val="0083630F"/>
    <w:rsid w:val="00840646"/>
    <w:rsid w:val="0084189F"/>
    <w:rsid w:val="0084374C"/>
    <w:rsid w:val="008546AD"/>
    <w:rsid w:val="00887A46"/>
    <w:rsid w:val="008A7447"/>
    <w:rsid w:val="008C1337"/>
    <w:rsid w:val="008C640E"/>
    <w:rsid w:val="008C6FFA"/>
    <w:rsid w:val="008C75B7"/>
    <w:rsid w:val="008D0E96"/>
    <w:rsid w:val="00910182"/>
    <w:rsid w:val="00911A23"/>
    <w:rsid w:val="0093161B"/>
    <w:rsid w:val="009342FC"/>
    <w:rsid w:val="00936CC7"/>
    <w:rsid w:val="00941EA3"/>
    <w:rsid w:val="0095471B"/>
    <w:rsid w:val="00960C7A"/>
    <w:rsid w:val="00965719"/>
    <w:rsid w:val="00973D94"/>
    <w:rsid w:val="00980298"/>
    <w:rsid w:val="0098460E"/>
    <w:rsid w:val="00985577"/>
    <w:rsid w:val="009A320B"/>
    <w:rsid w:val="009C089A"/>
    <w:rsid w:val="009C345B"/>
    <w:rsid w:val="009D09D0"/>
    <w:rsid w:val="009D1CB7"/>
    <w:rsid w:val="009E4B24"/>
    <w:rsid w:val="009E58AF"/>
    <w:rsid w:val="009F0ED2"/>
    <w:rsid w:val="00A16B26"/>
    <w:rsid w:val="00A31875"/>
    <w:rsid w:val="00A31B29"/>
    <w:rsid w:val="00A35A2A"/>
    <w:rsid w:val="00A42079"/>
    <w:rsid w:val="00A47DC7"/>
    <w:rsid w:val="00A52396"/>
    <w:rsid w:val="00A61153"/>
    <w:rsid w:val="00A66D60"/>
    <w:rsid w:val="00A85978"/>
    <w:rsid w:val="00A916E3"/>
    <w:rsid w:val="00A97DC1"/>
    <w:rsid w:val="00AB4E1B"/>
    <w:rsid w:val="00AD249E"/>
    <w:rsid w:val="00AD355B"/>
    <w:rsid w:val="00AE0FF9"/>
    <w:rsid w:val="00AE4312"/>
    <w:rsid w:val="00AE5078"/>
    <w:rsid w:val="00AE7FD1"/>
    <w:rsid w:val="00AF4492"/>
    <w:rsid w:val="00B0150E"/>
    <w:rsid w:val="00B10F6C"/>
    <w:rsid w:val="00B24F0A"/>
    <w:rsid w:val="00B405DC"/>
    <w:rsid w:val="00B4563F"/>
    <w:rsid w:val="00B667A7"/>
    <w:rsid w:val="00B70CDB"/>
    <w:rsid w:val="00B7425F"/>
    <w:rsid w:val="00B7575B"/>
    <w:rsid w:val="00B8037C"/>
    <w:rsid w:val="00B838C1"/>
    <w:rsid w:val="00B91F02"/>
    <w:rsid w:val="00B922BC"/>
    <w:rsid w:val="00BB072B"/>
    <w:rsid w:val="00BC3C1D"/>
    <w:rsid w:val="00BC5B33"/>
    <w:rsid w:val="00BC722C"/>
    <w:rsid w:val="00BD7183"/>
    <w:rsid w:val="00BF21AF"/>
    <w:rsid w:val="00BF7755"/>
    <w:rsid w:val="00C07615"/>
    <w:rsid w:val="00C123EE"/>
    <w:rsid w:val="00C1644A"/>
    <w:rsid w:val="00C20AEA"/>
    <w:rsid w:val="00C328BF"/>
    <w:rsid w:val="00C47BD7"/>
    <w:rsid w:val="00C537F1"/>
    <w:rsid w:val="00C55DC1"/>
    <w:rsid w:val="00C61EE3"/>
    <w:rsid w:val="00C63460"/>
    <w:rsid w:val="00C63F19"/>
    <w:rsid w:val="00C64762"/>
    <w:rsid w:val="00C66952"/>
    <w:rsid w:val="00C768E9"/>
    <w:rsid w:val="00CA3BF9"/>
    <w:rsid w:val="00CA57DC"/>
    <w:rsid w:val="00CA5E37"/>
    <w:rsid w:val="00CC3747"/>
    <w:rsid w:val="00CE53F2"/>
    <w:rsid w:val="00CE6D17"/>
    <w:rsid w:val="00D00A9D"/>
    <w:rsid w:val="00D0382A"/>
    <w:rsid w:val="00D1592C"/>
    <w:rsid w:val="00D4288A"/>
    <w:rsid w:val="00D452BC"/>
    <w:rsid w:val="00D474DA"/>
    <w:rsid w:val="00D54EC2"/>
    <w:rsid w:val="00D61328"/>
    <w:rsid w:val="00D71CFD"/>
    <w:rsid w:val="00D767F1"/>
    <w:rsid w:val="00DB61F6"/>
    <w:rsid w:val="00DC12CB"/>
    <w:rsid w:val="00DC1638"/>
    <w:rsid w:val="00DC7ABC"/>
    <w:rsid w:val="00DD46C2"/>
    <w:rsid w:val="00DE0831"/>
    <w:rsid w:val="00DF0623"/>
    <w:rsid w:val="00E017E5"/>
    <w:rsid w:val="00E04DA9"/>
    <w:rsid w:val="00E30536"/>
    <w:rsid w:val="00E35697"/>
    <w:rsid w:val="00E67A96"/>
    <w:rsid w:val="00E71DB3"/>
    <w:rsid w:val="00E75AB3"/>
    <w:rsid w:val="00E81F5D"/>
    <w:rsid w:val="00E955A6"/>
    <w:rsid w:val="00E97742"/>
    <w:rsid w:val="00EC0598"/>
    <w:rsid w:val="00EC1480"/>
    <w:rsid w:val="00EC57E9"/>
    <w:rsid w:val="00ED5716"/>
    <w:rsid w:val="00ED6B97"/>
    <w:rsid w:val="00ED6E2A"/>
    <w:rsid w:val="00F0049D"/>
    <w:rsid w:val="00F05DA1"/>
    <w:rsid w:val="00F15992"/>
    <w:rsid w:val="00F51841"/>
    <w:rsid w:val="00F573D8"/>
    <w:rsid w:val="00F72206"/>
    <w:rsid w:val="00F77AC7"/>
    <w:rsid w:val="00F9137A"/>
    <w:rsid w:val="00F96960"/>
    <w:rsid w:val="00F96FBC"/>
    <w:rsid w:val="00F976E4"/>
    <w:rsid w:val="00FA2785"/>
    <w:rsid w:val="00FB7FCF"/>
    <w:rsid w:val="00FD4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B3E65"/>
    <w:pPr>
      <w:keepNext/>
      <w:shd w:val="clear" w:color="auto" w:fill="FFFFFF"/>
      <w:spacing w:before="240" w:after="120"/>
      <w:jc w:val="both"/>
      <w:outlineLvl w:val="0"/>
    </w:pPr>
    <w:rPr>
      <w:b/>
      <w:spacing w:val="-2"/>
      <w:sz w:val="24"/>
      <w:szCs w:val="52"/>
      <w:lang w:val="en-US"/>
    </w:rPr>
  </w:style>
  <w:style w:type="paragraph" w:styleId="Heading2">
    <w:name w:val="heading 2"/>
    <w:basedOn w:val="Normal"/>
    <w:next w:val="Normal"/>
    <w:link w:val="Heading2Char"/>
    <w:uiPriority w:val="9"/>
    <w:unhideWhenUsed/>
    <w:qFormat/>
    <w:rsid w:val="00C61EE3"/>
    <w:pPr>
      <w:keepNext/>
      <w:outlineLvl w:val="1"/>
    </w:pPr>
    <w:rPr>
      <w:b/>
    </w:rPr>
  </w:style>
  <w:style w:type="paragraph" w:styleId="Heading3">
    <w:name w:val="heading 3"/>
    <w:basedOn w:val="Normal"/>
    <w:next w:val="Normal"/>
    <w:link w:val="Heading3Char"/>
    <w:uiPriority w:val="9"/>
    <w:unhideWhenUsed/>
    <w:qFormat/>
    <w:rsid w:val="00C61EE3"/>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E65"/>
    <w:rPr>
      <w:rFonts w:ascii="Times New Roman" w:eastAsia="Times New Roman" w:hAnsi="Times New Roman" w:cs="Times New Roman"/>
      <w:b/>
      <w:spacing w:val="-2"/>
      <w:szCs w:val="52"/>
      <w:shd w:val="clear" w:color="auto" w:fill="FFFFFF"/>
      <w:lang w:val="en-US" w:eastAsia="zh-CN"/>
    </w:rPr>
  </w:style>
  <w:style w:type="character" w:customStyle="1" w:styleId="Heading2Char">
    <w:name w:val="Heading 2 Char"/>
    <w:basedOn w:val="DefaultParagraphFont"/>
    <w:link w:val="Heading2"/>
    <w:uiPriority w:val="9"/>
    <w:rsid w:val="00C61EE3"/>
    <w:rPr>
      <w:rFonts w:ascii="Times New Roman" w:eastAsia="Times New Roman" w:hAnsi="Times New Roman" w:cs="Times New Roman"/>
      <w:b/>
      <w:sz w:val="20"/>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lang w:val="en-GB"/>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paragraph" w:styleId="Bibliography">
    <w:name w:val="Bibliography"/>
    <w:basedOn w:val="Normal"/>
    <w:next w:val="Normal"/>
    <w:uiPriority w:val="37"/>
    <w:unhideWhenUsed/>
    <w:rsid w:val="005B7718"/>
  </w:style>
  <w:style w:type="table" w:styleId="TableGrid">
    <w:name w:val="Table Grid"/>
    <w:basedOn w:val="TableNormal"/>
    <w:uiPriority w:val="39"/>
    <w:rsid w:val="005B77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718"/>
    <w:rPr>
      <w:sz w:val="16"/>
      <w:szCs w:val="16"/>
    </w:rPr>
  </w:style>
  <w:style w:type="paragraph" w:styleId="CommentText">
    <w:name w:val="annotation text"/>
    <w:basedOn w:val="Normal"/>
    <w:link w:val="CommentTextChar"/>
    <w:uiPriority w:val="99"/>
    <w:unhideWhenUsed/>
    <w:rsid w:val="005B7718"/>
    <w:pPr>
      <w:widowControl/>
      <w:suppressAutoHyphens w:val="0"/>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5B7718"/>
    <w:rPr>
      <w:sz w:val="20"/>
      <w:szCs w:val="20"/>
    </w:rPr>
  </w:style>
  <w:style w:type="paragraph" w:styleId="Revision">
    <w:name w:val="Revision"/>
    <w:hidden/>
    <w:uiPriority w:val="99"/>
    <w:semiHidden/>
    <w:rsid w:val="005D090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57E9"/>
    <w:pPr>
      <w:widowControl w:val="0"/>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EC57E9"/>
    <w:rPr>
      <w:rFonts w:ascii="Times New Roman" w:eastAsia="Times New Roman" w:hAnsi="Times New Roman" w:cs="Times New Roman"/>
      <w:b/>
      <w:bCs/>
      <w:sz w:val="20"/>
      <w:szCs w:val="20"/>
      <w:lang w:eastAsia="zh-CN"/>
    </w:rPr>
  </w:style>
  <w:style w:type="paragraph" w:styleId="ListParagraph">
    <w:name w:val="List Paragraph"/>
    <w:basedOn w:val="Normal"/>
    <w:uiPriority w:val="34"/>
    <w:qFormat/>
    <w:rsid w:val="0053366B"/>
    <w:pPr>
      <w:ind w:left="720"/>
      <w:contextualSpacing/>
    </w:pPr>
  </w:style>
  <w:style w:type="paragraph" w:styleId="NormalWeb">
    <w:name w:val="Normal (Web)"/>
    <w:basedOn w:val="Normal"/>
    <w:uiPriority w:val="99"/>
    <w:semiHidden/>
    <w:unhideWhenUsed/>
    <w:rsid w:val="001F3500"/>
    <w:pPr>
      <w:widowControl/>
      <w:suppressAutoHyphens w:val="0"/>
      <w:spacing w:before="100" w:beforeAutospacing="1" w:after="100" w:afterAutospacing="1"/>
    </w:pPr>
    <w:rPr>
      <w:sz w:val="24"/>
      <w:szCs w:val="24"/>
      <w:lang w:eastAsia="it-IT"/>
    </w:rPr>
  </w:style>
  <w:style w:type="table" w:styleId="GridTable4-Accent3">
    <w:name w:val="Grid Table 4 Accent 3"/>
    <w:basedOn w:val="TableNormal"/>
    <w:uiPriority w:val="49"/>
    <w:rsid w:val="001F35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C61EE3"/>
    <w:rPr>
      <w:rFonts w:ascii="Times New Roman" w:eastAsiaTheme="majorEastAsia" w:hAnsi="Times New Roman" w:cstheme="majorBidi"/>
      <w:i/>
      <w:sz w:val="20"/>
      <w:lang w:eastAsia="zh-CN"/>
    </w:rPr>
  </w:style>
  <w:style w:type="paragraph" w:styleId="Caption">
    <w:name w:val="caption"/>
    <w:basedOn w:val="Normal"/>
    <w:next w:val="Normal"/>
    <w:uiPriority w:val="35"/>
    <w:unhideWhenUsed/>
    <w:qFormat/>
    <w:rsid w:val="002053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8104">
      <w:bodyDiv w:val="1"/>
      <w:marLeft w:val="0"/>
      <w:marRight w:val="0"/>
      <w:marTop w:val="0"/>
      <w:marBottom w:val="0"/>
      <w:divBdr>
        <w:top w:val="none" w:sz="0" w:space="0" w:color="auto"/>
        <w:left w:val="none" w:sz="0" w:space="0" w:color="auto"/>
        <w:bottom w:val="none" w:sz="0" w:space="0" w:color="auto"/>
        <w:right w:val="none" w:sz="0" w:space="0" w:color="auto"/>
      </w:divBdr>
    </w:div>
    <w:div w:id="1358391748">
      <w:bodyDiv w:val="1"/>
      <w:marLeft w:val="0"/>
      <w:marRight w:val="0"/>
      <w:marTop w:val="0"/>
      <w:marBottom w:val="0"/>
      <w:divBdr>
        <w:top w:val="none" w:sz="0" w:space="0" w:color="auto"/>
        <w:left w:val="none" w:sz="0" w:space="0" w:color="auto"/>
        <w:bottom w:val="none" w:sz="0" w:space="0" w:color="auto"/>
        <w:right w:val="none" w:sz="0" w:space="0" w:color="auto"/>
      </w:divBdr>
    </w:div>
    <w:div w:id="1360593187">
      <w:bodyDiv w:val="1"/>
      <w:marLeft w:val="0"/>
      <w:marRight w:val="0"/>
      <w:marTop w:val="0"/>
      <w:marBottom w:val="0"/>
      <w:divBdr>
        <w:top w:val="none" w:sz="0" w:space="0" w:color="auto"/>
        <w:left w:val="none" w:sz="0" w:space="0" w:color="auto"/>
        <w:bottom w:val="none" w:sz="0" w:space="0" w:color="auto"/>
        <w:right w:val="none" w:sz="0" w:space="0" w:color="auto"/>
      </w:divBdr>
    </w:div>
    <w:div w:id="1621260613">
      <w:bodyDiv w:val="1"/>
      <w:marLeft w:val="0"/>
      <w:marRight w:val="0"/>
      <w:marTop w:val="0"/>
      <w:marBottom w:val="0"/>
      <w:divBdr>
        <w:top w:val="none" w:sz="0" w:space="0" w:color="auto"/>
        <w:left w:val="none" w:sz="0" w:space="0" w:color="auto"/>
        <w:bottom w:val="none" w:sz="0" w:space="0" w:color="auto"/>
        <w:right w:val="none" w:sz="0" w:space="0" w:color="auto"/>
      </w:divBdr>
    </w:div>
    <w:div w:id="19510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3774-9371-41BD-8CB0-4F3B0F8F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9412</Words>
  <Characters>53654</Characters>
  <Application>Microsoft Office Word</Application>
  <DocSecurity>0</DocSecurity>
  <Lines>447</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Laura Troiani</cp:lastModifiedBy>
  <cp:revision>2</cp:revision>
  <dcterms:created xsi:type="dcterms:W3CDTF">2023-06-09T19:48:00Z</dcterms:created>
  <dcterms:modified xsi:type="dcterms:W3CDTF">2023-06-09T19:48:00Z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id="hrHE46oW"/&gt;&lt;style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e79727a59247a7a8904f77046538d8abb26ba624e898ac3e4353e42a66f014d9</vt:lpwstr>
  </property>
</Properties>
</file>