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11FED" w14:textId="77777777" w:rsidR="00512D9B" w:rsidRDefault="00512D9B">
      <w:pPr>
        <w:ind w:left="425" w:hanging="425"/>
        <w:rPr>
          <w:lang w:val="en-GB"/>
        </w:rPr>
      </w:pPr>
    </w:p>
    <w:p w14:paraId="54F2A6DB" w14:textId="77777777" w:rsidR="00512D9B" w:rsidRDefault="00512D9B">
      <w:pPr>
        <w:ind w:left="425" w:hanging="425"/>
        <w:rPr>
          <w:lang w:val="en-GB"/>
        </w:rPr>
      </w:pPr>
    </w:p>
    <w:p w14:paraId="7702A04E" w14:textId="77777777" w:rsidR="00512D9B" w:rsidRDefault="00512D9B">
      <w:pPr>
        <w:pStyle w:val="Corpodeltesto2"/>
        <w:tabs>
          <w:tab w:val="left" w:pos="5040"/>
          <w:tab w:val="left" w:pos="5760"/>
          <w:tab w:val="left" w:pos="6480"/>
        </w:tabs>
        <w:spacing w:before="600"/>
        <w:rPr>
          <w:i w:val="0"/>
          <w:iCs w:val="0"/>
          <w:sz w:val="52"/>
          <w:szCs w:val="2"/>
          <w:lang w:val="en-GB"/>
        </w:rPr>
      </w:pPr>
    </w:p>
    <w:p w14:paraId="3ACCB8DD" w14:textId="77777777" w:rsidR="00512D9B" w:rsidRDefault="00512D9B">
      <w:pPr>
        <w:pStyle w:val="Corpodeltesto2"/>
        <w:tabs>
          <w:tab w:val="left" w:pos="5040"/>
          <w:tab w:val="left" w:pos="5760"/>
          <w:tab w:val="left" w:pos="6480"/>
        </w:tabs>
        <w:spacing w:before="600"/>
        <w:rPr>
          <w:i w:val="0"/>
          <w:iCs w:val="0"/>
          <w:sz w:val="52"/>
          <w:szCs w:val="2"/>
          <w:lang w:val="en-GB"/>
        </w:rPr>
      </w:pPr>
    </w:p>
    <w:p w14:paraId="4553978E" w14:textId="77777777" w:rsidR="00512D9B" w:rsidRDefault="00512D9B">
      <w:pPr>
        <w:pStyle w:val="Corpodeltesto2"/>
        <w:tabs>
          <w:tab w:val="left" w:pos="5040"/>
          <w:tab w:val="left" w:pos="5760"/>
          <w:tab w:val="left" w:pos="6480"/>
        </w:tabs>
        <w:spacing w:before="600"/>
        <w:rPr>
          <w:i w:val="0"/>
          <w:iCs w:val="0"/>
          <w:sz w:val="52"/>
          <w:szCs w:val="2"/>
          <w:lang w:val="en-GB"/>
        </w:rPr>
      </w:pPr>
    </w:p>
    <w:p w14:paraId="32E9F250" w14:textId="77777777" w:rsidR="00512D9B" w:rsidRDefault="00512D9B">
      <w:pPr>
        <w:pStyle w:val="Corpodeltesto2"/>
        <w:tabs>
          <w:tab w:val="left" w:pos="5040"/>
          <w:tab w:val="left" w:pos="5760"/>
          <w:tab w:val="left" w:pos="6480"/>
        </w:tabs>
        <w:spacing w:before="600"/>
        <w:rPr>
          <w:i w:val="0"/>
          <w:iCs w:val="0"/>
          <w:sz w:val="52"/>
          <w:lang w:val="en-GB"/>
        </w:rPr>
      </w:pPr>
    </w:p>
    <w:p w14:paraId="5401A4BA" w14:textId="77777777" w:rsidR="00512D9B" w:rsidRDefault="00512D9B">
      <w:pPr>
        <w:pStyle w:val="Corpodeltesto2"/>
        <w:tabs>
          <w:tab w:val="left" w:pos="5040"/>
          <w:tab w:val="left" w:pos="5760"/>
          <w:tab w:val="left" w:pos="6480"/>
        </w:tabs>
        <w:spacing w:before="600"/>
        <w:rPr>
          <w:i w:val="0"/>
          <w:iCs w:val="0"/>
          <w:sz w:val="52"/>
          <w:lang w:val="en-GB"/>
        </w:rPr>
      </w:pPr>
    </w:p>
    <w:p w14:paraId="5E196037" w14:textId="77777777" w:rsidR="00512D9B" w:rsidRDefault="00FB589C">
      <w:pPr>
        <w:pStyle w:val="Corpodeltesto2"/>
        <w:tabs>
          <w:tab w:val="left" w:pos="5040"/>
          <w:tab w:val="left" w:pos="5760"/>
          <w:tab w:val="left" w:pos="6480"/>
        </w:tabs>
        <w:spacing w:before="600"/>
        <w:jc w:val="center"/>
        <w:rPr>
          <w:i w:val="0"/>
          <w:iCs w:val="0"/>
          <w:sz w:val="52"/>
          <w:lang w:val="en-GB"/>
        </w:rPr>
      </w:pPr>
      <w:r>
        <w:rPr>
          <w:i w:val="0"/>
          <w:iCs w:val="0"/>
          <w:sz w:val="52"/>
          <w:lang w:val="en-GB"/>
        </w:rPr>
        <w:t>POSTER COMMUNICATIONS</w:t>
      </w:r>
    </w:p>
    <w:p w14:paraId="0E8D065C" w14:textId="77777777" w:rsidR="00512D9B" w:rsidRDefault="00FB589C">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001ACE68" w14:textId="77777777" w:rsidR="00512D9B" w:rsidRDefault="00FB589C" w:rsidP="00B57A40">
      <w:pPr>
        <w:pStyle w:val="Titolo"/>
        <w:spacing w:before="600" w:line="240" w:lineRule="auto"/>
        <w:jc w:val="left"/>
        <w:rPr>
          <w:b w:val="0"/>
          <w:bCs/>
          <w:i/>
          <w:iCs/>
          <w:sz w:val="44"/>
          <w:szCs w:val="2"/>
          <w:lang w:val="en-US"/>
        </w:rPr>
      </w:pPr>
      <w:r w:rsidRPr="00ED274F">
        <w:rPr>
          <w:lang w:val="en-US"/>
        </w:rPr>
        <w:br w:type="page"/>
      </w:r>
    </w:p>
    <w:p w14:paraId="1F6D0FE6" w14:textId="4C85A447" w:rsidR="00512D9B" w:rsidRDefault="00BA2EDC">
      <w:pPr>
        <w:pStyle w:val="Titolo"/>
        <w:spacing w:before="600" w:line="240" w:lineRule="auto"/>
        <w:rPr>
          <w:lang w:val="en-GB"/>
        </w:rPr>
      </w:pPr>
      <w:r>
        <w:rPr>
          <w:lang w:val="en-GB"/>
        </w:rPr>
        <w:lastRenderedPageBreak/>
        <w:t>Plant health monitoring of durum wheat, pathogen identification with advanced diagnostic tools and design of sustainable prevention system</w:t>
      </w:r>
    </w:p>
    <w:p w14:paraId="3607B32A" w14:textId="2A718CFF" w:rsidR="00512D9B" w:rsidRDefault="00ED274F">
      <w:pPr>
        <w:jc w:val="center"/>
        <w:rPr>
          <w:lang w:val="en-GB"/>
        </w:rPr>
      </w:pPr>
      <w:r>
        <w:rPr>
          <w:lang w:val="en-GB"/>
        </w:rPr>
        <w:t>Merima Jasarevic</w:t>
      </w:r>
      <w:r w:rsidR="00FB589C">
        <w:rPr>
          <w:lang w:val="en-GB"/>
        </w:rPr>
        <w:t xml:space="preserve"> (</w:t>
      </w:r>
      <w:r w:rsidR="00153E70">
        <w:rPr>
          <w:lang w:val="en-GB"/>
        </w:rPr>
        <w:t>m</w:t>
      </w:r>
      <w:r>
        <w:rPr>
          <w:lang w:val="en-GB"/>
        </w:rPr>
        <w:t>erima.jasarevic</w:t>
      </w:r>
      <w:r w:rsidR="00FB589C">
        <w:rPr>
          <w:lang w:val="en-GB"/>
        </w:rPr>
        <w:t>@uni</w:t>
      </w:r>
      <w:r>
        <w:rPr>
          <w:lang w:val="en-GB"/>
        </w:rPr>
        <w:t>t</w:t>
      </w:r>
      <w:r w:rsidR="00FB589C">
        <w:rPr>
          <w:lang w:val="en-GB"/>
        </w:rPr>
        <w:t>us.it)</w:t>
      </w:r>
    </w:p>
    <w:p w14:paraId="6071147E" w14:textId="7937F3A6" w:rsidR="00512D9B" w:rsidRDefault="00ED274F">
      <w:pPr>
        <w:jc w:val="center"/>
        <w:rPr>
          <w:lang w:val="en-GB"/>
        </w:rPr>
      </w:pPr>
      <w:r w:rsidRPr="00ED274F">
        <w:rPr>
          <w:lang w:val="en-GB"/>
        </w:rPr>
        <w:t xml:space="preserve">Department for Innovation in Biological, </w:t>
      </w:r>
      <w:proofErr w:type="spellStart"/>
      <w:r w:rsidRPr="00ED274F">
        <w:rPr>
          <w:lang w:val="en-GB"/>
        </w:rPr>
        <w:t>Agro</w:t>
      </w:r>
      <w:proofErr w:type="spellEnd"/>
      <w:r w:rsidRPr="00ED274F">
        <w:rPr>
          <w:lang w:val="en-GB"/>
        </w:rPr>
        <w:t>-food and Forest systems – DIBAF</w:t>
      </w:r>
      <w:r w:rsidR="00FB589C">
        <w:rPr>
          <w:lang w:val="en-GB"/>
        </w:rPr>
        <w:t xml:space="preserve">,  University of </w:t>
      </w:r>
      <w:proofErr w:type="spellStart"/>
      <w:r>
        <w:rPr>
          <w:lang w:val="en-GB"/>
        </w:rPr>
        <w:t>Tuscia</w:t>
      </w:r>
      <w:proofErr w:type="spellEnd"/>
      <w:r w:rsidR="00FB589C">
        <w:rPr>
          <w:lang w:val="en-GB"/>
        </w:rPr>
        <w:t xml:space="preserve">, </w:t>
      </w:r>
      <w:proofErr w:type="spellStart"/>
      <w:r>
        <w:rPr>
          <w:lang w:val="en-GB"/>
        </w:rPr>
        <w:t>Viterbo</w:t>
      </w:r>
      <w:proofErr w:type="spellEnd"/>
      <w:r w:rsidR="00FB589C">
        <w:rPr>
          <w:lang w:val="en-GB"/>
        </w:rPr>
        <w:t>, Italy</w:t>
      </w:r>
    </w:p>
    <w:p w14:paraId="6D2C157D" w14:textId="4AA6F9F3" w:rsidR="00512D9B" w:rsidRDefault="00FB589C">
      <w:pPr>
        <w:jc w:val="center"/>
        <w:rPr>
          <w:lang w:val="en-GB"/>
        </w:rPr>
      </w:pPr>
      <w:r>
        <w:rPr>
          <w:lang w:val="en-GB"/>
        </w:rPr>
        <w:t xml:space="preserve">Tutor: Prof. </w:t>
      </w:r>
      <w:r w:rsidR="00ED274F">
        <w:rPr>
          <w:lang w:val="en-GB"/>
        </w:rPr>
        <w:t xml:space="preserve">Gabriele </w:t>
      </w:r>
      <w:proofErr w:type="spellStart"/>
      <w:r w:rsidR="00ED274F">
        <w:rPr>
          <w:lang w:val="en-GB"/>
        </w:rPr>
        <w:t>Chilosi</w:t>
      </w:r>
      <w:proofErr w:type="spellEnd"/>
    </w:p>
    <w:p w14:paraId="4F4155F1" w14:textId="77777777" w:rsidR="00512D9B" w:rsidRDefault="00512D9B">
      <w:pPr>
        <w:tabs>
          <w:tab w:val="left" w:pos="0"/>
        </w:tabs>
        <w:jc w:val="both"/>
        <w:rPr>
          <w:lang w:val="en-GB"/>
        </w:rPr>
      </w:pPr>
    </w:p>
    <w:p w14:paraId="188AF05F" w14:textId="3B08E16C" w:rsidR="00512D9B" w:rsidRDefault="001F2307">
      <w:pPr>
        <w:tabs>
          <w:tab w:val="left" w:pos="0"/>
        </w:tabs>
        <w:jc w:val="both"/>
        <w:rPr>
          <w:lang w:val="en-GB"/>
        </w:rPr>
      </w:pPr>
      <w:r>
        <w:rPr>
          <w:lang w:val="en-GB"/>
        </w:rPr>
        <w:t xml:space="preserve">According to the activities described in the PhD thesis project, some </w:t>
      </w:r>
      <w:r w:rsidR="00A533EB">
        <w:rPr>
          <w:lang w:val="en-GB"/>
        </w:rPr>
        <w:t xml:space="preserve">changes were made in order to focus better on main </w:t>
      </w:r>
      <w:r w:rsidR="00A12669">
        <w:rPr>
          <w:lang w:val="en-GB"/>
        </w:rPr>
        <w:t xml:space="preserve">objectives </w:t>
      </w:r>
      <w:r w:rsidR="00A533EB">
        <w:rPr>
          <w:lang w:val="en-GB"/>
        </w:rPr>
        <w:t xml:space="preserve">and reach best possible results. We decided to focus on only one crop species, </w:t>
      </w:r>
      <w:r w:rsidR="00A533EB" w:rsidRPr="00EC6238">
        <w:rPr>
          <w:i/>
          <w:iCs/>
          <w:lang w:val="en-GB"/>
        </w:rPr>
        <w:t>Triticum durum</w:t>
      </w:r>
      <w:r w:rsidR="00A533EB">
        <w:rPr>
          <w:lang w:val="en-GB"/>
        </w:rPr>
        <w:t xml:space="preserve"> in order to be able analyse in detail the microbiome community </w:t>
      </w:r>
      <w:r w:rsidR="00AF1278">
        <w:rPr>
          <w:lang w:val="en-GB"/>
        </w:rPr>
        <w:t xml:space="preserve">of fungal species </w:t>
      </w:r>
      <w:r w:rsidR="00A533EB">
        <w:rPr>
          <w:lang w:val="en-GB"/>
        </w:rPr>
        <w:t>of the crop</w:t>
      </w:r>
      <w:r w:rsidR="00AF1278">
        <w:rPr>
          <w:lang w:val="en-GB"/>
        </w:rPr>
        <w:t xml:space="preserve"> in the period of three years</w:t>
      </w:r>
      <w:r w:rsidR="00A533EB">
        <w:rPr>
          <w:lang w:val="en-GB"/>
        </w:rPr>
        <w:t xml:space="preserve">. </w:t>
      </w:r>
      <w:r w:rsidR="003B2B3B">
        <w:rPr>
          <w:lang w:val="en-GB"/>
        </w:rPr>
        <w:t xml:space="preserve">Firstly, the caryopsis analysis were done by </w:t>
      </w:r>
      <w:r w:rsidR="00AF1278">
        <w:rPr>
          <w:lang w:val="en-GB"/>
        </w:rPr>
        <w:t>using morphological identification of fungal species and molecular analysis</w:t>
      </w:r>
      <w:r w:rsidR="00EC6238">
        <w:rPr>
          <w:lang w:val="en-GB"/>
        </w:rPr>
        <w:t xml:space="preserve"> followed by assessment of mycotoxin analyses</w:t>
      </w:r>
      <w:r w:rsidR="00AF1278">
        <w:rPr>
          <w:lang w:val="en-GB"/>
        </w:rPr>
        <w:t>. Secondly, the soil microbiome community was studied for a period of three years 2020-2022 in order to understand the differences between plots treated with organic compost and mineral fertilizer.</w:t>
      </w:r>
    </w:p>
    <w:p w14:paraId="720240C7" w14:textId="77777777" w:rsidR="00BA2EDC" w:rsidRPr="00746B7D" w:rsidRDefault="00BA2EDC">
      <w:pPr>
        <w:tabs>
          <w:tab w:val="left" w:pos="0"/>
        </w:tabs>
        <w:jc w:val="both"/>
        <w:rPr>
          <w:lang w:val="en-US"/>
        </w:rPr>
      </w:pPr>
    </w:p>
    <w:p w14:paraId="6761BB34" w14:textId="5CC21C76" w:rsidR="00BA2EDC" w:rsidRDefault="00BA2EDC" w:rsidP="0011499A">
      <w:pPr>
        <w:tabs>
          <w:tab w:val="left" w:pos="0"/>
        </w:tabs>
        <w:jc w:val="center"/>
        <w:rPr>
          <w:b/>
          <w:kern w:val="2"/>
          <w:sz w:val="24"/>
        </w:rPr>
      </w:pPr>
      <w:r>
        <w:rPr>
          <w:b/>
          <w:kern w:val="2"/>
          <w:sz w:val="24"/>
        </w:rPr>
        <w:t>M</w:t>
      </w:r>
      <w:r w:rsidRPr="00BA2EDC">
        <w:rPr>
          <w:b/>
          <w:kern w:val="2"/>
          <w:sz w:val="24"/>
        </w:rPr>
        <w:t>onitoraggio fitosanitario del grano duro, identificazione di agenti patogeni con strumenti diagnostici avanzati e progettazione di un sistema di prevenzione sostenibile</w:t>
      </w:r>
    </w:p>
    <w:p w14:paraId="67ECEA85" w14:textId="77777777" w:rsidR="0011499A" w:rsidRDefault="0011499A" w:rsidP="0011499A">
      <w:pPr>
        <w:tabs>
          <w:tab w:val="left" w:pos="0"/>
        </w:tabs>
        <w:jc w:val="center"/>
        <w:rPr>
          <w:b/>
          <w:kern w:val="2"/>
          <w:sz w:val="24"/>
        </w:rPr>
      </w:pPr>
    </w:p>
    <w:p w14:paraId="73C1D670" w14:textId="0B3B4FA9" w:rsidR="00512D9B" w:rsidRDefault="00A278A9" w:rsidP="0011499A">
      <w:pPr>
        <w:tabs>
          <w:tab w:val="left" w:pos="0"/>
        </w:tabs>
        <w:jc w:val="both"/>
      </w:pPr>
      <w:r w:rsidRPr="00A278A9">
        <w:t xml:space="preserve">Secondo le attività descritte nel progetto di tesi di dottorato, sono state apportate alcune modifiche al fine di concentrarsi meglio sugli obiettivi principali e raggiungere i migliori risultati possibili. Abbiamo deciso di concentrarci su una sola specie vegetale, il </w:t>
      </w:r>
      <w:proofErr w:type="spellStart"/>
      <w:r w:rsidRPr="00A278A9">
        <w:rPr>
          <w:i/>
          <w:iCs/>
        </w:rPr>
        <w:t>Triticum</w:t>
      </w:r>
      <w:proofErr w:type="spellEnd"/>
      <w:r w:rsidRPr="00A278A9">
        <w:rPr>
          <w:i/>
          <w:iCs/>
        </w:rPr>
        <w:t xml:space="preserve"> </w:t>
      </w:r>
      <w:proofErr w:type="spellStart"/>
      <w:r w:rsidRPr="00A278A9">
        <w:rPr>
          <w:i/>
          <w:iCs/>
        </w:rPr>
        <w:t>durum</w:t>
      </w:r>
      <w:proofErr w:type="spellEnd"/>
      <w:r w:rsidRPr="00A278A9">
        <w:t xml:space="preserve"> per poter analizzare in dettaglio la comunità microbio</w:t>
      </w:r>
      <w:r>
        <w:t>tica</w:t>
      </w:r>
      <w:r w:rsidRPr="00A278A9">
        <w:t xml:space="preserve"> delle specie fungine della coltura nel periodo di tre anni. I</w:t>
      </w:r>
      <w:r>
        <w:t>nnanzitutto</w:t>
      </w:r>
      <w:r w:rsidRPr="00A278A9">
        <w:t xml:space="preserve">, l'analisi della cariosside </w:t>
      </w:r>
      <w:r w:rsidR="00183D2D">
        <w:t xml:space="preserve">che </w:t>
      </w:r>
      <w:r w:rsidRPr="00A278A9">
        <w:t>è stata effettuata utilizzando l'identificazione morfologica delle specie fungine e l'analisi molecolare</w:t>
      </w:r>
      <w:r w:rsidR="00DC21B7">
        <w:t xml:space="preserve"> seguite da verifica delle micotossine presenti</w:t>
      </w:r>
      <w:r w:rsidRPr="00A278A9">
        <w:t>. In</w:t>
      </w:r>
      <w:r>
        <w:t>oltre,</w:t>
      </w:r>
      <w:r w:rsidRPr="00A278A9">
        <w:t xml:space="preserve"> la comunità del microbi</w:t>
      </w:r>
      <w:r>
        <w:t>otica</w:t>
      </w:r>
      <w:r w:rsidRPr="00A278A9">
        <w:t xml:space="preserve"> del suolo </w:t>
      </w:r>
      <w:r>
        <w:t>è</w:t>
      </w:r>
      <w:r w:rsidRPr="00A278A9">
        <w:t xml:space="preserve"> stata studiata per un periodo di tre anni 2020-2022 per capire le differenze fra </w:t>
      </w:r>
      <w:r>
        <w:t xml:space="preserve">le parcelle </w:t>
      </w:r>
      <w:r w:rsidRPr="00A278A9">
        <w:t>trattat</w:t>
      </w:r>
      <w:r>
        <w:t>e</w:t>
      </w:r>
      <w:r w:rsidRPr="00A278A9">
        <w:t xml:space="preserve"> con il compost organico e fertilizzante minerale.</w:t>
      </w:r>
    </w:p>
    <w:p w14:paraId="719140B8" w14:textId="77777777" w:rsidR="007C47F8" w:rsidRPr="004A1F62" w:rsidRDefault="007C47F8">
      <w:pPr>
        <w:ind w:left="567" w:hanging="567"/>
        <w:jc w:val="both"/>
        <w:rPr>
          <w:b/>
          <w:bCs/>
        </w:rPr>
      </w:pPr>
    </w:p>
    <w:p w14:paraId="6E4C6A6A" w14:textId="317F0937" w:rsidR="00512D9B" w:rsidRPr="00746B7D" w:rsidRDefault="00FB589C">
      <w:pPr>
        <w:ind w:left="567" w:hanging="567"/>
        <w:jc w:val="both"/>
        <w:rPr>
          <w:lang w:val="en-US"/>
        </w:rPr>
      </w:pPr>
      <w:r>
        <w:rPr>
          <w:b/>
          <w:bCs/>
          <w:lang w:val="en-GB"/>
        </w:rPr>
        <w:t>Key words</w:t>
      </w:r>
      <w:r>
        <w:rPr>
          <w:lang w:val="en-GB"/>
        </w:rPr>
        <w:t>:</w:t>
      </w:r>
      <w:r w:rsidR="00A278A9">
        <w:rPr>
          <w:lang w:val="en-GB"/>
        </w:rPr>
        <w:t xml:space="preserve"> wheat, </w:t>
      </w:r>
      <w:r w:rsidR="00A278A9" w:rsidRPr="00A278A9">
        <w:rPr>
          <w:i/>
          <w:iCs/>
          <w:lang w:val="en-GB"/>
        </w:rPr>
        <w:t>Triticum durum</w:t>
      </w:r>
      <w:r w:rsidR="00A278A9">
        <w:rPr>
          <w:lang w:val="en-GB"/>
        </w:rPr>
        <w:t>, fungal species, microbiome community, organic compost, mineral fertilizer</w:t>
      </w:r>
      <w:r>
        <w:rPr>
          <w:lang w:val="en-GB"/>
        </w:rPr>
        <w:t>.</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571A7B62" w14:textId="497CE5E3" w:rsidR="00512D9B" w:rsidRDefault="00FB589C">
      <w:pPr>
        <w:jc w:val="both"/>
        <w:rPr>
          <w:lang w:val="en-GB"/>
        </w:rPr>
      </w:pPr>
      <w:r>
        <w:rPr>
          <w:lang w:val="en-GB"/>
        </w:rPr>
        <w:t xml:space="preserve">In accordance with the PhD thesis project </w:t>
      </w:r>
      <w:r w:rsidR="00183D2D">
        <w:rPr>
          <w:lang w:val="en-GB"/>
        </w:rPr>
        <w:t>and the changes previously described</w:t>
      </w:r>
      <w:r>
        <w:rPr>
          <w:lang w:val="en-GB"/>
        </w:rPr>
        <w:t xml:space="preserve">, this poster reports the main results of  the first two activities concerning: </w:t>
      </w:r>
    </w:p>
    <w:p w14:paraId="2DFC3AC4" w14:textId="4B2BD4D7" w:rsidR="00512D9B" w:rsidRPr="00746B7D" w:rsidRDefault="00FB589C">
      <w:pPr>
        <w:tabs>
          <w:tab w:val="left" w:pos="567"/>
        </w:tabs>
        <w:ind w:left="567" w:hanging="567"/>
        <w:jc w:val="both"/>
        <w:rPr>
          <w:lang w:val="en-US"/>
        </w:rPr>
      </w:pPr>
      <w:r>
        <w:rPr>
          <w:lang w:val="en-GB"/>
        </w:rPr>
        <w:t xml:space="preserve">(A1) </w:t>
      </w:r>
      <w:r>
        <w:rPr>
          <w:lang w:val="en-GB"/>
        </w:rPr>
        <w:tab/>
      </w:r>
      <w:r w:rsidR="005B241C">
        <w:rPr>
          <w:lang w:val="en-GB"/>
        </w:rPr>
        <w:t xml:space="preserve">Biodiversity and metagenomics. </w:t>
      </w:r>
      <w:r w:rsidR="00183D2D">
        <w:rPr>
          <w:lang w:val="en-GB"/>
        </w:rPr>
        <w:t>The sampling of wheat (</w:t>
      </w:r>
      <w:r w:rsidR="00183D2D" w:rsidRPr="00EC6238">
        <w:rPr>
          <w:i/>
          <w:iCs/>
          <w:lang w:val="en-GB"/>
        </w:rPr>
        <w:t>Triticum durum</w:t>
      </w:r>
      <w:r w:rsidR="00183D2D">
        <w:rPr>
          <w:lang w:val="en-GB"/>
        </w:rPr>
        <w:t xml:space="preserve">), variety </w:t>
      </w:r>
      <w:proofErr w:type="spellStart"/>
      <w:r w:rsidR="00183D2D" w:rsidRPr="00EC6238">
        <w:rPr>
          <w:lang w:val="en-GB"/>
        </w:rPr>
        <w:t>Antalis</w:t>
      </w:r>
      <w:proofErr w:type="spellEnd"/>
      <w:r w:rsidR="00EC6238">
        <w:rPr>
          <w:lang w:val="en-GB"/>
        </w:rPr>
        <w:t xml:space="preserve"> in year 2022 and microbiome analysis of the wheat rhizosphere for years 2020, 2021 and 2022 by using PCR and HTS analysis.</w:t>
      </w:r>
    </w:p>
    <w:p w14:paraId="406734B7" w14:textId="322D3D33" w:rsidR="00512D9B" w:rsidRPr="00746B7D" w:rsidRDefault="00FB589C">
      <w:pPr>
        <w:tabs>
          <w:tab w:val="left" w:pos="567"/>
        </w:tabs>
        <w:ind w:left="567" w:hanging="567"/>
        <w:jc w:val="both"/>
        <w:rPr>
          <w:lang w:val="en-US"/>
        </w:rPr>
      </w:pPr>
      <w:r>
        <w:rPr>
          <w:lang w:val="en-GB"/>
        </w:rPr>
        <w:t xml:space="preserve">(A2) </w:t>
      </w:r>
      <w:r>
        <w:rPr>
          <w:lang w:val="en-GB"/>
        </w:rPr>
        <w:tab/>
      </w:r>
      <w:bookmarkStart w:id="0" w:name="_Hlk136964823"/>
      <w:r w:rsidR="005B241C" w:rsidRPr="005B241C">
        <w:rPr>
          <w:lang w:val="en-GB"/>
        </w:rPr>
        <w:t>Food safety</w:t>
      </w:r>
      <w:r w:rsidR="00A12669">
        <w:rPr>
          <w:lang w:val="en-GB"/>
        </w:rPr>
        <w:t>.</w:t>
      </w:r>
      <w:r w:rsidR="005B241C" w:rsidRPr="005B241C">
        <w:rPr>
          <w:lang w:val="en-GB"/>
        </w:rPr>
        <w:t xml:space="preserve"> </w:t>
      </w:r>
      <w:r w:rsidR="00A12669">
        <w:rPr>
          <w:lang w:val="en-GB"/>
        </w:rPr>
        <w:t>F</w:t>
      </w:r>
      <w:r w:rsidR="005B241C" w:rsidRPr="005B241C">
        <w:rPr>
          <w:lang w:val="en-GB"/>
        </w:rPr>
        <w:t>ungal contaminants of caryopses and mycotoxins</w:t>
      </w:r>
      <w:bookmarkEnd w:id="0"/>
      <w:r w:rsidR="005B241C">
        <w:rPr>
          <w:lang w:val="en-GB"/>
        </w:rPr>
        <w:t xml:space="preserve">. </w:t>
      </w:r>
      <w:r w:rsidR="00EC6238">
        <w:rPr>
          <w:lang w:val="en-GB"/>
        </w:rPr>
        <w:t>Morphological and m</w:t>
      </w:r>
      <w:r w:rsidR="00A12669">
        <w:rPr>
          <w:lang w:val="en-GB"/>
        </w:rPr>
        <w:t xml:space="preserve">olecular </w:t>
      </w:r>
      <w:r w:rsidR="00EC6238">
        <w:rPr>
          <w:lang w:val="en-GB"/>
        </w:rPr>
        <w:t xml:space="preserve">analysis of </w:t>
      </w:r>
      <w:r w:rsidR="00A12669">
        <w:rPr>
          <w:lang w:val="en-GB"/>
        </w:rPr>
        <w:t xml:space="preserve">fungal species isolated from wheat </w:t>
      </w:r>
      <w:r w:rsidR="00EC6238">
        <w:rPr>
          <w:lang w:val="en-GB"/>
        </w:rPr>
        <w:t>caryopsis collected through the period of three years (2020 – 2022)</w:t>
      </w:r>
      <w:r w:rsidR="00D34A29">
        <w:rPr>
          <w:lang w:val="en-GB"/>
        </w:rPr>
        <w:t xml:space="preserve"> and </w:t>
      </w:r>
      <w:r>
        <w:rPr>
          <w:lang w:val="en-GB"/>
        </w:rPr>
        <w:t>assessment</w:t>
      </w:r>
      <w:r w:rsidR="00EC6238">
        <w:rPr>
          <w:lang w:val="en-GB"/>
        </w:rPr>
        <w:t xml:space="preserve"> of mycotoxins present</w:t>
      </w:r>
      <w:r>
        <w:rPr>
          <w:lang w:val="en-GB"/>
        </w:rPr>
        <w:t xml:space="preserve">.  </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7F935417" w14:textId="3112903F" w:rsidR="00512D9B" w:rsidRDefault="000D0F70" w:rsidP="00EA1223">
      <w:pPr>
        <w:jc w:val="both"/>
        <w:rPr>
          <w:lang w:val="en-GB"/>
        </w:rPr>
      </w:pPr>
      <w:r>
        <w:rPr>
          <w:lang w:val="en-GB"/>
        </w:rPr>
        <w:t>The sampling of wheat took place three time</w:t>
      </w:r>
      <w:r w:rsidR="008F496A">
        <w:rPr>
          <w:lang w:val="en-GB"/>
        </w:rPr>
        <w:t>s</w:t>
      </w:r>
      <w:r>
        <w:rPr>
          <w:lang w:val="en-GB"/>
        </w:rPr>
        <w:t xml:space="preserve"> in each </w:t>
      </w:r>
      <w:r w:rsidR="006B47B1">
        <w:rPr>
          <w:lang w:val="en-GB"/>
        </w:rPr>
        <w:t xml:space="preserve">experimentation </w:t>
      </w:r>
      <w:r>
        <w:rPr>
          <w:lang w:val="en-GB"/>
        </w:rPr>
        <w:t xml:space="preserve">year in order to understand if there is a difference between different phenological phases: </w:t>
      </w:r>
      <w:r w:rsidR="008F496A" w:rsidRPr="008F496A">
        <w:rPr>
          <w:lang w:val="en-GB"/>
        </w:rPr>
        <w:t>A) Tilling; B) Rising; C) Ripening</w:t>
      </w:r>
      <w:r w:rsidR="008F496A">
        <w:rPr>
          <w:lang w:val="en-GB"/>
        </w:rPr>
        <w:t xml:space="preserve">. Besides that, </w:t>
      </w:r>
      <w:r w:rsidR="007E3802">
        <w:rPr>
          <w:lang w:val="en-GB"/>
        </w:rPr>
        <w:t xml:space="preserve">different soil treatments were considered: </w:t>
      </w:r>
      <w:r w:rsidR="008F496A">
        <w:rPr>
          <w:lang w:val="en-GB"/>
        </w:rPr>
        <w:t>organic compost or mineral fertilizer</w:t>
      </w:r>
      <w:r w:rsidR="007E3802">
        <w:rPr>
          <w:lang w:val="en-GB"/>
        </w:rPr>
        <w:t>,</w:t>
      </w:r>
      <w:r w:rsidR="008F496A">
        <w:rPr>
          <w:lang w:val="en-GB"/>
        </w:rPr>
        <w:t xml:space="preserve"> </w:t>
      </w:r>
      <w:r w:rsidR="007E3802">
        <w:rPr>
          <w:lang w:val="en-GB"/>
        </w:rPr>
        <w:t xml:space="preserve">as well as </w:t>
      </w:r>
      <w:r w:rsidR="008F496A">
        <w:rPr>
          <w:lang w:val="en-GB"/>
        </w:rPr>
        <w:t>different soil</w:t>
      </w:r>
      <w:r w:rsidR="006B47B1">
        <w:rPr>
          <w:lang w:val="en-GB"/>
        </w:rPr>
        <w:t xml:space="preserve"> tillage practi</w:t>
      </w:r>
      <w:r w:rsidR="00DA3ACC">
        <w:rPr>
          <w:lang w:val="en-GB"/>
        </w:rPr>
        <w:t>c</w:t>
      </w:r>
      <w:r w:rsidR="006B47B1">
        <w:rPr>
          <w:lang w:val="en-GB"/>
        </w:rPr>
        <w:t xml:space="preserve">es: A) Ploughing; B) Digging; C) Ripping. </w:t>
      </w:r>
      <w:r w:rsidR="00473EB8" w:rsidRPr="00473EB8">
        <w:rPr>
          <w:lang w:val="en-GB"/>
        </w:rPr>
        <w:t xml:space="preserve">Total DNA was extracted from </w:t>
      </w:r>
      <w:r w:rsidR="00473EB8">
        <w:rPr>
          <w:lang w:val="en-GB"/>
        </w:rPr>
        <w:t>soil samples</w:t>
      </w:r>
      <w:r w:rsidR="00473EB8" w:rsidRPr="00473EB8">
        <w:rPr>
          <w:lang w:val="en-GB"/>
        </w:rPr>
        <w:t xml:space="preserve"> using the </w:t>
      </w:r>
      <w:proofErr w:type="spellStart"/>
      <w:r w:rsidR="00473EB8">
        <w:rPr>
          <w:lang w:val="en-GB"/>
        </w:rPr>
        <w:t>Nucleo</w:t>
      </w:r>
      <w:proofErr w:type="spellEnd"/>
      <w:r w:rsidR="00473EB8">
        <w:rPr>
          <w:lang w:val="en-GB"/>
        </w:rPr>
        <w:t xml:space="preserve"> Spin </w:t>
      </w:r>
      <w:r w:rsidR="00473EB8" w:rsidRPr="00473EB8">
        <w:rPr>
          <w:lang w:val="en-GB"/>
        </w:rPr>
        <w:t>Soil Kit (</w:t>
      </w:r>
      <w:proofErr w:type="spellStart"/>
      <w:r w:rsidR="00473EB8">
        <w:rPr>
          <w:lang w:val="en-GB"/>
        </w:rPr>
        <w:t>Macherey</w:t>
      </w:r>
      <w:proofErr w:type="spellEnd"/>
      <w:r w:rsidR="00473EB8">
        <w:rPr>
          <w:lang w:val="en-GB"/>
        </w:rPr>
        <w:t xml:space="preserve"> - Nagel</w:t>
      </w:r>
      <w:r w:rsidR="00473EB8" w:rsidRPr="00473EB8">
        <w:rPr>
          <w:lang w:val="en-GB"/>
        </w:rPr>
        <w:t xml:space="preserve">), following the </w:t>
      </w:r>
      <w:r w:rsidR="00473EB8">
        <w:rPr>
          <w:lang w:val="en-GB"/>
        </w:rPr>
        <w:t>protocol. The PCR reaction was done using t</w:t>
      </w:r>
      <w:r w:rsidR="00473EB8" w:rsidRPr="00473EB8">
        <w:rPr>
          <w:lang w:val="en-GB"/>
        </w:rPr>
        <w:t>he ITS1 region was amplified with a dual indexing primer using the tagged primer pair ITS1F</w:t>
      </w:r>
      <w:r w:rsidR="00A02A06">
        <w:rPr>
          <w:lang w:val="en-GB"/>
        </w:rPr>
        <w:t xml:space="preserve"> </w:t>
      </w:r>
      <w:r w:rsidR="00473EB8" w:rsidRPr="00473EB8">
        <w:rPr>
          <w:lang w:val="en-GB"/>
        </w:rPr>
        <w:t xml:space="preserve">and ITS2. The thermal cycle was an initial denaturation at 94 ºC for 10 min followed by 30 cycles of 95 ºC for 40 s, 60 ºC for 40 s and 72 ºC for 1 min, and a final elongation step of 72 ºC for 10 min. Amplicons were purified using the Mag JET NGS </w:t>
      </w:r>
      <w:r w:rsidR="00927521" w:rsidRPr="00473EB8">
        <w:rPr>
          <w:lang w:val="en-GB"/>
        </w:rPr>
        <w:t>Clean-up</w:t>
      </w:r>
      <w:r w:rsidR="00473EB8" w:rsidRPr="00473EB8">
        <w:rPr>
          <w:lang w:val="en-GB"/>
        </w:rPr>
        <w:t xml:space="preserve"> (</w:t>
      </w:r>
      <w:proofErr w:type="spellStart"/>
      <w:r w:rsidR="00473EB8" w:rsidRPr="00473EB8">
        <w:rPr>
          <w:lang w:val="en-GB"/>
        </w:rPr>
        <w:t>Thermo</w:t>
      </w:r>
      <w:proofErr w:type="spellEnd"/>
      <w:r w:rsidR="00473EB8" w:rsidRPr="00473EB8">
        <w:rPr>
          <w:lang w:val="en-GB"/>
        </w:rPr>
        <w:t xml:space="preserve"> Scientific, USA), quantified with the Qubit Quantitation kit (Invitrogen, USA), and pooled at equal concentrations for sequencing. Paired-</w:t>
      </w:r>
      <w:r w:rsidR="00927521" w:rsidRPr="00473EB8">
        <w:rPr>
          <w:lang w:val="en-GB"/>
        </w:rPr>
        <w:t>end sequencing</w:t>
      </w:r>
      <w:r w:rsidR="00473EB8" w:rsidRPr="00473EB8">
        <w:rPr>
          <w:lang w:val="en-GB"/>
        </w:rPr>
        <w:t xml:space="preserve"> (2 x 300 bp) was carried out on an Illumina Mi </w:t>
      </w:r>
      <w:proofErr w:type="spellStart"/>
      <w:r w:rsidR="00473EB8" w:rsidRPr="00473EB8">
        <w:rPr>
          <w:lang w:val="en-GB"/>
        </w:rPr>
        <w:t>Seq</w:t>
      </w:r>
      <w:proofErr w:type="spellEnd"/>
      <w:r w:rsidR="00473EB8" w:rsidRPr="00473EB8">
        <w:rPr>
          <w:lang w:val="en-GB"/>
        </w:rPr>
        <w:t xml:space="preserve"> sequencer by </w:t>
      </w:r>
      <w:proofErr w:type="spellStart"/>
      <w:r w:rsidR="00473EB8" w:rsidRPr="00473EB8">
        <w:rPr>
          <w:lang w:val="en-GB"/>
        </w:rPr>
        <w:t>Fasteris</w:t>
      </w:r>
      <w:proofErr w:type="spellEnd"/>
      <w:r w:rsidR="00473EB8" w:rsidRPr="00473EB8">
        <w:rPr>
          <w:lang w:val="en-GB"/>
        </w:rPr>
        <w:t xml:space="preserve"> SA (Switzerland)</w:t>
      </w:r>
      <w:r w:rsidR="00473EB8">
        <w:rPr>
          <w:lang w:val="en-GB"/>
        </w:rPr>
        <w:t xml:space="preserve"> for samples collected in 2020</w:t>
      </w:r>
      <w:r w:rsidR="00473EB8" w:rsidRPr="00473EB8">
        <w:rPr>
          <w:lang w:val="en-GB"/>
        </w:rPr>
        <w:t>.</w:t>
      </w:r>
    </w:p>
    <w:p w14:paraId="2533640A" w14:textId="2A13F27D" w:rsidR="00A02A06" w:rsidRDefault="00927521" w:rsidP="00EA1223">
      <w:pPr>
        <w:jc w:val="both"/>
        <w:rPr>
          <w:lang w:val="en-GB"/>
        </w:rPr>
      </w:pPr>
      <w:r>
        <w:rPr>
          <w:lang w:val="en-GB"/>
        </w:rPr>
        <w:t>Furthermore</w:t>
      </w:r>
      <w:r w:rsidR="00DA3ACC">
        <w:rPr>
          <w:lang w:val="en-GB"/>
        </w:rPr>
        <w:t>, the analyses of caryops</w:t>
      </w:r>
      <w:r w:rsidR="007E3802">
        <w:rPr>
          <w:lang w:val="en-GB"/>
        </w:rPr>
        <w:t>e</w:t>
      </w:r>
      <w:r w:rsidR="00DA3ACC">
        <w:rPr>
          <w:lang w:val="en-GB"/>
        </w:rPr>
        <w:t>s were done by isolation of fungal species and their morphological and molecular analyses. The morphological analyses were done by placing the caryops</w:t>
      </w:r>
      <w:r w:rsidR="007E3802">
        <w:rPr>
          <w:lang w:val="en-GB"/>
        </w:rPr>
        <w:t>e</w:t>
      </w:r>
      <w:r w:rsidR="00DA3ACC">
        <w:rPr>
          <w:lang w:val="en-GB"/>
        </w:rPr>
        <w:t xml:space="preserve">s in Petri plates </w:t>
      </w:r>
      <w:r w:rsidR="00B159E5">
        <w:rPr>
          <w:lang w:val="en-GB"/>
        </w:rPr>
        <w:t xml:space="preserve">using the </w:t>
      </w:r>
      <w:r>
        <w:rPr>
          <w:lang w:val="en-GB"/>
        </w:rPr>
        <w:t>DFB method as described by (</w:t>
      </w:r>
      <w:proofErr w:type="spellStart"/>
      <w:r>
        <w:rPr>
          <w:lang w:val="en-GB"/>
        </w:rPr>
        <w:t>Liomonard</w:t>
      </w:r>
      <w:proofErr w:type="spellEnd"/>
      <w:r>
        <w:rPr>
          <w:lang w:val="en-GB"/>
        </w:rPr>
        <w:t xml:space="preserve"> 1996) and the </w:t>
      </w:r>
      <w:r w:rsidR="00B159E5">
        <w:rPr>
          <w:lang w:val="en-GB"/>
        </w:rPr>
        <w:t xml:space="preserve">culture medium PDA (Potato Dextrose Agar). Once the pure cultures were obtained the morphotypes were assigned based on macro morphology. Afterwards, the molecular analyses were done in order to reach the fungal species, started from the DNA extraction of morphotypes, PCR, purification of amplicons, quantification and sequencing </w:t>
      </w:r>
      <w:r w:rsidR="00AC5D28">
        <w:rPr>
          <w:lang w:val="en-GB"/>
        </w:rPr>
        <w:t xml:space="preserve">(M. T. </w:t>
      </w:r>
      <w:proofErr w:type="spellStart"/>
      <w:r w:rsidR="00AC5D28">
        <w:rPr>
          <w:lang w:val="en-GB"/>
        </w:rPr>
        <w:t>Senatore</w:t>
      </w:r>
      <w:proofErr w:type="spellEnd"/>
      <w:r w:rsidR="00AC5D28">
        <w:rPr>
          <w:lang w:val="en-GB"/>
        </w:rPr>
        <w:t xml:space="preserve"> </w:t>
      </w:r>
      <w:r w:rsidR="00AC5D28" w:rsidRPr="00AC5D28">
        <w:rPr>
          <w:i/>
          <w:iCs/>
          <w:lang w:val="en-GB"/>
        </w:rPr>
        <w:t>et al</w:t>
      </w:r>
      <w:r w:rsidR="00AC5D28">
        <w:rPr>
          <w:lang w:val="en-GB"/>
        </w:rPr>
        <w:t>., 2023</w:t>
      </w:r>
      <w:r>
        <w:rPr>
          <w:lang w:val="en-GB"/>
        </w:rPr>
        <w:t xml:space="preserve">; G. </w:t>
      </w:r>
      <w:proofErr w:type="spellStart"/>
      <w:r>
        <w:rPr>
          <w:lang w:val="en-GB"/>
        </w:rPr>
        <w:t>Beccari</w:t>
      </w:r>
      <w:proofErr w:type="spellEnd"/>
      <w:r>
        <w:rPr>
          <w:lang w:val="en-GB"/>
        </w:rPr>
        <w:t xml:space="preserve"> </w:t>
      </w:r>
      <w:r w:rsidRPr="00927521">
        <w:rPr>
          <w:i/>
          <w:iCs/>
          <w:lang w:val="en-GB"/>
        </w:rPr>
        <w:t>et</w:t>
      </w:r>
      <w:r>
        <w:rPr>
          <w:lang w:val="en-GB"/>
        </w:rPr>
        <w:t xml:space="preserve"> </w:t>
      </w:r>
      <w:r w:rsidRPr="00927521">
        <w:rPr>
          <w:i/>
          <w:iCs/>
          <w:lang w:val="en-GB"/>
        </w:rPr>
        <w:t>al</w:t>
      </w:r>
      <w:r>
        <w:rPr>
          <w:lang w:val="en-GB"/>
        </w:rPr>
        <w:t>., 2020</w:t>
      </w:r>
      <w:r w:rsidR="00AC5D28">
        <w:rPr>
          <w:lang w:val="en-GB"/>
        </w:rPr>
        <w:t xml:space="preserve">). </w:t>
      </w:r>
      <w:r w:rsidR="00B159E5">
        <w:rPr>
          <w:lang w:val="en-GB"/>
        </w:rPr>
        <w:t>The PCR reaction was done using ITS1 and ITS4 primers and elongation factor.</w:t>
      </w:r>
    </w:p>
    <w:p w14:paraId="520DEE64" w14:textId="77777777" w:rsidR="00512D9B" w:rsidRDefault="00FB589C">
      <w:pPr>
        <w:pStyle w:val="Titolo1"/>
        <w:spacing w:before="240" w:after="120"/>
        <w:ind w:right="0"/>
        <w:jc w:val="both"/>
        <w:rPr>
          <w:b/>
          <w:bCs/>
          <w:color w:val="000000"/>
          <w:sz w:val="24"/>
          <w:lang w:val="en-GB"/>
        </w:rPr>
      </w:pPr>
      <w:r>
        <w:rPr>
          <w:b/>
          <w:bCs/>
          <w:color w:val="000000"/>
          <w:sz w:val="24"/>
          <w:lang w:val="en-GB"/>
        </w:rPr>
        <w:lastRenderedPageBreak/>
        <w:t>3. Results and Discussion</w:t>
      </w:r>
    </w:p>
    <w:p w14:paraId="7B7F4BDD" w14:textId="3C021C49" w:rsidR="00512D9B" w:rsidRDefault="00FB589C">
      <w:pPr>
        <w:pStyle w:val="Titolo2"/>
        <w:jc w:val="both"/>
        <w:rPr>
          <w:b/>
          <w:bCs/>
          <w:sz w:val="20"/>
          <w:lang w:val="en-GB"/>
        </w:rPr>
      </w:pPr>
      <w:r>
        <w:rPr>
          <w:b/>
          <w:bCs/>
          <w:sz w:val="20"/>
          <w:lang w:val="en-GB"/>
        </w:rPr>
        <w:t xml:space="preserve">3.1 </w:t>
      </w:r>
      <w:r w:rsidR="0056567E">
        <w:rPr>
          <w:b/>
          <w:bCs/>
          <w:sz w:val="20"/>
          <w:lang w:val="en-GB"/>
        </w:rPr>
        <w:t>Biodiversity and metagenomics</w:t>
      </w:r>
    </w:p>
    <w:p w14:paraId="16DB4F2E" w14:textId="56D855BC" w:rsidR="00592D69" w:rsidRDefault="00592D69" w:rsidP="000250B2">
      <w:pPr>
        <w:jc w:val="both"/>
        <w:rPr>
          <w:lang w:val="en-GB"/>
        </w:rPr>
      </w:pPr>
      <w:r w:rsidRPr="00592D69">
        <w:rPr>
          <w:lang w:val="en-GB"/>
        </w:rPr>
        <w:t>Bioinformatics analyses are still in progress. Results for the fungal population in are completed for year 2020 in terms of order distribution. We are witnessing the first year of experimentation with a strong increase in fungal orders in plots fertilized with compost with a significant change in the percentage of orders. The order with greater frequency is the Hypocreales</w:t>
      </w:r>
      <w:r w:rsidR="00E8769E">
        <w:rPr>
          <w:lang w:val="en-GB"/>
        </w:rPr>
        <w:t xml:space="preserve">, </w:t>
      </w:r>
      <w:r w:rsidR="00E8769E">
        <w:rPr>
          <w:lang w:val="en-US"/>
        </w:rPr>
        <w:t>represented by Fusarium species (</w:t>
      </w:r>
      <w:r w:rsidR="00E8769E" w:rsidRPr="00E8769E">
        <w:rPr>
          <w:i/>
          <w:iCs/>
          <w:lang w:val="en-US"/>
        </w:rPr>
        <w:t xml:space="preserve">Fusarium </w:t>
      </w:r>
      <w:proofErr w:type="spellStart"/>
      <w:r w:rsidR="00E8769E" w:rsidRPr="00E8769E">
        <w:rPr>
          <w:i/>
          <w:iCs/>
          <w:lang w:val="en-US"/>
        </w:rPr>
        <w:t>brachygibbosum</w:t>
      </w:r>
      <w:proofErr w:type="spellEnd"/>
      <w:r w:rsidR="00E8769E" w:rsidRPr="00E8769E">
        <w:rPr>
          <w:i/>
          <w:iCs/>
          <w:lang w:val="en-US"/>
        </w:rPr>
        <w:t xml:space="preserve">, Fusarium </w:t>
      </w:r>
      <w:proofErr w:type="spellStart"/>
      <w:r w:rsidR="00E8769E" w:rsidRPr="00E8769E">
        <w:rPr>
          <w:i/>
          <w:iCs/>
          <w:lang w:val="en-US"/>
        </w:rPr>
        <w:t>equiseti</w:t>
      </w:r>
      <w:proofErr w:type="spellEnd"/>
      <w:r w:rsidR="00E8769E" w:rsidRPr="00E8769E">
        <w:rPr>
          <w:i/>
          <w:iCs/>
          <w:lang w:val="en-US"/>
        </w:rPr>
        <w:t xml:space="preserve">, Fusarium </w:t>
      </w:r>
      <w:proofErr w:type="spellStart"/>
      <w:r w:rsidR="00E8769E" w:rsidRPr="00E8769E">
        <w:rPr>
          <w:i/>
          <w:iCs/>
          <w:lang w:val="en-US"/>
        </w:rPr>
        <w:t>oxysporum</w:t>
      </w:r>
      <w:proofErr w:type="spellEnd"/>
      <w:r w:rsidR="00E8769E" w:rsidRPr="00E8769E">
        <w:rPr>
          <w:i/>
          <w:iCs/>
          <w:lang w:val="en-US"/>
        </w:rPr>
        <w:t xml:space="preserve"> species complex, Fusarium </w:t>
      </w:r>
      <w:proofErr w:type="spellStart"/>
      <w:r w:rsidR="00E8769E" w:rsidRPr="00E8769E">
        <w:rPr>
          <w:i/>
          <w:iCs/>
          <w:lang w:val="en-US"/>
        </w:rPr>
        <w:t>redolens</w:t>
      </w:r>
      <w:proofErr w:type="spellEnd"/>
      <w:r w:rsidR="00E8769E" w:rsidRPr="00E8769E">
        <w:rPr>
          <w:i/>
          <w:iCs/>
          <w:lang w:val="en-US"/>
        </w:rPr>
        <w:t xml:space="preserve">, Fusarium </w:t>
      </w:r>
      <w:proofErr w:type="spellStart"/>
      <w:r w:rsidR="00E8769E" w:rsidRPr="00E8769E">
        <w:rPr>
          <w:i/>
          <w:iCs/>
          <w:lang w:val="en-US"/>
        </w:rPr>
        <w:t>poae</w:t>
      </w:r>
      <w:proofErr w:type="spellEnd"/>
      <w:r w:rsidR="00E8769E" w:rsidRPr="00E8769E">
        <w:rPr>
          <w:i/>
          <w:iCs/>
          <w:lang w:val="en-US"/>
        </w:rPr>
        <w:t xml:space="preserve">, Fusarium </w:t>
      </w:r>
      <w:proofErr w:type="spellStart"/>
      <w:r w:rsidR="00E8769E" w:rsidRPr="00E8769E">
        <w:rPr>
          <w:i/>
          <w:iCs/>
          <w:lang w:val="en-US"/>
        </w:rPr>
        <w:t>solani</w:t>
      </w:r>
      <w:proofErr w:type="spellEnd"/>
      <w:r w:rsidR="00E8769E" w:rsidRPr="00E8769E">
        <w:rPr>
          <w:i/>
          <w:iCs/>
          <w:lang w:val="en-US"/>
        </w:rPr>
        <w:t xml:space="preserve"> species complex</w:t>
      </w:r>
      <w:r w:rsidR="00E8769E">
        <w:rPr>
          <w:i/>
          <w:iCs/>
          <w:lang w:val="en-US"/>
        </w:rPr>
        <w:t>)</w:t>
      </w:r>
      <w:r w:rsidR="00490F91">
        <w:rPr>
          <w:lang w:val="en-US"/>
        </w:rPr>
        <w:t xml:space="preserve"> which results to be more abundant in plots treated with mineral fertilizer</w:t>
      </w:r>
      <w:r w:rsidR="0022104C">
        <w:rPr>
          <w:lang w:val="en-US"/>
        </w:rPr>
        <w:t xml:space="preserve"> (</w:t>
      </w:r>
      <w:r w:rsidR="0022104C" w:rsidRPr="0022104C">
        <w:rPr>
          <w:b/>
          <w:bCs/>
          <w:i/>
          <w:iCs/>
          <w:lang w:val="en-US"/>
        </w:rPr>
        <w:t>Fig</w:t>
      </w:r>
      <w:r w:rsidR="0022104C">
        <w:rPr>
          <w:b/>
          <w:bCs/>
          <w:i/>
          <w:iCs/>
          <w:lang w:val="en-US"/>
        </w:rPr>
        <w:t>.</w:t>
      </w:r>
      <w:r w:rsidR="0022104C" w:rsidRPr="0022104C">
        <w:rPr>
          <w:b/>
          <w:bCs/>
          <w:i/>
          <w:iCs/>
          <w:lang w:val="en-US"/>
        </w:rPr>
        <w:t xml:space="preserve"> 1</w:t>
      </w:r>
      <w:r w:rsidR="0022104C">
        <w:rPr>
          <w:lang w:val="en-US"/>
        </w:rPr>
        <w:t>)</w:t>
      </w:r>
      <w:r w:rsidR="00490F91">
        <w:rPr>
          <w:lang w:val="en-US"/>
        </w:rPr>
        <w:t>.</w:t>
      </w:r>
      <w:r w:rsidRPr="00592D69">
        <w:rPr>
          <w:lang w:val="en-GB"/>
        </w:rPr>
        <w:t xml:space="preserve"> From what emerges from the Venn diagram (</w:t>
      </w:r>
      <w:r w:rsidRPr="0022104C">
        <w:rPr>
          <w:b/>
          <w:bCs/>
          <w:i/>
          <w:iCs/>
          <w:lang w:val="en-GB"/>
        </w:rPr>
        <w:t xml:space="preserve">Fig. </w:t>
      </w:r>
      <w:r w:rsidR="00490F91" w:rsidRPr="0022104C">
        <w:rPr>
          <w:b/>
          <w:bCs/>
          <w:i/>
          <w:iCs/>
          <w:lang w:val="en-GB"/>
        </w:rPr>
        <w:t>2</w:t>
      </w:r>
      <w:r w:rsidRPr="00592D69">
        <w:rPr>
          <w:lang w:val="en-GB"/>
        </w:rPr>
        <w:t xml:space="preserve">), the </w:t>
      </w:r>
      <w:r w:rsidR="007C47F8" w:rsidRPr="00592D69">
        <w:rPr>
          <w:lang w:val="en-GB"/>
        </w:rPr>
        <w:t>rhizosphere</w:t>
      </w:r>
      <w:r w:rsidRPr="00592D69">
        <w:rPr>
          <w:lang w:val="en-GB"/>
        </w:rPr>
        <w:t xml:space="preserve"> soil of the plots fertilized with compost together present 60% more of the fungal orders. Ongoing analyses will provide more detail on the functionality of fungal species over the three years and the role of compost in providing ecosystem systems for the biological part of soil fertility.</w:t>
      </w:r>
    </w:p>
    <w:p w14:paraId="5A02AA29" w14:textId="4D39A487" w:rsidR="00E8769E" w:rsidRDefault="00490F91" w:rsidP="00692D26">
      <w:pPr>
        <w:rPr>
          <w:lang w:val="en-GB"/>
        </w:rPr>
      </w:pPr>
      <w:r>
        <w:rPr>
          <w:noProof/>
          <w:sz w:val="24"/>
          <w:szCs w:val="24"/>
          <w:lang w:val="en-US"/>
        </w:rPr>
        <mc:AlternateContent>
          <mc:Choice Requires="wps">
            <w:drawing>
              <wp:anchor distT="0" distB="0" distL="114300" distR="114300" simplePos="0" relativeHeight="251659264" behindDoc="0" locked="0" layoutInCell="1" allowOverlap="1" wp14:anchorId="47DC01FF" wp14:editId="4DB4A66F">
                <wp:simplePos x="0" y="0"/>
                <wp:positionH relativeFrom="margin">
                  <wp:posOffset>3517265</wp:posOffset>
                </wp:positionH>
                <wp:positionV relativeFrom="paragraph">
                  <wp:posOffset>234950</wp:posOffset>
                </wp:positionV>
                <wp:extent cx="1080000" cy="252000"/>
                <wp:effectExtent l="0" t="0" r="25400" b="15240"/>
                <wp:wrapNone/>
                <wp:docPr id="15" name="Casella di testo 15"/>
                <wp:cNvGraphicFramePr/>
                <a:graphic xmlns:a="http://schemas.openxmlformats.org/drawingml/2006/main">
                  <a:graphicData uri="http://schemas.microsoft.com/office/word/2010/wordprocessingShape">
                    <wps:wsp>
                      <wps:cNvSpPr txBox="1"/>
                      <wps:spPr>
                        <a:xfrm>
                          <a:off x="0" y="0"/>
                          <a:ext cx="1080000" cy="252000"/>
                        </a:xfrm>
                        <a:prstGeom prst="rect">
                          <a:avLst/>
                        </a:prstGeom>
                        <a:solidFill>
                          <a:schemeClr val="lt1"/>
                        </a:solidFill>
                        <a:ln w="6350">
                          <a:solidFill>
                            <a:schemeClr val="bg1"/>
                          </a:solidFill>
                        </a:ln>
                      </wps:spPr>
                      <wps:txbx>
                        <w:txbxContent>
                          <w:p w14:paraId="5297E70A" w14:textId="77777777" w:rsidR="00E8769E" w:rsidRPr="00E8769E" w:rsidRDefault="00E8769E" w:rsidP="00E8769E">
                            <w:pPr>
                              <w:jc w:val="center"/>
                            </w:pPr>
                            <w:proofErr w:type="spellStart"/>
                            <w:r w:rsidRPr="00E8769E">
                              <w:t>Mineral</w:t>
                            </w:r>
                            <w:proofErr w:type="spellEnd"/>
                            <w:r w:rsidRPr="00E8769E">
                              <w:t xml:space="preserve"> </w:t>
                            </w:r>
                            <w:proofErr w:type="spellStart"/>
                            <w:r w:rsidRPr="00E8769E">
                              <w:t>fertilizer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C01FF" id="_x0000_t202" coordsize="21600,21600" o:spt="202" path="m,l,21600r21600,l21600,xe">
                <v:stroke joinstyle="miter"/>
                <v:path gradientshapeok="t" o:connecttype="rect"/>
              </v:shapetype>
              <v:shape id="Casella di testo 15" o:spid="_x0000_s1026" type="#_x0000_t202" style="position:absolute;margin-left:276.95pt;margin-top:18.5pt;width:85.0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" fillcolor="white [3201]" strokecolor="white [3212]" strokeweight=".5pt">
                <v:textbox>
                  <w:txbxContent>
                    <w:p w14:paraId="5297E70A" w14:textId="77777777" w:rsidR="00E8769E" w:rsidRPr="00E8769E" w:rsidRDefault="00E8769E" w:rsidP="00E8769E">
                      <w:pPr>
                        <w:jc w:val="center"/>
                      </w:pPr>
                      <w:proofErr w:type="spellStart"/>
                      <w:r w:rsidRPr="00E8769E">
                        <w:t>Mineral</w:t>
                      </w:r>
                      <w:proofErr w:type="spellEnd"/>
                      <w:r w:rsidRPr="00E8769E">
                        <w:t xml:space="preserve"> </w:t>
                      </w:r>
                      <w:proofErr w:type="spellStart"/>
                      <w:r w:rsidRPr="00E8769E">
                        <w:t>fertilizer</w:t>
                      </w:r>
                      <w:proofErr w:type="spellEnd"/>
                    </w:p>
                  </w:txbxContent>
                </v:textbox>
                <w10:wrap anchorx="margin"/>
              </v:shape>
            </w:pict>
          </mc:Fallback>
        </mc:AlternateContent>
      </w:r>
      <w:r>
        <w:rPr>
          <w:noProof/>
          <w:sz w:val="24"/>
          <w:szCs w:val="24"/>
          <w:lang w:val="en-US"/>
        </w:rPr>
        <mc:AlternateContent>
          <mc:Choice Requires="wps">
            <w:drawing>
              <wp:anchor distT="0" distB="0" distL="114300" distR="114300" simplePos="0" relativeHeight="251661312" behindDoc="0" locked="0" layoutInCell="1" allowOverlap="1" wp14:anchorId="0BC6ED31" wp14:editId="284CEE81">
                <wp:simplePos x="0" y="0"/>
                <wp:positionH relativeFrom="page">
                  <wp:posOffset>5718810</wp:posOffset>
                </wp:positionH>
                <wp:positionV relativeFrom="paragraph">
                  <wp:posOffset>1530350</wp:posOffset>
                </wp:positionV>
                <wp:extent cx="1080000" cy="252000"/>
                <wp:effectExtent l="0" t="0" r="25400" b="15240"/>
                <wp:wrapNone/>
                <wp:docPr id="24" name="Casella di testo 24"/>
                <wp:cNvGraphicFramePr/>
                <a:graphic xmlns:a="http://schemas.openxmlformats.org/drawingml/2006/main">
                  <a:graphicData uri="http://schemas.microsoft.com/office/word/2010/wordprocessingShape">
                    <wps:wsp>
                      <wps:cNvSpPr txBox="1"/>
                      <wps:spPr>
                        <a:xfrm>
                          <a:off x="0" y="0"/>
                          <a:ext cx="1080000" cy="252000"/>
                        </a:xfrm>
                        <a:prstGeom prst="rect">
                          <a:avLst/>
                        </a:prstGeom>
                        <a:solidFill>
                          <a:schemeClr val="lt1"/>
                        </a:solidFill>
                        <a:ln w="6350">
                          <a:solidFill>
                            <a:schemeClr val="bg1"/>
                          </a:solidFill>
                        </a:ln>
                      </wps:spPr>
                      <wps:txbx>
                        <w:txbxContent>
                          <w:p w14:paraId="597598EB" w14:textId="77777777" w:rsidR="00E8769E" w:rsidRPr="00E8769E" w:rsidRDefault="00E8769E" w:rsidP="00E8769E">
                            <w:pPr>
                              <w:jc w:val="center"/>
                            </w:pPr>
                            <w:proofErr w:type="spellStart"/>
                            <w:r w:rsidRPr="00E8769E">
                              <w:t>Organic</w:t>
                            </w:r>
                            <w:proofErr w:type="spellEnd"/>
                            <w:r w:rsidRPr="00E8769E">
                              <w:t xml:space="preserve"> compost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ED31" id="Casella di testo 24" o:spid="_x0000_s1027" type="#_x0000_t202" style="position:absolute;margin-left:450.3pt;margin-top:120.5pt;width:85.05pt;height:1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" fillcolor="white [3201]" strokecolor="white [3212]" strokeweight=".5pt">
                <v:textbox>
                  <w:txbxContent>
                    <w:p w14:paraId="597598EB" w14:textId="77777777" w:rsidR="00E8769E" w:rsidRPr="00E8769E" w:rsidRDefault="00E8769E" w:rsidP="00E8769E">
                      <w:pPr>
                        <w:jc w:val="center"/>
                      </w:pPr>
                      <w:proofErr w:type="spellStart"/>
                      <w:r w:rsidRPr="00E8769E">
                        <w:t>Organic</w:t>
                      </w:r>
                      <w:proofErr w:type="spellEnd"/>
                      <w:r w:rsidRPr="00E8769E">
                        <w:t xml:space="preserve"> compost</w:t>
                      </w:r>
                    </w:p>
                  </w:txbxContent>
                </v:textbox>
                <w10:wrap anchorx="page"/>
              </v:shape>
            </w:pict>
          </mc:Fallback>
        </mc:AlternateContent>
      </w:r>
      <w:r w:rsidR="00692D26">
        <w:rPr>
          <w:noProof/>
        </w:rPr>
        <w:drawing>
          <wp:inline distT="0" distB="0" distL="0" distR="0" wp14:anchorId="6C211D66" wp14:editId="635CFC32">
            <wp:extent cx="3240000" cy="1800000"/>
            <wp:effectExtent l="0" t="0" r="17780" b="10160"/>
            <wp:docPr id="1457890437" name="Grafico 1">
              <a:extLst xmlns:a="http://schemas.openxmlformats.org/drawingml/2006/main">
                <a:ext uri="{FF2B5EF4-FFF2-40B4-BE49-F238E27FC236}">
                  <a16:creationId xmlns:a16="http://schemas.microsoft.com/office/drawing/2014/main" id="{584A2EAC-F1D5-4726-B908-3A9D4D7F6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92D26">
        <w:rPr>
          <w:noProof/>
          <w:sz w:val="24"/>
          <w:szCs w:val="24"/>
          <w:lang w:val="en-US"/>
        </w:rPr>
        <w:t xml:space="preserve">         </w:t>
      </w:r>
      <w:r w:rsidR="00692D26">
        <w:rPr>
          <w:noProof/>
          <w:sz w:val="24"/>
          <w:szCs w:val="24"/>
          <w:lang w:val="en-US"/>
        </w:rPr>
        <w:drawing>
          <wp:inline distT="0" distB="0" distL="0" distR="0" wp14:anchorId="5FB6BB49" wp14:editId="5D16CF23">
            <wp:extent cx="2063859" cy="1512000"/>
            <wp:effectExtent l="0" t="0" r="0" b="0"/>
            <wp:docPr id="12" name="Immagine 12"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schermata, cerchio, Caratter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859" cy="1512000"/>
                    </a:xfrm>
                    <a:prstGeom prst="rect">
                      <a:avLst/>
                    </a:prstGeom>
                  </pic:spPr>
                </pic:pic>
              </a:graphicData>
            </a:graphic>
          </wp:inline>
        </w:drawing>
      </w:r>
    </w:p>
    <w:p w14:paraId="45161480" w14:textId="24903931" w:rsidR="00592D69" w:rsidRPr="000250B2" w:rsidRDefault="00490F91" w:rsidP="00592D69">
      <w:pPr>
        <w:rPr>
          <w:sz w:val="18"/>
          <w:szCs w:val="18"/>
          <w:lang w:val="en-GB"/>
        </w:rPr>
      </w:pPr>
      <w:r w:rsidRPr="000250B2">
        <w:rPr>
          <w:b/>
          <w:bCs/>
          <w:sz w:val="18"/>
          <w:szCs w:val="18"/>
          <w:lang w:val="en-GB"/>
        </w:rPr>
        <w:t>Fig</w:t>
      </w:r>
      <w:r w:rsidR="000250B2" w:rsidRPr="000250B2">
        <w:rPr>
          <w:b/>
          <w:bCs/>
          <w:sz w:val="18"/>
          <w:szCs w:val="18"/>
          <w:lang w:val="en-GB"/>
        </w:rPr>
        <w:t xml:space="preserve">ure </w:t>
      </w:r>
      <w:r w:rsidRPr="000250B2">
        <w:rPr>
          <w:b/>
          <w:bCs/>
          <w:sz w:val="18"/>
          <w:szCs w:val="18"/>
          <w:lang w:val="en-GB"/>
        </w:rPr>
        <w:t>1</w:t>
      </w:r>
      <w:r w:rsidRPr="000250B2">
        <w:rPr>
          <w:i/>
          <w:iCs/>
          <w:sz w:val="18"/>
          <w:szCs w:val="18"/>
          <w:lang w:val="en-GB"/>
        </w:rPr>
        <w:t xml:space="preserve"> Relative abundance of orders according to different treatments</w:t>
      </w:r>
      <w:r w:rsidR="0022104C" w:rsidRPr="000250B2">
        <w:rPr>
          <w:sz w:val="18"/>
          <w:szCs w:val="18"/>
          <w:lang w:val="en-GB"/>
        </w:rPr>
        <w:t xml:space="preserve">                            </w:t>
      </w:r>
      <w:r w:rsidR="0022104C" w:rsidRPr="000250B2">
        <w:rPr>
          <w:b/>
          <w:bCs/>
          <w:sz w:val="18"/>
          <w:szCs w:val="18"/>
          <w:lang w:val="en-GB"/>
        </w:rPr>
        <w:t>Fig</w:t>
      </w:r>
      <w:r w:rsidR="000250B2" w:rsidRPr="000250B2">
        <w:rPr>
          <w:b/>
          <w:bCs/>
          <w:sz w:val="18"/>
          <w:szCs w:val="18"/>
          <w:lang w:val="en-GB"/>
        </w:rPr>
        <w:t>ure</w:t>
      </w:r>
      <w:r w:rsidR="0022104C" w:rsidRPr="000250B2">
        <w:rPr>
          <w:b/>
          <w:bCs/>
          <w:sz w:val="18"/>
          <w:szCs w:val="18"/>
          <w:lang w:val="en-GB"/>
        </w:rPr>
        <w:t xml:space="preserve"> 2</w:t>
      </w:r>
      <w:r w:rsidR="0022104C" w:rsidRPr="000250B2">
        <w:rPr>
          <w:sz w:val="18"/>
          <w:szCs w:val="18"/>
          <w:lang w:val="en-GB"/>
        </w:rPr>
        <w:t xml:space="preserve"> </w:t>
      </w:r>
      <w:r w:rsidR="0022104C" w:rsidRPr="000250B2">
        <w:rPr>
          <w:i/>
          <w:iCs/>
          <w:sz w:val="18"/>
          <w:szCs w:val="18"/>
          <w:lang w:val="en-GB"/>
        </w:rPr>
        <w:t>Venn diagram</w:t>
      </w:r>
    </w:p>
    <w:p w14:paraId="72A8FD4D" w14:textId="1D198766" w:rsidR="00512D9B" w:rsidRPr="007C47F8" w:rsidRDefault="00FB589C">
      <w:pPr>
        <w:pStyle w:val="Titolo2"/>
        <w:spacing w:before="240" w:after="120"/>
        <w:jc w:val="both"/>
        <w:rPr>
          <w:b/>
          <w:bCs/>
          <w:sz w:val="24"/>
          <w:szCs w:val="24"/>
          <w:lang w:val="en-GB"/>
        </w:rPr>
      </w:pPr>
      <w:r w:rsidRPr="007C47F8">
        <w:rPr>
          <w:b/>
          <w:bCs/>
          <w:sz w:val="24"/>
          <w:szCs w:val="24"/>
          <w:lang w:val="en-GB"/>
        </w:rPr>
        <w:t xml:space="preserve">3.2 </w:t>
      </w:r>
      <w:r w:rsidR="0056567E" w:rsidRPr="007C47F8">
        <w:rPr>
          <w:b/>
          <w:bCs/>
          <w:sz w:val="24"/>
          <w:szCs w:val="24"/>
          <w:lang w:val="en-GB"/>
        </w:rPr>
        <w:t>Food safety: fungal contaminants of caryopses and mycotoxins</w:t>
      </w:r>
    </w:p>
    <w:p w14:paraId="1F9EE62B" w14:textId="1D158968" w:rsidR="0022104C" w:rsidRDefault="00153E70" w:rsidP="00153E70">
      <w:pPr>
        <w:jc w:val="both"/>
        <w:rPr>
          <w:lang w:val="en-GB"/>
        </w:rPr>
      </w:pPr>
      <w:r w:rsidRPr="00153E70">
        <w:rPr>
          <w:lang w:val="en-GB"/>
        </w:rPr>
        <w:t xml:space="preserve">The results obtained indicate that in the three years of experimentation there has been a variation in the abundance of the various fungal species colonizing the caryopsis. These variations were mainly due to the meteorological </w:t>
      </w:r>
      <w:r w:rsidR="00BA2EDC">
        <w:rPr>
          <w:lang w:val="en-GB"/>
        </w:rPr>
        <w:t>trend</w:t>
      </w:r>
      <w:r w:rsidRPr="00153E70">
        <w:rPr>
          <w:lang w:val="en-GB"/>
        </w:rPr>
        <w:t>. All three years were characterized by a drought during the spring summer period, with 2022 demonstrated with arid climate. The general trend was characterized by a greater colonization by s of the</w:t>
      </w:r>
      <w:r>
        <w:rPr>
          <w:lang w:val="en-GB"/>
        </w:rPr>
        <w:t xml:space="preserve"> genus </w:t>
      </w:r>
      <w:r w:rsidRPr="00153E70">
        <w:rPr>
          <w:i/>
          <w:iCs/>
          <w:lang w:val="en-GB"/>
        </w:rPr>
        <w:t>Alternaria</w:t>
      </w:r>
      <w:r w:rsidRPr="00153E70">
        <w:rPr>
          <w:lang w:val="en-GB"/>
        </w:rPr>
        <w:t xml:space="preserve">. This genus is characterized by a greater development in warm periods during the ripening phase, than in the years of experimentation. The 2022 was the driest and this certainly favoured </w:t>
      </w:r>
      <w:r w:rsidRPr="00153E70">
        <w:rPr>
          <w:i/>
          <w:iCs/>
          <w:lang w:val="en-GB"/>
        </w:rPr>
        <w:t>Alternaria</w:t>
      </w:r>
      <w:r>
        <w:rPr>
          <w:lang w:val="en-GB"/>
        </w:rPr>
        <w:t xml:space="preserve"> species</w:t>
      </w:r>
      <w:r w:rsidRPr="00153E70">
        <w:rPr>
          <w:lang w:val="en-GB"/>
        </w:rPr>
        <w:t xml:space="preserve">. Conversely, the species belonging to the genus </w:t>
      </w:r>
      <w:r w:rsidRPr="00153E70">
        <w:rPr>
          <w:i/>
          <w:iCs/>
          <w:lang w:val="en-GB"/>
        </w:rPr>
        <w:t>Fusarium</w:t>
      </w:r>
      <w:r w:rsidRPr="00153E70">
        <w:rPr>
          <w:lang w:val="en-GB"/>
        </w:rPr>
        <w:t xml:space="preserve"> have recorded a poor development that can be related to the low spring rainfall during the flowering phase, site of penetration and colonization of these mycotoxin fungi. Some species of </w:t>
      </w:r>
      <w:r w:rsidRPr="007E3802">
        <w:rPr>
          <w:i/>
          <w:iCs/>
          <w:lang w:val="en-GB"/>
        </w:rPr>
        <w:t>Fusarium</w:t>
      </w:r>
      <w:r w:rsidRPr="00153E70">
        <w:rPr>
          <w:lang w:val="en-GB"/>
        </w:rPr>
        <w:t xml:space="preserve">, such as </w:t>
      </w:r>
      <w:r w:rsidRPr="00153E70">
        <w:rPr>
          <w:i/>
          <w:iCs/>
          <w:lang w:val="en-GB"/>
        </w:rPr>
        <w:t xml:space="preserve">F. </w:t>
      </w:r>
      <w:proofErr w:type="spellStart"/>
      <w:r w:rsidRPr="00153E70">
        <w:rPr>
          <w:i/>
          <w:iCs/>
          <w:lang w:val="en-GB"/>
        </w:rPr>
        <w:t>equiseti</w:t>
      </w:r>
      <w:proofErr w:type="spellEnd"/>
      <w:r w:rsidRPr="00153E70">
        <w:rPr>
          <w:lang w:val="en-GB"/>
        </w:rPr>
        <w:t xml:space="preserve"> (2020 and 2021) and </w:t>
      </w:r>
      <w:r w:rsidRPr="00153E70">
        <w:rPr>
          <w:i/>
          <w:iCs/>
          <w:lang w:val="en-GB"/>
        </w:rPr>
        <w:t xml:space="preserve">F. </w:t>
      </w:r>
      <w:proofErr w:type="spellStart"/>
      <w:r w:rsidRPr="00153E70">
        <w:rPr>
          <w:i/>
          <w:iCs/>
          <w:lang w:val="en-GB"/>
        </w:rPr>
        <w:t>poeae</w:t>
      </w:r>
      <w:proofErr w:type="spellEnd"/>
      <w:r w:rsidRPr="00153E70">
        <w:rPr>
          <w:lang w:val="en-GB"/>
        </w:rPr>
        <w:t xml:space="preserve"> (2020) have been absent in chemically fertilized theses, compared to the organic, which however has recorded extremely low values. On the whole, it can be said that the experimental theses have shown little influence on the rate of colonization of the different mycotoxin fungi, while the climatic factor is predominant.</w:t>
      </w:r>
    </w:p>
    <w:p w14:paraId="4D3C55C7" w14:textId="6C2D334A" w:rsidR="00153E70" w:rsidRPr="0022104C" w:rsidRDefault="00153E70" w:rsidP="00153E70">
      <w:pPr>
        <w:jc w:val="both"/>
        <w:rPr>
          <w:lang w:val="en-GB"/>
        </w:rPr>
      </w:pPr>
      <w:r>
        <w:rPr>
          <w:rFonts w:ascii="Noto Sans" w:hAnsi="Noto Sans" w:cs="Noto Sans"/>
          <w:noProof/>
        </w:rPr>
        <w:drawing>
          <wp:anchor distT="0" distB="0" distL="114300" distR="114300" simplePos="0" relativeHeight="251663360" behindDoc="0" locked="0" layoutInCell="1" allowOverlap="1" wp14:anchorId="39B626A9" wp14:editId="1E06A033">
            <wp:simplePos x="0" y="0"/>
            <wp:positionH relativeFrom="margin">
              <wp:posOffset>2679065</wp:posOffset>
            </wp:positionH>
            <wp:positionV relativeFrom="paragraph">
              <wp:posOffset>23495</wp:posOffset>
            </wp:positionV>
            <wp:extent cx="3058160" cy="2031803"/>
            <wp:effectExtent l="19050" t="19050" r="8890" b="26035"/>
            <wp:wrapNone/>
            <wp:docPr id="8044479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160" cy="2031803"/>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7CE87F9B" w14:textId="7B596CFF" w:rsidR="00153E70" w:rsidRDefault="00B516AF" w:rsidP="0022104C">
      <w:pPr>
        <w:rPr>
          <w:lang w:val="en-GB"/>
        </w:rPr>
      </w:pPr>
      <w:r>
        <w:rPr>
          <w:rFonts w:ascii="Noto Sans" w:hAnsi="Noto Sans" w:cs="Noto Sans"/>
          <w:noProof/>
        </w:rPr>
        <mc:AlternateContent>
          <mc:Choice Requires="wps">
            <w:drawing>
              <wp:anchor distT="0" distB="0" distL="114300" distR="114300" simplePos="0" relativeHeight="251665408" behindDoc="0" locked="0" layoutInCell="1" allowOverlap="1" wp14:anchorId="2EFA3AAD" wp14:editId="6B836A50">
                <wp:simplePos x="0" y="0"/>
                <wp:positionH relativeFrom="margin">
                  <wp:posOffset>-635</wp:posOffset>
                </wp:positionH>
                <wp:positionV relativeFrom="paragraph">
                  <wp:posOffset>30480</wp:posOffset>
                </wp:positionV>
                <wp:extent cx="2647950" cy="698500"/>
                <wp:effectExtent l="0" t="0" r="19050" b="25400"/>
                <wp:wrapNone/>
                <wp:docPr id="275421952" name="Casella di testo 1"/>
                <wp:cNvGraphicFramePr/>
                <a:graphic xmlns:a="http://schemas.openxmlformats.org/drawingml/2006/main">
                  <a:graphicData uri="http://schemas.microsoft.com/office/word/2010/wordprocessingShape">
                    <wps:wsp>
                      <wps:cNvSpPr txBox="1"/>
                      <wps:spPr>
                        <a:xfrm>
                          <a:off x="0" y="0"/>
                          <a:ext cx="2647950" cy="698500"/>
                        </a:xfrm>
                        <a:prstGeom prst="rect">
                          <a:avLst/>
                        </a:prstGeom>
                        <a:solidFill>
                          <a:schemeClr val="lt1"/>
                        </a:solidFill>
                        <a:ln w="6350">
                          <a:solidFill>
                            <a:schemeClr val="bg1"/>
                          </a:solidFill>
                        </a:ln>
                      </wps:spPr>
                      <wps:txbx>
                        <w:txbxContent>
                          <w:p w14:paraId="7E6D87F2" w14:textId="11824EA4" w:rsidR="004A1F62" w:rsidRPr="004A1F62" w:rsidRDefault="004A1F62" w:rsidP="004A1F62">
                            <w:pPr>
                              <w:rPr>
                                <w:sz w:val="18"/>
                                <w:szCs w:val="18"/>
                                <w:lang w:val="en-GB"/>
                              </w:rPr>
                            </w:pPr>
                            <w:r w:rsidRPr="004A1F62">
                              <w:rPr>
                                <w:b/>
                                <w:bCs/>
                                <w:sz w:val="18"/>
                                <w:szCs w:val="18"/>
                                <w:lang w:val="en-GB"/>
                              </w:rPr>
                              <w:t>Table 1</w:t>
                            </w:r>
                            <w:r w:rsidRPr="004A1F62">
                              <w:rPr>
                                <w:sz w:val="18"/>
                                <w:szCs w:val="18"/>
                                <w:lang w:val="en-GB"/>
                              </w:rPr>
                              <w:t xml:space="preserve"> </w:t>
                            </w:r>
                            <w:r w:rsidRPr="004A1F62">
                              <w:rPr>
                                <w:i/>
                                <w:iCs/>
                                <w:sz w:val="18"/>
                                <w:szCs w:val="18"/>
                                <w:lang w:val="en-GB"/>
                              </w:rPr>
                              <w:t>Relative abundance (%) of mycotoxin fungal species detected in caryopses by blot - deep freezing method. Data refer to standard error averages.</w:t>
                            </w:r>
                          </w:p>
                          <w:p w14:paraId="168DD25D" w14:textId="77777777" w:rsidR="004A1F62" w:rsidRPr="007E4382" w:rsidRDefault="004A1F6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3AAD" id="Casella di testo 1" o:spid="_x0000_s1028" type="#_x0000_t202" style="position:absolute;margin-left:-.05pt;margin-top:2.4pt;width:208.5pt;height: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" fillcolor="white [3201]" strokecolor="white [3212]" strokeweight=".5pt">
                <v:textbox>
                  <w:txbxContent>
                    <w:p w14:paraId="7E6D87F2" w14:textId="11824EA4" w:rsidR="004A1F62" w:rsidRPr="004A1F62" w:rsidRDefault="004A1F62" w:rsidP="004A1F62">
                      <w:pPr>
                        <w:rPr>
                          <w:sz w:val="18"/>
                          <w:szCs w:val="18"/>
                          <w:lang w:val="en-GB"/>
                        </w:rPr>
                      </w:pPr>
                      <w:r w:rsidRPr="004A1F62">
                        <w:rPr>
                          <w:b/>
                          <w:bCs/>
                          <w:sz w:val="18"/>
                          <w:szCs w:val="18"/>
                          <w:lang w:val="en-GB"/>
                        </w:rPr>
                        <w:t>Table 1</w:t>
                      </w:r>
                      <w:r w:rsidRPr="004A1F62">
                        <w:rPr>
                          <w:sz w:val="18"/>
                          <w:szCs w:val="18"/>
                          <w:lang w:val="en-GB"/>
                        </w:rPr>
                        <w:t xml:space="preserve"> </w:t>
                      </w:r>
                      <w:r w:rsidRPr="004A1F62">
                        <w:rPr>
                          <w:i/>
                          <w:iCs/>
                          <w:sz w:val="18"/>
                          <w:szCs w:val="18"/>
                          <w:lang w:val="en-GB"/>
                        </w:rPr>
                        <w:t>Relative abundance (%) of mycotoxin fungal species detected in caryopses by blot - deep freezing method. Data refer to standard error averages.</w:t>
                      </w:r>
                    </w:p>
                    <w:p w14:paraId="168DD25D" w14:textId="77777777" w:rsidR="004A1F62" w:rsidRPr="007E4382" w:rsidRDefault="004A1F62">
                      <w:pPr>
                        <w:rPr>
                          <w:lang w:val="en-US"/>
                        </w:rPr>
                      </w:pPr>
                    </w:p>
                  </w:txbxContent>
                </v:textbox>
                <w10:wrap anchorx="margin"/>
              </v:shape>
            </w:pict>
          </mc:Fallback>
        </mc:AlternateContent>
      </w:r>
    </w:p>
    <w:p w14:paraId="4B23420B" w14:textId="2C22B4E5" w:rsidR="00153E70" w:rsidRDefault="00153E70" w:rsidP="0022104C">
      <w:pPr>
        <w:rPr>
          <w:lang w:val="en-GB"/>
        </w:rPr>
      </w:pPr>
    </w:p>
    <w:p w14:paraId="58863181" w14:textId="35339B5C" w:rsidR="00153E70" w:rsidRDefault="00153E70" w:rsidP="0022104C">
      <w:pPr>
        <w:rPr>
          <w:lang w:val="en-GB"/>
        </w:rPr>
      </w:pPr>
    </w:p>
    <w:p w14:paraId="5156EDF0" w14:textId="1660C5AE" w:rsidR="00153E70" w:rsidRDefault="00153E70" w:rsidP="0022104C">
      <w:pPr>
        <w:rPr>
          <w:lang w:val="en-GB"/>
        </w:rPr>
      </w:pPr>
    </w:p>
    <w:p w14:paraId="194AD1BC" w14:textId="6F58A94A" w:rsidR="00153E70" w:rsidRDefault="00153E70" w:rsidP="0022104C">
      <w:pPr>
        <w:rPr>
          <w:lang w:val="en-GB"/>
        </w:rPr>
      </w:pPr>
    </w:p>
    <w:p w14:paraId="1E8BEC24" w14:textId="252DE3BC" w:rsidR="00933B9D" w:rsidRDefault="00933B9D" w:rsidP="0022104C">
      <w:pPr>
        <w:rPr>
          <w:lang w:val="en-GB"/>
        </w:rPr>
      </w:pPr>
    </w:p>
    <w:p w14:paraId="0371305F" w14:textId="5A2DAA85" w:rsidR="00153E70" w:rsidRDefault="00153E70" w:rsidP="0022104C">
      <w:pPr>
        <w:rPr>
          <w:lang w:val="en-GB"/>
        </w:rPr>
      </w:pPr>
    </w:p>
    <w:p w14:paraId="08654E56" w14:textId="0A9C6CCC" w:rsidR="00153E70" w:rsidRDefault="00153E70" w:rsidP="0022104C">
      <w:pPr>
        <w:rPr>
          <w:lang w:val="en-GB"/>
        </w:rPr>
      </w:pPr>
    </w:p>
    <w:p w14:paraId="55CADA14" w14:textId="3F716435" w:rsidR="00153E70" w:rsidRDefault="00153E70" w:rsidP="0022104C">
      <w:pPr>
        <w:rPr>
          <w:lang w:val="en-GB"/>
        </w:rPr>
      </w:pPr>
    </w:p>
    <w:p w14:paraId="78FF0B9C" w14:textId="77777777" w:rsidR="004A1F62" w:rsidRDefault="004A1F62" w:rsidP="0022104C">
      <w:pPr>
        <w:rPr>
          <w:lang w:val="en-GB"/>
        </w:rPr>
      </w:pPr>
    </w:p>
    <w:p w14:paraId="6F8BEF60" w14:textId="77777777" w:rsidR="008D1E32" w:rsidRDefault="008D1E32" w:rsidP="0022104C">
      <w:pPr>
        <w:rPr>
          <w:lang w:val="en-GB"/>
        </w:rPr>
      </w:pPr>
    </w:p>
    <w:p w14:paraId="5DB6498A" w14:textId="77777777" w:rsidR="004A1F62" w:rsidRDefault="004A1F62" w:rsidP="0022104C">
      <w:pPr>
        <w:rPr>
          <w:lang w:val="en-GB"/>
        </w:rPr>
      </w:pPr>
    </w:p>
    <w:p w14:paraId="0ECD8560" w14:textId="77777777" w:rsidR="004A1F62" w:rsidRDefault="004A1F62" w:rsidP="0022104C">
      <w:pPr>
        <w:rPr>
          <w:lang w:val="en-GB"/>
        </w:rPr>
      </w:pPr>
    </w:p>
    <w:p w14:paraId="4A28FD62" w14:textId="1689254B" w:rsidR="00512D9B" w:rsidRDefault="00FB589C">
      <w:pPr>
        <w:pStyle w:val="Titolo1"/>
        <w:spacing w:before="240" w:after="120"/>
        <w:ind w:right="0"/>
        <w:jc w:val="both"/>
        <w:rPr>
          <w:b/>
          <w:bCs/>
          <w:color w:val="000000"/>
          <w:sz w:val="24"/>
          <w:lang w:val="en-GB"/>
        </w:rPr>
      </w:pPr>
      <w:r>
        <w:rPr>
          <w:b/>
          <w:bCs/>
          <w:color w:val="000000"/>
          <w:sz w:val="24"/>
          <w:lang w:val="en-GB"/>
        </w:rPr>
        <w:t>4. References</w:t>
      </w:r>
    </w:p>
    <w:p w14:paraId="218D6854" w14:textId="048CC3B3" w:rsidR="00512D9B" w:rsidRPr="008B49AE" w:rsidRDefault="00D25E42" w:rsidP="0011499A">
      <w:pPr>
        <w:jc w:val="both"/>
        <w:rPr>
          <w:sz w:val="18"/>
          <w:szCs w:val="18"/>
          <w:lang w:val="en-US"/>
        </w:rPr>
      </w:pPr>
      <w:proofErr w:type="spellStart"/>
      <w:r w:rsidRPr="008B49AE">
        <w:rPr>
          <w:sz w:val="18"/>
          <w:szCs w:val="18"/>
          <w:lang w:val="en-GB"/>
        </w:rPr>
        <w:t>Limonard</w:t>
      </w:r>
      <w:proofErr w:type="spellEnd"/>
      <w:r w:rsidRPr="008B49AE">
        <w:rPr>
          <w:sz w:val="18"/>
          <w:szCs w:val="18"/>
          <w:lang w:val="en-GB"/>
        </w:rPr>
        <w:t xml:space="preserve"> T (1966) </w:t>
      </w:r>
      <w:r w:rsidR="00E85820" w:rsidRPr="008B49AE">
        <w:rPr>
          <w:sz w:val="18"/>
          <w:szCs w:val="18"/>
          <w:lang w:val="en-GB"/>
        </w:rPr>
        <w:t>A modified</w:t>
      </w:r>
      <w:r w:rsidR="00EF14E3" w:rsidRPr="008B49AE">
        <w:rPr>
          <w:sz w:val="18"/>
          <w:szCs w:val="18"/>
          <w:lang w:val="en-GB"/>
        </w:rPr>
        <w:t xml:space="preserve"> blotter test for seed health. </w:t>
      </w:r>
      <w:r w:rsidR="00EF14E3" w:rsidRPr="008B49AE">
        <w:rPr>
          <w:sz w:val="18"/>
          <w:szCs w:val="18"/>
          <w:lang w:val="en-US"/>
        </w:rPr>
        <w:t>Government Seed Testing Station, Wageningen. Neth. J. PI. Path. 72 (1966): 319-321</w:t>
      </w:r>
    </w:p>
    <w:p w14:paraId="0EC99C90" w14:textId="4873079C" w:rsidR="00EF14E3" w:rsidRDefault="008B49AE">
      <w:pPr>
        <w:ind w:left="425" w:hanging="425"/>
        <w:jc w:val="both"/>
        <w:rPr>
          <w:sz w:val="18"/>
          <w:szCs w:val="18"/>
          <w:lang w:val="en-US"/>
        </w:rPr>
      </w:pPr>
      <w:proofErr w:type="spellStart"/>
      <w:r w:rsidRPr="008B49AE">
        <w:rPr>
          <w:sz w:val="18"/>
          <w:szCs w:val="18"/>
          <w:lang w:val="en-US"/>
        </w:rPr>
        <w:t>Gholizadeh</w:t>
      </w:r>
      <w:proofErr w:type="spellEnd"/>
      <w:r w:rsidRPr="008B49AE">
        <w:rPr>
          <w:sz w:val="18"/>
          <w:szCs w:val="18"/>
          <w:lang w:val="en-US"/>
        </w:rPr>
        <w:t xml:space="preserve"> S </w:t>
      </w:r>
      <w:r w:rsidRPr="008B49AE">
        <w:rPr>
          <w:i/>
          <w:iCs/>
          <w:sz w:val="18"/>
          <w:szCs w:val="18"/>
          <w:lang w:val="en-US"/>
        </w:rPr>
        <w:t>et al.,</w:t>
      </w:r>
      <w:r w:rsidRPr="008B49AE">
        <w:rPr>
          <w:sz w:val="18"/>
          <w:szCs w:val="18"/>
          <w:lang w:val="en-US"/>
        </w:rPr>
        <w:t xml:space="preserve"> (2022) Changes in root microbiome during wheat evolution. BMC Microbiology.</w:t>
      </w:r>
    </w:p>
    <w:p w14:paraId="192158B9" w14:textId="48E0CBB1" w:rsidR="00E57BA4" w:rsidRPr="0011499A" w:rsidRDefault="00AB08E5" w:rsidP="0011499A">
      <w:pPr>
        <w:ind w:left="425" w:hanging="425"/>
        <w:jc w:val="both"/>
        <w:rPr>
          <w:sz w:val="18"/>
          <w:szCs w:val="18"/>
          <w:lang w:val="en-US"/>
        </w:rPr>
      </w:pPr>
      <w:r w:rsidRPr="00EB3E52">
        <w:rPr>
          <w:sz w:val="18"/>
          <w:szCs w:val="18"/>
          <w:lang w:val="en-US"/>
        </w:rPr>
        <w:t>Bakker P (2022) The soil-borne ultimatum, microbial biotechnology and sustainable agriculture. Microbial Biotechnology 15(1), 84–87</w:t>
      </w:r>
    </w:p>
    <w:p w14:paraId="73CE3FBF" w14:textId="5265ED0B" w:rsidR="00E57BA4" w:rsidRPr="00B322C6" w:rsidRDefault="00B322C6" w:rsidP="00E57BA4">
      <w:pPr>
        <w:ind w:left="425" w:hanging="425"/>
        <w:jc w:val="both"/>
        <w:rPr>
          <w:sz w:val="18"/>
          <w:szCs w:val="18"/>
          <w:lang w:val="en-US"/>
        </w:rPr>
      </w:pPr>
      <w:proofErr w:type="spellStart"/>
      <w:r w:rsidRPr="00B322C6">
        <w:rPr>
          <w:sz w:val="18"/>
          <w:szCs w:val="18"/>
          <w:lang w:val="en-US"/>
        </w:rPr>
        <w:t>Beccari</w:t>
      </w:r>
      <w:proofErr w:type="spellEnd"/>
      <w:r w:rsidRPr="00B322C6">
        <w:rPr>
          <w:sz w:val="18"/>
          <w:szCs w:val="18"/>
          <w:lang w:val="en-US"/>
        </w:rPr>
        <w:t xml:space="preserve"> G et al., (2020) Cultivation Area Affects the Presence of Fungal Communities and Secondary Metabolites in Italian Durum Wheat Grains. Toxins 12, 97. MDPI </w:t>
      </w:r>
    </w:p>
    <w:p w14:paraId="696E044E" w14:textId="39651DDB" w:rsidR="00E57BA4" w:rsidRDefault="00E57BA4" w:rsidP="00E57BA4">
      <w:pPr>
        <w:ind w:left="425" w:hanging="425"/>
        <w:jc w:val="both"/>
        <w:rPr>
          <w:sz w:val="18"/>
          <w:szCs w:val="18"/>
          <w:lang w:val="en-US"/>
        </w:rPr>
      </w:pPr>
    </w:p>
    <w:p w14:paraId="1D084EF3" w14:textId="77777777" w:rsidR="00EB3E52" w:rsidRPr="00EB3E52" w:rsidRDefault="00EB3E52">
      <w:pPr>
        <w:ind w:left="425" w:hanging="425"/>
        <w:jc w:val="both"/>
        <w:rPr>
          <w:sz w:val="18"/>
          <w:szCs w:val="18"/>
          <w:lang w:val="en-US"/>
        </w:rPr>
      </w:pPr>
    </w:p>
    <w:p w14:paraId="62B07361" w14:textId="2A39B772" w:rsidR="00AB08E5" w:rsidRPr="00AB08E5" w:rsidRDefault="00AB08E5">
      <w:pPr>
        <w:ind w:left="425" w:hanging="425"/>
        <w:jc w:val="both"/>
        <w:rPr>
          <w:sz w:val="18"/>
          <w:szCs w:val="18"/>
          <w:lang w:val="en-US"/>
        </w:rPr>
      </w:pPr>
    </w:p>
    <w:p w14:paraId="0DA8A124" w14:textId="77777777" w:rsidR="00512D9B" w:rsidRDefault="00512D9B">
      <w:pPr>
        <w:ind w:left="425" w:hanging="425"/>
        <w:jc w:val="both"/>
        <w:rPr>
          <w:sz w:val="18"/>
          <w:szCs w:val="18"/>
          <w:lang w:val="en-GB"/>
        </w:rPr>
      </w:pPr>
    </w:p>
    <w:p w14:paraId="1E571C23" w14:textId="58D3C679" w:rsidR="00512D9B" w:rsidRPr="000E5029" w:rsidRDefault="00512D9B">
      <w:pPr>
        <w:pStyle w:val="Intestazione"/>
        <w:tabs>
          <w:tab w:val="clear" w:pos="4819"/>
          <w:tab w:val="clear" w:pos="9638"/>
        </w:tabs>
        <w:spacing w:line="240" w:lineRule="auto"/>
        <w:rPr>
          <w:lang w:val="en-GB"/>
        </w:rPr>
      </w:pPr>
    </w:p>
    <w:p w14:paraId="3087E1FA" w14:textId="74C0670B" w:rsidR="000E5029" w:rsidRPr="000E5029" w:rsidRDefault="000E5029" w:rsidP="000E5029">
      <w:pPr>
        <w:rPr>
          <w:lang w:val="en-GB"/>
        </w:rPr>
      </w:pPr>
    </w:p>
    <w:p w14:paraId="3D8D2FEA" w14:textId="77777777" w:rsidR="000E5029" w:rsidRPr="000E5029" w:rsidRDefault="000E5029" w:rsidP="000E5029">
      <w:pPr>
        <w:rPr>
          <w:lang w:val="en-GB"/>
        </w:rPr>
      </w:pPr>
    </w:p>
    <w:p w14:paraId="37CA4BEC" w14:textId="77777777" w:rsidR="000E5029" w:rsidRPr="000E5029" w:rsidRDefault="000E5029" w:rsidP="000E5029">
      <w:pPr>
        <w:rPr>
          <w:lang w:val="en-GB"/>
        </w:rPr>
      </w:pPr>
    </w:p>
    <w:p w14:paraId="3C05651D" w14:textId="77777777" w:rsidR="000E5029" w:rsidRPr="000E5029" w:rsidRDefault="000E5029" w:rsidP="000E5029">
      <w:pPr>
        <w:rPr>
          <w:kern w:val="2"/>
          <w:lang w:val="en-GB"/>
        </w:rPr>
      </w:pPr>
    </w:p>
    <w:p w14:paraId="75E6DC49" w14:textId="49E6D9FD" w:rsidR="000E5029" w:rsidRPr="000E5029" w:rsidRDefault="000E5029" w:rsidP="000E5029">
      <w:pPr>
        <w:rPr>
          <w:lang w:val="en-US"/>
        </w:rPr>
      </w:pPr>
    </w:p>
    <w:sectPr w:rsidR="000E5029" w:rsidRPr="000E5029" w:rsidSect="00B516AF">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E4D7" w14:textId="77777777" w:rsidR="006160E4" w:rsidRDefault="006160E4">
      <w:r>
        <w:separator/>
      </w:r>
    </w:p>
  </w:endnote>
  <w:endnote w:type="continuationSeparator" w:id="0">
    <w:p w14:paraId="5CE7CB9D" w14:textId="77777777" w:rsidR="006160E4" w:rsidRDefault="0061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D598" w14:textId="77777777" w:rsidR="006160E4" w:rsidRDefault="006160E4">
      <w:r>
        <w:separator/>
      </w:r>
    </w:p>
  </w:footnote>
  <w:footnote w:type="continuationSeparator" w:id="0">
    <w:p w14:paraId="72BAC812" w14:textId="77777777" w:rsidR="006160E4" w:rsidRDefault="0061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261789937">
    <w:abstractNumId w:val="1"/>
  </w:num>
  <w:num w:numId="2" w16cid:durableId="1235436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250B2"/>
    <w:rsid w:val="00047332"/>
    <w:rsid w:val="000D0F70"/>
    <w:rsid w:val="000E5029"/>
    <w:rsid w:val="0011499A"/>
    <w:rsid w:val="00147991"/>
    <w:rsid w:val="00153E70"/>
    <w:rsid w:val="00183D2D"/>
    <w:rsid w:val="001F2307"/>
    <w:rsid w:val="0022104C"/>
    <w:rsid w:val="00296A19"/>
    <w:rsid w:val="002A6DD0"/>
    <w:rsid w:val="002B60D3"/>
    <w:rsid w:val="003351E0"/>
    <w:rsid w:val="003642F2"/>
    <w:rsid w:val="003B2B3B"/>
    <w:rsid w:val="00432AC7"/>
    <w:rsid w:val="004654F0"/>
    <w:rsid w:val="00473EB8"/>
    <w:rsid w:val="00490F91"/>
    <w:rsid w:val="004A1F62"/>
    <w:rsid w:val="00512D9B"/>
    <w:rsid w:val="0056567E"/>
    <w:rsid w:val="00592D69"/>
    <w:rsid w:val="005B241C"/>
    <w:rsid w:val="006160E4"/>
    <w:rsid w:val="00692D26"/>
    <w:rsid w:val="006B47B1"/>
    <w:rsid w:val="006F5EC9"/>
    <w:rsid w:val="00746B7D"/>
    <w:rsid w:val="007714AA"/>
    <w:rsid w:val="007C47F8"/>
    <w:rsid w:val="007D1B9F"/>
    <w:rsid w:val="007D7E93"/>
    <w:rsid w:val="007E1A6E"/>
    <w:rsid w:val="007E3802"/>
    <w:rsid w:val="007E4382"/>
    <w:rsid w:val="008B49AE"/>
    <w:rsid w:val="008D1E32"/>
    <w:rsid w:val="008F496A"/>
    <w:rsid w:val="00927521"/>
    <w:rsid w:val="00933B9D"/>
    <w:rsid w:val="009854CA"/>
    <w:rsid w:val="00A02A06"/>
    <w:rsid w:val="00A12669"/>
    <w:rsid w:val="00A278A9"/>
    <w:rsid w:val="00A533EB"/>
    <w:rsid w:val="00A97609"/>
    <w:rsid w:val="00AB08E5"/>
    <w:rsid w:val="00AB183F"/>
    <w:rsid w:val="00AC5D28"/>
    <w:rsid w:val="00AF1278"/>
    <w:rsid w:val="00B159E5"/>
    <w:rsid w:val="00B322C6"/>
    <w:rsid w:val="00B516AF"/>
    <w:rsid w:val="00B57A40"/>
    <w:rsid w:val="00BA2EDC"/>
    <w:rsid w:val="00D25E42"/>
    <w:rsid w:val="00D34A29"/>
    <w:rsid w:val="00D76006"/>
    <w:rsid w:val="00DA3ACC"/>
    <w:rsid w:val="00DA664B"/>
    <w:rsid w:val="00DB66C7"/>
    <w:rsid w:val="00DC21B7"/>
    <w:rsid w:val="00E57BA4"/>
    <w:rsid w:val="00E85820"/>
    <w:rsid w:val="00E8769E"/>
    <w:rsid w:val="00EA1223"/>
    <w:rsid w:val="00EB3E52"/>
    <w:rsid w:val="00EC6238"/>
    <w:rsid w:val="00ED274F"/>
    <w:rsid w:val="00EF14E3"/>
    <w:rsid w:val="00EF77B0"/>
    <w:rsid w:val="00F54816"/>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anchor-text">
    <w:name w:val="anchor-text"/>
    <w:basedOn w:val="Carpredefinitoparagrafo"/>
    <w:rsid w:val="00E5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erim\Desktop\RISULTATI\LEFSE.GRANO.L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1" i="0" u="none" strike="noStrike" kern="1200" baseline="0">
                <a:solidFill>
                  <a:schemeClr val="dk1">
                    <a:lumMod val="75000"/>
                    <a:lumOff val="25000"/>
                  </a:schemeClr>
                </a:solidFill>
                <a:latin typeface="+mn-lt"/>
                <a:ea typeface="+mn-ea"/>
                <a:cs typeface="+mn-cs"/>
              </a:defRPr>
            </a:pPr>
            <a:r>
              <a:rPr lang="it-IT" sz="700"/>
              <a:t>RELATIVE ABUNDANCE OF ORDERS</a:t>
            </a:r>
          </a:p>
        </c:rich>
      </c:tx>
      <c:overlay val="0"/>
      <c:spPr>
        <a:noFill/>
        <a:ln>
          <a:noFill/>
        </a:ln>
        <a:effectLst/>
      </c:spPr>
      <c:txPr>
        <a:bodyPr rot="0" spcFirstLastPara="1" vertOverflow="ellipsis" vert="horz" wrap="square" anchor="ctr" anchorCtr="1"/>
        <a:lstStyle/>
        <a:p>
          <a:pPr>
            <a:defRPr sz="700" b="1" i="0" u="none" strike="noStrike" kern="1200" baseline="0">
              <a:solidFill>
                <a:schemeClr val="dk1">
                  <a:lumMod val="75000"/>
                  <a:lumOff val="25000"/>
                </a:schemeClr>
              </a:solidFill>
              <a:latin typeface="+mn-lt"/>
              <a:ea typeface="+mn-ea"/>
              <a:cs typeface="+mn-cs"/>
            </a:defRPr>
          </a:pPr>
          <a:endParaRPr lang="it-IT"/>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706692913385825E-2"/>
          <c:y val="0.13215296004666083"/>
          <c:w val="0.8857377515310586"/>
          <c:h val="0.56159485272674237"/>
        </c:manualLayout>
      </c:layout>
      <c:bar3DChart>
        <c:barDir val="col"/>
        <c:grouping val="clustered"/>
        <c:varyColors val="0"/>
        <c:ser>
          <c:idx val="0"/>
          <c:order val="0"/>
          <c:tx>
            <c:strRef>
              <c:f>'TRATAMENTO GRAFICI'!$BE$5</c:f>
              <c:strCache>
                <c:ptCount val="1"/>
                <c:pt idx="0">
                  <c:v>COMPOST</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'TRATAMENTO GRAFICI'!$BD$6:$BD$18</c:f>
              <c:strCache>
                <c:ptCount val="13"/>
                <c:pt idx="0">
                  <c:v>PLEOSPORALES</c:v>
                </c:pt>
                <c:pt idx="1">
                  <c:v>EUROTIALES</c:v>
                </c:pt>
                <c:pt idx="2">
                  <c:v>HELOTIALES</c:v>
                </c:pt>
                <c:pt idx="3">
                  <c:v>PEZIZALES</c:v>
                </c:pt>
                <c:pt idx="4">
                  <c:v>GLOMERELLALES</c:v>
                </c:pt>
                <c:pt idx="5">
                  <c:v>HYPOCREALES</c:v>
                </c:pt>
                <c:pt idx="6">
                  <c:v>MICROASCALES</c:v>
                </c:pt>
                <c:pt idx="7">
                  <c:v>SORDARIALES</c:v>
                </c:pt>
                <c:pt idx="8">
                  <c:v>XYLARIALES</c:v>
                </c:pt>
                <c:pt idx="9">
                  <c:v>AGARICALES</c:v>
                </c:pt>
                <c:pt idx="10">
                  <c:v>MORTIERELLALES</c:v>
                </c:pt>
                <c:pt idx="11">
                  <c:v>FILOBASIDIALES</c:v>
                </c:pt>
                <c:pt idx="12">
                  <c:v>OTHERS</c:v>
                </c:pt>
              </c:strCache>
            </c:strRef>
          </c:cat>
          <c:val>
            <c:numRef>
              <c:f>'TRATAMENTO GRAFICI'!$BE$6:$BE$18</c:f>
              <c:numCache>
                <c:formatCode>0.000000</c:formatCode>
                <c:ptCount val="13"/>
                <c:pt idx="0">
                  <c:v>3.431033744125696</c:v>
                </c:pt>
                <c:pt idx="1">
                  <c:v>0.67829381695132329</c:v>
                </c:pt>
                <c:pt idx="2">
                  <c:v>0.3344438713646633</c:v>
                </c:pt>
                <c:pt idx="3">
                  <c:v>5.4801020317531278E-2</c:v>
                </c:pt>
                <c:pt idx="4">
                  <c:v>0.38295183944441341</c:v>
                </c:pt>
                <c:pt idx="5">
                  <c:v>6.418546914417413</c:v>
                </c:pt>
                <c:pt idx="6">
                  <c:v>0.74628049216872272</c:v>
                </c:pt>
                <c:pt idx="7">
                  <c:v>0.78086562498634393</c:v>
                </c:pt>
                <c:pt idx="8">
                  <c:v>1.0639080347203802</c:v>
                </c:pt>
                <c:pt idx="9">
                  <c:v>0.14399947668488056</c:v>
                </c:pt>
                <c:pt idx="10">
                  <c:v>5.4675000639635449</c:v>
                </c:pt>
                <c:pt idx="11">
                  <c:v>2.0455030338073539</c:v>
                </c:pt>
                <c:pt idx="12">
                  <c:v>2.4518720670476895</c:v>
                </c:pt>
              </c:numCache>
            </c:numRef>
          </c:val>
          <c:extLst>
            <c:ext xmlns:c16="http://schemas.microsoft.com/office/drawing/2014/chart" uri="{C3380CC4-5D6E-409C-BE32-E72D297353CC}">
              <c16:uniqueId val="{00000000-B5FF-4DA6-BFF0-BA90049FE699}"/>
            </c:ext>
          </c:extLst>
        </c:ser>
        <c:ser>
          <c:idx val="1"/>
          <c:order val="1"/>
          <c:tx>
            <c:strRef>
              <c:f>'TRATAMENTO GRAFICI'!$BF$5</c:f>
              <c:strCache>
                <c:ptCount val="1"/>
                <c:pt idx="0">
                  <c:v>MINERAL FERTILIZER</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'TRATAMENTO GRAFICI'!$BD$6:$BD$18</c:f>
              <c:strCache>
                <c:ptCount val="13"/>
                <c:pt idx="0">
                  <c:v>PLEOSPORALES</c:v>
                </c:pt>
                <c:pt idx="1">
                  <c:v>EUROTIALES</c:v>
                </c:pt>
                <c:pt idx="2">
                  <c:v>HELOTIALES</c:v>
                </c:pt>
                <c:pt idx="3">
                  <c:v>PEZIZALES</c:v>
                </c:pt>
                <c:pt idx="4">
                  <c:v>GLOMERELLALES</c:v>
                </c:pt>
                <c:pt idx="5">
                  <c:v>HYPOCREALES</c:v>
                </c:pt>
                <c:pt idx="6">
                  <c:v>MICROASCALES</c:v>
                </c:pt>
                <c:pt idx="7">
                  <c:v>SORDARIALES</c:v>
                </c:pt>
                <c:pt idx="8">
                  <c:v>XYLARIALES</c:v>
                </c:pt>
                <c:pt idx="9">
                  <c:v>AGARICALES</c:v>
                </c:pt>
                <c:pt idx="10">
                  <c:v>MORTIERELLALES</c:v>
                </c:pt>
                <c:pt idx="11">
                  <c:v>FILOBASIDIALES</c:v>
                </c:pt>
                <c:pt idx="12">
                  <c:v>OTHERS</c:v>
                </c:pt>
              </c:strCache>
            </c:strRef>
          </c:cat>
          <c:val>
            <c:numRef>
              <c:f>'TRATAMENTO GRAFICI'!$BF$6:$BF$18</c:f>
              <c:numCache>
                <c:formatCode>0.000000</c:formatCode>
                <c:ptCount val="13"/>
                <c:pt idx="0">
                  <c:v>5.1847101745194673</c:v>
                </c:pt>
                <c:pt idx="1">
                  <c:v>0.46957989899725494</c:v>
                </c:pt>
                <c:pt idx="2">
                  <c:v>0.2512582423008658</c:v>
                </c:pt>
                <c:pt idx="3">
                  <c:v>1.3273235074523599E-3</c:v>
                </c:pt>
                <c:pt idx="4">
                  <c:v>0.59949087830572489</c:v>
                </c:pt>
                <c:pt idx="5">
                  <c:v>8.4372497684753789</c:v>
                </c:pt>
                <c:pt idx="6">
                  <c:v>3.6427244561507269E-2</c:v>
                </c:pt>
                <c:pt idx="7">
                  <c:v>0.94361360524897353</c:v>
                </c:pt>
                <c:pt idx="8">
                  <c:v>2.0840157725108668</c:v>
                </c:pt>
                <c:pt idx="9">
                  <c:v>1.341041535455963E-2</c:v>
                </c:pt>
                <c:pt idx="10">
                  <c:v>2.0347027629997116</c:v>
                </c:pt>
                <c:pt idx="11">
                  <c:v>2.8656357865451927</c:v>
                </c:pt>
                <c:pt idx="12">
                  <c:v>2.0702309661729719</c:v>
                </c:pt>
              </c:numCache>
            </c:numRef>
          </c:val>
          <c:extLst>
            <c:ext xmlns:c16="http://schemas.microsoft.com/office/drawing/2014/chart" uri="{C3380CC4-5D6E-409C-BE32-E72D297353CC}">
              <c16:uniqueId val="{00000001-B5FF-4DA6-BFF0-BA90049FE699}"/>
            </c:ext>
          </c:extLst>
        </c:ser>
        <c:dLbls>
          <c:showLegendKey val="0"/>
          <c:showVal val="0"/>
          <c:showCatName val="0"/>
          <c:showSerName val="0"/>
          <c:showPercent val="0"/>
          <c:showBubbleSize val="0"/>
        </c:dLbls>
        <c:gapWidth val="65"/>
        <c:shape val="box"/>
        <c:axId val="1362719695"/>
        <c:axId val="1362720943"/>
        <c:axId val="0"/>
      </c:bar3DChart>
      <c:catAx>
        <c:axId val="136271969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500" b="0" i="0" u="none" strike="noStrike" kern="1200" cap="all" baseline="0">
                <a:solidFill>
                  <a:schemeClr val="dk1">
                    <a:lumMod val="75000"/>
                    <a:lumOff val="25000"/>
                  </a:schemeClr>
                </a:solidFill>
                <a:latin typeface="+mn-lt"/>
                <a:ea typeface="+mn-ea"/>
                <a:cs typeface="+mn-cs"/>
              </a:defRPr>
            </a:pPr>
            <a:endParaRPr lang="it-IT"/>
          </a:p>
        </c:txPr>
        <c:crossAx val="1362720943"/>
        <c:crosses val="autoZero"/>
        <c:auto val="1"/>
        <c:lblAlgn val="ctr"/>
        <c:lblOffset val="100"/>
        <c:noMultiLvlLbl val="0"/>
      </c:catAx>
      <c:valAx>
        <c:axId val="1362720943"/>
        <c:scaling>
          <c:orientation val="minMax"/>
        </c:scaling>
        <c:delete val="0"/>
        <c:axPos val="l"/>
        <c:majorGridlines>
          <c:spPr>
            <a:ln w="9525" cap="flat" cmpd="sng" algn="ctr">
              <a:solidFill>
                <a:schemeClr val="dk1">
                  <a:lumMod val="15000"/>
                  <a:lumOff val="85000"/>
                </a:schemeClr>
              </a:solidFill>
              <a:round/>
            </a:ln>
            <a:effectLst/>
          </c:spPr>
        </c:majorGridlines>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dk1">
                    <a:lumMod val="75000"/>
                    <a:lumOff val="25000"/>
                  </a:schemeClr>
                </a:solidFill>
                <a:latin typeface="+mn-lt"/>
                <a:ea typeface="+mn-ea"/>
                <a:cs typeface="+mn-cs"/>
              </a:defRPr>
            </a:pPr>
            <a:endParaRPr lang="it-IT"/>
          </a:p>
        </c:txPr>
        <c:crossAx val="136271969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500" b="0" i="0" u="none" strike="noStrike" kern="1200" baseline="0">
              <a:solidFill>
                <a:schemeClr val="dk1">
                  <a:lumMod val="75000"/>
                  <a:lumOff val="2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4169-2EBE-47B8-868D-EB8FBFE5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Merima Jasarevic</cp:lastModifiedBy>
  <cp:revision>3</cp:revision>
  <cp:lastPrinted>2023-06-08T10:40:00Z</cp:lastPrinted>
  <dcterms:created xsi:type="dcterms:W3CDTF">2023-06-24T10:43:00Z</dcterms:created>
  <dcterms:modified xsi:type="dcterms:W3CDTF">2023-06-24T10:44:00Z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