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F42B6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586EFE02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51384EB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48DEFE51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2DCF4630" w14:textId="77777777" w:rsidR="00081E79" w:rsidRPr="00E971EB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</w:rPr>
      </w:pPr>
      <w:r w:rsidRPr="00E971EB">
        <w:rPr>
          <w:i w:val="0"/>
          <w:iCs w:val="0"/>
          <w:sz w:val="52"/>
        </w:rPr>
        <w:t>PhD DISSERTATION PROJECTS</w:t>
      </w:r>
    </w:p>
    <w:p w14:paraId="579B649A" w14:textId="0A89F8B0" w:rsidR="00081E79" w:rsidRPr="00E971EB" w:rsidRDefault="00081E79" w:rsidP="00081E79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</w:rPr>
      </w:pPr>
      <w:r w:rsidRPr="00E971EB">
        <w:rPr>
          <w:b w:val="0"/>
          <w:bCs w:val="0"/>
          <w:i w:val="0"/>
          <w:iCs w:val="0"/>
        </w:rPr>
        <w:t xml:space="preserve"> </w:t>
      </w:r>
    </w:p>
    <w:p w14:paraId="56F86702" w14:textId="6DA5BE7F" w:rsidR="00081E79" w:rsidRPr="00E971EB" w:rsidRDefault="00081E79" w:rsidP="00081E79">
      <w:pPr>
        <w:widowControl/>
        <w:suppressAutoHyphens w:val="0"/>
        <w:rPr>
          <w:sz w:val="28"/>
        </w:rPr>
      </w:pPr>
      <w:r w:rsidRPr="00E971EB">
        <w:rPr>
          <w:b/>
          <w:bCs/>
          <w:i/>
          <w:iCs/>
        </w:rPr>
        <w:br w:type="page"/>
      </w:r>
    </w:p>
    <w:p w14:paraId="40D89062" w14:textId="3795840D" w:rsidR="00E971EB" w:rsidRPr="00143669" w:rsidRDefault="00143669" w:rsidP="00081E79">
      <w:pPr>
        <w:jc w:val="center"/>
        <w:rPr>
          <w:b/>
          <w:kern w:val="2"/>
          <w:sz w:val="28"/>
          <w:lang w:val="en-US"/>
        </w:rPr>
      </w:pPr>
      <w:r w:rsidRPr="00143669">
        <w:rPr>
          <w:b/>
          <w:kern w:val="2"/>
          <w:sz w:val="28"/>
          <w:lang w:val="en-US"/>
        </w:rPr>
        <w:lastRenderedPageBreak/>
        <w:t>Tomato and eggplant f</w:t>
      </w:r>
      <w:r>
        <w:rPr>
          <w:b/>
          <w:kern w:val="2"/>
          <w:sz w:val="28"/>
          <w:lang w:val="en-US"/>
        </w:rPr>
        <w:t>r</w:t>
      </w:r>
      <w:r w:rsidRPr="00143669">
        <w:rPr>
          <w:b/>
          <w:kern w:val="2"/>
          <w:sz w:val="28"/>
          <w:lang w:val="en-US"/>
        </w:rPr>
        <w:t xml:space="preserve">uit fortification by gene editing of </w:t>
      </w:r>
      <w:r w:rsidR="00E971EB" w:rsidRPr="00143669">
        <w:rPr>
          <w:b/>
          <w:kern w:val="2"/>
          <w:sz w:val="28"/>
          <w:lang w:val="en-US"/>
        </w:rPr>
        <w:t>Glutathione S-tra</w:t>
      </w:r>
      <w:r>
        <w:rPr>
          <w:b/>
          <w:kern w:val="2"/>
          <w:sz w:val="28"/>
          <w:lang w:val="en-US"/>
        </w:rPr>
        <w:t>n</w:t>
      </w:r>
      <w:r w:rsidR="00E971EB" w:rsidRPr="00143669">
        <w:rPr>
          <w:b/>
          <w:kern w:val="2"/>
          <w:sz w:val="28"/>
          <w:lang w:val="en-US"/>
        </w:rPr>
        <w:t>sferas</w:t>
      </w:r>
      <w:r>
        <w:rPr>
          <w:b/>
          <w:kern w:val="2"/>
          <w:sz w:val="28"/>
          <w:lang w:val="en-US"/>
        </w:rPr>
        <w:t>e</w:t>
      </w:r>
      <w:r w:rsidR="00E971EB" w:rsidRPr="00143669">
        <w:rPr>
          <w:b/>
          <w:kern w:val="2"/>
          <w:sz w:val="28"/>
          <w:lang w:val="en-US"/>
        </w:rPr>
        <w:t xml:space="preserve"> (GST)</w:t>
      </w:r>
      <w:r w:rsidRPr="00143669">
        <w:rPr>
          <w:b/>
          <w:kern w:val="2"/>
          <w:sz w:val="28"/>
          <w:lang w:val="en-US"/>
        </w:rPr>
        <w:t xml:space="preserve"> loci</w:t>
      </w:r>
    </w:p>
    <w:p w14:paraId="050008D4" w14:textId="06A76496" w:rsidR="00081E79" w:rsidRDefault="00E971EB" w:rsidP="00081E79">
      <w:pPr>
        <w:jc w:val="center"/>
        <w:rPr>
          <w:lang w:val="de-DE"/>
        </w:rPr>
      </w:pPr>
      <w:r>
        <w:rPr>
          <w:lang w:val="de-DE"/>
        </w:rPr>
        <w:t>Maria Pane</w:t>
      </w:r>
      <w:r w:rsidR="00081E79">
        <w:rPr>
          <w:lang w:val="de-DE"/>
        </w:rPr>
        <w:t xml:space="preserve"> (</w:t>
      </w:r>
      <w:r>
        <w:rPr>
          <w:lang w:val="de-DE"/>
        </w:rPr>
        <w:t>maria.pane@unina.it</w:t>
      </w:r>
      <w:r w:rsidR="00081E79">
        <w:rPr>
          <w:lang w:val="de-DE"/>
        </w:rPr>
        <w:t>)</w:t>
      </w:r>
    </w:p>
    <w:p w14:paraId="6D5F5145" w14:textId="3A05D04E" w:rsidR="00081E79" w:rsidRPr="00E971EB" w:rsidRDefault="00E971EB" w:rsidP="00081E79">
      <w:pPr>
        <w:jc w:val="center"/>
      </w:pPr>
      <w:r w:rsidRPr="00E971EB">
        <w:t>Dipartimento di Agraria, Università degli Studi di</w:t>
      </w:r>
      <w:r>
        <w:t xml:space="preserve"> Napoli “Federico II”</w:t>
      </w:r>
      <w:r w:rsidRPr="00E971EB">
        <w:t>,</w:t>
      </w:r>
      <w:r w:rsidR="00081E79" w:rsidRPr="00E971EB">
        <w:t xml:space="preserve"> </w:t>
      </w:r>
      <w:r>
        <w:t>Napoli</w:t>
      </w:r>
      <w:r w:rsidR="00081E79" w:rsidRPr="00E971EB">
        <w:t>, Italy</w:t>
      </w:r>
    </w:p>
    <w:p w14:paraId="7CBDB1B6" w14:textId="1B577C80" w:rsidR="00081E79" w:rsidRPr="00143669" w:rsidRDefault="00081E79" w:rsidP="00081E79">
      <w:pPr>
        <w:jc w:val="center"/>
        <w:rPr>
          <w:lang w:val="en-US"/>
        </w:rPr>
      </w:pPr>
      <w:r w:rsidRPr="00143669">
        <w:rPr>
          <w:lang w:val="en-US"/>
        </w:rPr>
        <w:t xml:space="preserve">Tutor: Prof. </w:t>
      </w:r>
      <w:r w:rsidR="00E971EB" w:rsidRPr="00143669">
        <w:rPr>
          <w:lang w:val="en-US"/>
        </w:rPr>
        <w:t>Antonio di Matteo</w:t>
      </w:r>
    </w:p>
    <w:p w14:paraId="145790C6" w14:textId="77777777" w:rsidR="00081E79" w:rsidRPr="00143669" w:rsidRDefault="00081E79" w:rsidP="00081E79">
      <w:pPr>
        <w:jc w:val="center"/>
        <w:rPr>
          <w:lang w:val="en-US"/>
        </w:rPr>
      </w:pPr>
    </w:p>
    <w:p w14:paraId="260E8A3E" w14:textId="5989FBEC" w:rsidR="00E971EB" w:rsidRPr="00E971EB" w:rsidRDefault="00081E79" w:rsidP="00E971EB">
      <w:pPr>
        <w:pStyle w:val="Corpotesto"/>
        <w:jc w:val="both"/>
        <w:rPr>
          <w:i w:val="0"/>
          <w:iCs w:val="0"/>
          <w:sz w:val="20"/>
          <w:lang w:val="en-US"/>
        </w:rPr>
      </w:pPr>
      <w:r w:rsidRPr="00E971EB">
        <w:rPr>
          <w:i w:val="0"/>
          <w:iCs w:val="0"/>
          <w:sz w:val="20"/>
          <w:lang w:val="en-US"/>
        </w:rPr>
        <w:t xml:space="preserve">This PhD thesis research project is aimed at </w:t>
      </w:r>
      <w:r w:rsidR="00143669">
        <w:rPr>
          <w:i w:val="0"/>
          <w:iCs w:val="0"/>
          <w:sz w:val="20"/>
          <w:lang w:val="en-US"/>
        </w:rPr>
        <w:t xml:space="preserve">enhancing </w:t>
      </w:r>
      <w:r w:rsidR="00E971EB" w:rsidRPr="00E971EB">
        <w:rPr>
          <w:i w:val="0"/>
          <w:iCs w:val="0"/>
          <w:sz w:val="20"/>
          <w:lang w:val="en-US"/>
        </w:rPr>
        <w:t xml:space="preserve">the nutritional quality of the fruit in tomato </w:t>
      </w:r>
      <w:r w:rsidR="00143669">
        <w:rPr>
          <w:i w:val="0"/>
          <w:iCs w:val="0"/>
          <w:sz w:val="20"/>
          <w:lang w:val="en-US"/>
        </w:rPr>
        <w:t xml:space="preserve">by </w:t>
      </w:r>
      <w:r w:rsidR="00143669" w:rsidRPr="00143669">
        <w:rPr>
          <w:i w:val="0"/>
          <w:iCs w:val="0"/>
          <w:sz w:val="20"/>
          <w:lang w:val="en-US"/>
        </w:rPr>
        <w:t>CRISPR/Cas9</w:t>
      </w:r>
      <w:r w:rsidR="00143669">
        <w:rPr>
          <w:i w:val="0"/>
          <w:iCs w:val="0"/>
          <w:sz w:val="20"/>
          <w:lang w:val="en-US"/>
        </w:rPr>
        <w:t xml:space="preserve">-mediated </w:t>
      </w:r>
      <w:r w:rsidR="00E971EB" w:rsidRPr="00E971EB">
        <w:rPr>
          <w:i w:val="0"/>
          <w:iCs w:val="0"/>
          <w:sz w:val="20"/>
          <w:lang w:val="en-US"/>
        </w:rPr>
        <w:t xml:space="preserve">gene editing approaches </w:t>
      </w:r>
      <w:r w:rsidR="00143669">
        <w:rPr>
          <w:i w:val="0"/>
          <w:iCs w:val="0"/>
          <w:sz w:val="20"/>
          <w:lang w:val="en-US"/>
        </w:rPr>
        <w:t>for</w:t>
      </w:r>
      <w:r w:rsidR="00E971EB" w:rsidRPr="00E971EB">
        <w:rPr>
          <w:i w:val="0"/>
          <w:iCs w:val="0"/>
          <w:sz w:val="20"/>
          <w:lang w:val="en-US"/>
        </w:rPr>
        <w:t xml:space="preserve"> removing inhibitory factors of G</w:t>
      </w:r>
      <w:r w:rsidR="00E971EB">
        <w:rPr>
          <w:i w:val="0"/>
          <w:iCs w:val="0"/>
          <w:sz w:val="20"/>
          <w:lang w:val="en-US"/>
        </w:rPr>
        <w:t>ST</w:t>
      </w:r>
      <w:r w:rsidR="00E971EB" w:rsidRPr="00E971EB">
        <w:rPr>
          <w:i w:val="0"/>
          <w:iCs w:val="0"/>
          <w:sz w:val="20"/>
          <w:lang w:val="en-US"/>
        </w:rPr>
        <w:t xml:space="preserve"> gene expression.</w:t>
      </w:r>
    </w:p>
    <w:p w14:paraId="4C26ADD9" w14:textId="77777777" w:rsidR="00E971EB" w:rsidRPr="00E971EB" w:rsidRDefault="00E971EB" w:rsidP="00E971EB">
      <w:pPr>
        <w:pStyle w:val="Corpotesto"/>
        <w:jc w:val="both"/>
        <w:rPr>
          <w:i w:val="0"/>
          <w:iCs w:val="0"/>
          <w:sz w:val="20"/>
          <w:lang w:val="en-US"/>
        </w:rPr>
      </w:pPr>
    </w:p>
    <w:p w14:paraId="3724864D" w14:textId="77777777" w:rsidR="00143669" w:rsidRPr="00143669" w:rsidRDefault="00143669" w:rsidP="00143669">
      <w:pPr>
        <w:jc w:val="center"/>
        <w:rPr>
          <w:b/>
          <w:kern w:val="2"/>
          <w:sz w:val="24"/>
          <w:szCs w:val="24"/>
        </w:rPr>
      </w:pPr>
      <w:proofErr w:type="spellStart"/>
      <w:r w:rsidRPr="00143669">
        <w:rPr>
          <w:b/>
          <w:kern w:val="2"/>
          <w:sz w:val="24"/>
          <w:szCs w:val="24"/>
        </w:rPr>
        <w:t>Bio</w:t>
      </w:r>
      <w:proofErr w:type="spellEnd"/>
      <w:r w:rsidRPr="00143669">
        <w:rPr>
          <w:b/>
          <w:kern w:val="2"/>
          <w:sz w:val="24"/>
          <w:szCs w:val="24"/>
        </w:rPr>
        <w:t xml:space="preserve">-fortificazione del frutto di pomodoro e melanzana mediante gene editing di loci </w:t>
      </w:r>
      <w:proofErr w:type="spellStart"/>
      <w:r w:rsidRPr="00143669">
        <w:rPr>
          <w:b/>
          <w:kern w:val="2"/>
          <w:sz w:val="24"/>
          <w:szCs w:val="24"/>
        </w:rPr>
        <w:t>Glutathione</w:t>
      </w:r>
      <w:proofErr w:type="spellEnd"/>
      <w:r w:rsidRPr="00143669">
        <w:rPr>
          <w:b/>
          <w:kern w:val="2"/>
          <w:sz w:val="24"/>
          <w:szCs w:val="24"/>
        </w:rPr>
        <w:t xml:space="preserve"> S-</w:t>
      </w:r>
      <w:proofErr w:type="spellStart"/>
      <w:r w:rsidRPr="00143669">
        <w:rPr>
          <w:b/>
          <w:kern w:val="2"/>
          <w:sz w:val="24"/>
          <w:szCs w:val="24"/>
        </w:rPr>
        <w:t>trasferasi</w:t>
      </w:r>
      <w:proofErr w:type="spellEnd"/>
      <w:r w:rsidRPr="00143669">
        <w:rPr>
          <w:b/>
          <w:kern w:val="2"/>
          <w:sz w:val="24"/>
          <w:szCs w:val="24"/>
        </w:rPr>
        <w:t xml:space="preserve"> (GST)</w:t>
      </w:r>
    </w:p>
    <w:p w14:paraId="63980D14" w14:textId="77777777" w:rsidR="00143669" w:rsidRDefault="00143669" w:rsidP="00081E79">
      <w:pPr>
        <w:jc w:val="both"/>
      </w:pPr>
    </w:p>
    <w:p w14:paraId="69B4EF32" w14:textId="4FC2884D" w:rsidR="00081E79" w:rsidRDefault="00081E79" w:rsidP="00081E79">
      <w:pPr>
        <w:jc w:val="both"/>
      </w:pPr>
      <w:r>
        <w:t>Questo progetto di tesi di dottorato mira a</w:t>
      </w:r>
      <w:r w:rsidR="00A86D24">
        <w:t xml:space="preserve">d </w:t>
      </w:r>
      <w:r w:rsidR="005352AD">
        <w:t xml:space="preserve">incrementare l’espressione di geni GST mediante gene editing con tecnologia </w:t>
      </w:r>
      <w:r w:rsidR="00A86D24">
        <w:t xml:space="preserve">CRISPR/Cas9 </w:t>
      </w:r>
      <w:r w:rsidR="005352AD">
        <w:t xml:space="preserve">volta a rimuovere la repressione operata da specifici geni regolatori e </w:t>
      </w:r>
      <w:r w:rsidR="00A86D24">
        <w:t xml:space="preserve">incrementare l’accumulo di antiossidanti </w:t>
      </w:r>
      <w:r w:rsidR="005352AD">
        <w:t>e la</w:t>
      </w:r>
      <w:r w:rsidR="00A86D24">
        <w:t xml:space="preserve"> qualità nutrizionale</w:t>
      </w:r>
      <w:r w:rsidR="005352AD">
        <w:t xml:space="preserve"> del frutto in</w:t>
      </w:r>
      <w:r w:rsidR="009421BF">
        <w:t xml:space="preserve"> pomodoro</w:t>
      </w:r>
      <w:r w:rsidR="00A86D24">
        <w:t>.</w:t>
      </w:r>
    </w:p>
    <w:p w14:paraId="5D49484C" w14:textId="77777777" w:rsidR="00081E79" w:rsidRDefault="00081E79" w:rsidP="00081E79"/>
    <w:p w14:paraId="5F678478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17E296B8" w14:textId="677F9021" w:rsidR="00DD17BA" w:rsidRDefault="009421BF" w:rsidP="009421BF">
      <w:pPr>
        <w:jc w:val="both"/>
        <w:rPr>
          <w:lang w:val="en-US"/>
        </w:rPr>
      </w:pPr>
      <w:r w:rsidRPr="009421BF">
        <w:rPr>
          <w:lang w:val="en-US"/>
        </w:rPr>
        <w:t xml:space="preserve">Tomato </w:t>
      </w:r>
      <w:r w:rsidR="00116325" w:rsidRPr="00B27C36">
        <w:rPr>
          <w:lang w:val="en-US"/>
        </w:rPr>
        <w:t>(</w:t>
      </w:r>
      <w:r w:rsidR="00116325" w:rsidRPr="00116325">
        <w:rPr>
          <w:i/>
          <w:lang w:val="en-US"/>
        </w:rPr>
        <w:t xml:space="preserve">S. </w:t>
      </w:r>
      <w:proofErr w:type="spellStart"/>
      <w:r w:rsidR="00116325" w:rsidRPr="00116325">
        <w:rPr>
          <w:i/>
          <w:lang w:val="en-US"/>
        </w:rPr>
        <w:t>lycopersicum</w:t>
      </w:r>
      <w:proofErr w:type="spellEnd"/>
      <w:r w:rsidR="00116325" w:rsidRPr="00B27C36">
        <w:rPr>
          <w:lang w:val="en-US"/>
        </w:rPr>
        <w:t xml:space="preserve">) </w:t>
      </w:r>
      <w:r w:rsidRPr="009421BF">
        <w:rPr>
          <w:lang w:val="en-US"/>
        </w:rPr>
        <w:t>is a worldwide cultivated food crop and its global yield has increased over the past decade. Its fruit contain many</w:t>
      </w:r>
      <w:r w:rsidR="00116325">
        <w:rPr>
          <w:lang w:val="en-US"/>
        </w:rPr>
        <w:t xml:space="preserve"> </w:t>
      </w:r>
      <w:r w:rsidRPr="009421BF">
        <w:rPr>
          <w:lang w:val="en-US"/>
        </w:rPr>
        <w:t>health-promoting compounds that have been involved in the prevention of several chronic diseases and dysfunctions</w:t>
      </w:r>
      <w:r w:rsidR="00116325">
        <w:rPr>
          <w:lang w:val="en-US"/>
        </w:rPr>
        <w:t xml:space="preserve"> (Frusciante et al., 2007</w:t>
      </w:r>
      <w:r w:rsidRPr="009421BF">
        <w:rPr>
          <w:lang w:val="en-US"/>
        </w:rPr>
        <w:t>. In addition to</w:t>
      </w:r>
      <w:r>
        <w:rPr>
          <w:lang w:val="en-US"/>
        </w:rPr>
        <w:t xml:space="preserve"> </w:t>
      </w:r>
      <w:r w:rsidRPr="009421BF">
        <w:rPr>
          <w:lang w:val="en-US"/>
        </w:rPr>
        <w:t>its economic and nutritional importance, tomato is an important model plant for scientific research on fruit development and quality.</w:t>
      </w:r>
      <w:r w:rsidR="00DD17BA">
        <w:rPr>
          <w:lang w:val="en-US"/>
        </w:rPr>
        <w:t xml:space="preserve"> </w:t>
      </w:r>
      <w:r w:rsidRPr="009421BF">
        <w:rPr>
          <w:lang w:val="en-US"/>
        </w:rPr>
        <w:t>Since its first release in 2012, the tomato genome sequence has been widely used as a reference genome for scientific research and</w:t>
      </w:r>
      <w:r w:rsidR="00DD17BA">
        <w:rPr>
          <w:lang w:val="en-US"/>
        </w:rPr>
        <w:t xml:space="preserve"> </w:t>
      </w:r>
      <w:r w:rsidRPr="009421BF">
        <w:rPr>
          <w:lang w:val="en-US"/>
        </w:rPr>
        <w:t>biotechnology assisted breeding approaches.</w:t>
      </w:r>
      <w:r w:rsidRPr="009421BF">
        <w:rPr>
          <w:lang w:val="en-US"/>
        </w:rPr>
        <w:t xml:space="preserve"> </w:t>
      </w:r>
    </w:p>
    <w:p w14:paraId="231A82FB" w14:textId="6002F614" w:rsidR="00B27C36" w:rsidRDefault="00DD17BA" w:rsidP="00081E79">
      <w:pPr>
        <w:jc w:val="both"/>
        <w:rPr>
          <w:lang w:val="en-US"/>
        </w:rPr>
      </w:pPr>
      <w:r>
        <w:rPr>
          <w:lang w:val="en-US"/>
        </w:rPr>
        <w:t xml:space="preserve">In order to control the overall level of </w:t>
      </w:r>
      <w:r w:rsidRPr="00154B89">
        <w:rPr>
          <w:lang w:val="en-US"/>
        </w:rPr>
        <w:t xml:space="preserve">reactive oxygen species (ROS) </w:t>
      </w:r>
      <w:r>
        <w:rPr>
          <w:lang w:val="en-US"/>
        </w:rPr>
        <w:t xml:space="preserve">and prevent </w:t>
      </w:r>
      <w:r w:rsidR="00154B89">
        <w:rPr>
          <w:lang w:val="en-US"/>
        </w:rPr>
        <w:t xml:space="preserve">cellular damage and lipid </w:t>
      </w:r>
      <w:r>
        <w:rPr>
          <w:lang w:val="en-US"/>
        </w:rPr>
        <w:t>per</w:t>
      </w:r>
      <w:r w:rsidR="00154B89">
        <w:rPr>
          <w:lang w:val="en-US"/>
        </w:rPr>
        <w:t>oxidation</w:t>
      </w:r>
      <w:r>
        <w:rPr>
          <w:lang w:val="en-US"/>
        </w:rPr>
        <w:t xml:space="preserve">, the plant metabolic processes </w:t>
      </w:r>
      <w:r w:rsidR="00B57CD6">
        <w:rPr>
          <w:lang w:val="en-US"/>
        </w:rPr>
        <w:t>deploy</w:t>
      </w:r>
      <w:r>
        <w:rPr>
          <w:lang w:val="en-US"/>
        </w:rPr>
        <w:t xml:space="preserve"> a plethora of bioactive compounds with antioxidant </w:t>
      </w:r>
      <w:r w:rsidR="00B57CD6">
        <w:rPr>
          <w:lang w:val="en-US"/>
        </w:rPr>
        <w:t>activity as defense shield against oxidative stress.</w:t>
      </w:r>
      <w:r w:rsidR="00154B89" w:rsidRPr="00154B89">
        <w:rPr>
          <w:lang w:val="en-US"/>
        </w:rPr>
        <w:t xml:space="preserve"> </w:t>
      </w:r>
      <w:r w:rsidR="00B57CD6">
        <w:rPr>
          <w:lang w:val="en-US"/>
        </w:rPr>
        <w:t xml:space="preserve">The antioxidant system consists of several metabolites and </w:t>
      </w:r>
      <w:r w:rsidR="00154B89" w:rsidRPr="00154B89">
        <w:rPr>
          <w:lang w:val="en-US"/>
        </w:rPr>
        <w:t xml:space="preserve">enzymatic </w:t>
      </w:r>
      <w:r w:rsidR="00B57CD6">
        <w:rPr>
          <w:lang w:val="en-US"/>
        </w:rPr>
        <w:t xml:space="preserve">proteins such as </w:t>
      </w:r>
      <w:r w:rsidR="00B27C36">
        <w:rPr>
          <w:lang w:val="en-US"/>
        </w:rPr>
        <w:t>glutathione S-transferase (GSTs).</w:t>
      </w:r>
      <w:r w:rsidR="00B27C36" w:rsidRPr="00B27C36">
        <w:rPr>
          <w:lang w:val="en-US"/>
        </w:rPr>
        <w:t xml:space="preserve"> GSTs are phase II metabolic isozymes that catalyze the conjugation of the tripeptide (γ-</w:t>
      </w:r>
      <w:proofErr w:type="spellStart"/>
      <w:r w:rsidR="00B27C36" w:rsidRPr="00B27C36">
        <w:rPr>
          <w:lang w:val="en-US"/>
        </w:rPr>
        <w:t>Glu</w:t>
      </w:r>
      <w:proofErr w:type="spellEnd"/>
      <w:r w:rsidR="00B27C36" w:rsidRPr="00B27C36">
        <w:rPr>
          <w:lang w:val="en-US"/>
        </w:rPr>
        <w:t>-</w:t>
      </w:r>
      <w:proofErr w:type="spellStart"/>
      <w:r w:rsidR="00B27C36" w:rsidRPr="00B27C36">
        <w:rPr>
          <w:lang w:val="en-US"/>
        </w:rPr>
        <w:t>Cys-Gly</w:t>
      </w:r>
      <w:proofErr w:type="spellEnd"/>
      <w:r w:rsidR="00B27C36" w:rsidRPr="00B27C36">
        <w:rPr>
          <w:lang w:val="en-US"/>
        </w:rPr>
        <w:t xml:space="preserve">) glutathione (GSH) to a variety of substrates such as endobiotic and xenobiotic compounds for the detoxification. GSH is a key player in the plant response to the oxidative stress. In fact, GSH biosynthesis is stimulated when the cell faces stress conditions and builds up its defense capability. </w:t>
      </w:r>
      <w:r w:rsidR="00116325">
        <w:rPr>
          <w:lang w:val="en-US"/>
        </w:rPr>
        <w:t>Also, GSH collaborates with a</w:t>
      </w:r>
      <w:r w:rsidR="00B27C36" w:rsidRPr="00B27C36">
        <w:rPr>
          <w:lang w:val="en-US"/>
        </w:rPr>
        <w:t>scorbate and NADPH in the Foyer-</w:t>
      </w:r>
      <w:proofErr w:type="spellStart"/>
      <w:r w:rsidR="00B27C36" w:rsidRPr="00B27C36">
        <w:rPr>
          <w:lang w:val="en-US"/>
        </w:rPr>
        <w:t>Halliwell</w:t>
      </w:r>
      <w:proofErr w:type="spellEnd"/>
      <w:r w:rsidR="00B27C36" w:rsidRPr="00B27C36">
        <w:rPr>
          <w:lang w:val="en-US"/>
        </w:rPr>
        <w:t>–Asada cycle (Potters et al., 2002) for H</w:t>
      </w:r>
      <w:r w:rsidR="00B27C36" w:rsidRPr="00B57CD6">
        <w:rPr>
          <w:vertAlign w:val="subscript"/>
          <w:lang w:val="en-US"/>
        </w:rPr>
        <w:t>2</w:t>
      </w:r>
      <w:r w:rsidR="00B27C36" w:rsidRPr="00B27C36">
        <w:rPr>
          <w:lang w:val="en-US"/>
        </w:rPr>
        <w:t>O</w:t>
      </w:r>
      <w:r w:rsidR="00B27C36" w:rsidRPr="00B57CD6">
        <w:rPr>
          <w:vertAlign w:val="subscript"/>
          <w:lang w:val="en-US"/>
        </w:rPr>
        <w:t>2</w:t>
      </w:r>
      <w:r w:rsidR="00B27C36" w:rsidRPr="00B27C36">
        <w:rPr>
          <w:lang w:val="en-US"/>
        </w:rPr>
        <w:t xml:space="preserve"> detoxification preserving cells from damages brought about by exceeding levels of ROS.</w:t>
      </w:r>
      <w:r w:rsidR="00E93EA1">
        <w:rPr>
          <w:lang w:val="en-US"/>
        </w:rPr>
        <w:t xml:space="preserve"> </w:t>
      </w:r>
    </w:p>
    <w:p w14:paraId="4BD9FDC0" w14:textId="7DF4F4C0" w:rsidR="00E93EA1" w:rsidRDefault="00E93EA1" w:rsidP="00081E79">
      <w:pPr>
        <w:jc w:val="both"/>
        <w:rPr>
          <w:lang w:val="en-US"/>
        </w:rPr>
      </w:pPr>
      <w:r w:rsidRPr="00E93EA1">
        <w:rPr>
          <w:lang w:val="en-US"/>
        </w:rPr>
        <w:t>In plants, GSTs exist as a multigene superfamily and can be grouped in cytosolic, mitochondrial and microsomal</w:t>
      </w:r>
      <w:r>
        <w:rPr>
          <w:lang w:val="en-US"/>
        </w:rPr>
        <w:t xml:space="preserve">. Based on their sequence </w:t>
      </w:r>
      <w:r w:rsidRPr="00E93EA1">
        <w:rPr>
          <w:lang w:val="en-US"/>
        </w:rPr>
        <w:t xml:space="preserve">plant GSTs are categorized in distinctive classes, that are tau (U), phi (F), theta (T), zeta (Z), lambda (L), </w:t>
      </w:r>
      <w:proofErr w:type="spellStart"/>
      <w:r w:rsidRPr="00E93EA1">
        <w:rPr>
          <w:lang w:val="en-US"/>
        </w:rPr>
        <w:t>dehydroascorbate</w:t>
      </w:r>
      <w:proofErr w:type="spellEnd"/>
      <w:r w:rsidRPr="00E93EA1">
        <w:rPr>
          <w:lang w:val="en-US"/>
        </w:rPr>
        <w:t xml:space="preserve"> reductase (DHAR), γ-subunit of the eukaryotic translation elongation factor 1B (EF1Bγ), </w:t>
      </w:r>
      <w:proofErr w:type="spellStart"/>
      <w:r w:rsidRPr="00E93EA1">
        <w:rPr>
          <w:lang w:val="en-US"/>
        </w:rPr>
        <w:t>tetrachlorohydroquinone</w:t>
      </w:r>
      <w:proofErr w:type="spellEnd"/>
      <w:r w:rsidRPr="00E93EA1">
        <w:rPr>
          <w:lang w:val="en-US"/>
        </w:rPr>
        <w:t xml:space="preserve"> dehalogenase (TCHQD), </w:t>
      </w:r>
      <w:proofErr w:type="spellStart"/>
      <w:r w:rsidRPr="00E93EA1">
        <w:rPr>
          <w:lang w:val="en-US"/>
        </w:rPr>
        <w:t>metaxin</w:t>
      </w:r>
      <w:proofErr w:type="spellEnd"/>
      <w:r w:rsidRPr="00E93EA1">
        <w:rPr>
          <w:lang w:val="en-US"/>
        </w:rPr>
        <w:t xml:space="preserve">, Ure2p, hemerythrin (H), iota (I), microsomal prostaglandin E-synthase type 2 (mPGES-2) and </w:t>
      </w:r>
      <w:proofErr w:type="spellStart"/>
      <w:r w:rsidRPr="00E93EA1">
        <w:rPr>
          <w:lang w:val="en-US"/>
        </w:rPr>
        <w:t>glutathionyl</w:t>
      </w:r>
      <w:proofErr w:type="spellEnd"/>
      <w:r w:rsidRPr="00E93EA1">
        <w:rPr>
          <w:lang w:val="en-US"/>
        </w:rPr>
        <w:t xml:space="preserve"> hydroquinone reductase (GHR) (Ref.). Phi and tau are the largest plant GST classes.</w:t>
      </w:r>
    </w:p>
    <w:p w14:paraId="67187620" w14:textId="75C1128A" w:rsidR="00B27C36" w:rsidRDefault="00B27C36" w:rsidP="00B27C36">
      <w:pPr>
        <w:jc w:val="both"/>
        <w:rPr>
          <w:lang w:val="en-US"/>
        </w:rPr>
      </w:pPr>
      <w:r w:rsidRPr="00B27C36">
        <w:rPr>
          <w:lang w:val="en-US"/>
        </w:rPr>
        <w:t>Within the tomato genome 90 GST genes unevenly distributed across the 13 synthetic chromosomes has been previously identified (Islam et al. 2017). Among others, chromosomes 7 and 9 harbor the highest number of GST genes, 23 and 12, respectively. Moreover, GST genes are grouped in 10 clusters and the two major tau cluster are located on chromosomes 7 and 9</w:t>
      </w:r>
      <w:r>
        <w:rPr>
          <w:lang w:val="en-US"/>
        </w:rPr>
        <w:t xml:space="preserve">. </w:t>
      </w:r>
    </w:p>
    <w:p w14:paraId="6488F3CA" w14:textId="0C0982A8" w:rsidR="00B27C36" w:rsidRDefault="00116325" w:rsidP="008C06BA">
      <w:pPr>
        <w:jc w:val="both"/>
        <w:rPr>
          <w:lang w:val="en-US"/>
        </w:rPr>
      </w:pPr>
      <w:r>
        <w:rPr>
          <w:lang w:val="en-US"/>
        </w:rPr>
        <w:t>Previous r</w:t>
      </w:r>
      <w:r w:rsidR="00B27C36">
        <w:rPr>
          <w:lang w:val="en-US"/>
        </w:rPr>
        <w:t xml:space="preserve">esearch </w:t>
      </w:r>
      <w:r>
        <w:rPr>
          <w:lang w:val="en-US"/>
        </w:rPr>
        <w:t xml:space="preserve">carried out </w:t>
      </w:r>
      <w:r w:rsidR="00B27C36">
        <w:rPr>
          <w:lang w:val="en-US"/>
        </w:rPr>
        <w:t xml:space="preserve">in our laboratory </w:t>
      </w:r>
      <w:r w:rsidR="00B27C36" w:rsidRPr="00154B89">
        <w:rPr>
          <w:lang w:val="en-US"/>
        </w:rPr>
        <w:t>allowed us to associate</w:t>
      </w:r>
      <w:r w:rsidR="00B27C36">
        <w:rPr>
          <w:lang w:val="en-US"/>
        </w:rPr>
        <w:t xml:space="preserve"> </w:t>
      </w:r>
      <w:r>
        <w:rPr>
          <w:lang w:val="en-US"/>
        </w:rPr>
        <w:t xml:space="preserve">in tomato </w:t>
      </w:r>
      <w:r w:rsidR="00B27C36">
        <w:rPr>
          <w:lang w:val="en-US"/>
        </w:rPr>
        <w:t xml:space="preserve">GST </w:t>
      </w:r>
      <w:r>
        <w:rPr>
          <w:lang w:val="en-US"/>
        </w:rPr>
        <w:t>up-regulation with fruit accumulation of phenolic compounds (Di Matteo et al., 2013)</w:t>
      </w:r>
      <w:r w:rsidR="00B27C36">
        <w:rPr>
          <w:lang w:val="en-US"/>
        </w:rPr>
        <w:t xml:space="preserve">. </w:t>
      </w:r>
      <w:r>
        <w:rPr>
          <w:lang w:val="en-US"/>
        </w:rPr>
        <w:t xml:space="preserve">However, </w:t>
      </w:r>
      <w:r w:rsidR="00B27C36">
        <w:rPr>
          <w:lang w:val="en-US"/>
        </w:rPr>
        <w:t>t</w:t>
      </w:r>
      <w:r w:rsidR="00B27C36" w:rsidRPr="00B27C36">
        <w:rPr>
          <w:lang w:val="en-US"/>
        </w:rPr>
        <w:t>he use of GST genes to improve the nutritional quality of the fruit remains largely unexplored given the complexity of this gene family with a high degree of redundancy and duplication</w:t>
      </w:r>
      <w:r w:rsidR="00B27C36">
        <w:rPr>
          <w:lang w:val="en-US"/>
        </w:rPr>
        <w:t xml:space="preserve"> </w:t>
      </w:r>
      <w:r w:rsidR="00B27C36" w:rsidRPr="00B27C36">
        <w:rPr>
          <w:lang w:val="en-US"/>
        </w:rPr>
        <w:t xml:space="preserve">that limit the specificity of many metabolic engineering technologies and </w:t>
      </w:r>
      <w:r w:rsidR="00690407">
        <w:rPr>
          <w:lang w:val="en-US"/>
        </w:rPr>
        <w:t>the</w:t>
      </w:r>
      <w:r w:rsidR="00B27C36" w:rsidRPr="00B27C36">
        <w:rPr>
          <w:lang w:val="en-US"/>
        </w:rPr>
        <w:t xml:space="preserve"> high homeostatic strength that allows the system to react and </w:t>
      </w:r>
      <w:r>
        <w:rPr>
          <w:lang w:val="en-US"/>
        </w:rPr>
        <w:t xml:space="preserve">debunk or </w:t>
      </w:r>
      <w:r w:rsidR="00B27C36" w:rsidRPr="00B27C36">
        <w:rPr>
          <w:lang w:val="en-US"/>
        </w:rPr>
        <w:t xml:space="preserve">cancel </w:t>
      </w:r>
      <w:r w:rsidR="00690407">
        <w:rPr>
          <w:lang w:val="en-US"/>
        </w:rPr>
        <w:t>any</w:t>
      </w:r>
      <w:r w:rsidR="00B27C36" w:rsidRPr="00B27C36">
        <w:rPr>
          <w:lang w:val="en-US"/>
        </w:rPr>
        <w:t xml:space="preserve"> effect of </w:t>
      </w:r>
      <w:r w:rsidR="00690407">
        <w:rPr>
          <w:lang w:val="en-US"/>
        </w:rPr>
        <w:t>externally-induced unbalance</w:t>
      </w:r>
      <w:r w:rsidR="00B27C36">
        <w:rPr>
          <w:lang w:val="en-US"/>
        </w:rPr>
        <w:t>.</w:t>
      </w:r>
      <w:r w:rsidR="008C06BA">
        <w:rPr>
          <w:lang w:val="en-US"/>
        </w:rPr>
        <w:t xml:space="preserve"> </w:t>
      </w:r>
      <w:r w:rsidR="008C06BA" w:rsidRPr="008C06BA">
        <w:rPr>
          <w:lang w:val="en-US"/>
        </w:rPr>
        <w:t>To functionally characterize candidate genes</w:t>
      </w:r>
      <w:r w:rsidR="008C06BA">
        <w:rPr>
          <w:lang w:val="en-US"/>
        </w:rPr>
        <w:t xml:space="preserve"> and breed tomato for enhanced fruit nutritional quality</w:t>
      </w:r>
      <w:r w:rsidR="008C06BA" w:rsidRPr="008C06BA">
        <w:rPr>
          <w:lang w:val="en-US"/>
        </w:rPr>
        <w:t>, genome editing technologies relay on DNA repair mechanisms that occur in cells either</w:t>
      </w:r>
      <w:r w:rsidR="008C06BA">
        <w:rPr>
          <w:lang w:val="en-US"/>
        </w:rPr>
        <w:t xml:space="preserve"> </w:t>
      </w:r>
      <w:r w:rsidR="008C06BA" w:rsidRPr="008C06BA">
        <w:rPr>
          <w:lang w:val="en-US"/>
        </w:rPr>
        <w:t>by non-homologous end-joining or homology directed repair systems</w:t>
      </w:r>
      <w:r w:rsidR="008C06BA">
        <w:rPr>
          <w:lang w:val="en-US"/>
        </w:rPr>
        <w:t xml:space="preserve"> (</w:t>
      </w:r>
      <w:proofErr w:type="spellStart"/>
      <w:r w:rsidR="008C06BA" w:rsidRPr="008C06BA">
        <w:rPr>
          <w:lang w:val="en-US"/>
        </w:rPr>
        <w:t>Steinert</w:t>
      </w:r>
      <w:proofErr w:type="spellEnd"/>
      <w:r w:rsidR="008C06BA">
        <w:rPr>
          <w:lang w:val="en-US"/>
        </w:rPr>
        <w:t xml:space="preserve"> e</w:t>
      </w:r>
      <w:r w:rsidR="008C06BA" w:rsidRPr="008C06BA">
        <w:rPr>
          <w:lang w:val="en-US"/>
        </w:rPr>
        <w:t>t al., 2016</w:t>
      </w:r>
      <w:r w:rsidR="008C06BA">
        <w:rPr>
          <w:lang w:val="en-US"/>
        </w:rPr>
        <w:t>)</w:t>
      </w:r>
      <w:r w:rsidR="008C06BA" w:rsidRPr="008C06BA">
        <w:rPr>
          <w:lang w:val="en-US"/>
        </w:rPr>
        <w:t>. Editing technologies, can efficiently achieve site-directed</w:t>
      </w:r>
      <w:r w:rsidR="008C06BA">
        <w:rPr>
          <w:lang w:val="en-US"/>
        </w:rPr>
        <w:t xml:space="preserve"> </w:t>
      </w:r>
      <w:r w:rsidR="008C06BA" w:rsidRPr="008C06BA">
        <w:rPr>
          <w:lang w:val="en-US"/>
        </w:rPr>
        <w:t>mutations of target sequences and further removal of foreign DNA by segregation</w:t>
      </w:r>
      <w:r w:rsidR="008C06BA">
        <w:rPr>
          <w:lang w:val="en-US"/>
        </w:rPr>
        <w:t xml:space="preserve"> in order to </w:t>
      </w:r>
      <w:r w:rsidR="00D618C3">
        <w:rPr>
          <w:lang w:val="en-US"/>
        </w:rPr>
        <w:t xml:space="preserve">deal with regulatory and </w:t>
      </w:r>
      <w:r w:rsidR="008C06BA">
        <w:rPr>
          <w:lang w:val="en-US"/>
        </w:rPr>
        <w:t xml:space="preserve">public acceptance </w:t>
      </w:r>
      <w:r w:rsidR="00D618C3">
        <w:rPr>
          <w:lang w:val="en-US"/>
        </w:rPr>
        <w:t>issues</w:t>
      </w:r>
      <w:r w:rsidR="008C06BA" w:rsidRPr="008C06BA">
        <w:rPr>
          <w:lang w:val="en-US"/>
        </w:rPr>
        <w:t>.</w:t>
      </w:r>
    </w:p>
    <w:p w14:paraId="5CF44C67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PhD Thesis Objectives and Milestones</w:t>
      </w:r>
    </w:p>
    <w:p w14:paraId="27C0B12E" w14:textId="77777777" w:rsidR="00B27C36" w:rsidRDefault="00B27C36" w:rsidP="00B27C36">
      <w:pPr>
        <w:tabs>
          <w:tab w:val="left" w:pos="0"/>
        </w:tabs>
        <w:jc w:val="both"/>
        <w:rPr>
          <w:lang w:val="en-US"/>
        </w:rPr>
      </w:pPr>
      <w:r w:rsidRPr="00B27C36">
        <w:rPr>
          <w:lang w:val="en-US"/>
        </w:rPr>
        <w:t xml:space="preserve">Our </w:t>
      </w:r>
      <w:r>
        <w:rPr>
          <w:lang w:val="en-US"/>
        </w:rPr>
        <w:t>aim</w:t>
      </w:r>
      <w:r w:rsidRPr="00B27C36">
        <w:rPr>
          <w:lang w:val="en-US"/>
        </w:rPr>
        <w:t xml:space="preserve"> is t</w:t>
      </w:r>
      <w:r>
        <w:rPr>
          <w:lang w:val="en-US"/>
        </w:rPr>
        <w:t>o use g</w:t>
      </w:r>
      <w:r w:rsidRPr="00B27C36">
        <w:rPr>
          <w:lang w:val="en-US"/>
        </w:rPr>
        <w:t>ene editing</w:t>
      </w:r>
      <w:r>
        <w:rPr>
          <w:lang w:val="en-US"/>
        </w:rPr>
        <w:t xml:space="preserve"> technology that </w:t>
      </w:r>
      <w:r w:rsidRPr="00B27C36">
        <w:rPr>
          <w:lang w:val="en-US"/>
        </w:rPr>
        <w:t>has some strengths such as</w:t>
      </w:r>
      <w:r>
        <w:rPr>
          <w:lang w:val="en-US"/>
        </w:rPr>
        <w:t xml:space="preserve">: </w:t>
      </w:r>
      <w:r w:rsidRPr="00B27C36">
        <w:rPr>
          <w:lang w:val="en-US"/>
        </w:rPr>
        <w:t xml:space="preserve">the possibility of drawing RNA specific guide to target individual loci even within families with many duplications and the possibility of drawing partially non-specific guide RNA in in order to simultaneously target genes of the same subfamily and limit the homeostasis reaction. </w:t>
      </w:r>
    </w:p>
    <w:p w14:paraId="38A85CD5" w14:textId="260562F9" w:rsidR="00B27C36" w:rsidRPr="00B27C36" w:rsidRDefault="00B27C36" w:rsidP="00B27C36">
      <w:pPr>
        <w:tabs>
          <w:tab w:val="left" w:pos="0"/>
        </w:tabs>
        <w:jc w:val="both"/>
        <w:rPr>
          <w:lang w:val="en-US"/>
        </w:rPr>
      </w:pPr>
      <w:r w:rsidRPr="00B27C36">
        <w:rPr>
          <w:lang w:val="en-US"/>
        </w:rPr>
        <w:t>Another innovative element of the project proposal is the possibility of pursuing metabolic alterations by editing loci m</w:t>
      </w:r>
      <w:r>
        <w:rPr>
          <w:lang w:val="en-US"/>
        </w:rPr>
        <w:t>iRNA</w:t>
      </w:r>
      <w:r w:rsidRPr="00B27C36">
        <w:rPr>
          <w:lang w:val="en-US"/>
        </w:rPr>
        <w:t xml:space="preserve"> to remove the inhibition on the target gene.</w:t>
      </w:r>
    </w:p>
    <w:p w14:paraId="1FF8A72C" w14:textId="77777777" w:rsidR="00B27C36" w:rsidRPr="00B27C36" w:rsidRDefault="00B27C36" w:rsidP="00B27C36">
      <w:pPr>
        <w:rPr>
          <w:lang w:val="en-US"/>
        </w:rPr>
      </w:pPr>
    </w:p>
    <w:p w14:paraId="2323F777" w14:textId="477EC649" w:rsidR="00081E79" w:rsidRDefault="00081E79" w:rsidP="00081E79">
      <w:pPr>
        <w:jc w:val="both"/>
        <w:rPr>
          <w:lang w:val="en-GB"/>
        </w:rPr>
      </w:pPr>
      <w:r>
        <w:rPr>
          <w:lang w:val="en-GB"/>
        </w:rPr>
        <w:t xml:space="preserve">Within the overall objective mentioned above this PhD thesis project can be subdivided into the following activities according to the Gantt diagram given in Table </w:t>
      </w:r>
      <w:r w:rsidR="006414A7">
        <w:rPr>
          <w:lang w:val="en-GB"/>
        </w:rPr>
        <w:t>1</w:t>
      </w:r>
      <w:r>
        <w:rPr>
          <w:lang w:val="en-GB"/>
        </w:rPr>
        <w:t xml:space="preserve">: </w:t>
      </w:r>
    </w:p>
    <w:p w14:paraId="35D96739" w14:textId="39ACD720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A1)</w:t>
      </w:r>
      <w:r>
        <w:rPr>
          <w:lang w:val="en-GB"/>
        </w:rPr>
        <w:tab/>
      </w:r>
      <w:r w:rsidR="00FC6FAF" w:rsidRPr="00FC6FAF">
        <w:rPr>
          <w:b/>
          <w:bCs/>
          <w:lang w:val="en-GB"/>
        </w:rPr>
        <w:t>Target selection</w:t>
      </w:r>
      <w:r>
        <w:rPr>
          <w:lang w:val="en-GB"/>
        </w:rPr>
        <w:t xml:space="preserve"> </w:t>
      </w:r>
      <w:r w:rsidR="00FC6FAF">
        <w:rPr>
          <w:lang w:val="en-GB"/>
        </w:rPr>
        <w:t xml:space="preserve">among cluster 7 and cluster 9 </w:t>
      </w:r>
      <w:r w:rsidR="00704C34">
        <w:rPr>
          <w:lang w:val="en-GB"/>
        </w:rPr>
        <w:t>in order to design specific gRNAs (A1.1) and purchase PCR primers for cloning</w:t>
      </w:r>
      <w:r w:rsidR="00FF0895">
        <w:rPr>
          <w:lang w:val="en-GB"/>
        </w:rPr>
        <w:t xml:space="preserve"> (A1.2)</w:t>
      </w:r>
      <w:r w:rsidR="00FC6FAF">
        <w:rPr>
          <w:lang w:val="en-GB"/>
        </w:rPr>
        <w:t xml:space="preserve">. </w:t>
      </w:r>
    </w:p>
    <w:p w14:paraId="7059CB1F" w14:textId="4D73E1C0" w:rsidR="00081E79" w:rsidRPr="00FC6FAF" w:rsidRDefault="00081E79" w:rsidP="00081E79">
      <w:pPr>
        <w:ind w:left="426" w:hanging="426"/>
        <w:jc w:val="both"/>
        <w:rPr>
          <w:lang w:val="en-GB"/>
        </w:rPr>
      </w:pPr>
      <w:r>
        <w:rPr>
          <w:lang w:val="en-GB"/>
        </w:rPr>
        <w:t>A2)</w:t>
      </w:r>
      <w:r>
        <w:rPr>
          <w:lang w:val="en-GB"/>
        </w:rPr>
        <w:tab/>
      </w:r>
      <w:r w:rsidR="00FC6FAF">
        <w:rPr>
          <w:b/>
          <w:bCs/>
          <w:lang w:val="en-GB"/>
        </w:rPr>
        <w:t>Puri</w:t>
      </w:r>
      <w:r w:rsidR="00704C34">
        <w:rPr>
          <w:b/>
          <w:bCs/>
          <w:lang w:val="en-GB"/>
        </w:rPr>
        <w:t xml:space="preserve">fication of vectors </w:t>
      </w:r>
      <w:r w:rsidR="00FF0895">
        <w:rPr>
          <w:b/>
          <w:bCs/>
          <w:lang w:val="en-GB"/>
        </w:rPr>
        <w:t xml:space="preserve">(A2.1) </w:t>
      </w:r>
      <w:r w:rsidR="00704C34">
        <w:rPr>
          <w:b/>
          <w:bCs/>
          <w:lang w:val="en-GB"/>
        </w:rPr>
        <w:t>and cloning</w:t>
      </w:r>
      <w:r w:rsidR="00FC6FAF">
        <w:rPr>
          <w:b/>
          <w:bCs/>
          <w:lang w:val="en-GB"/>
        </w:rPr>
        <w:t xml:space="preserve"> </w:t>
      </w:r>
      <w:r w:rsidR="00FF0895">
        <w:rPr>
          <w:b/>
          <w:bCs/>
          <w:lang w:val="en-GB"/>
        </w:rPr>
        <w:t xml:space="preserve">(A2.2) </w:t>
      </w:r>
      <w:r w:rsidR="00FF0895">
        <w:rPr>
          <w:bCs/>
          <w:lang w:val="en-GB"/>
        </w:rPr>
        <w:t>of gRNAs</w:t>
      </w:r>
      <w:r w:rsidR="00704C34" w:rsidRPr="00FF0895">
        <w:rPr>
          <w:bCs/>
          <w:lang w:val="en-GB"/>
        </w:rPr>
        <w:t xml:space="preserve"> into appropriated ent</w:t>
      </w:r>
      <w:r w:rsidR="00FF0895">
        <w:rPr>
          <w:bCs/>
          <w:lang w:val="en-GB"/>
        </w:rPr>
        <w:t>r</w:t>
      </w:r>
      <w:r w:rsidR="00704C34" w:rsidRPr="00FF0895">
        <w:rPr>
          <w:bCs/>
          <w:lang w:val="en-GB"/>
        </w:rPr>
        <w:t>y and destination vectors in order to prepare binary vectors for</w:t>
      </w:r>
      <w:r w:rsidR="00FC6FAF">
        <w:rPr>
          <w:lang w:val="en-GB"/>
        </w:rPr>
        <w:t xml:space="preserve"> CRISP/Cas9 </w:t>
      </w:r>
      <w:r w:rsidR="00704C34">
        <w:rPr>
          <w:lang w:val="en-GB"/>
        </w:rPr>
        <w:t xml:space="preserve">applications by </w:t>
      </w:r>
      <w:proofErr w:type="spellStart"/>
      <w:r w:rsidR="00FF0895">
        <w:rPr>
          <w:lang w:val="en-GB"/>
        </w:rPr>
        <w:t>GoldenBraid</w:t>
      </w:r>
      <w:proofErr w:type="spellEnd"/>
      <w:r w:rsidR="00FF0895">
        <w:rPr>
          <w:lang w:val="en-GB"/>
        </w:rPr>
        <w:t xml:space="preserve"> 3.0 technology</w:t>
      </w:r>
      <w:r w:rsidR="00FC6FAF">
        <w:rPr>
          <w:lang w:val="en-GB"/>
        </w:rPr>
        <w:t>.</w:t>
      </w:r>
    </w:p>
    <w:p w14:paraId="3FD26729" w14:textId="1C5DAA18" w:rsidR="00081E79" w:rsidRPr="00FC6FAF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A3)</w:t>
      </w:r>
      <w:r>
        <w:rPr>
          <w:lang w:val="en-GB"/>
        </w:rPr>
        <w:tab/>
      </w:r>
      <w:r w:rsidR="00FC6FAF">
        <w:rPr>
          <w:b/>
          <w:bCs/>
          <w:lang w:val="en-GB"/>
        </w:rPr>
        <w:t xml:space="preserve">Plant transformation. </w:t>
      </w:r>
      <w:r w:rsidR="00FC6FAF" w:rsidRPr="00FC6FAF">
        <w:rPr>
          <w:lang w:val="en-GB"/>
        </w:rPr>
        <w:t xml:space="preserve">Agrobacterium </w:t>
      </w:r>
      <w:proofErr w:type="spellStart"/>
      <w:r w:rsidR="00FC6FAF" w:rsidRPr="00FC6FAF">
        <w:rPr>
          <w:lang w:val="en-GB"/>
        </w:rPr>
        <w:t>tumefaciens</w:t>
      </w:r>
      <w:proofErr w:type="spellEnd"/>
      <w:r w:rsidR="00FF0895">
        <w:rPr>
          <w:lang w:val="en-GB"/>
        </w:rPr>
        <w:t xml:space="preserve"> LBA4404 will be transformed with cloned binary vectors and appropriate cell cultures will be set for co-cultivation (A3.1). tomato leaf and hypocotyl explants will be co-cultivated and incubated for callus development. Callus undergo shoot regeneration and further rooting on appropriate media</w:t>
      </w:r>
      <w:r w:rsidR="008353B5">
        <w:rPr>
          <w:lang w:val="en-GB"/>
        </w:rPr>
        <w:t xml:space="preserve"> (A3.2). Rooted plants will be propagated in vitro and adapted to in vivo environment in an appropriated plant growth chamber.</w:t>
      </w:r>
    </w:p>
    <w:p w14:paraId="05CC7653" w14:textId="6E400B94" w:rsidR="00081E79" w:rsidRDefault="00081E79" w:rsidP="00081E79">
      <w:pPr>
        <w:ind w:left="426" w:hanging="426"/>
        <w:jc w:val="both"/>
        <w:rPr>
          <w:lang w:val="en-GB"/>
        </w:rPr>
      </w:pPr>
      <w:r>
        <w:rPr>
          <w:lang w:val="en-GB"/>
        </w:rPr>
        <w:t>A4)</w:t>
      </w:r>
      <w:r>
        <w:rPr>
          <w:lang w:val="en-GB"/>
        </w:rPr>
        <w:tab/>
      </w:r>
      <w:r w:rsidR="00476568" w:rsidRPr="000D3408">
        <w:rPr>
          <w:b/>
          <w:bCs/>
          <w:lang w:val="en-GB"/>
        </w:rPr>
        <w:t>Molecular, eco</w:t>
      </w:r>
      <w:r w:rsidR="00476568">
        <w:rPr>
          <w:b/>
          <w:bCs/>
          <w:lang w:val="en-GB"/>
        </w:rPr>
        <w:t>-</w:t>
      </w:r>
      <w:r w:rsidR="00476568" w:rsidRPr="000D3408">
        <w:rPr>
          <w:b/>
          <w:bCs/>
          <w:lang w:val="en-GB"/>
        </w:rPr>
        <w:t>physiological and nutritional characterization of mutants</w:t>
      </w:r>
      <w:r w:rsidR="00476568">
        <w:rPr>
          <w:lang w:val="en-GB"/>
        </w:rPr>
        <w:t>. In order to better understand th</w:t>
      </w:r>
      <w:r w:rsidR="00476568">
        <w:rPr>
          <w:lang w:val="en-GB"/>
        </w:rPr>
        <w:t>e effect of the induced knock-out, selected F2 edited plants undergo genomic DNA extraction and PCR target amplification and sequencing for validating the severe mutation</w:t>
      </w:r>
      <w:r w:rsidR="00476568">
        <w:rPr>
          <w:lang w:val="en-GB"/>
        </w:rPr>
        <w:t xml:space="preserve">. </w:t>
      </w:r>
      <w:r w:rsidR="00476568">
        <w:rPr>
          <w:lang w:val="en-GB"/>
        </w:rPr>
        <w:t xml:space="preserve">Similarly, predicted off-target mutations will be checked by sequencing. Expression analysis of GSTs sharing high sequence similarity will be performed by </w:t>
      </w:r>
      <w:proofErr w:type="spellStart"/>
      <w:r w:rsidR="00476568">
        <w:rPr>
          <w:lang w:val="en-GB"/>
        </w:rPr>
        <w:t>TaqMan</w:t>
      </w:r>
      <w:proofErr w:type="spellEnd"/>
      <w:r w:rsidR="00476568">
        <w:rPr>
          <w:lang w:val="en-GB"/>
        </w:rPr>
        <w:t xml:space="preserve"> qPCR. Similarly, the </w:t>
      </w:r>
      <w:r w:rsidR="00AC65E4">
        <w:rPr>
          <w:lang w:val="en-GB"/>
        </w:rPr>
        <w:t>effect on the regulation of genes involved into the response to the antioxidant stress and antioxidant biosynthesis will be analysed by qPCR (A4.1).</w:t>
      </w:r>
      <w:r w:rsidR="00476568">
        <w:rPr>
          <w:lang w:val="en-GB"/>
        </w:rPr>
        <w:t xml:space="preserve"> </w:t>
      </w:r>
      <w:r w:rsidR="00AC65E4">
        <w:rPr>
          <w:lang w:val="en-GB"/>
        </w:rPr>
        <w:t>Plants grow in an appropriate greenhouse will be characterized for leaf photo-assimilation efficiency, response to antioxidant stress, fruit set-up and yield (A4.2). Fruits will be analysed for antioxidant profiling (A4.3).</w:t>
      </w:r>
    </w:p>
    <w:p w14:paraId="4ED5EA0D" w14:textId="0FBB7612" w:rsidR="00FC6FAF" w:rsidRPr="00FC6FAF" w:rsidRDefault="00FC6FAF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 xml:space="preserve">A5) </w:t>
      </w:r>
      <w:r w:rsidR="00476568">
        <w:rPr>
          <w:b/>
          <w:bCs/>
          <w:lang w:val="en-GB"/>
        </w:rPr>
        <w:t xml:space="preserve">Recombination and T-DNA elimination (A4). </w:t>
      </w:r>
      <w:r w:rsidR="00476568">
        <w:rPr>
          <w:lang w:val="en-GB"/>
        </w:rPr>
        <w:t xml:space="preserve">In order to eliminate the engineered T-DNA, edited plants will be self-pollinated and F2 </w:t>
      </w:r>
      <w:proofErr w:type="spellStart"/>
      <w:r w:rsidR="00476568">
        <w:rPr>
          <w:lang w:val="en-GB"/>
        </w:rPr>
        <w:t>segregants</w:t>
      </w:r>
      <w:proofErr w:type="spellEnd"/>
      <w:r w:rsidR="00476568">
        <w:rPr>
          <w:lang w:val="en-GB"/>
        </w:rPr>
        <w:t xml:space="preserve"> will be selected for keeping the edited alleles and missing the T-DNA insertion by using appropriate </w:t>
      </w:r>
      <w:proofErr w:type="spellStart"/>
      <w:r w:rsidR="00476568">
        <w:rPr>
          <w:lang w:val="en-GB"/>
        </w:rPr>
        <w:t>TaqMan</w:t>
      </w:r>
      <w:proofErr w:type="spellEnd"/>
      <w:r w:rsidR="00476568">
        <w:rPr>
          <w:lang w:val="en-GB"/>
        </w:rPr>
        <w:t xml:space="preserve"> molecular markers.</w:t>
      </w:r>
    </w:p>
    <w:p w14:paraId="0FE40D3F" w14:textId="0AA49C52" w:rsidR="00081E79" w:rsidRPr="00432AC7" w:rsidRDefault="00081E79" w:rsidP="00081E79">
      <w:pPr>
        <w:ind w:left="426" w:hanging="426"/>
        <w:jc w:val="both"/>
        <w:rPr>
          <w:lang w:val="en-US"/>
        </w:rPr>
      </w:pPr>
      <w:r>
        <w:rPr>
          <w:lang w:val="en-GB"/>
        </w:rPr>
        <w:t>A</w:t>
      </w:r>
      <w:r w:rsidR="000D3408">
        <w:rPr>
          <w:lang w:val="en-GB"/>
        </w:rPr>
        <w:t>6</w:t>
      </w:r>
      <w:r>
        <w:rPr>
          <w:lang w:val="en-GB"/>
        </w:rPr>
        <w:t>)</w:t>
      </w:r>
      <w:r>
        <w:rPr>
          <w:lang w:val="en-GB"/>
        </w:rPr>
        <w:tab/>
      </w:r>
      <w:r>
        <w:rPr>
          <w:b/>
          <w:bCs/>
          <w:lang w:val="en-GB"/>
        </w:rPr>
        <w:t>Writing and Editing</w:t>
      </w:r>
      <w:r>
        <w:rPr>
          <w:lang w:val="en-GB"/>
        </w:rPr>
        <w:t xml:space="preserve"> of the PhD thesis, scientific papers and oral and/or poster communications.</w:t>
      </w:r>
    </w:p>
    <w:p w14:paraId="3ADCDB1E" w14:textId="77777777" w:rsidR="00081E79" w:rsidRPr="00432AC7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>Table 2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958"/>
        <w:gridCol w:w="255"/>
        <w:gridCol w:w="254"/>
        <w:gridCol w:w="252"/>
        <w:gridCol w:w="253"/>
        <w:gridCol w:w="253"/>
        <w:gridCol w:w="253"/>
        <w:gridCol w:w="254"/>
        <w:gridCol w:w="253"/>
        <w:gridCol w:w="254"/>
        <w:gridCol w:w="253"/>
        <w:gridCol w:w="254"/>
        <w:gridCol w:w="254"/>
        <w:gridCol w:w="252"/>
        <w:gridCol w:w="253"/>
        <w:gridCol w:w="256"/>
        <w:gridCol w:w="257"/>
        <w:gridCol w:w="255"/>
        <w:gridCol w:w="256"/>
        <w:gridCol w:w="256"/>
        <w:gridCol w:w="257"/>
        <w:gridCol w:w="255"/>
        <w:gridCol w:w="256"/>
        <w:gridCol w:w="257"/>
        <w:gridCol w:w="291"/>
      </w:tblGrid>
      <w:tr w:rsidR="00081E79" w14:paraId="093AB028" w14:textId="77777777" w:rsidTr="000D3408">
        <w:trPr>
          <w:cantSplit/>
          <w:trHeight w:val="23"/>
        </w:trPr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E56" w14:textId="3293C4B7" w:rsidR="00081E79" w:rsidRDefault="00081E79" w:rsidP="00E04D30">
            <w:pPr>
              <w:pStyle w:val="Titolo2"/>
            </w:pP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  <w:t xml:space="preserve">  </w:t>
            </w:r>
            <w:proofErr w:type="spellStart"/>
            <w:r>
              <w:rPr>
                <w:bCs/>
                <w:sz w:val="18"/>
              </w:rPr>
              <w:t>Months</w:t>
            </w:r>
            <w:proofErr w:type="spellEnd"/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9B2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D05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6FC358D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49F58F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025919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C4E2F3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E76D62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003843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1F331B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9C6A16E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42BC70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E7F887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DA277FF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CE251C5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CE2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A07B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4285604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8AE4C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6117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422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C208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30A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2111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9299" w14:textId="77777777" w:rsidR="00081E79" w:rsidRDefault="00081E79" w:rsidP="00E04D30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081E79" w14:paraId="0D83BD2C" w14:textId="77777777" w:rsidTr="00704C34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4A754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0F38" w14:textId="60707803" w:rsidR="00081E79" w:rsidRDefault="000D3408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Target selection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bottom w:w="28" w:type="dxa"/>
            </w:tcMar>
            <w:vAlign w:val="bottom"/>
          </w:tcPr>
          <w:p w14:paraId="6B9898A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bottom w:w="28" w:type="dxa"/>
            </w:tcMar>
            <w:vAlign w:val="bottom"/>
          </w:tcPr>
          <w:p w14:paraId="5826340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CA71B9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41DAD7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7A2F4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755B5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E3CEAB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204985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541EC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72C7A4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05BB70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98A75F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FDB80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EE17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F0EE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6CB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2149C46" w14:textId="77777777" w:rsidR="00081E79" w:rsidRDefault="00081E7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0EF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ABA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75D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D7D7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34AC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944A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BC51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45D4B076" w14:textId="77777777" w:rsidTr="00704C34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D09F8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41F6C" w14:textId="7C29037A" w:rsidR="00081E79" w:rsidRDefault="00081E79" w:rsidP="00704C34">
            <w:r>
              <w:rPr>
                <w:sz w:val="18"/>
                <w:lang w:val="en-GB"/>
              </w:rPr>
              <w:t xml:space="preserve">1) </w:t>
            </w:r>
            <w:r w:rsidR="00704C34">
              <w:rPr>
                <w:sz w:val="18"/>
                <w:lang w:val="en-GB"/>
              </w:rPr>
              <w:t>Design of gRNAs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8E6522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6EA1C1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E44CFE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E9F06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B8341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AB38205" w14:textId="77777777" w:rsidR="00081E79" w:rsidRDefault="00081E79" w:rsidP="00E04D30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8FB2B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C6DE9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A56C3E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DA5C4B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79685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BA5B29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EC13FE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BD036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7ED0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C9C8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55EAED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D50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8D1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B940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9A12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78D1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C68D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011B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:rsidRPr="00704C34" w14:paraId="2A66D092" w14:textId="77777777" w:rsidTr="00704C34">
        <w:trPr>
          <w:cantSplit/>
          <w:trHeight w:val="23"/>
        </w:trPr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278EF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6290A" w14:textId="2A13E2EF" w:rsidR="00081E79" w:rsidRDefault="00081E79" w:rsidP="00704C3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2) </w:t>
            </w:r>
            <w:r w:rsidR="00704C34">
              <w:rPr>
                <w:sz w:val="18"/>
                <w:lang w:val="en-GB"/>
              </w:rPr>
              <w:t>Design and purchasing of PCR primers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154131A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11AEFB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16C339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F03694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EB2DE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94C1B2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BB1D9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6A3D3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BB0BE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C5254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3374F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F1A608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F6D12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C1E7A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8DE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101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19DE96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0B99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D8CA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9F3F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0B93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A00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15030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26E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D3408" w:rsidRPr="00143669" w14:paraId="26FC7A2B" w14:textId="77777777" w:rsidTr="00704C34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3F6A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F99F32" w14:textId="5D28BACF" w:rsidR="00081E79" w:rsidRDefault="000D3408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Purification of vectors and cloning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D2B4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16518AF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514D3FE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1B9A869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22B509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2BF67A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3F75CD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B247C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979622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B86F5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93C39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C2EB5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1CB5BF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19514F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2EF2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E4CD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48C6B6A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95F9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4C53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E08D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6461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B073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FB6C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47B5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2A2A421F" w14:textId="77777777" w:rsidTr="000D340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79AFD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1ADCE" w14:textId="179E3801" w:rsidR="00081E79" w:rsidRDefault="00081E79" w:rsidP="00E04D30">
            <w:r>
              <w:rPr>
                <w:sz w:val="18"/>
                <w:lang w:val="en-GB"/>
              </w:rPr>
              <w:t xml:space="preserve">1) </w:t>
            </w:r>
            <w:r w:rsidR="000D3408">
              <w:rPr>
                <w:sz w:val="18"/>
                <w:szCs w:val="22"/>
                <w:lang w:val="en-GB"/>
              </w:rPr>
              <w:t>Purification of vectors</w:t>
            </w:r>
            <w:r>
              <w:rPr>
                <w:sz w:val="18"/>
                <w:szCs w:val="22"/>
                <w:lang w:val="en-GB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5A62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6723283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ACA92D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870C35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0283A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082379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E9CBC6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DF3CB8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D4B2C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6DBF62E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F8013C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83CE0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E83AB73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552A9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F346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A159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13AB7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F1A3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ADD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EF6F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5BCA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E30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8DE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6F67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14:paraId="087E1CA0" w14:textId="77777777" w:rsidTr="00704C34">
        <w:trPr>
          <w:cantSplit/>
          <w:trHeight w:val="23"/>
        </w:trPr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761A6" w14:textId="77777777" w:rsidR="00081E79" w:rsidRDefault="00081E79" w:rsidP="00E04D30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9F499" w14:textId="1970598B" w:rsidR="00081E79" w:rsidRDefault="00081E79" w:rsidP="00E04D30">
            <w:r>
              <w:rPr>
                <w:sz w:val="18"/>
                <w:lang w:val="en-GB"/>
              </w:rPr>
              <w:t xml:space="preserve">2) </w:t>
            </w:r>
            <w:r w:rsidR="000D3408">
              <w:rPr>
                <w:sz w:val="18"/>
                <w:lang w:val="en-GB"/>
              </w:rPr>
              <w:t>Cloning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95C83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ED9A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76F0506D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7C4A5C5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C60B8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7B4958F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5DA30D1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E8F9FA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6ECF92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C1F1014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EB8B0FA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5E6A14E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6B0B098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73866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8907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BC82E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7FCB4C1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34E8C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9274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3ACA6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3337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7FC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77CDC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DEB06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081E79" w:rsidRPr="00E971EB" w14:paraId="696437F9" w14:textId="77777777" w:rsidTr="000D340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CD8A0" w14:textId="77777777" w:rsidR="00081E79" w:rsidRDefault="00081E79" w:rsidP="00E04D30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A3)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F5C4D" w14:textId="1BB399A9" w:rsidR="00081E79" w:rsidRDefault="000D3408" w:rsidP="00E04D30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Plant transformation</w:t>
            </w:r>
            <w:r w:rsidR="00081E79">
              <w:rPr>
                <w:b/>
                <w:bCs/>
                <w:i/>
                <w:iCs/>
                <w:sz w:val="18"/>
                <w:lang w:val="en-GB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4B835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BB8F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83FBB4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05BFAA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3AC102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AF5153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73CBA4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FC2E598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2EEF43A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41C203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60D0BA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D85543F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EFDC669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8B17599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AF9450D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7DACEBB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70398897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A39EC95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B360757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2C46E11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F7DBB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75D00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7C2C2" w14:textId="77777777" w:rsidR="00081E79" w:rsidRDefault="00081E79" w:rsidP="00E04D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76CC2" w14:textId="77777777" w:rsidR="00081E79" w:rsidRDefault="00081E79" w:rsidP="00E04D30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F0895" w:rsidRPr="00FF0895" w14:paraId="471336E2" w14:textId="77777777" w:rsidTr="000D340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0032B" w14:textId="77777777" w:rsidR="00FF0895" w:rsidRDefault="00FF0895" w:rsidP="00FF0895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66AB5" w14:textId="75F236C9" w:rsidR="00FF0895" w:rsidRPr="00FF0895" w:rsidRDefault="00FF0895" w:rsidP="00FF0895">
            <w:pPr>
              <w:rPr>
                <w:sz w:val="18"/>
                <w:szCs w:val="18"/>
                <w:lang w:val="en-GB"/>
              </w:rPr>
            </w:pPr>
            <w:r w:rsidRPr="00FF0895">
              <w:rPr>
                <w:sz w:val="18"/>
                <w:szCs w:val="18"/>
                <w:lang w:val="en-GB"/>
              </w:rPr>
              <w:t xml:space="preserve">1) Preparation of </w:t>
            </w:r>
            <w:r w:rsidRPr="00FF0895">
              <w:rPr>
                <w:i/>
                <w:sz w:val="18"/>
                <w:szCs w:val="18"/>
                <w:lang w:val="en-GB"/>
              </w:rPr>
              <w:t xml:space="preserve">A. </w:t>
            </w:r>
            <w:proofErr w:type="spellStart"/>
            <w:r w:rsidRPr="00FF0895">
              <w:rPr>
                <w:i/>
                <w:sz w:val="18"/>
                <w:szCs w:val="18"/>
                <w:lang w:val="en-GB"/>
              </w:rPr>
              <w:t>tumefaciens</w:t>
            </w:r>
            <w:proofErr w:type="spellEnd"/>
            <w:r w:rsidRPr="00FF0895">
              <w:rPr>
                <w:sz w:val="18"/>
                <w:szCs w:val="18"/>
                <w:lang w:val="en-GB"/>
              </w:rPr>
              <w:t xml:space="preserve"> cultures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84C50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47980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E5CE37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824B59F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35883F5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5CB2DC3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EA770EC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8A3FAD5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5DA82D7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ADA3432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111D95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BA8B88A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2BC770D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2FFD5F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3180292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278BCE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372B45EA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225E107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673CD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056A66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F8641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E0BC2" w14:textId="77777777" w:rsidR="00FF0895" w:rsidRDefault="00FF0895" w:rsidP="00FF0895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5E866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144A4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FF0895" w:rsidRPr="00FF0895" w14:paraId="294E02CF" w14:textId="77777777" w:rsidTr="00FF0895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44212" w14:textId="77777777" w:rsidR="00FF0895" w:rsidRDefault="00FF0895" w:rsidP="00FF0895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7749F" w14:textId="06AB832E" w:rsidR="00FF0895" w:rsidRPr="00FF0895" w:rsidRDefault="00FF0895" w:rsidP="00FF0895">
            <w:pPr>
              <w:rPr>
                <w:sz w:val="18"/>
                <w:szCs w:val="18"/>
                <w:lang w:val="en-US"/>
              </w:rPr>
            </w:pPr>
            <w:r w:rsidRPr="00FF0895">
              <w:rPr>
                <w:sz w:val="18"/>
                <w:szCs w:val="18"/>
                <w:lang w:val="en-US"/>
              </w:rPr>
              <w:t>2) Preparation of explants, co-cultivation, callus development and regeneration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C78F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1A3F3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03B6371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5162A870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50E4A7FA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6F0D131C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63A30B96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0100616C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06A61D3E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2DBC7F0F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336335E1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0016C19C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040E36BC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right w:w="0" w:type="dxa"/>
            </w:tcMar>
            <w:vAlign w:val="bottom"/>
          </w:tcPr>
          <w:p w14:paraId="305676D8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01A1039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2ED18E7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5CE10041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D39784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87BAB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D2B5D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532E6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E9086" w14:textId="77777777" w:rsidR="00FF0895" w:rsidRDefault="00FF0895" w:rsidP="00FF0895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B4A82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6314C" w14:textId="77777777" w:rsidR="00FF0895" w:rsidRDefault="00FF0895" w:rsidP="00FF0895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476568" w:rsidRPr="00FF0895" w14:paraId="1C7C55A7" w14:textId="77777777" w:rsidTr="0047656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4A460" w14:textId="7003AE30" w:rsidR="00476568" w:rsidRDefault="00476568" w:rsidP="00476568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>
              <w:rPr>
                <w:sz w:val="18"/>
                <w:lang w:val="en-GB"/>
              </w:rPr>
              <w:t>4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2A9E6" w14:textId="4B07E932" w:rsidR="00476568" w:rsidRPr="00FF0895" w:rsidRDefault="00476568" w:rsidP="0047656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lang w:val="en-GB"/>
              </w:rPr>
              <w:t>Charachterization</w:t>
            </w:r>
            <w:proofErr w:type="spellEnd"/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CD126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04FBC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7FAA3A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7B23F20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C2C701D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FD5D8EE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9F01ED8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BDC0C06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C62DED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4DCBEBB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8DD969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3DA63F1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38E360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77B704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4BF76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F5BF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62DD7F18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6661AC55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4C1D394E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F7F7F" w:themeFill="text1" w:themeFillTint="80"/>
            <w:vAlign w:val="bottom"/>
          </w:tcPr>
          <w:p w14:paraId="182C4BEA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76691D08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398BB19F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3F29E206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44D0E209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476568" w:rsidRPr="00FF0895" w14:paraId="473E5047" w14:textId="77777777" w:rsidTr="0047656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EDADA" w14:textId="77777777" w:rsidR="00476568" w:rsidRDefault="00476568" w:rsidP="00476568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E93AB" w14:textId="4E588892" w:rsidR="00476568" w:rsidRPr="00FF0895" w:rsidRDefault="00476568" w:rsidP="004765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GB"/>
              </w:rPr>
              <w:t xml:space="preserve">1) </w:t>
            </w:r>
            <w:r>
              <w:rPr>
                <w:sz w:val="18"/>
                <w:lang w:val="en-GB"/>
              </w:rPr>
              <w:t>Molecular characterization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3E2FD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AB8C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FCF712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9F45E1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C48A880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74EF38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30A2470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724C882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92D0BC1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028AD81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394DECA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133DCAD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DA5A4E7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B3F368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DAD2D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993BB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59E5347D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91B8B28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0B65F03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F67DBFE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F7A50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41D23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EABE4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5446A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476568" w:rsidRPr="00FF0895" w14:paraId="69AB84E0" w14:textId="77777777" w:rsidTr="0047656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16DFA" w14:textId="77777777" w:rsidR="00476568" w:rsidRDefault="00476568" w:rsidP="00476568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4EC23" w14:textId="10ACFF28" w:rsidR="00476568" w:rsidRPr="00FF0895" w:rsidRDefault="00476568" w:rsidP="004765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GB"/>
              </w:rPr>
              <w:t xml:space="preserve">2) </w:t>
            </w:r>
            <w:proofErr w:type="spellStart"/>
            <w:r>
              <w:rPr>
                <w:sz w:val="18"/>
                <w:lang w:val="en-GB"/>
              </w:rPr>
              <w:t>Ecophysiological</w:t>
            </w:r>
            <w:proofErr w:type="spellEnd"/>
            <w:r>
              <w:rPr>
                <w:sz w:val="18"/>
                <w:lang w:val="en-GB"/>
              </w:rPr>
              <w:t xml:space="preserve"> characterization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3A5CC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C6DF5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DF32ABE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BB9398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B19D628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9398F41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0397878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7CF74DA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CC2A030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1885F33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7B91AD7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34798DA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CBFA8A8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FB5F71F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61BAF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0BDA1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50A76DAE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2277BC9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4A41C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D8BB10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68D1613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D94B8C1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D80CCDB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13FDA6D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476568" w:rsidRPr="00FF0895" w14:paraId="467E0C86" w14:textId="77777777" w:rsidTr="0047656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D074E" w14:textId="77777777" w:rsidR="00476568" w:rsidRDefault="00476568" w:rsidP="00476568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DFED9" w14:textId="57C54F03" w:rsidR="00476568" w:rsidRPr="00FF0895" w:rsidRDefault="00476568" w:rsidP="0047656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lang w:val="en-GB"/>
              </w:rPr>
              <w:t xml:space="preserve">3) Nutritional phenotyping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69790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122CB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C20710E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39DFF79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5EB98C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00FB9D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0C18204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AA58DFA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C445DFB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5D61577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102414E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E904DAF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10138A0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6E603F4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27976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A96B1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5C23FF55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074375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C8B3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77C21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D1D6A0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B23B3C1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3B3E83A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7E0CF50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476568" w:rsidRPr="00143669" w14:paraId="63BA21B4" w14:textId="77777777" w:rsidTr="008353B5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B413E" w14:textId="7C80418E" w:rsidR="00476568" w:rsidRDefault="00476568" w:rsidP="00476568">
            <w:pPr>
              <w:snapToGrid w:val="0"/>
              <w:jc w:val="center"/>
              <w:rPr>
                <w:rFonts w:eastAsia="Arial Unicode MS"/>
                <w:sz w:val="18"/>
                <w:szCs w:val="24"/>
                <w:lang w:val="en-GB"/>
              </w:rPr>
            </w:pPr>
            <w:r>
              <w:rPr>
                <w:rFonts w:eastAsia="Arial Unicode MS"/>
                <w:sz w:val="18"/>
                <w:szCs w:val="24"/>
                <w:lang w:val="en-GB"/>
              </w:rPr>
              <w:t>A5)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E2E554" w14:textId="4541E196" w:rsidR="00476568" w:rsidRPr="000D3408" w:rsidRDefault="00476568" w:rsidP="00476568">
            <w:pPr>
              <w:rPr>
                <w:b/>
                <w:bCs/>
                <w:i/>
                <w:iCs/>
                <w:sz w:val="18"/>
                <w:lang w:val="en-GB"/>
              </w:rPr>
            </w:pPr>
            <w:proofErr w:type="spellStart"/>
            <w:r w:rsidRPr="000D3408">
              <w:rPr>
                <w:b/>
                <w:bCs/>
                <w:i/>
                <w:iCs/>
                <w:sz w:val="18"/>
                <w:lang w:val="en-GB"/>
              </w:rPr>
              <w:t>Ricombination</w:t>
            </w:r>
            <w:proofErr w:type="spellEnd"/>
            <w:r w:rsidRPr="000D3408">
              <w:rPr>
                <w:b/>
                <w:bCs/>
                <w:i/>
                <w:iCs/>
                <w:sz w:val="18"/>
                <w:lang w:val="en-GB"/>
              </w:rPr>
              <w:t xml:space="preserve"> and T-DNA elimination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4A061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9936A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690BD3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9F7479C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E832116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79914BF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6BDAF5D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5FD63AB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4E56BA5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705F4838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12627DCA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67806228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43428614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  <w:vAlign w:val="bottom"/>
          </w:tcPr>
          <w:p w14:paraId="6A1E762B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2DA845B6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2B8714C9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0" w:type="dxa"/>
              <w:left w:w="0" w:type="dxa"/>
              <w:right w:w="0" w:type="dxa"/>
            </w:tcMar>
          </w:tcPr>
          <w:p w14:paraId="7835294D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2A7E5759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9CC38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C66D8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258E5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8F64D" w14:textId="77777777" w:rsidR="00476568" w:rsidRDefault="00476568" w:rsidP="00476568">
            <w:pPr>
              <w:rPr>
                <w:sz w:val="18"/>
                <w:lang w:val="en-GB"/>
              </w:rPr>
            </w:pP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DA8CA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1056F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476568" w14:paraId="598A0ABF" w14:textId="77777777" w:rsidTr="000D3408">
        <w:trPr>
          <w:cantSplit/>
          <w:trHeight w:val="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F434" w14:textId="5CAEAC83" w:rsidR="00476568" w:rsidRDefault="00476568" w:rsidP="00476568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A6)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5192" w14:textId="77777777" w:rsidR="00476568" w:rsidRDefault="00476568" w:rsidP="00476568">
            <w:pPr>
              <w:rPr>
                <w:b/>
                <w:bCs/>
                <w:i/>
                <w:iCs/>
                <w:sz w:val="18"/>
                <w:lang w:val="en-GB"/>
              </w:rPr>
            </w:pPr>
            <w:r>
              <w:rPr>
                <w:b/>
                <w:bCs/>
                <w:i/>
                <w:iCs/>
                <w:sz w:val="18"/>
                <w:lang w:val="en-GB"/>
              </w:rPr>
              <w:t>Thesis and Paper Preparation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477306C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3B8965AB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210E2112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617821C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EE74C75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A6CE7A4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EFF4ED3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337FE319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4C3805E1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C4673BD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55D2DBD2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1547F00B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03D086EE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  <w:vAlign w:val="bottom"/>
          </w:tcPr>
          <w:p w14:paraId="71D4FD06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12FBC199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5F3ECC25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0" w:type="dxa"/>
              <w:left w:w="0" w:type="dxa"/>
              <w:right w:w="0" w:type="dxa"/>
            </w:tcMar>
          </w:tcPr>
          <w:p w14:paraId="072A7ED0" w14:textId="77777777" w:rsidR="00476568" w:rsidRDefault="00476568" w:rsidP="00476568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044F9D1A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bottom"/>
          </w:tcPr>
          <w:p w14:paraId="7D4A9003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083AB51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46500F61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86AC49F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0305CD13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1099060E" w14:textId="77777777" w:rsidR="00476568" w:rsidRDefault="00476568" w:rsidP="0047656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1FCB330E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54FB8C16" w14:textId="0FA9DF6E" w:rsidR="00560143" w:rsidRDefault="00AC65E4" w:rsidP="00560143">
      <w:pPr>
        <w:rPr>
          <w:sz w:val="24"/>
          <w:szCs w:val="24"/>
          <w:lang w:val="en-US"/>
        </w:rPr>
      </w:pPr>
      <w:r>
        <w:rPr>
          <w:sz w:val="24"/>
          <w:szCs w:val="24"/>
        </w:rPr>
        <w:t>Di Matteo A., Ruggieri V., Sacco A., Rigano</w:t>
      </w:r>
      <w:r w:rsidR="009B3301" w:rsidRPr="009B3301">
        <w:rPr>
          <w:sz w:val="24"/>
          <w:szCs w:val="24"/>
        </w:rPr>
        <w:t xml:space="preserve"> M. M., </w:t>
      </w:r>
      <w:r>
        <w:rPr>
          <w:sz w:val="24"/>
          <w:szCs w:val="24"/>
        </w:rPr>
        <w:t xml:space="preserve">Carriero F., </w:t>
      </w:r>
      <w:proofErr w:type="spellStart"/>
      <w:r>
        <w:rPr>
          <w:sz w:val="24"/>
          <w:szCs w:val="24"/>
        </w:rPr>
        <w:t>Bolger</w:t>
      </w:r>
      <w:proofErr w:type="spellEnd"/>
      <w:r>
        <w:rPr>
          <w:sz w:val="24"/>
          <w:szCs w:val="24"/>
        </w:rPr>
        <w:t xml:space="preserve"> A., Barone</w:t>
      </w:r>
      <w:r w:rsidR="009B3301" w:rsidRPr="00AC65E4">
        <w:rPr>
          <w:sz w:val="24"/>
          <w:szCs w:val="24"/>
        </w:rPr>
        <w:t xml:space="preserve"> A. (2013). </w:t>
      </w:r>
      <w:r w:rsidR="009B3301" w:rsidRPr="009B3301">
        <w:rPr>
          <w:sz w:val="24"/>
          <w:szCs w:val="24"/>
          <w:lang w:val="en-US"/>
        </w:rPr>
        <w:t xml:space="preserve">Identification of candidate genes for </w:t>
      </w:r>
      <w:proofErr w:type="spellStart"/>
      <w:r w:rsidR="009B3301" w:rsidRPr="009B3301">
        <w:rPr>
          <w:sz w:val="24"/>
          <w:szCs w:val="24"/>
          <w:lang w:val="en-US"/>
        </w:rPr>
        <w:t>phenolics</w:t>
      </w:r>
      <w:proofErr w:type="spellEnd"/>
      <w:r w:rsidR="009B3301" w:rsidRPr="009B3301">
        <w:rPr>
          <w:sz w:val="24"/>
          <w:szCs w:val="24"/>
          <w:lang w:val="en-US"/>
        </w:rPr>
        <w:t xml:space="preserve"> accumulation in tomato fruit. Plant Science, 205-206, 87-96. </w:t>
      </w:r>
      <w:proofErr w:type="gramStart"/>
      <w:r w:rsidR="009B3301" w:rsidRPr="009B3301">
        <w:rPr>
          <w:sz w:val="24"/>
          <w:szCs w:val="24"/>
          <w:lang w:val="en-US"/>
        </w:rPr>
        <w:t>doi:10.1016/j.plantsci</w:t>
      </w:r>
      <w:proofErr w:type="gramEnd"/>
      <w:r w:rsidR="009B3301" w:rsidRPr="009B3301">
        <w:rPr>
          <w:sz w:val="24"/>
          <w:szCs w:val="24"/>
          <w:lang w:val="en-US"/>
        </w:rPr>
        <w:t>.2013.02.001</w:t>
      </w:r>
    </w:p>
    <w:p w14:paraId="14947D5C" w14:textId="77777777" w:rsidR="009B3301" w:rsidRDefault="009B3301" w:rsidP="00560143">
      <w:pPr>
        <w:rPr>
          <w:sz w:val="24"/>
          <w:szCs w:val="24"/>
          <w:lang w:val="en-US"/>
        </w:rPr>
      </w:pPr>
    </w:p>
    <w:p w14:paraId="5F6265BC" w14:textId="606C1D53" w:rsidR="00560143" w:rsidRPr="00681C2A" w:rsidRDefault="00560143" w:rsidP="00560143">
      <w:pPr>
        <w:rPr>
          <w:sz w:val="24"/>
          <w:szCs w:val="24"/>
          <w:lang w:val="en-US"/>
        </w:rPr>
      </w:pPr>
      <w:r w:rsidRPr="00560143">
        <w:rPr>
          <w:sz w:val="24"/>
          <w:szCs w:val="24"/>
        </w:rPr>
        <w:t xml:space="preserve">Frusciante L., </w:t>
      </w:r>
      <w:proofErr w:type="spellStart"/>
      <w:r w:rsidRPr="00560143">
        <w:rPr>
          <w:sz w:val="24"/>
          <w:szCs w:val="24"/>
        </w:rPr>
        <w:t>Carli</w:t>
      </w:r>
      <w:proofErr w:type="spellEnd"/>
      <w:r w:rsidR="00AC65E4">
        <w:rPr>
          <w:sz w:val="24"/>
          <w:szCs w:val="24"/>
        </w:rPr>
        <w:t xml:space="preserve"> P., Ercolano M. R., Pernice R., Di Matteo A., Fogliano V., &amp; Pellegrini</w:t>
      </w:r>
      <w:r w:rsidRPr="00560143">
        <w:rPr>
          <w:sz w:val="24"/>
          <w:szCs w:val="24"/>
        </w:rPr>
        <w:t xml:space="preserve"> N. (2007). </w:t>
      </w:r>
      <w:r w:rsidRPr="00560143">
        <w:rPr>
          <w:sz w:val="24"/>
          <w:szCs w:val="24"/>
          <w:lang w:val="en-US"/>
        </w:rPr>
        <w:t>Antioxidant nutritional quality of tomato. Molecular Nutrition &amp; Food Research, 51(5), 609–617. doi:10.1002/mnfr.200600158</w:t>
      </w:r>
    </w:p>
    <w:p w14:paraId="21214772" w14:textId="77777777" w:rsidR="00560143" w:rsidRDefault="00560143" w:rsidP="00560143">
      <w:pPr>
        <w:rPr>
          <w:sz w:val="24"/>
          <w:szCs w:val="24"/>
          <w:lang w:val="en-US"/>
        </w:rPr>
      </w:pPr>
    </w:p>
    <w:p w14:paraId="1ED5DDF3" w14:textId="1DC18A18" w:rsidR="00081E79" w:rsidRDefault="00AC65E4" w:rsidP="00AC65E4">
      <w:pPr>
        <w:jc w:val="both"/>
        <w:rPr>
          <w:sz w:val="24"/>
          <w:szCs w:val="24"/>
          <w:lang w:val="en-US"/>
        </w:rPr>
      </w:pPr>
      <w:r w:rsidRPr="00AC65E4">
        <w:rPr>
          <w:sz w:val="24"/>
          <w:szCs w:val="24"/>
          <w:lang w:val="en-US"/>
        </w:rPr>
        <w:t xml:space="preserve">Islam S, Rahman IA, Islam T, Ghosh A (2017) Genome-wide identification and expression analysis of glutathione S-transferase gene family in tomato: Gaining an insight to their physiological and </w:t>
      </w:r>
      <w:r w:rsidRPr="00AC65E4">
        <w:rPr>
          <w:sz w:val="24"/>
          <w:szCs w:val="24"/>
          <w:lang w:val="en-US"/>
        </w:rPr>
        <w:lastRenderedPageBreak/>
        <w:t xml:space="preserve">stress-specific roles. </w:t>
      </w:r>
      <w:proofErr w:type="spellStart"/>
      <w:r w:rsidRPr="00AC65E4">
        <w:rPr>
          <w:sz w:val="24"/>
          <w:szCs w:val="24"/>
          <w:lang w:val="en-US"/>
        </w:rPr>
        <w:t>PLoS</w:t>
      </w:r>
      <w:proofErr w:type="spellEnd"/>
      <w:r w:rsidRPr="00AC65E4">
        <w:rPr>
          <w:sz w:val="24"/>
          <w:szCs w:val="24"/>
          <w:lang w:val="en-US"/>
        </w:rPr>
        <w:t xml:space="preserve"> ONE 12(11): e0187504. </w:t>
      </w:r>
      <w:hyperlink r:id="rId4" w:history="1">
        <w:r w:rsidR="00B2093D" w:rsidRPr="009713BA">
          <w:rPr>
            <w:rStyle w:val="Collegamentoipertestuale"/>
            <w:sz w:val="24"/>
            <w:szCs w:val="24"/>
            <w:lang w:val="en-US"/>
          </w:rPr>
          <w:t>https://doi.org/10.1371/journal.pone.0187504</w:t>
        </w:r>
      </w:hyperlink>
    </w:p>
    <w:p w14:paraId="5E731278" w14:textId="77777777" w:rsidR="00B2093D" w:rsidRDefault="00B2093D" w:rsidP="00AC65E4">
      <w:pPr>
        <w:jc w:val="both"/>
        <w:rPr>
          <w:sz w:val="18"/>
          <w:szCs w:val="18"/>
          <w:lang w:val="en-GB"/>
        </w:rPr>
      </w:pPr>
      <w:bookmarkStart w:id="0" w:name="_GoBack"/>
      <w:bookmarkEnd w:id="0"/>
    </w:p>
    <w:p w14:paraId="3371CD62" w14:textId="1B68BA29" w:rsidR="008604A1" w:rsidRDefault="00560143">
      <w:pPr>
        <w:rPr>
          <w:sz w:val="24"/>
          <w:szCs w:val="24"/>
          <w:lang w:val="en-US"/>
        </w:rPr>
      </w:pPr>
      <w:r w:rsidRPr="00560143">
        <w:rPr>
          <w:sz w:val="24"/>
          <w:szCs w:val="24"/>
          <w:lang w:val="en-US"/>
        </w:rPr>
        <w:t xml:space="preserve">Potters G. et al. (2002) Ascorbate and glutathione: guardians of the cell cycle, partners in crime? Plant Physiol. </w:t>
      </w:r>
      <w:proofErr w:type="spellStart"/>
      <w:r w:rsidRPr="00560143">
        <w:rPr>
          <w:sz w:val="24"/>
          <w:szCs w:val="24"/>
          <w:lang w:val="en-US"/>
        </w:rPr>
        <w:t>Biochem</w:t>
      </w:r>
      <w:proofErr w:type="spellEnd"/>
      <w:r w:rsidRPr="00560143">
        <w:rPr>
          <w:sz w:val="24"/>
          <w:szCs w:val="24"/>
          <w:lang w:val="en-US"/>
        </w:rPr>
        <w:t>. 40 (2002) 537–548</w:t>
      </w:r>
    </w:p>
    <w:p w14:paraId="1BBA6594" w14:textId="58D79876" w:rsidR="00B37ACF" w:rsidRDefault="00B37ACF">
      <w:pPr>
        <w:rPr>
          <w:sz w:val="24"/>
          <w:szCs w:val="24"/>
          <w:lang w:val="en-US"/>
        </w:rPr>
      </w:pPr>
    </w:p>
    <w:p w14:paraId="6200BB76" w14:textId="2783F3BF" w:rsidR="00B37ACF" w:rsidRDefault="00B37ACF" w:rsidP="00B37ACF">
      <w:pPr>
        <w:rPr>
          <w:sz w:val="24"/>
          <w:szCs w:val="24"/>
          <w:lang w:val="en-US"/>
        </w:rPr>
      </w:pPr>
      <w:proofErr w:type="spellStart"/>
      <w:r w:rsidRPr="00B37ACF">
        <w:rPr>
          <w:sz w:val="24"/>
          <w:szCs w:val="24"/>
          <w:lang w:val="en-US"/>
        </w:rPr>
        <w:t>Steinert</w:t>
      </w:r>
      <w:proofErr w:type="spellEnd"/>
      <w:r w:rsidRPr="00B37ACF">
        <w:rPr>
          <w:sz w:val="24"/>
          <w:szCs w:val="24"/>
          <w:lang w:val="en-US"/>
        </w:rPr>
        <w:t xml:space="preserve"> J, </w:t>
      </w:r>
      <w:proofErr w:type="spellStart"/>
      <w:r w:rsidRPr="00B37ACF">
        <w:rPr>
          <w:sz w:val="24"/>
          <w:szCs w:val="24"/>
          <w:lang w:val="en-US"/>
        </w:rPr>
        <w:t>Schiml</w:t>
      </w:r>
      <w:proofErr w:type="spellEnd"/>
      <w:r w:rsidRPr="00B37ACF">
        <w:rPr>
          <w:sz w:val="24"/>
          <w:szCs w:val="24"/>
          <w:lang w:val="en-US"/>
        </w:rPr>
        <w:t xml:space="preserve"> S, </w:t>
      </w:r>
      <w:proofErr w:type="spellStart"/>
      <w:r w:rsidRPr="00B37ACF">
        <w:rPr>
          <w:sz w:val="24"/>
          <w:szCs w:val="24"/>
          <w:lang w:val="en-US"/>
        </w:rPr>
        <w:t>Puchta</w:t>
      </w:r>
      <w:proofErr w:type="spellEnd"/>
      <w:r w:rsidRPr="00B37ACF">
        <w:rPr>
          <w:sz w:val="24"/>
          <w:szCs w:val="24"/>
          <w:lang w:val="en-US"/>
        </w:rPr>
        <w:t xml:space="preserve"> H. 2016. Homology-based </w:t>
      </w:r>
      <w:proofErr w:type="spellStart"/>
      <w:r w:rsidRPr="00B37ACF">
        <w:rPr>
          <w:sz w:val="24"/>
          <w:szCs w:val="24"/>
          <w:lang w:val="en-US"/>
        </w:rPr>
        <w:t>doublestrand</w:t>
      </w:r>
      <w:proofErr w:type="spellEnd"/>
      <w:r>
        <w:rPr>
          <w:sz w:val="24"/>
          <w:szCs w:val="24"/>
          <w:lang w:val="en-US"/>
        </w:rPr>
        <w:t xml:space="preserve"> </w:t>
      </w:r>
      <w:r w:rsidRPr="00B37ACF">
        <w:rPr>
          <w:sz w:val="24"/>
          <w:szCs w:val="24"/>
          <w:lang w:val="en-US"/>
        </w:rPr>
        <w:t>break-induced genome engineering in plants. Plant Cell Rep.</w:t>
      </w:r>
      <w:r>
        <w:rPr>
          <w:sz w:val="24"/>
          <w:szCs w:val="24"/>
          <w:lang w:val="en-US"/>
        </w:rPr>
        <w:t xml:space="preserve"> </w:t>
      </w:r>
      <w:r w:rsidRPr="00B37ACF">
        <w:rPr>
          <w:sz w:val="24"/>
          <w:szCs w:val="24"/>
          <w:lang w:val="en-US"/>
        </w:rPr>
        <w:t>35:1429–1438.</w:t>
      </w:r>
    </w:p>
    <w:p w14:paraId="481D6AC7" w14:textId="77777777" w:rsidR="00560143" w:rsidRDefault="00560143">
      <w:pPr>
        <w:rPr>
          <w:sz w:val="24"/>
          <w:szCs w:val="24"/>
          <w:lang w:val="en-US"/>
        </w:rPr>
      </w:pPr>
    </w:p>
    <w:p w14:paraId="3E32FD5C" w14:textId="77777777" w:rsidR="00560143" w:rsidRPr="00560143" w:rsidRDefault="00560143">
      <w:pPr>
        <w:rPr>
          <w:sz w:val="24"/>
          <w:szCs w:val="24"/>
          <w:lang w:val="en-US"/>
        </w:rPr>
      </w:pPr>
    </w:p>
    <w:sectPr w:rsidR="00560143" w:rsidRPr="005601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79"/>
    <w:rsid w:val="00081E79"/>
    <w:rsid w:val="000D3408"/>
    <w:rsid w:val="00116325"/>
    <w:rsid w:val="00143669"/>
    <w:rsid w:val="00154B89"/>
    <w:rsid w:val="00175C29"/>
    <w:rsid w:val="00476568"/>
    <w:rsid w:val="00506407"/>
    <w:rsid w:val="005352AD"/>
    <w:rsid w:val="00560143"/>
    <w:rsid w:val="006414A7"/>
    <w:rsid w:val="00645545"/>
    <w:rsid w:val="00690407"/>
    <w:rsid w:val="00704C34"/>
    <w:rsid w:val="008353B5"/>
    <w:rsid w:val="008C06BA"/>
    <w:rsid w:val="008E540C"/>
    <w:rsid w:val="009421BF"/>
    <w:rsid w:val="009B3301"/>
    <w:rsid w:val="009C0DF8"/>
    <w:rsid w:val="00A86D24"/>
    <w:rsid w:val="00AC65E4"/>
    <w:rsid w:val="00B2093D"/>
    <w:rsid w:val="00B27C36"/>
    <w:rsid w:val="00B37ACF"/>
    <w:rsid w:val="00B57CD6"/>
    <w:rsid w:val="00D618C3"/>
    <w:rsid w:val="00DD17BA"/>
    <w:rsid w:val="00E017E5"/>
    <w:rsid w:val="00E93EA1"/>
    <w:rsid w:val="00E971EB"/>
    <w:rsid w:val="00FC6FAF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character" w:styleId="Collegamentoipertestuale">
    <w:name w:val="Hyperlink"/>
    <w:basedOn w:val="Carpredefinitoparagrafo"/>
    <w:uiPriority w:val="99"/>
    <w:unhideWhenUsed/>
    <w:rsid w:val="00B20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371/journal.pone.018750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Utente</cp:lastModifiedBy>
  <cp:revision>3</cp:revision>
  <dcterms:created xsi:type="dcterms:W3CDTF">2023-06-09T17:58:00Z</dcterms:created>
  <dcterms:modified xsi:type="dcterms:W3CDTF">2023-06-09T18:55:00Z</dcterms:modified>
</cp:coreProperties>
</file>