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11FED" w14:textId="77777777" w:rsidR="00512D9B" w:rsidRDefault="00512D9B">
      <w:pPr>
        <w:ind w:left="425" w:hanging="425"/>
        <w:rPr>
          <w:lang w:val="en-GB"/>
        </w:rPr>
      </w:pPr>
    </w:p>
    <w:p w14:paraId="54F2A6DB" w14:textId="77777777" w:rsidR="00512D9B" w:rsidRDefault="00512D9B">
      <w:pPr>
        <w:ind w:left="425" w:hanging="425"/>
        <w:rPr>
          <w:lang w:val="en-GB"/>
        </w:rPr>
      </w:pPr>
    </w:p>
    <w:p w14:paraId="7702A04E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ACCB8DD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4553978E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2E9F250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5401A4BA" w14:textId="77777777" w:rsidR="00512D9B" w:rsidRDefault="00512D9B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5E196037" w14:textId="77777777" w:rsidR="00512D9B" w:rsidRDefault="00FB589C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POSTER COMMUNICATIONS</w:t>
      </w:r>
    </w:p>
    <w:p w14:paraId="0E8D065C" w14:textId="77777777" w:rsidR="00512D9B" w:rsidRDefault="00FB589C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001ACE68" w14:textId="77777777" w:rsidR="00512D9B" w:rsidRDefault="00FB589C" w:rsidP="00B57A40">
      <w:pPr>
        <w:pStyle w:val="Titolo"/>
        <w:spacing w:before="600" w:line="240" w:lineRule="auto"/>
        <w:jc w:val="left"/>
        <w:rPr>
          <w:b w:val="0"/>
          <w:bCs/>
          <w:i/>
          <w:iCs/>
          <w:sz w:val="44"/>
          <w:szCs w:val="2"/>
          <w:lang w:val="en-US"/>
        </w:rPr>
      </w:pPr>
      <w:r>
        <w:br w:type="page"/>
      </w:r>
    </w:p>
    <w:p w14:paraId="07B21984" w14:textId="77777777" w:rsidR="000C71D5" w:rsidRPr="007F1EDB" w:rsidRDefault="000C71D5" w:rsidP="000C71D5">
      <w:pPr>
        <w:spacing w:before="600" w:after="120"/>
        <w:jc w:val="center"/>
        <w:rPr>
          <w:b/>
          <w:bCs/>
          <w:sz w:val="28"/>
          <w:szCs w:val="28"/>
          <w:lang w:val="en-GB"/>
        </w:rPr>
      </w:pPr>
      <w:r w:rsidRPr="00A655F8">
        <w:rPr>
          <w:b/>
          <w:bCs/>
          <w:sz w:val="28"/>
          <w:szCs w:val="28"/>
          <w:lang w:val="en-GB"/>
        </w:rPr>
        <w:lastRenderedPageBreak/>
        <w:t xml:space="preserve">Advanced </w:t>
      </w:r>
      <w:r>
        <w:rPr>
          <w:b/>
          <w:bCs/>
          <w:sz w:val="28"/>
          <w:szCs w:val="28"/>
          <w:lang w:val="en-GB"/>
        </w:rPr>
        <w:t>E</w:t>
      </w:r>
      <w:r w:rsidRPr="00A655F8">
        <w:rPr>
          <w:b/>
          <w:bCs/>
          <w:sz w:val="28"/>
          <w:szCs w:val="28"/>
          <w:lang w:val="en-GB"/>
        </w:rPr>
        <w:t xml:space="preserve">mulsions as </w:t>
      </w:r>
      <w:r>
        <w:rPr>
          <w:b/>
          <w:bCs/>
          <w:sz w:val="28"/>
          <w:szCs w:val="28"/>
          <w:lang w:val="en-GB"/>
        </w:rPr>
        <w:t>B</w:t>
      </w:r>
      <w:r w:rsidRPr="00A655F8">
        <w:rPr>
          <w:b/>
          <w:bCs/>
          <w:sz w:val="28"/>
          <w:szCs w:val="28"/>
          <w:lang w:val="en-GB"/>
        </w:rPr>
        <w:t xml:space="preserve">ioactive </w:t>
      </w:r>
      <w:r>
        <w:rPr>
          <w:b/>
          <w:bCs/>
          <w:sz w:val="28"/>
          <w:szCs w:val="28"/>
          <w:lang w:val="en-GB"/>
        </w:rPr>
        <w:t>C</w:t>
      </w:r>
      <w:r w:rsidRPr="00A655F8">
        <w:rPr>
          <w:b/>
          <w:bCs/>
          <w:sz w:val="28"/>
          <w:szCs w:val="28"/>
          <w:lang w:val="en-GB"/>
        </w:rPr>
        <w:t xml:space="preserve">ompound </w:t>
      </w:r>
      <w:r>
        <w:rPr>
          <w:b/>
          <w:bCs/>
          <w:sz w:val="28"/>
          <w:szCs w:val="28"/>
          <w:lang w:val="en-GB"/>
        </w:rPr>
        <w:t>C</w:t>
      </w:r>
      <w:r w:rsidRPr="00A655F8">
        <w:rPr>
          <w:b/>
          <w:bCs/>
          <w:sz w:val="28"/>
          <w:szCs w:val="28"/>
          <w:lang w:val="en-GB"/>
        </w:rPr>
        <w:t xml:space="preserve">arriers for </w:t>
      </w:r>
      <w:r>
        <w:rPr>
          <w:b/>
          <w:bCs/>
          <w:sz w:val="28"/>
          <w:szCs w:val="28"/>
          <w:lang w:val="en-GB"/>
        </w:rPr>
        <w:t>F</w:t>
      </w:r>
      <w:r w:rsidRPr="00A655F8">
        <w:rPr>
          <w:b/>
          <w:bCs/>
          <w:sz w:val="28"/>
          <w:szCs w:val="28"/>
          <w:lang w:val="en-GB"/>
        </w:rPr>
        <w:t xml:space="preserve">unctional </w:t>
      </w:r>
      <w:r>
        <w:rPr>
          <w:b/>
          <w:bCs/>
          <w:sz w:val="28"/>
          <w:szCs w:val="28"/>
          <w:lang w:val="en-GB"/>
        </w:rPr>
        <w:t>F</w:t>
      </w:r>
      <w:r w:rsidRPr="00A655F8">
        <w:rPr>
          <w:b/>
          <w:bCs/>
          <w:sz w:val="28"/>
          <w:szCs w:val="28"/>
          <w:lang w:val="en-GB"/>
        </w:rPr>
        <w:t xml:space="preserve">ood </w:t>
      </w:r>
      <w:r>
        <w:rPr>
          <w:b/>
          <w:bCs/>
          <w:sz w:val="28"/>
          <w:szCs w:val="28"/>
          <w:lang w:val="en-GB"/>
        </w:rPr>
        <w:t>D</w:t>
      </w:r>
      <w:r w:rsidRPr="00A655F8">
        <w:rPr>
          <w:b/>
          <w:bCs/>
          <w:sz w:val="28"/>
          <w:szCs w:val="28"/>
          <w:lang w:val="en-GB"/>
        </w:rPr>
        <w:t xml:space="preserve">esign: </w:t>
      </w:r>
      <w:r>
        <w:rPr>
          <w:b/>
          <w:bCs/>
          <w:sz w:val="28"/>
          <w:szCs w:val="28"/>
          <w:lang w:val="en-GB"/>
        </w:rPr>
        <w:t>T</w:t>
      </w:r>
      <w:r w:rsidRPr="00A655F8">
        <w:rPr>
          <w:b/>
          <w:bCs/>
          <w:sz w:val="28"/>
          <w:szCs w:val="28"/>
          <w:lang w:val="en-GB"/>
        </w:rPr>
        <w:t xml:space="preserve">echnological and </w:t>
      </w:r>
      <w:r>
        <w:rPr>
          <w:b/>
          <w:bCs/>
          <w:sz w:val="28"/>
          <w:szCs w:val="28"/>
          <w:lang w:val="en-GB"/>
        </w:rPr>
        <w:t>N</w:t>
      </w:r>
      <w:r w:rsidRPr="00A655F8">
        <w:rPr>
          <w:b/>
          <w:bCs/>
          <w:sz w:val="28"/>
          <w:szCs w:val="28"/>
          <w:lang w:val="en-GB"/>
        </w:rPr>
        <w:t xml:space="preserve">utritional </w:t>
      </w:r>
      <w:r>
        <w:rPr>
          <w:b/>
          <w:bCs/>
          <w:sz w:val="28"/>
          <w:szCs w:val="28"/>
          <w:lang w:val="en-GB"/>
        </w:rPr>
        <w:t>A</w:t>
      </w:r>
      <w:r w:rsidRPr="00A655F8">
        <w:rPr>
          <w:b/>
          <w:bCs/>
          <w:sz w:val="28"/>
          <w:szCs w:val="28"/>
          <w:lang w:val="en-GB"/>
        </w:rPr>
        <w:t>spects</w:t>
      </w:r>
    </w:p>
    <w:p w14:paraId="56899406" w14:textId="77777777" w:rsidR="000C71D5" w:rsidRPr="00A655F8" w:rsidRDefault="000C71D5" w:rsidP="000C71D5">
      <w:pPr>
        <w:jc w:val="center"/>
      </w:pPr>
      <w:r w:rsidRPr="00A655F8">
        <w:t>Eleonora Loffredi (</w:t>
      </w:r>
      <w:hyperlink r:id="rId7" w:history="1">
        <w:r w:rsidRPr="00A655F8">
          <w:rPr>
            <w:rStyle w:val="Collegamentoipertestuale"/>
          </w:rPr>
          <w:t>eleonora.loffredi@unimi.it</w:t>
        </w:r>
      </w:hyperlink>
      <w:r w:rsidRPr="00A655F8">
        <w:t>)</w:t>
      </w:r>
    </w:p>
    <w:p w14:paraId="7700976C" w14:textId="77777777" w:rsidR="000C71D5" w:rsidRPr="00A655F8" w:rsidRDefault="000C71D5" w:rsidP="000C71D5">
      <w:pPr>
        <w:jc w:val="center"/>
        <w:rPr>
          <w:lang w:val="en-GB"/>
        </w:rPr>
      </w:pPr>
      <w:r w:rsidRPr="00A655F8">
        <w:rPr>
          <w:lang w:val="en-GB"/>
        </w:rPr>
        <w:t>Dep</w:t>
      </w:r>
      <w:r>
        <w:rPr>
          <w:lang w:val="en-GB"/>
        </w:rPr>
        <w:t>artment</w:t>
      </w:r>
      <w:r w:rsidRPr="00A655F8">
        <w:rPr>
          <w:lang w:val="en-GB"/>
        </w:rPr>
        <w:t xml:space="preserve"> of Food, Environmental and Nutritional Sciences, University of Milan, Milan, Italy</w:t>
      </w:r>
    </w:p>
    <w:p w14:paraId="6CBE03FE" w14:textId="77777777" w:rsidR="000C71D5" w:rsidRDefault="000C71D5" w:rsidP="000C71D5">
      <w:pPr>
        <w:jc w:val="center"/>
        <w:rPr>
          <w:lang w:val="en-GB"/>
        </w:rPr>
      </w:pPr>
      <w:r w:rsidRPr="00A655F8">
        <w:rPr>
          <w:lang w:val="en-GB"/>
        </w:rPr>
        <w:t xml:space="preserve">Tutor: Prof. Cristina </w:t>
      </w:r>
      <w:proofErr w:type="spellStart"/>
      <w:r w:rsidRPr="00A655F8">
        <w:rPr>
          <w:lang w:val="en-GB"/>
        </w:rPr>
        <w:t>Alamprese</w:t>
      </w:r>
      <w:proofErr w:type="spellEnd"/>
    </w:p>
    <w:p w14:paraId="4F4155F1" w14:textId="77777777" w:rsidR="00512D9B" w:rsidRDefault="00512D9B">
      <w:pPr>
        <w:tabs>
          <w:tab w:val="left" w:pos="0"/>
        </w:tabs>
        <w:jc w:val="both"/>
        <w:rPr>
          <w:lang w:val="en-GB"/>
        </w:rPr>
      </w:pPr>
    </w:p>
    <w:p w14:paraId="188AF05F" w14:textId="6174CAF4" w:rsidR="00512D9B" w:rsidRPr="00746B7D" w:rsidRDefault="002D28F2">
      <w:pPr>
        <w:tabs>
          <w:tab w:val="left" w:pos="0"/>
        </w:tabs>
        <w:jc w:val="both"/>
        <w:rPr>
          <w:lang w:val="en-US"/>
        </w:rPr>
      </w:pPr>
      <w:r>
        <w:rPr>
          <w:lang w:val="en-GB"/>
        </w:rPr>
        <w:t>F</w:t>
      </w:r>
      <w:r w:rsidR="00DD75F5">
        <w:rPr>
          <w:lang w:val="en-GB"/>
        </w:rPr>
        <w:t>our</w:t>
      </w:r>
      <w:r>
        <w:rPr>
          <w:lang w:val="en-GB"/>
        </w:rPr>
        <w:t xml:space="preserve"> types of emulsions </w:t>
      </w:r>
      <w:r w:rsidR="00431F8F">
        <w:rPr>
          <w:lang w:val="en-GB"/>
        </w:rPr>
        <w:t>(i.e., single</w:t>
      </w:r>
      <w:r w:rsidR="00431F8F" w:rsidRPr="00CE628C">
        <w:rPr>
          <w:lang w:val="en-GB"/>
        </w:rPr>
        <w:t>,</w:t>
      </w:r>
      <w:r w:rsidR="00431F8F">
        <w:rPr>
          <w:lang w:val="en-GB"/>
        </w:rPr>
        <w:t xml:space="preserve"> cold filled-gel, hot filled-gel, and Pickering) </w:t>
      </w:r>
      <w:r>
        <w:rPr>
          <w:lang w:val="en-GB"/>
        </w:rPr>
        <w:t>were produced and characterized to develop carrier</w:t>
      </w:r>
      <w:r w:rsidR="00AB1A99">
        <w:rPr>
          <w:lang w:val="en-GB"/>
        </w:rPr>
        <w:t>s</w:t>
      </w:r>
      <w:r>
        <w:rPr>
          <w:lang w:val="en-GB"/>
        </w:rPr>
        <w:t xml:space="preserve"> for </w:t>
      </w:r>
      <w:r w:rsidR="00AB1A99">
        <w:rPr>
          <w:lang w:val="en-GB"/>
        </w:rPr>
        <w:t>poly</w:t>
      </w:r>
      <w:r>
        <w:rPr>
          <w:lang w:val="en-GB"/>
        </w:rPr>
        <w:t>phenol</w:t>
      </w:r>
      <w:r w:rsidR="00E7028B">
        <w:rPr>
          <w:lang w:val="en-GB"/>
        </w:rPr>
        <w:t>s</w:t>
      </w:r>
      <w:r>
        <w:rPr>
          <w:lang w:val="en-GB"/>
        </w:rPr>
        <w:t xml:space="preserve"> extracted from olive</w:t>
      </w:r>
      <w:r w:rsidR="00E7028B">
        <w:rPr>
          <w:lang w:val="en-GB"/>
        </w:rPr>
        <w:t>-vegetative</w:t>
      </w:r>
      <w:r w:rsidR="00F23B12">
        <w:rPr>
          <w:lang w:val="en-GB"/>
        </w:rPr>
        <w:t xml:space="preserve"> water</w:t>
      </w:r>
      <w:r>
        <w:rPr>
          <w:lang w:val="en-GB"/>
        </w:rPr>
        <w:t xml:space="preserve">. </w:t>
      </w:r>
      <w:r w:rsidR="00431F8F">
        <w:rPr>
          <w:lang w:val="en-GB"/>
        </w:rPr>
        <w:t>C</w:t>
      </w:r>
      <w:r w:rsidR="00431F8F" w:rsidRPr="00E7028B">
        <w:rPr>
          <w:lang w:val="en-GB"/>
        </w:rPr>
        <w:t xml:space="preserve">entral </w:t>
      </w:r>
      <w:r w:rsidR="00431F8F">
        <w:rPr>
          <w:lang w:val="en-GB"/>
        </w:rPr>
        <w:t>C</w:t>
      </w:r>
      <w:r w:rsidR="00431F8F" w:rsidRPr="00E7028B">
        <w:rPr>
          <w:lang w:val="en-GB"/>
        </w:rPr>
        <w:t xml:space="preserve">omposite </w:t>
      </w:r>
      <w:r w:rsidR="00431F8F">
        <w:rPr>
          <w:lang w:val="en-GB"/>
        </w:rPr>
        <w:t>D</w:t>
      </w:r>
      <w:r w:rsidR="00431F8F" w:rsidRPr="00E7028B">
        <w:rPr>
          <w:lang w:val="en-GB"/>
        </w:rPr>
        <w:t>esign</w:t>
      </w:r>
      <w:r w:rsidR="00431F8F">
        <w:rPr>
          <w:lang w:val="en-GB"/>
        </w:rPr>
        <w:t xml:space="preserve">s were applied to study the effects of different </w:t>
      </w:r>
      <w:r>
        <w:rPr>
          <w:lang w:val="en-GB"/>
        </w:rPr>
        <w:t>emulsifier</w:t>
      </w:r>
      <w:r w:rsidR="00431F8F">
        <w:rPr>
          <w:lang w:val="en-GB"/>
        </w:rPr>
        <w:t xml:space="preserve"> types and concentrations, </w:t>
      </w:r>
      <w:r>
        <w:rPr>
          <w:lang w:val="en-GB"/>
        </w:rPr>
        <w:t xml:space="preserve">and </w:t>
      </w:r>
      <w:r w:rsidR="00E7028B">
        <w:rPr>
          <w:lang w:val="en-GB"/>
        </w:rPr>
        <w:t xml:space="preserve">oil phase percentages. </w:t>
      </w:r>
      <w:r>
        <w:rPr>
          <w:lang w:val="en-GB"/>
        </w:rPr>
        <w:t>After the technological characterization of all the samples</w:t>
      </w:r>
      <w:r w:rsidR="00AB1A99">
        <w:rPr>
          <w:lang w:val="en-GB"/>
        </w:rPr>
        <w:t xml:space="preserve">, </w:t>
      </w:r>
      <w:r>
        <w:rPr>
          <w:lang w:val="en-GB"/>
        </w:rPr>
        <w:t xml:space="preserve">Response Surface Methodology </w:t>
      </w:r>
      <w:r w:rsidR="00AB1A99">
        <w:rPr>
          <w:lang w:val="en-GB"/>
        </w:rPr>
        <w:t xml:space="preserve">was applied to obtain optimized </w:t>
      </w:r>
      <w:r w:rsidR="00E7028B">
        <w:rPr>
          <w:lang w:val="en-GB"/>
        </w:rPr>
        <w:t xml:space="preserve">emulsion </w:t>
      </w:r>
      <w:r w:rsidR="00AB1A99">
        <w:rPr>
          <w:lang w:val="en-GB"/>
        </w:rPr>
        <w:t xml:space="preserve">formulations for the </w:t>
      </w:r>
      <w:r w:rsidR="00E7028B">
        <w:rPr>
          <w:lang w:val="en-GB"/>
        </w:rPr>
        <w:t xml:space="preserve">future </w:t>
      </w:r>
      <w:r w:rsidR="00AB1A99">
        <w:rPr>
          <w:lang w:val="en-GB"/>
        </w:rPr>
        <w:t xml:space="preserve">encapsulation of </w:t>
      </w:r>
      <w:r w:rsidR="00F23B12">
        <w:rPr>
          <w:lang w:val="en-GB"/>
        </w:rPr>
        <w:t>poly</w:t>
      </w:r>
      <w:r w:rsidR="00AB1A99">
        <w:rPr>
          <w:lang w:val="en-GB"/>
        </w:rPr>
        <w:t>phenols and food enrichment applications.</w:t>
      </w:r>
    </w:p>
    <w:p w14:paraId="512B2757" w14:textId="7EB2014D" w:rsidR="00AB1A99" w:rsidRPr="00493CF9" w:rsidRDefault="00AB1A99" w:rsidP="00AB1A99">
      <w:pPr>
        <w:spacing w:before="240" w:after="120"/>
        <w:jc w:val="center"/>
        <w:rPr>
          <w:b/>
          <w:bCs/>
          <w:sz w:val="24"/>
          <w:szCs w:val="24"/>
        </w:rPr>
      </w:pPr>
      <w:r w:rsidRPr="00493CF9">
        <w:rPr>
          <w:b/>
          <w:bCs/>
          <w:sz w:val="24"/>
          <w:szCs w:val="24"/>
        </w:rPr>
        <w:t xml:space="preserve">Emulsioni </w:t>
      </w:r>
      <w:r w:rsidR="00E7028B">
        <w:rPr>
          <w:b/>
          <w:bCs/>
          <w:sz w:val="24"/>
          <w:szCs w:val="24"/>
        </w:rPr>
        <w:t>avanzate</w:t>
      </w:r>
      <w:r w:rsidR="00E7028B" w:rsidRPr="00493CF9">
        <w:rPr>
          <w:b/>
          <w:bCs/>
          <w:sz w:val="24"/>
          <w:szCs w:val="24"/>
        </w:rPr>
        <w:t xml:space="preserve"> </w:t>
      </w:r>
      <w:r w:rsidRPr="00493CF9">
        <w:rPr>
          <w:b/>
          <w:bCs/>
          <w:sz w:val="24"/>
          <w:szCs w:val="24"/>
        </w:rPr>
        <w:t>come sistemi di trasporto di composti bioattivi per lo sviluppo di alimenti funzionali: aspetti tecnologici e nutrizionali</w:t>
      </w:r>
    </w:p>
    <w:p w14:paraId="73C1D670" w14:textId="1AC3B7F4" w:rsidR="00512D9B" w:rsidRPr="009A21F2" w:rsidRDefault="00DD75F5">
      <w:pPr>
        <w:tabs>
          <w:tab w:val="left" w:pos="0"/>
        </w:tabs>
        <w:jc w:val="both"/>
      </w:pPr>
      <w:r>
        <w:t>Quattro</w:t>
      </w:r>
      <w:r w:rsidR="00AB1A99">
        <w:t xml:space="preserve"> tipologie di emulsioni sono state </w:t>
      </w:r>
      <w:r w:rsidR="008B25C1">
        <w:t>studiate</w:t>
      </w:r>
      <w:r w:rsidR="00AB1A99">
        <w:t xml:space="preserve"> </w:t>
      </w:r>
      <w:r w:rsidR="00431F8F">
        <w:t xml:space="preserve">come possibili </w:t>
      </w:r>
      <w:r w:rsidR="00431F8F" w:rsidRPr="00E813ED">
        <w:rPr>
          <w:i/>
          <w:iCs/>
        </w:rPr>
        <w:t>carrier</w:t>
      </w:r>
      <w:r w:rsidR="00AB1A99">
        <w:t xml:space="preserve"> per polifenoli derivanti dalle acque di vegetazione delle olive</w:t>
      </w:r>
      <w:r w:rsidR="00431F8F">
        <w:t>: singole, gelificate a freddo, gelificate a caldo e Pickering</w:t>
      </w:r>
      <w:r w:rsidR="00AB1A99">
        <w:t>.</w:t>
      </w:r>
      <w:r w:rsidR="00F23B12">
        <w:t xml:space="preserve"> </w:t>
      </w:r>
      <w:r w:rsidR="00640FCB">
        <w:t>L</w:t>
      </w:r>
      <w:r w:rsidR="00E7028B">
        <w:t xml:space="preserve">’applicazione di </w:t>
      </w:r>
      <w:r w:rsidR="00E7028B" w:rsidRPr="00E813ED">
        <w:rPr>
          <w:i/>
          <w:iCs/>
        </w:rPr>
        <w:t>Central Composite Design</w:t>
      </w:r>
      <w:r w:rsidR="00E813ED">
        <w:rPr>
          <w:i/>
          <w:iCs/>
        </w:rPr>
        <w:t>s</w:t>
      </w:r>
      <w:r w:rsidR="00640FCB">
        <w:t xml:space="preserve"> ha permesso di</w:t>
      </w:r>
      <w:r w:rsidR="00F23B12">
        <w:t xml:space="preserve"> studiare </w:t>
      </w:r>
      <w:r w:rsidR="00431F8F">
        <w:t xml:space="preserve">l’effetto delle </w:t>
      </w:r>
      <w:r w:rsidR="00F23B12">
        <w:t xml:space="preserve">differenti </w:t>
      </w:r>
      <w:r w:rsidR="00431F8F">
        <w:t>tipologie di emulsion</w:t>
      </w:r>
      <w:r w:rsidR="00E813ED">
        <w:t>anti</w:t>
      </w:r>
      <w:r w:rsidR="00431F8F">
        <w:t xml:space="preserve">, della concentrazione di </w:t>
      </w:r>
      <w:r w:rsidR="00F23B12">
        <w:t>emulsionant</w:t>
      </w:r>
      <w:r w:rsidR="00431F8F">
        <w:t>e</w:t>
      </w:r>
      <w:r w:rsidR="00F23B12">
        <w:t xml:space="preserve"> e </w:t>
      </w:r>
      <w:r w:rsidR="00431F8F">
        <w:t xml:space="preserve">di </w:t>
      </w:r>
      <w:r w:rsidR="00E7028B">
        <w:t xml:space="preserve">diverse percentuali di fase oleosa. </w:t>
      </w:r>
      <w:r w:rsidR="009A21F2">
        <w:t xml:space="preserve">Attraverso la </w:t>
      </w:r>
      <w:r w:rsidR="00E7028B">
        <w:t>metodica delle superfici di risposta</w:t>
      </w:r>
      <w:r w:rsidR="00F23B12">
        <w:t xml:space="preserve">, </w:t>
      </w:r>
      <w:r w:rsidR="009A21F2">
        <w:t xml:space="preserve">sono state </w:t>
      </w:r>
      <w:r w:rsidR="008B25C1">
        <w:t>ottimizzate le</w:t>
      </w:r>
      <w:r w:rsidR="00F23B12">
        <w:t xml:space="preserve"> formulazioni </w:t>
      </w:r>
      <w:r w:rsidR="008D0823">
        <w:t>delle</w:t>
      </w:r>
      <w:r w:rsidR="00E7028B">
        <w:t xml:space="preserve"> emulsion</w:t>
      </w:r>
      <w:r w:rsidR="008D0823">
        <w:t>i</w:t>
      </w:r>
      <w:r w:rsidR="00E7028B">
        <w:t xml:space="preserve"> </w:t>
      </w:r>
      <w:r w:rsidR="008B25C1">
        <w:t xml:space="preserve">da utilizzare </w:t>
      </w:r>
      <w:r w:rsidR="00306FDC">
        <w:t xml:space="preserve">in futuro </w:t>
      </w:r>
      <w:r w:rsidR="00F23B12">
        <w:t xml:space="preserve">per l’incapsulamento di polifenoli e </w:t>
      </w:r>
      <w:r w:rsidR="009A21F2">
        <w:t xml:space="preserve">lo sviluppo </w:t>
      </w:r>
      <w:r w:rsidR="00F23B12">
        <w:t>di alimenti</w:t>
      </w:r>
      <w:r w:rsidR="009A21F2">
        <w:t xml:space="preserve"> arricchiti</w:t>
      </w:r>
      <w:r w:rsidR="00F23B12">
        <w:t>.</w:t>
      </w:r>
    </w:p>
    <w:p w14:paraId="01FF25C5" w14:textId="77777777" w:rsidR="00AB1A99" w:rsidRPr="009A21F2" w:rsidRDefault="00AB1A99">
      <w:pPr>
        <w:tabs>
          <w:tab w:val="left" w:pos="0"/>
        </w:tabs>
        <w:jc w:val="both"/>
      </w:pPr>
    </w:p>
    <w:p w14:paraId="6E4C6A6A" w14:textId="6BFF76B7" w:rsidR="00512D9B" w:rsidRPr="00746B7D" w:rsidRDefault="000E1209">
      <w:pPr>
        <w:ind w:left="567" w:hanging="567"/>
        <w:jc w:val="both"/>
        <w:rPr>
          <w:lang w:val="en-US"/>
        </w:rPr>
      </w:pPr>
      <w:r w:rsidRPr="000E1209">
        <w:rPr>
          <w:b/>
          <w:bCs/>
          <w:lang w:val="en-GB"/>
        </w:rPr>
        <w:t>Keywords</w:t>
      </w:r>
      <w:r w:rsidR="00FB589C" w:rsidRPr="000E1209">
        <w:rPr>
          <w:b/>
          <w:bCs/>
          <w:lang w:val="en-GB"/>
        </w:rPr>
        <w:t>:</w:t>
      </w:r>
      <w:r w:rsidR="00FB589C">
        <w:rPr>
          <w:lang w:val="en-GB"/>
        </w:rPr>
        <w:t xml:space="preserve"> </w:t>
      </w:r>
      <w:r w:rsidR="005A5789">
        <w:rPr>
          <w:lang w:val="en-GB"/>
        </w:rPr>
        <w:t>Pickering emulsion</w:t>
      </w:r>
      <w:r w:rsidR="00FB589C">
        <w:rPr>
          <w:lang w:val="en-GB"/>
        </w:rPr>
        <w:t xml:space="preserve">, </w:t>
      </w:r>
      <w:r w:rsidR="005A5789">
        <w:rPr>
          <w:lang w:val="en-GB"/>
        </w:rPr>
        <w:t>filled-gel emulsion</w:t>
      </w:r>
      <w:r w:rsidR="00FB589C">
        <w:rPr>
          <w:lang w:val="en-GB"/>
        </w:rPr>
        <w:t xml:space="preserve">, </w:t>
      </w:r>
      <w:r w:rsidR="00B079BD">
        <w:rPr>
          <w:lang w:val="en-GB"/>
        </w:rPr>
        <w:t xml:space="preserve">single emulsion, </w:t>
      </w:r>
      <w:r w:rsidR="005A5789">
        <w:rPr>
          <w:lang w:val="en-GB"/>
        </w:rPr>
        <w:t>Design of Experiment</w:t>
      </w:r>
      <w:r w:rsidR="00FB589C">
        <w:rPr>
          <w:lang w:val="en-GB"/>
        </w:rPr>
        <w:t xml:space="preserve">, </w:t>
      </w:r>
      <w:r w:rsidR="00B079BD">
        <w:rPr>
          <w:lang w:val="en-GB"/>
        </w:rPr>
        <w:t>Response Surface Methodology</w:t>
      </w:r>
      <w:r w:rsidR="00FB589C">
        <w:rPr>
          <w:lang w:val="en-GB"/>
        </w:rPr>
        <w:t>.</w:t>
      </w:r>
    </w:p>
    <w:p w14:paraId="049B5BB9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37F9F088" w:rsidR="00512D9B" w:rsidRPr="009120A4" w:rsidRDefault="003A735A">
      <w:pPr>
        <w:jc w:val="both"/>
        <w:rPr>
          <w:lang w:val="en-GB"/>
        </w:rPr>
      </w:pPr>
      <w:r>
        <w:rPr>
          <w:lang w:val="en-GB"/>
        </w:rPr>
        <w:t>T</w:t>
      </w:r>
      <w:r w:rsidR="009120A4" w:rsidRPr="009120A4">
        <w:rPr>
          <w:lang w:val="en-GB"/>
        </w:rPr>
        <w:t>h</w:t>
      </w:r>
      <w:r>
        <w:rPr>
          <w:lang w:val="en-GB"/>
        </w:rPr>
        <w:t>e</w:t>
      </w:r>
      <w:r w:rsidR="009120A4" w:rsidRPr="009120A4">
        <w:rPr>
          <w:lang w:val="en-GB"/>
        </w:rPr>
        <w:t xml:space="preserve"> PhD project</w:t>
      </w:r>
      <w:r>
        <w:rPr>
          <w:lang w:val="en-GB"/>
        </w:rPr>
        <w:t xml:space="preserve"> is</w:t>
      </w:r>
      <w:r w:rsidR="00FB589C" w:rsidRPr="009120A4">
        <w:rPr>
          <w:lang w:val="en-GB"/>
        </w:rPr>
        <w:t xml:space="preserve"> </w:t>
      </w:r>
      <w:r w:rsidR="006F67AA">
        <w:rPr>
          <w:lang w:val="en-GB"/>
        </w:rPr>
        <w:t xml:space="preserve">about </w:t>
      </w:r>
      <w:r w:rsidR="006F67AA" w:rsidRPr="00014AEA">
        <w:rPr>
          <w:lang w:val="en-GB"/>
        </w:rPr>
        <w:t xml:space="preserve">the development of </w:t>
      </w:r>
      <w:r>
        <w:rPr>
          <w:lang w:val="en-GB"/>
        </w:rPr>
        <w:t xml:space="preserve">lipid </w:t>
      </w:r>
      <w:r w:rsidR="006F67AA" w:rsidRPr="00014AEA">
        <w:rPr>
          <w:lang w:val="en-GB"/>
        </w:rPr>
        <w:t>carriers for natural polyphenol extract obtained from olive</w:t>
      </w:r>
      <w:r>
        <w:rPr>
          <w:lang w:val="en-GB"/>
        </w:rPr>
        <w:t xml:space="preserve">-vegetative </w:t>
      </w:r>
      <w:r w:rsidR="006F67AA" w:rsidRPr="00014AEA">
        <w:rPr>
          <w:lang w:val="en-GB"/>
        </w:rPr>
        <w:t>water</w:t>
      </w:r>
      <w:r w:rsidR="006F67AA">
        <w:rPr>
          <w:lang w:val="en-GB"/>
        </w:rPr>
        <w:t xml:space="preserve">, </w:t>
      </w:r>
      <w:r>
        <w:rPr>
          <w:lang w:val="en-GB"/>
        </w:rPr>
        <w:t xml:space="preserve">for future food reformulation </w:t>
      </w:r>
      <w:r w:rsidR="006F67AA">
        <w:rPr>
          <w:lang w:val="en-GB"/>
        </w:rPr>
        <w:t>to promote sustainability and healthiness</w:t>
      </w:r>
      <w:r>
        <w:rPr>
          <w:lang w:val="en-GB"/>
        </w:rPr>
        <w:t>.</w:t>
      </w:r>
      <w:r w:rsidR="00FB589C" w:rsidRPr="009120A4">
        <w:rPr>
          <w:lang w:val="en-GB"/>
        </w:rPr>
        <w:t xml:space="preserve"> </w:t>
      </w:r>
      <w:r>
        <w:rPr>
          <w:lang w:val="en-GB"/>
        </w:rPr>
        <w:t>Here, t</w:t>
      </w:r>
      <w:r w:rsidRPr="009120A4">
        <w:rPr>
          <w:lang w:val="en-GB"/>
        </w:rPr>
        <w:t xml:space="preserve">he main results derived from </w:t>
      </w:r>
      <w:r>
        <w:rPr>
          <w:lang w:val="en-GB"/>
        </w:rPr>
        <w:t xml:space="preserve">the </w:t>
      </w:r>
      <w:r w:rsidRPr="009120A4">
        <w:rPr>
          <w:lang w:val="en-GB"/>
        </w:rPr>
        <w:t>first activit</w:t>
      </w:r>
      <w:r>
        <w:rPr>
          <w:lang w:val="en-GB"/>
        </w:rPr>
        <w:t>ies</w:t>
      </w:r>
      <w:r w:rsidRPr="009120A4">
        <w:rPr>
          <w:lang w:val="en-GB"/>
        </w:rPr>
        <w:t xml:space="preserve"> of</w:t>
      </w:r>
      <w:r>
        <w:rPr>
          <w:lang w:val="en-GB"/>
        </w:rPr>
        <w:t xml:space="preserve"> the project are shown:</w:t>
      </w:r>
    </w:p>
    <w:p w14:paraId="0580A7C5" w14:textId="34E6AA95" w:rsidR="009120A4" w:rsidRPr="009120A4" w:rsidRDefault="00FB589C">
      <w:pPr>
        <w:tabs>
          <w:tab w:val="left" w:pos="567"/>
        </w:tabs>
        <w:ind w:left="567" w:hanging="567"/>
        <w:jc w:val="both"/>
        <w:rPr>
          <w:lang w:val="en-GB"/>
        </w:rPr>
      </w:pPr>
      <w:r w:rsidRPr="009120A4">
        <w:rPr>
          <w:lang w:val="en-GB"/>
        </w:rPr>
        <w:t xml:space="preserve">(A1) </w:t>
      </w:r>
      <w:r w:rsidRPr="009120A4">
        <w:rPr>
          <w:lang w:val="en-GB"/>
        </w:rPr>
        <w:tab/>
      </w:r>
      <w:r w:rsidR="003A735A">
        <w:rPr>
          <w:lang w:val="en-GB"/>
        </w:rPr>
        <w:t>D</w:t>
      </w:r>
      <w:r w:rsidR="009120A4" w:rsidRPr="009120A4">
        <w:rPr>
          <w:lang w:val="en-GB"/>
        </w:rPr>
        <w:t xml:space="preserve">esign of different </w:t>
      </w:r>
      <w:r w:rsidR="000E1209">
        <w:rPr>
          <w:lang w:val="en-GB"/>
        </w:rPr>
        <w:t>types</w:t>
      </w:r>
      <w:r w:rsidR="009120A4" w:rsidRPr="009120A4">
        <w:rPr>
          <w:lang w:val="en-GB"/>
        </w:rPr>
        <w:t xml:space="preserve"> of advance</w:t>
      </w:r>
      <w:r w:rsidR="003A735A">
        <w:rPr>
          <w:lang w:val="en-GB"/>
        </w:rPr>
        <w:t>d</w:t>
      </w:r>
      <w:r w:rsidR="009120A4" w:rsidRPr="009120A4">
        <w:rPr>
          <w:lang w:val="en-GB"/>
        </w:rPr>
        <w:t xml:space="preserve"> emulsions by applying Design of Experiment</w:t>
      </w:r>
      <w:r w:rsidR="009120A4">
        <w:rPr>
          <w:lang w:val="en-GB"/>
        </w:rPr>
        <w:t xml:space="preserve"> (DoE)</w:t>
      </w:r>
      <w:r w:rsidR="009120A4" w:rsidRPr="009120A4">
        <w:rPr>
          <w:lang w:val="en-GB"/>
        </w:rPr>
        <w:t xml:space="preserve"> technique</w:t>
      </w:r>
      <w:r w:rsidR="003A735A">
        <w:rPr>
          <w:lang w:val="en-GB"/>
        </w:rPr>
        <w:t>s</w:t>
      </w:r>
      <w:r w:rsidR="009120A4" w:rsidRPr="009120A4">
        <w:rPr>
          <w:lang w:val="en-GB"/>
        </w:rPr>
        <w:t xml:space="preserve"> to study the </w:t>
      </w:r>
      <w:r w:rsidR="009120A4">
        <w:rPr>
          <w:lang w:val="en-GB"/>
        </w:rPr>
        <w:t>main and interaction</w:t>
      </w:r>
      <w:r w:rsidR="009120A4" w:rsidRPr="009120A4">
        <w:rPr>
          <w:lang w:val="en-GB"/>
        </w:rPr>
        <w:t xml:space="preserve"> </w:t>
      </w:r>
      <w:r w:rsidR="003A735A" w:rsidRPr="009120A4">
        <w:rPr>
          <w:lang w:val="en-GB"/>
        </w:rPr>
        <w:t>effect</w:t>
      </w:r>
      <w:r w:rsidR="003A735A">
        <w:rPr>
          <w:lang w:val="en-GB"/>
        </w:rPr>
        <w:t>s</w:t>
      </w:r>
      <w:r w:rsidR="003A735A" w:rsidRPr="009120A4">
        <w:rPr>
          <w:lang w:val="en-GB"/>
        </w:rPr>
        <w:t xml:space="preserve"> </w:t>
      </w:r>
      <w:r w:rsidR="009120A4" w:rsidRPr="009120A4">
        <w:rPr>
          <w:lang w:val="en-GB"/>
        </w:rPr>
        <w:t xml:space="preserve">of type </w:t>
      </w:r>
      <w:r w:rsidR="0085243C">
        <w:rPr>
          <w:lang w:val="en-GB"/>
        </w:rPr>
        <w:t xml:space="preserve">of emulsions, </w:t>
      </w:r>
      <w:r w:rsidR="009120A4">
        <w:rPr>
          <w:lang w:val="en-GB"/>
        </w:rPr>
        <w:t>concentration</w:t>
      </w:r>
      <w:r w:rsidR="009120A4" w:rsidRPr="009120A4">
        <w:rPr>
          <w:lang w:val="en-GB"/>
        </w:rPr>
        <w:t xml:space="preserve"> of emulsifier</w:t>
      </w:r>
      <w:r w:rsidR="009120A4">
        <w:rPr>
          <w:lang w:val="en-GB"/>
        </w:rPr>
        <w:t>s</w:t>
      </w:r>
      <w:r w:rsidR="009120A4" w:rsidRPr="009120A4">
        <w:rPr>
          <w:lang w:val="en-GB"/>
        </w:rPr>
        <w:t xml:space="preserve">, and </w:t>
      </w:r>
      <w:r w:rsidR="009120A4">
        <w:rPr>
          <w:lang w:val="en-GB"/>
        </w:rPr>
        <w:t>concentration</w:t>
      </w:r>
      <w:r w:rsidR="009120A4" w:rsidRPr="009120A4">
        <w:rPr>
          <w:lang w:val="en-GB"/>
        </w:rPr>
        <w:t xml:space="preserve"> of corn oil</w:t>
      </w:r>
      <w:r w:rsidR="00E813ED">
        <w:rPr>
          <w:lang w:val="en-GB"/>
        </w:rPr>
        <w:t>, and</w:t>
      </w:r>
      <w:r w:rsidR="005964CB">
        <w:rPr>
          <w:lang w:val="en-GB"/>
        </w:rPr>
        <w:t xml:space="preserve"> </w:t>
      </w:r>
      <w:r w:rsidR="000D7AB4">
        <w:rPr>
          <w:lang w:val="en-GB"/>
        </w:rPr>
        <w:t>characteriz</w:t>
      </w:r>
      <w:r w:rsidR="005964CB">
        <w:rPr>
          <w:lang w:val="en-GB"/>
        </w:rPr>
        <w:t>ation of emulsions for</w:t>
      </w:r>
      <w:r w:rsidR="009120A4" w:rsidRPr="009120A4">
        <w:rPr>
          <w:lang w:val="en-GB"/>
        </w:rPr>
        <w:t xml:space="preserve"> the most relevant technological parameters</w:t>
      </w:r>
      <w:r w:rsidR="006F67AA">
        <w:rPr>
          <w:lang w:val="en-GB"/>
        </w:rPr>
        <w:t>.</w:t>
      </w:r>
    </w:p>
    <w:p w14:paraId="03308D95" w14:textId="3912D5E2" w:rsidR="00014AEA" w:rsidRPr="000D7AB4" w:rsidRDefault="009120A4" w:rsidP="00014AEA">
      <w:pPr>
        <w:tabs>
          <w:tab w:val="left" w:pos="567"/>
        </w:tabs>
        <w:ind w:left="567" w:hanging="567"/>
        <w:jc w:val="both"/>
        <w:rPr>
          <w:lang w:val="en-GB"/>
        </w:rPr>
      </w:pPr>
      <w:r w:rsidRPr="000D7AB4">
        <w:rPr>
          <w:lang w:val="en-GB"/>
        </w:rPr>
        <w:t xml:space="preserve">(A2) </w:t>
      </w:r>
      <w:r w:rsidRPr="000D7AB4">
        <w:rPr>
          <w:lang w:val="en-GB"/>
        </w:rPr>
        <w:tab/>
      </w:r>
      <w:r w:rsidR="005964CB">
        <w:rPr>
          <w:lang w:val="en-GB"/>
        </w:rPr>
        <w:t>O</w:t>
      </w:r>
      <w:r w:rsidR="00014AEA">
        <w:rPr>
          <w:lang w:val="en-GB"/>
        </w:rPr>
        <w:t>ptimiz</w:t>
      </w:r>
      <w:r w:rsidR="00E22FBE">
        <w:rPr>
          <w:lang w:val="en-GB"/>
        </w:rPr>
        <w:t>ation of the different</w:t>
      </w:r>
      <w:r w:rsidR="00014AEA">
        <w:rPr>
          <w:lang w:val="en-GB"/>
        </w:rPr>
        <w:t xml:space="preserve"> </w:t>
      </w:r>
      <w:r w:rsidR="005964CB">
        <w:rPr>
          <w:lang w:val="en-GB"/>
        </w:rPr>
        <w:t xml:space="preserve">emulsion </w:t>
      </w:r>
      <w:r w:rsidR="00014AEA">
        <w:rPr>
          <w:lang w:val="en-GB"/>
        </w:rPr>
        <w:t>formulations by applying</w:t>
      </w:r>
      <w:r w:rsidR="000D7AB4" w:rsidRPr="000D7AB4">
        <w:rPr>
          <w:lang w:val="en-GB"/>
        </w:rPr>
        <w:t xml:space="preserve"> the Response Surface Methodology (RSM)</w:t>
      </w:r>
      <w:r w:rsidR="00014AEA">
        <w:rPr>
          <w:lang w:val="en-GB"/>
        </w:rPr>
        <w:t>.</w:t>
      </w:r>
    </w:p>
    <w:p w14:paraId="525E1D35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1D6F9076" w14:textId="385CC3DA" w:rsidR="00CE628C" w:rsidRPr="008964A7" w:rsidRDefault="002B6600">
      <w:pPr>
        <w:jc w:val="both"/>
        <w:rPr>
          <w:lang w:val="en-US"/>
        </w:rPr>
      </w:pPr>
      <w:r w:rsidRPr="00CE628C">
        <w:rPr>
          <w:lang w:val="en-GB"/>
        </w:rPr>
        <w:t xml:space="preserve">Four different </w:t>
      </w:r>
      <w:r w:rsidR="0085243C">
        <w:rPr>
          <w:lang w:val="en-GB"/>
        </w:rPr>
        <w:t xml:space="preserve">oil-in-water </w:t>
      </w:r>
      <w:r w:rsidRPr="00CE628C">
        <w:rPr>
          <w:lang w:val="en-GB"/>
        </w:rPr>
        <w:t>emulsions were studied</w:t>
      </w:r>
      <w:r w:rsidR="0085243C">
        <w:rPr>
          <w:lang w:val="en-GB"/>
        </w:rPr>
        <w:t>: single</w:t>
      </w:r>
      <w:r w:rsidRPr="00CE628C">
        <w:rPr>
          <w:lang w:val="en-GB"/>
        </w:rPr>
        <w:t>,</w:t>
      </w:r>
      <w:r w:rsidR="0085243C">
        <w:rPr>
          <w:lang w:val="en-GB"/>
        </w:rPr>
        <w:t xml:space="preserve"> cold filled-gel, hot filled-gel, and Pickering emulsions. B</w:t>
      </w:r>
      <w:r w:rsidR="00DA6F41">
        <w:rPr>
          <w:lang w:val="en-GB"/>
        </w:rPr>
        <w:t>y applying</w:t>
      </w:r>
      <w:r w:rsidR="000E1209">
        <w:rPr>
          <w:lang w:val="en-GB"/>
        </w:rPr>
        <w:t xml:space="preserve"> a face-centred central composite design (</w:t>
      </w:r>
      <w:r w:rsidR="00FC02DD" w:rsidRPr="00FC02DD">
        <w:rPr>
          <w:lang w:val="en-US"/>
        </w:rPr>
        <w:t>Design Expert, v. 10.0.0.3, Stat-Ease Inc., MN, USA</w:t>
      </w:r>
      <w:r w:rsidR="000E1209">
        <w:rPr>
          <w:lang w:val="en-GB"/>
        </w:rPr>
        <w:t>)</w:t>
      </w:r>
      <w:r w:rsidR="0085243C">
        <w:rPr>
          <w:lang w:val="en-GB"/>
        </w:rPr>
        <w:t>, t</w:t>
      </w:r>
      <w:r w:rsidR="000E1209">
        <w:rPr>
          <w:lang w:val="en-GB"/>
        </w:rPr>
        <w:t>hirteen runs for each kind of emulsion were developed and characterized.</w:t>
      </w:r>
      <w:r w:rsidR="0085243C">
        <w:rPr>
          <w:lang w:val="en-GB"/>
        </w:rPr>
        <w:t xml:space="preserve"> Lecithin (Le; 0.5-1.5-2.5% in oil) and c</w:t>
      </w:r>
      <w:r w:rsidR="00CE628C" w:rsidRPr="00CE628C">
        <w:rPr>
          <w:lang w:val="en-GB"/>
        </w:rPr>
        <w:t>itrus fibres</w:t>
      </w:r>
      <w:r w:rsidR="00F35BCA">
        <w:rPr>
          <w:lang w:val="en-GB"/>
        </w:rPr>
        <w:t xml:space="preserve"> (CF</w:t>
      </w:r>
      <w:r w:rsidR="00DA6F41">
        <w:rPr>
          <w:lang w:val="en-GB"/>
        </w:rPr>
        <w:t>; 4-6-8% in water</w:t>
      </w:r>
      <w:r w:rsidR="00F35BCA">
        <w:rPr>
          <w:lang w:val="en-GB"/>
        </w:rPr>
        <w:t>)</w:t>
      </w:r>
      <w:r w:rsidR="00CE628C" w:rsidRPr="00CE628C">
        <w:rPr>
          <w:lang w:val="en-GB"/>
        </w:rPr>
        <w:t xml:space="preserve"> </w:t>
      </w:r>
      <w:r w:rsidR="000E1209">
        <w:rPr>
          <w:lang w:val="en-GB"/>
        </w:rPr>
        <w:t xml:space="preserve">were tested </w:t>
      </w:r>
      <w:r w:rsidR="00CE628C" w:rsidRPr="00CE628C">
        <w:rPr>
          <w:lang w:val="en-GB"/>
        </w:rPr>
        <w:t>as emulsifier</w:t>
      </w:r>
      <w:r w:rsidR="0085243C">
        <w:rPr>
          <w:lang w:val="en-GB"/>
        </w:rPr>
        <w:t>s</w:t>
      </w:r>
      <w:r w:rsidR="00CE628C" w:rsidRPr="00CE628C">
        <w:rPr>
          <w:lang w:val="en-GB"/>
        </w:rPr>
        <w:t xml:space="preserve"> for </w:t>
      </w:r>
      <w:r w:rsidR="0085243C">
        <w:rPr>
          <w:lang w:val="en-GB"/>
        </w:rPr>
        <w:t xml:space="preserve">single and cold filled-gel </w:t>
      </w:r>
      <w:r w:rsidR="00CE628C" w:rsidRPr="00CE628C">
        <w:rPr>
          <w:lang w:val="en-GB"/>
        </w:rPr>
        <w:t>emulsion</w:t>
      </w:r>
      <w:r w:rsidR="0085243C">
        <w:rPr>
          <w:lang w:val="en-GB"/>
        </w:rPr>
        <w:t>s, respectively</w:t>
      </w:r>
      <w:r w:rsidR="00DA6F41">
        <w:rPr>
          <w:lang w:val="en-GB"/>
        </w:rPr>
        <w:t>;</w:t>
      </w:r>
      <w:r w:rsidR="00CE628C">
        <w:rPr>
          <w:lang w:val="en-GB"/>
        </w:rPr>
        <w:t xml:space="preserve"> chickpea protein isolate </w:t>
      </w:r>
      <w:r w:rsidR="00DA6F41">
        <w:rPr>
          <w:lang w:val="en-GB"/>
        </w:rPr>
        <w:t>(</w:t>
      </w:r>
      <w:r w:rsidR="00C14FE1">
        <w:rPr>
          <w:lang w:val="en-GB"/>
        </w:rPr>
        <w:t xml:space="preserve">CP; </w:t>
      </w:r>
      <w:r w:rsidR="00DA6F41">
        <w:rPr>
          <w:lang w:val="en-GB"/>
        </w:rPr>
        <w:t xml:space="preserve">8-12-16% in water) </w:t>
      </w:r>
      <w:r w:rsidR="000E1209">
        <w:rPr>
          <w:lang w:val="en-GB"/>
        </w:rPr>
        <w:t>w</w:t>
      </w:r>
      <w:r w:rsidR="00DA6F41">
        <w:rPr>
          <w:lang w:val="en-GB"/>
        </w:rPr>
        <w:t>as</w:t>
      </w:r>
      <w:r w:rsidR="000E1209">
        <w:rPr>
          <w:lang w:val="en-GB"/>
        </w:rPr>
        <w:t xml:space="preserve"> </w:t>
      </w:r>
      <w:r w:rsidR="00DA6F41">
        <w:rPr>
          <w:lang w:val="en-GB"/>
        </w:rPr>
        <w:t xml:space="preserve">used </w:t>
      </w:r>
      <w:r w:rsidR="000E1209">
        <w:rPr>
          <w:lang w:val="en-GB"/>
        </w:rPr>
        <w:t xml:space="preserve">as emulsifier in </w:t>
      </w:r>
      <w:r w:rsidR="0085243C">
        <w:rPr>
          <w:lang w:val="en-GB"/>
        </w:rPr>
        <w:t xml:space="preserve">both hot </w:t>
      </w:r>
      <w:r w:rsidR="000E1209">
        <w:rPr>
          <w:lang w:val="en-GB"/>
        </w:rPr>
        <w:t>filled</w:t>
      </w:r>
      <w:r w:rsidR="0085243C">
        <w:rPr>
          <w:lang w:val="en-GB"/>
        </w:rPr>
        <w:t>-</w:t>
      </w:r>
      <w:r w:rsidR="000E1209">
        <w:rPr>
          <w:lang w:val="en-GB"/>
        </w:rPr>
        <w:t>gel</w:t>
      </w:r>
      <w:r w:rsidR="0085243C">
        <w:rPr>
          <w:lang w:val="en-GB"/>
        </w:rPr>
        <w:t xml:space="preserve"> and Pickering </w:t>
      </w:r>
      <w:r w:rsidR="000E1209">
        <w:rPr>
          <w:lang w:val="en-GB"/>
        </w:rPr>
        <w:t>emulsion</w:t>
      </w:r>
      <w:r w:rsidR="0085243C">
        <w:rPr>
          <w:lang w:val="en-GB"/>
        </w:rPr>
        <w:t>s</w:t>
      </w:r>
      <w:r w:rsidR="00CE628C">
        <w:rPr>
          <w:lang w:val="en-GB"/>
        </w:rPr>
        <w:t xml:space="preserve">. </w:t>
      </w:r>
      <w:r w:rsidR="00DA6F41">
        <w:rPr>
          <w:lang w:val="en-GB"/>
        </w:rPr>
        <w:t>C</w:t>
      </w:r>
      <w:r w:rsidR="00E637E7">
        <w:rPr>
          <w:lang w:val="en-GB"/>
        </w:rPr>
        <w:t xml:space="preserve">orn oil was </w:t>
      </w:r>
      <w:r w:rsidR="00DA6F41">
        <w:rPr>
          <w:lang w:val="en-GB"/>
        </w:rPr>
        <w:t xml:space="preserve">studied </w:t>
      </w:r>
      <w:r w:rsidR="00E637E7">
        <w:rPr>
          <w:lang w:val="en-GB"/>
        </w:rPr>
        <w:t xml:space="preserve">at 15-37.5-60% </w:t>
      </w:r>
      <w:r w:rsidR="006B3495">
        <w:rPr>
          <w:lang w:val="en-GB"/>
        </w:rPr>
        <w:t xml:space="preserve">levels </w:t>
      </w:r>
      <w:r w:rsidR="00E637E7">
        <w:rPr>
          <w:lang w:val="en-GB"/>
        </w:rPr>
        <w:t xml:space="preserve">in all </w:t>
      </w:r>
      <w:r w:rsidR="00DA6F41">
        <w:rPr>
          <w:lang w:val="en-GB"/>
        </w:rPr>
        <w:t>the</w:t>
      </w:r>
      <w:r w:rsidR="00E637E7">
        <w:rPr>
          <w:lang w:val="en-GB"/>
        </w:rPr>
        <w:t xml:space="preserve"> emulsions</w:t>
      </w:r>
      <w:r w:rsidR="000E1209">
        <w:rPr>
          <w:lang w:val="en-GB"/>
        </w:rPr>
        <w:t>.</w:t>
      </w:r>
      <w:r w:rsidR="00FE2208">
        <w:rPr>
          <w:lang w:val="en-GB"/>
        </w:rPr>
        <w:t xml:space="preserve"> After mixing the emulsifier, the water and the oil phase </w:t>
      </w:r>
      <w:r w:rsidR="00DA6F41">
        <w:rPr>
          <w:lang w:val="en-GB"/>
        </w:rPr>
        <w:t xml:space="preserve">were homogenized </w:t>
      </w:r>
      <w:r w:rsidR="00616023">
        <w:rPr>
          <w:lang w:val="en-GB"/>
        </w:rPr>
        <w:t>with a high-shear homogenizer (</w:t>
      </w:r>
      <w:proofErr w:type="spellStart"/>
      <w:r w:rsidR="00616023">
        <w:rPr>
          <w:lang w:val="en-GB"/>
        </w:rPr>
        <w:t>UltraTurrax</w:t>
      </w:r>
      <w:proofErr w:type="spellEnd"/>
      <w:r w:rsidR="00616023">
        <w:rPr>
          <w:lang w:val="en-GB"/>
        </w:rPr>
        <w:t xml:space="preserve"> </w:t>
      </w:r>
      <w:r w:rsidR="0058535A">
        <w:rPr>
          <w:lang w:val="en-GB"/>
        </w:rPr>
        <w:t>T25, IKA, Germany</w:t>
      </w:r>
      <w:r w:rsidR="00616023">
        <w:rPr>
          <w:lang w:val="en-GB"/>
        </w:rPr>
        <w:t xml:space="preserve">) at 21000 rpm </w:t>
      </w:r>
      <w:r w:rsidR="006B3495" w:rsidRPr="006B3495">
        <w:rPr>
          <w:lang w:val="en-GB"/>
        </w:rPr>
        <w:t xml:space="preserve">for two cycles of </w:t>
      </w:r>
      <w:r w:rsidR="006B3495">
        <w:rPr>
          <w:lang w:val="en-GB"/>
        </w:rPr>
        <w:t>3</w:t>
      </w:r>
      <w:r w:rsidR="006B3495" w:rsidRPr="006B3495">
        <w:rPr>
          <w:lang w:val="en-GB"/>
        </w:rPr>
        <w:t xml:space="preserve">0 s, with a resting phase of </w:t>
      </w:r>
      <w:r w:rsidR="006B3495">
        <w:rPr>
          <w:lang w:val="en-GB"/>
        </w:rPr>
        <w:t xml:space="preserve">30 </w:t>
      </w:r>
      <w:r w:rsidR="006B3495" w:rsidRPr="006B3495">
        <w:rPr>
          <w:lang w:val="en-GB"/>
        </w:rPr>
        <w:t>s.</w:t>
      </w:r>
      <w:r w:rsidR="00616023">
        <w:rPr>
          <w:lang w:val="en-GB"/>
        </w:rPr>
        <w:t xml:space="preserve"> </w:t>
      </w:r>
      <w:r w:rsidR="006B3495">
        <w:rPr>
          <w:lang w:val="en-GB"/>
        </w:rPr>
        <w:t xml:space="preserve">All samples were analysed </w:t>
      </w:r>
      <w:r w:rsidR="00616023">
        <w:rPr>
          <w:lang w:val="en-GB"/>
        </w:rPr>
        <w:t xml:space="preserve">for </w:t>
      </w:r>
      <w:r w:rsidR="00164C1B">
        <w:rPr>
          <w:lang w:val="en-GB"/>
        </w:rPr>
        <w:t>pH (</w:t>
      </w:r>
      <w:proofErr w:type="spellStart"/>
      <w:r w:rsidR="00164C1B" w:rsidRPr="0058535A">
        <w:rPr>
          <w:lang w:val="en-US"/>
        </w:rPr>
        <w:t>SevenEas</w:t>
      </w:r>
      <w:r w:rsidR="00164C1B">
        <w:rPr>
          <w:lang w:val="en-US"/>
        </w:rPr>
        <w:t>e</w:t>
      </w:r>
      <w:proofErr w:type="spellEnd"/>
      <w:r w:rsidR="00164C1B">
        <w:rPr>
          <w:lang w:val="en-US"/>
        </w:rPr>
        <w:t xml:space="preserve">, </w:t>
      </w:r>
      <w:r w:rsidR="00164C1B" w:rsidRPr="0058535A">
        <w:rPr>
          <w:lang w:val="en-US"/>
        </w:rPr>
        <w:t>Mettler Toledo</w:t>
      </w:r>
      <w:r w:rsidR="00164C1B">
        <w:rPr>
          <w:lang w:val="en-US"/>
        </w:rPr>
        <w:t xml:space="preserve"> S.p.A.</w:t>
      </w:r>
      <w:r w:rsidR="00164C1B" w:rsidRPr="0058535A">
        <w:rPr>
          <w:lang w:val="en-US"/>
        </w:rPr>
        <w:t>, Ital</w:t>
      </w:r>
      <w:r w:rsidR="00164C1B">
        <w:rPr>
          <w:lang w:val="en-US"/>
        </w:rPr>
        <w:t>y</w:t>
      </w:r>
      <w:r w:rsidR="00164C1B" w:rsidRPr="0058535A">
        <w:rPr>
          <w:lang w:val="en-US"/>
        </w:rPr>
        <w:t>)</w:t>
      </w:r>
      <w:r w:rsidR="00164C1B">
        <w:rPr>
          <w:lang w:val="en-US"/>
        </w:rPr>
        <w:t xml:space="preserve">, </w:t>
      </w:r>
      <w:r w:rsidR="00616023">
        <w:rPr>
          <w:lang w:val="en-GB"/>
        </w:rPr>
        <w:t xml:space="preserve">particle size distribution </w:t>
      </w:r>
      <w:r w:rsidR="0058535A">
        <w:rPr>
          <w:lang w:val="en-GB"/>
        </w:rPr>
        <w:t>(</w:t>
      </w:r>
      <w:proofErr w:type="spellStart"/>
      <w:r w:rsidR="0058535A">
        <w:rPr>
          <w:lang w:val="en-GB"/>
        </w:rPr>
        <w:t>Mastersizer</w:t>
      </w:r>
      <w:proofErr w:type="spellEnd"/>
      <w:r w:rsidR="0058535A">
        <w:rPr>
          <w:lang w:val="en-GB"/>
        </w:rPr>
        <w:t xml:space="preserve"> 3000, Malvern </w:t>
      </w:r>
      <w:proofErr w:type="spellStart"/>
      <w:r w:rsidR="0058535A">
        <w:rPr>
          <w:lang w:val="en-GB"/>
        </w:rPr>
        <w:t>Panalytical</w:t>
      </w:r>
      <w:proofErr w:type="spellEnd"/>
      <w:r w:rsidR="0058535A">
        <w:rPr>
          <w:lang w:val="en-GB"/>
        </w:rPr>
        <w:t>, UK)</w:t>
      </w:r>
      <w:r w:rsidR="00DA6F41">
        <w:rPr>
          <w:lang w:val="en-GB"/>
        </w:rPr>
        <w:t>,</w:t>
      </w:r>
      <w:r w:rsidR="00616023">
        <w:rPr>
          <w:lang w:val="en-GB"/>
        </w:rPr>
        <w:t xml:space="preserve"> </w:t>
      </w:r>
      <w:r w:rsidR="00164C1B">
        <w:rPr>
          <w:lang w:val="en-GB"/>
        </w:rPr>
        <w:t xml:space="preserve">apparent viscosity (MCR 102 rheometer, Anton </w:t>
      </w:r>
      <w:proofErr w:type="spellStart"/>
      <w:r w:rsidR="00164C1B">
        <w:rPr>
          <w:lang w:val="en-GB"/>
        </w:rPr>
        <w:t>Paar</w:t>
      </w:r>
      <w:proofErr w:type="spellEnd"/>
      <w:r w:rsidR="00164C1B">
        <w:rPr>
          <w:lang w:val="en-GB"/>
        </w:rPr>
        <w:t xml:space="preserve">, Austria), </w:t>
      </w:r>
      <w:r w:rsidR="00616023">
        <w:rPr>
          <w:lang w:val="en-GB"/>
        </w:rPr>
        <w:t>and stability at 4°C for 14 days.</w:t>
      </w:r>
      <w:r w:rsidR="00FC02DD">
        <w:rPr>
          <w:lang w:val="en-GB"/>
        </w:rPr>
        <w:t xml:space="preserve"> </w:t>
      </w:r>
      <w:r w:rsidR="00DA6F41">
        <w:rPr>
          <w:lang w:val="en-GB"/>
        </w:rPr>
        <w:t xml:space="preserve">Moreover, optical (mod. B1000 with digital camera, </w:t>
      </w:r>
      <w:proofErr w:type="spellStart"/>
      <w:r w:rsidR="00DA6F41">
        <w:rPr>
          <w:lang w:val="en-GB"/>
        </w:rPr>
        <w:t>Optika</w:t>
      </w:r>
      <w:proofErr w:type="spellEnd"/>
      <w:r w:rsidR="00DA6F41">
        <w:rPr>
          <w:lang w:val="en-GB"/>
        </w:rPr>
        <w:t xml:space="preserve"> Microscopes, Italy) and confocal laser scanning (Nikon A1, Nikon, Netherlands) microsco</w:t>
      </w:r>
      <w:r w:rsidR="006B3495">
        <w:rPr>
          <w:lang w:val="en-GB"/>
        </w:rPr>
        <w:t>p</w:t>
      </w:r>
      <w:r w:rsidR="00DA6F41">
        <w:rPr>
          <w:lang w:val="en-GB"/>
        </w:rPr>
        <w:t>y observations</w:t>
      </w:r>
      <w:r w:rsidR="00164C1B">
        <w:rPr>
          <w:lang w:val="en-GB"/>
        </w:rPr>
        <w:t xml:space="preserve"> were performed.</w:t>
      </w:r>
      <w:r w:rsidR="00DA6F41">
        <w:rPr>
          <w:lang w:val="en-GB"/>
        </w:rPr>
        <w:t xml:space="preserve"> </w:t>
      </w:r>
      <w:r w:rsidR="00FC02DD">
        <w:rPr>
          <w:lang w:val="en-GB"/>
        </w:rPr>
        <w:t>All the results were statistically analysed with a Multifactor Analysis of Variance (MANOVA)</w:t>
      </w:r>
      <w:r w:rsidR="008964A7">
        <w:rPr>
          <w:lang w:val="en-GB"/>
        </w:rPr>
        <w:t xml:space="preserve"> </w:t>
      </w:r>
      <w:r w:rsidR="00164C1B">
        <w:rPr>
          <w:lang w:val="en-GB"/>
        </w:rPr>
        <w:t xml:space="preserve">followed by the Least Significant Difference (LSD) test </w:t>
      </w:r>
      <w:r w:rsidR="008964A7">
        <w:rPr>
          <w:lang w:val="en-GB"/>
        </w:rPr>
        <w:t xml:space="preserve">to identify the </w:t>
      </w:r>
      <w:r w:rsidR="006B3495">
        <w:rPr>
          <w:lang w:val="en-GB"/>
        </w:rPr>
        <w:t xml:space="preserve">significant </w:t>
      </w:r>
      <w:r w:rsidR="008964A7">
        <w:rPr>
          <w:lang w:val="en-GB"/>
        </w:rPr>
        <w:t>main and interaction effects (</w:t>
      </w:r>
      <w:r w:rsidR="00164C1B">
        <w:rPr>
          <w:lang w:val="en-GB"/>
        </w:rPr>
        <w:t>i.e</w:t>
      </w:r>
      <w:r w:rsidR="008964A7">
        <w:rPr>
          <w:lang w:val="en-GB"/>
        </w:rPr>
        <w:t xml:space="preserve">., </w:t>
      </w:r>
      <w:r w:rsidR="00164C1B">
        <w:rPr>
          <w:lang w:val="en-GB"/>
        </w:rPr>
        <w:t xml:space="preserve">A. </w:t>
      </w:r>
      <w:r w:rsidR="006B3495">
        <w:rPr>
          <w:lang w:val="en-GB"/>
        </w:rPr>
        <w:t xml:space="preserve">emulsion </w:t>
      </w:r>
      <w:r w:rsidR="008964A7">
        <w:rPr>
          <w:lang w:val="en-GB"/>
        </w:rPr>
        <w:t>type</w:t>
      </w:r>
      <w:r w:rsidR="00164C1B">
        <w:rPr>
          <w:lang w:val="en-GB"/>
        </w:rPr>
        <w:t>;</w:t>
      </w:r>
      <w:r w:rsidR="002211E8">
        <w:rPr>
          <w:lang w:val="en-GB"/>
        </w:rPr>
        <w:t xml:space="preserve"> </w:t>
      </w:r>
      <w:r w:rsidR="00164C1B">
        <w:rPr>
          <w:lang w:val="en-GB"/>
        </w:rPr>
        <w:t xml:space="preserve">B: </w:t>
      </w:r>
      <w:r w:rsidR="002211E8">
        <w:rPr>
          <w:lang w:val="en-GB"/>
        </w:rPr>
        <w:t xml:space="preserve">emulsifier </w:t>
      </w:r>
      <w:r w:rsidR="008964A7">
        <w:rPr>
          <w:lang w:val="en-GB"/>
        </w:rPr>
        <w:t>concentration</w:t>
      </w:r>
      <w:r w:rsidR="00164C1B">
        <w:rPr>
          <w:lang w:val="en-GB"/>
        </w:rPr>
        <w:t xml:space="preserve">; C: </w:t>
      </w:r>
      <w:r w:rsidR="008964A7">
        <w:rPr>
          <w:lang w:val="en-GB"/>
        </w:rPr>
        <w:t>corn oil concentration</w:t>
      </w:r>
      <w:r w:rsidR="00164C1B">
        <w:rPr>
          <w:lang w:val="en-GB"/>
        </w:rPr>
        <w:t xml:space="preserve">; AB, AC, BC: two-way </w:t>
      </w:r>
      <w:r w:rsidR="002211E8">
        <w:rPr>
          <w:lang w:val="en-GB"/>
        </w:rPr>
        <w:t>interactions</w:t>
      </w:r>
      <w:r w:rsidR="008964A7">
        <w:rPr>
          <w:lang w:val="en-GB"/>
        </w:rPr>
        <w:t>)</w:t>
      </w:r>
      <w:r w:rsidR="00164C1B">
        <w:rPr>
          <w:lang w:val="en-GB"/>
        </w:rPr>
        <w:t>. T</w:t>
      </w:r>
      <w:r w:rsidR="00DD75F5">
        <w:rPr>
          <w:lang w:val="en-GB"/>
        </w:rPr>
        <w:t xml:space="preserve">he </w:t>
      </w:r>
      <w:r w:rsidR="00950800">
        <w:rPr>
          <w:lang w:val="en-GB"/>
        </w:rPr>
        <w:t xml:space="preserve">Pearson correlation </w:t>
      </w:r>
      <w:r w:rsidR="00164C1B">
        <w:rPr>
          <w:lang w:val="en-GB"/>
        </w:rPr>
        <w:t xml:space="preserve">matrix </w:t>
      </w:r>
      <w:r w:rsidR="00950800">
        <w:rPr>
          <w:lang w:val="en-GB"/>
        </w:rPr>
        <w:t>(</w:t>
      </w:r>
      <w:proofErr w:type="spellStart"/>
      <w:r w:rsidR="00950800">
        <w:rPr>
          <w:lang w:val="en-GB"/>
        </w:rPr>
        <w:t>Statgraphics</w:t>
      </w:r>
      <w:proofErr w:type="spellEnd"/>
      <w:r w:rsidR="00C9184E">
        <w:rPr>
          <w:lang w:val="en-GB"/>
        </w:rPr>
        <w:t xml:space="preserve"> Centurion 18, v. 18.1.13)</w:t>
      </w:r>
      <w:r w:rsidR="00DD75F5">
        <w:rPr>
          <w:lang w:val="en-GB"/>
        </w:rPr>
        <w:t xml:space="preserve"> </w:t>
      </w:r>
      <w:r w:rsidR="00164C1B">
        <w:rPr>
          <w:lang w:val="en-GB"/>
        </w:rPr>
        <w:t xml:space="preserve">was also studied, to identify significant </w:t>
      </w:r>
      <w:r w:rsidR="00DD75F5">
        <w:rPr>
          <w:lang w:val="en-GB"/>
        </w:rPr>
        <w:t>correlation</w:t>
      </w:r>
      <w:r w:rsidR="00164C1B">
        <w:rPr>
          <w:lang w:val="en-GB"/>
        </w:rPr>
        <w:t>s</w:t>
      </w:r>
      <w:r w:rsidR="00DD75F5">
        <w:rPr>
          <w:lang w:val="en-GB"/>
        </w:rPr>
        <w:t xml:space="preserve"> between </w:t>
      </w:r>
      <w:r w:rsidR="00164C1B">
        <w:rPr>
          <w:lang w:val="en-GB"/>
        </w:rPr>
        <w:t xml:space="preserve">couples of variables. At last, </w:t>
      </w:r>
      <w:r w:rsidR="008964A7">
        <w:rPr>
          <w:lang w:val="en-GB"/>
        </w:rPr>
        <w:t>RSM (</w:t>
      </w:r>
      <w:r w:rsidR="008964A7" w:rsidRPr="008964A7">
        <w:rPr>
          <w:lang w:val="en-US"/>
        </w:rPr>
        <w:t>Design Expert, v. 10.0.0.3, Stat-Ease Inc., Minneapolis, MN, USA)</w:t>
      </w:r>
      <w:r w:rsidR="008964A7">
        <w:rPr>
          <w:lang w:val="en-US"/>
        </w:rPr>
        <w:t xml:space="preserve"> </w:t>
      </w:r>
      <w:r w:rsidR="00164C1B">
        <w:rPr>
          <w:lang w:val="en-US"/>
        </w:rPr>
        <w:t xml:space="preserve">was applied </w:t>
      </w:r>
      <w:r w:rsidR="008964A7">
        <w:rPr>
          <w:lang w:val="en-US"/>
        </w:rPr>
        <w:t xml:space="preserve">for the optimization of the four </w:t>
      </w:r>
      <w:r w:rsidR="00C14FE1">
        <w:rPr>
          <w:lang w:val="en-US"/>
        </w:rPr>
        <w:t xml:space="preserve">emulsion </w:t>
      </w:r>
      <w:r w:rsidR="008964A7">
        <w:rPr>
          <w:lang w:val="en-US"/>
        </w:rPr>
        <w:t>formulations.</w:t>
      </w:r>
    </w:p>
    <w:p w14:paraId="520DEE64" w14:textId="77777777" w:rsidR="00512D9B" w:rsidRDefault="00FB589C" w:rsidP="0085243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B079BD">
        <w:rPr>
          <w:b/>
          <w:bCs/>
          <w:color w:val="000000"/>
          <w:sz w:val="24"/>
          <w:lang w:val="en-GB"/>
        </w:rPr>
        <w:t>3. Results and Discussion</w:t>
      </w:r>
    </w:p>
    <w:p w14:paraId="7B7F4BDD" w14:textId="4973CC7A" w:rsidR="00512D9B" w:rsidRDefault="00FB589C">
      <w:pPr>
        <w:pStyle w:val="Titolo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3.1 </w:t>
      </w:r>
      <w:r w:rsidR="00FC02DD">
        <w:rPr>
          <w:b/>
          <w:bCs/>
          <w:sz w:val="20"/>
          <w:lang w:val="en-GB"/>
        </w:rPr>
        <w:t>Main and interaction effects</w:t>
      </w:r>
      <w:r w:rsidR="00DD75F5">
        <w:rPr>
          <w:b/>
          <w:bCs/>
          <w:sz w:val="20"/>
          <w:lang w:val="en-GB"/>
        </w:rPr>
        <w:t xml:space="preserve"> evaluation</w:t>
      </w:r>
    </w:p>
    <w:p w14:paraId="08E19821" w14:textId="534FC2D4" w:rsidR="00DC6B5D" w:rsidRDefault="00BB52D0" w:rsidP="00DC6B5D">
      <w:pPr>
        <w:jc w:val="both"/>
        <w:rPr>
          <w:lang w:val="en-GB"/>
        </w:rPr>
      </w:pPr>
      <w:r>
        <w:rPr>
          <w:lang w:val="en-GB"/>
        </w:rPr>
        <w:t xml:space="preserve">Microscopy observations confirmed the different </w:t>
      </w:r>
      <w:r w:rsidR="00856CDD">
        <w:rPr>
          <w:lang w:val="en-GB"/>
        </w:rPr>
        <w:t>structure</w:t>
      </w:r>
      <w:r>
        <w:rPr>
          <w:lang w:val="en-GB"/>
        </w:rPr>
        <w:t xml:space="preserve"> of </w:t>
      </w:r>
      <w:r w:rsidR="00856CDD">
        <w:rPr>
          <w:lang w:val="en-GB"/>
        </w:rPr>
        <w:t xml:space="preserve">the advanced </w:t>
      </w:r>
      <w:r>
        <w:rPr>
          <w:lang w:val="en-GB"/>
        </w:rPr>
        <w:t>emulsions</w:t>
      </w:r>
      <w:r w:rsidR="00856CDD">
        <w:rPr>
          <w:lang w:val="en-GB"/>
        </w:rPr>
        <w:t>, revealing the adsorption of CP at the oil droplet interfaces in Pickering emulsions, while a 3D-network was created by gelled CP in hot-gel filled emulsions. A 3D-matrix was visible also in cold-gel filled emulsions produced with CF, due to their ability to entrap water.</w:t>
      </w:r>
      <w:r w:rsidR="0085243C">
        <w:rPr>
          <w:lang w:val="en-GB"/>
        </w:rPr>
        <w:t xml:space="preserve"> </w:t>
      </w:r>
      <w:r w:rsidR="00133C03">
        <w:rPr>
          <w:lang w:val="en-GB"/>
        </w:rPr>
        <w:t>All the parameters</w:t>
      </w:r>
      <w:r w:rsidR="00856CDD">
        <w:rPr>
          <w:lang w:val="en-GB"/>
        </w:rPr>
        <w:t xml:space="preserve"> evaluated on emulsions </w:t>
      </w:r>
      <w:r w:rsidR="00133C03">
        <w:rPr>
          <w:lang w:val="en-GB"/>
        </w:rPr>
        <w:t xml:space="preserve">were significantly affected (p&lt;0.001) by the main </w:t>
      </w:r>
      <w:r w:rsidR="00856CDD">
        <w:rPr>
          <w:lang w:val="en-GB"/>
        </w:rPr>
        <w:lastRenderedPageBreak/>
        <w:t xml:space="preserve">experimental </w:t>
      </w:r>
      <w:r w:rsidR="00133C03">
        <w:rPr>
          <w:lang w:val="en-GB"/>
        </w:rPr>
        <w:t>factors and their interactions. For the sake of brevity, only results about the type of emulsions are here commented</w:t>
      </w:r>
      <w:r w:rsidR="0001320D">
        <w:rPr>
          <w:lang w:val="en-GB"/>
        </w:rPr>
        <w:t xml:space="preserve"> and graphically showed (Fig. 1)</w:t>
      </w:r>
      <w:r w:rsidR="00133C03">
        <w:rPr>
          <w:lang w:val="en-GB"/>
        </w:rPr>
        <w:t xml:space="preserve">. </w:t>
      </w:r>
      <w:r w:rsidR="00CA7B88">
        <w:rPr>
          <w:lang w:val="en-GB"/>
        </w:rPr>
        <w:t xml:space="preserve">In cold-filled gel emulsions, the lowest pH average values (3.97) and the highest average apparent viscosity levels (684 </w:t>
      </w:r>
      <w:proofErr w:type="spellStart"/>
      <w:r w:rsidR="00CA7B88">
        <w:rPr>
          <w:lang w:val="en-GB"/>
        </w:rPr>
        <w:t>mPa</w:t>
      </w:r>
      <w:r w:rsidR="000C31FF">
        <w:rPr>
          <w:lang w:val="en-GB"/>
        </w:rPr>
        <w:t>·</w:t>
      </w:r>
      <w:r w:rsidR="00CA7B88">
        <w:rPr>
          <w:lang w:val="en-GB"/>
        </w:rPr>
        <w:t>s</w:t>
      </w:r>
      <w:proofErr w:type="spellEnd"/>
      <w:r w:rsidR="00CA7B88">
        <w:rPr>
          <w:lang w:val="en-GB"/>
        </w:rPr>
        <w:t>) were determined.</w:t>
      </w:r>
      <w:r w:rsidR="00CA7B88" w:rsidRPr="002211E8">
        <w:rPr>
          <w:lang w:val="en-GB"/>
        </w:rPr>
        <w:t xml:space="preserve"> </w:t>
      </w:r>
      <w:r w:rsidR="00CA7B88">
        <w:rPr>
          <w:lang w:val="en-GB"/>
        </w:rPr>
        <w:t xml:space="preserve">A similar apparent viscosity was obtained in hot-filled gel emulsions made with CP (627 </w:t>
      </w:r>
      <w:proofErr w:type="spellStart"/>
      <w:r w:rsidR="00CA7B88">
        <w:rPr>
          <w:lang w:val="en-GB"/>
        </w:rPr>
        <w:t>mPa</w:t>
      </w:r>
      <w:r w:rsidR="000C31FF">
        <w:rPr>
          <w:lang w:val="en-GB"/>
        </w:rPr>
        <w:t>·</w:t>
      </w:r>
      <w:r w:rsidR="00CA7B88">
        <w:rPr>
          <w:lang w:val="en-GB"/>
        </w:rPr>
        <w:t>s</w:t>
      </w:r>
      <w:proofErr w:type="spellEnd"/>
      <w:r w:rsidR="00CA7B88">
        <w:rPr>
          <w:lang w:val="en-GB"/>
        </w:rPr>
        <w:t xml:space="preserve">). The lowest average particle size (D90) was obtained in Pickering emulsions (77 µm) </w:t>
      </w:r>
      <w:r w:rsidR="005027F2">
        <w:rPr>
          <w:lang w:val="en-GB"/>
        </w:rPr>
        <w:t>produced with CP in cold conditions. Consequently, Pickering emulsions showed the highest creaming stability (</w:t>
      </w:r>
      <w:r w:rsidR="005027F2" w:rsidRPr="00155497">
        <w:rPr>
          <w:lang w:val="en-GB"/>
        </w:rPr>
        <w:t>CS</w:t>
      </w:r>
      <w:r w:rsidR="005027F2">
        <w:rPr>
          <w:lang w:val="en-GB"/>
        </w:rPr>
        <w:t>) after 14 days of storage (99.9%), while cold-filled gel emulsions had the lowest CS (98.8%) related to the highest oil droplet size (155</w:t>
      </w:r>
      <w:r w:rsidR="005027F2" w:rsidRPr="005027F2">
        <w:rPr>
          <w:lang w:val="en-GB"/>
        </w:rPr>
        <w:t xml:space="preserve"> </w:t>
      </w:r>
      <w:r w:rsidR="005027F2">
        <w:rPr>
          <w:lang w:val="en-GB"/>
        </w:rPr>
        <w:t>µm). As for stability index (SI), an interesting result was obtained using CP in the two different emulsions: SI was at maximum levels in hot-filled gel emulsions (99.5%), but at the minimum in Pickering emulsions (67%). These results can be related to the gelation capacity of chickpea proteins when heated (</w:t>
      </w:r>
      <w:proofErr w:type="spellStart"/>
      <w:r w:rsidR="005027F2">
        <w:rPr>
          <w:lang w:val="en-GB"/>
        </w:rPr>
        <w:t>Karaca</w:t>
      </w:r>
      <w:proofErr w:type="spellEnd"/>
      <w:r w:rsidR="005027F2">
        <w:rPr>
          <w:lang w:val="en-GB"/>
        </w:rPr>
        <w:t xml:space="preserve"> et al., 2011).</w:t>
      </w:r>
      <w:r w:rsidR="00DC6B5D">
        <w:rPr>
          <w:lang w:val="en-GB"/>
        </w:rPr>
        <w:t xml:space="preserve"> With respect to the advanced emulsions, single emulsions made with lecithin showed in average a very low apparent viscosity (14.6 mPa s) and a low SI (52%).</w:t>
      </w:r>
      <w:r w:rsidR="0085243C">
        <w:rPr>
          <w:lang w:val="en-GB"/>
        </w:rPr>
        <w:t xml:space="preserve"> </w:t>
      </w:r>
      <w:r w:rsidR="00DC6B5D" w:rsidRPr="007E5AFD">
        <w:rPr>
          <w:lang w:val="en-GB"/>
        </w:rPr>
        <w:t>From the Pearson correlation</w:t>
      </w:r>
      <w:r w:rsidR="00DC6B5D">
        <w:rPr>
          <w:lang w:val="en-GB"/>
        </w:rPr>
        <w:t xml:space="preserve"> matrix, a negative correlation was found between pH, apparent viscosity, and the particle dimensions, which had also a negative correlation with CS; this might be motivated by the fact that with the increasing of particle dimensions, instability phenomena (such as coalescence) are more frequent, promoting oiling off; a higher apparent viscosity, on the contrary, can promote a more compact structure in which the oil droplets are less prone to move and coalesce (McClements, 2015).</w:t>
      </w:r>
    </w:p>
    <w:p w14:paraId="4A75F17D" w14:textId="2E0188AA" w:rsidR="00DC6B5D" w:rsidRPr="00E813ED" w:rsidRDefault="00155497" w:rsidP="00E813ED">
      <w:pPr>
        <w:spacing w:before="300" w:after="300"/>
        <w:ind w:left="1134" w:right="-1" w:hanging="1134"/>
        <w:jc w:val="both"/>
        <w:rPr>
          <w:b/>
          <w:sz w:val="18"/>
          <w:szCs w:val="18"/>
          <w:lang w:val="en-GB"/>
        </w:rPr>
      </w:pPr>
      <w:r w:rsidRPr="00E813ED">
        <w:rPr>
          <w:b/>
          <w:sz w:val="18"/>
          <w:szCs w:val="18"/>
          <w:lang w:val="en-GB"/>
        </w:rPr>
        <w:t>Figure 1</w:t>
      </w:r>
      <w:r w:rsidRPr="00E813ED">
        <w:rPr>
          <w:b/>
          <w:sz w:val="18"/>
          <w:szCs w:val="18"/>
          <w:lang w:val="en-GB"/>
        </w:rPr>
        <w:tab/>
      </w:r>
      <w:r w:rsidRPr="00E813ED">
        <w:rPr>
          <w:bCs/>
          <w:i/>
          <w:iCs/>
          <w:sz w:val="18"/>
          <w:szCs w:val="18"/>
          <w:lang w:val="en-GB"/>
        </w:rPr>
        <w:t>MANOVA results for emulsion types (</w:t>
      </w:r>
      <w:r w:rsidR="0085243C" w:rsidRPr="00E813ED">
        <w:rPr>
          <w:bCs/>
          <w:i/>
          <w:iCs/>
          <w:sz w:val="18"/>
          <w:szCs w:val="18"/>
          <w:lang w:val="en-GB"/>
        </w:rPr>
        <w:t xml:space="preserve">bars from left to right </w:t>
      </w:r>
      <w:r w:rsidR="00E813ED">
        <w:rPr>
          <w:bCs/>
          <w:i/>
          <w:iCs/>
          <w:sz w:val="18"/>
          <w:szCs w:val="18"/>
          <w:lang w:val="en-GB"/>
        </w:rPr>
        <w:t>r</w:t>
      </w:r>
      <w:r w:rsidR="0085243C" w:rsidRPr="00E813ED">
        <w:rPr>
          <w:bCs/>
          <w:i/>
          <w:iCs/>
          <w:sz w:val="18"/>
          <w:szCs w:val="18"/>
          <w:lang w:val="en-GB"/>
        </w:rPr>
        <w:t>epresent single, cold-filled gel, hot-filled gel, and Pickering emulsions; bars with different letters show significantly different results</w:t>
      </w:r>
      <w:r w:rsidR="00E813ED">
        <w:rPr>
          <w:bCs/>
          <w:i/>
          <w:iCs/>
          <w:sz w:val="18"/>
          <w:szCs w:val="18"/>
          <w:lang w:val="en-GB"/>
        </w:rPr>
        <w:t>).</w:t>
      </w:r>
    </w:p>
    <w:p w14:paraId="55EE6D61" w14:textId="1FB0328E" w:rsidR="00DC6B5D" w:rsidRDefault="00837207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A7DF16F" wp14:editId="61AFCBE2">
            <wp:extent cx="5832000" cy="885574"/>
            <wp:effectExtent l="0" t="0" r="0" b="0"/>
            <wp:docPr id="128228652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885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6F4AF" w14:textId="77777777" w:rsidR="00750829" w:rsidRDefault="00750829">
      <w:pPr>
        <w:jc w:val="both"/>
        <w:rPr>
          <w:lang w:val="en-GB"/>
        </w:rPr>
      </w:pPr>
    </w:p>
    <w:p w14:paraId="72A8FD4D" w14:textId="07E38F6F" w:rsidR="00512D9B" w:rsidRDefault="00FB589C" w:rsidP="00750829">
      <w:pPr>
        <w:pStyle w:val="Titolo2"/>
        <w:jc w:val="both"/>
        <w:rPr>
          <w:b/>
          <w:bCs/>
          <w:sz w:val="20"/>
          <w:lang w:val="en-GB"/>
        </w:rPr>
      </w:pPr>
      <w:r w:rsidRPr="0058535A">
        <w:rPr>
          <w:b/>
          <w:bCs/>
          <w:sz w:val="20"/>
          <w:lang w:val="en-GB"/>
        </w:rPr>
        <w:t xml:space="preserve">3.2 </w:t>
      </w:r>
      <w:r w:rsidR="0058535A" w:rsidRPr="0058535A">
        <w:rPr>
          <w:b/>
          <w:bCs/>
          <w:sz w:val="20"/>
          <w:lang w:val="en-GB"/>
        </w:rPr>
        <w:t>Optimization with RSM technique</w:t>
      </w:r>
    </w:p>
    <w:p w14:paraId="5059704F" w14:textId="0C4FAF59" w:rsidR="005C2805" w:rsidRDefault="00DC6B5D" w:rsidP="00867861">
      <w:pPr>
        <w:jc w:val="both"/>
        <w:rPr>
          <w:lang w:val="en-GB"/>
        </w:rPr>
      </w:pPr>
      <w:r>
        <w:rPr>
          <w:lang w:val="en-GB"/>
        </w:rPr>
        <w:t>RSM results showed highly significant models for all the response variables (p&lt;0.0001), except for pH (p&lt;0.05), CS (p&lt;0.05), and SI (not significant). Thus, t</w:t>
      </w:r>
      <w:r w:rsidR="00EC35F5">
        <w:rPr>
          <w:lang w:val="en-GB"/>
        </w:rPr>
        <w:t xml:space="preserve">he optimization was carried out with a desirability function </w:t>
      </w:r>
      <w:r w:rsidR="006F67AA">
        <w:rPr>
          <w:lang w:val="en-GB"/>
        </w:rPr>
        <w:t>that</w:t>
      </w:r>
      <w:r w:rsidR="00EC35F5">
        <w:rPr>
          <w:lang w:val="en-GB"/>
        </w:rPr>
        <w:t xml:space="preserve"> </w:t>
      </w:r>
      <w:r w:rsidR="006F67AA">
        <w:rPr>
          <w:lang w:val="en-GB"/>
        </w:rPr>
        <w:t>maximized</w:t>
      </w:r>
      <w:r w:rsidR="00EC35F5">
        <w:rPr>
          <w:lang w:val="en-GB"/>
        </w:rPr>
        <w:t xml:space="preserve"> the apparent viscosity and minimi</w:t>
      </w:r>
      <w:r w:rsidR="006F67AA">
        <w:rPr>
          <w:lang w:val="en-GB"/>
        </w:rPr>
        <w:t>zed</w:t>
      </w:r>
      <w:r w:rsidR="00EC35F5">
        <w:rPr>
          <w:lang w:val="en-GB"/>
        </w:rPr>
        <w:t xml:space="preserve"> the droplet size dimension (D90). </w:t>
      </w:r>
      <w:r w:rsidR="00450DAE">
        <w:rPr>
          <w:lang w:val="en-GB"/>
        </w:rPr>
        <w:t xml:space="preserve">In table 1 </w:t>
      </w:r>
      <w:r w:rsidR="00BB52D0">
        <w:rPr>
          <w:lang w:val="en-GB"/>
        </w:rPr>
        <w:t xml:space="preserve">the </w:t>
      </w:r>
      <w:r w:rsidR="00B13439">
        <w:rPr>
          <w:lang w:val="en-GB"/>
        </w:rPr>
        <w:t>optimized formulations that met all the criteria to develop a functional and stable delivery system</w:t>
      </w:r>
      <w:r w:rsidR="003A1985" w:rsidRPr="003A1985">
        <w:rPr>
          <w:lang w:val="en-GB"/>
        </w:rPr>
        <w:t xml:space="preserve"> </w:t>
      </w:r>
      <w:r w:rsidR="003A1985">
        <w:rPr>
          <w:lang w:val="en-GB"/>
        </w:rPr>
        <w:t>are summarized</w:t>
      </w:r>
      <w:r w:rsidR="006F67AA">
        <w:rPr>
          <w:lang w:val="en-GB"/>
        </w:rPr>
        <w:t>.</w:t>
      </w:r>
    </w:p>
    <w:p w14:paraId="31B759DD" w14:textId="5EA99AAA" w:rsidR="00450DAE" w:rsidRPr="00DE4CA0" w:rsidRDefault="00450DAE" w:rsidP="00867861">
      <w:pPr>
        <w:tabs>
          <w:tab w:val="left" w:pos="1134"/>
        </w:tabs>
        <w:spacing w:before="300" w:after="120"/>
        <w:ind w:left="1134" w:hanging="1134"/>
        <w:jc w:val="both"/>
        <w:rPr>
          <w:lang w:val="en-US"/>
        </w:rPr>
      </w:pPr>
      <w:r w:rsidRPr="00DE4CA0">
        <w:rPr>
          <w:b/>
          <w:i/>
          <w:sz w:val="18"/>
          <w:lang w:val="en-GB"/>
        </w:rPr>
        <w:t>Table 1</w:t>
      </w:r>
      <w:r w:rsidRPr="00DE4CA0">
        <w:rPr>
          <w:i/>
          <w:sz w:val="18"/>
          <w:lang w:val="en-GB"/>
        </w:rPr>
        <w:tab/>
        <w:t xml:space="preserve">Optimized formulations for the four </w:t>
      </w:r>
      <w:r w:rsidR="00B13439" w:rsidRPr="00DE4CA0">
        <w:rPr>
          <w:i/>
          <w:sz w:val="18"/>
          <w:lang w:val="en-GB"/>
        </w:rPr>
        <w:t>types</w:t>
      </w:r>
      <w:r w:rsidRPr="00DE4CA0">
        <w:rPr>
          <w:i/>
          <w:sz w:val="18"/>
          <w:lang w:val="en-GB"/>
        </w:rPr>
        <w:t xml:space="preserve"> of </w:t>
      </w:r>
      <w:r w:rsidR="003A1985">
        <w:rPr>
          <w:i/>
          <w:sz w:val="18"/>
          <w:lang w:val="en-GB"/>
        </w:rPr>
        <w:t xml:space="preserve">studied </w:t>
      </w:r>
      <w:r w:rsidRPr="00DE4CA0">
        <w:rPr>
          <w:i/>
          <w:sz w:val="18"/>
          <w:lang w:val="en-GB"/>
        </w:rPr>
        <w:t>emulsions</w:t>
      </w:r>
      <w:r w:rsidR="003A1985">
        <w:rPr>
          <w:i/>
          <w:sz w:val="18"/>
          <w:lang w:val="en-GB"/>
        </w:rPr>
        <w:t>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32"/>
        <w:gridCol w:w="1930"/>
        <w:gridCol w:w="1052"/>
      </w:tblGrid>
      <w:tr w:rsidR="00EC35F5" w:rsidRPr="00DE4CA0" w14:paraId="5E24E2D9" w14:textId="77777777" w:rsidTr="00DE4CA0"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14:paraId="2671E5B0" w14:textId="2B9F6285" w:rsidR="00EC35F5" w:rsidRPr="00DE4CA0" w:rsidRDefault="00EC35F5" w:rsidP="00450DA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E4CA0">
              <w:rPr>
                <w:b/>
                <w:bCs/>
                <w:sz w:val="18"/>
                <w:szCs w:val="18"/>
                <w:lang w:val="en-GB"/>
              </w:rPr>
              <w:t xml:space="preserve">Emulsion </w:t>
            </w:r>
            <w:r w:rsidR="003A1985">
              <w:rPr>
                <w:b/>
                <w:bCs/>
                <w:sz w:val="18"/>
                <w:szCs w:val="18"/>
                <w:lang w:val="en-GB"/>
              </w:rPr>
              <w:t>type</w:t>
            </w:r>
          </w:p>
        </w:tc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14:paraId="7A856275" w14:textId="739BA0FE" w:rsidR="00EC35F5" w:rsidRPr="00DE4CA0" w:rsidRDefault="00EC35F5" w:rsidP="00450DA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E4CA0">
              <w:rPr>
                <w:b/>
                <w:bCs/>
                <w:sz w:val="18"/>
                <w:szCs w:val="18"/>
                <w:lang w:val="en-GB"/>
              </w:rPr>
              <w:t>Emulsifier type</w:t>
            </w:r>
          </w:p>
        </w:tc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</w:tcPr>
          <w:p w14:paraId="6A1F1451" w14:textId="00E7B717" w:rsidR="00EC35F5" w:rsidRPr="00DE4CA0" w:rsidRDefault="00450DAE" w:rsidP="00450DA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E4CA0">
              <w:rPr>
                <w:b/>
                <w:bCs/>
                <w:sz w:val="18"/>
                <w:szCs w:val="18"/>
                <w:lang w:val="en-GB"/>
              </w:rPr>
              <w:t xml:space="preserve">Emulsifier </w:t>
            </w:r>
            <w:r w:rsidR="003A1985">
              <w:rPr>
                <w:b/>
                <w:bCs/>
                <w:sz w:val="18"/>
                <w:szCs w:val="18"/>
                <w:lang w:val="en-GB"/>
              </w:rPr>
              <w:t>(</w:t>
            </w:r>
            <w:r w:rsidRPr="00DE4CA0">
              <w:rPr>
                <w:b/>
                <w:bCs/>
                <w:sz w:val="18"/>
                <w:szCs w:val="18"/>
                <w:lang w:val="en-GB"/>
              </w:rPr>
              <w:t>%</w:t>
            </w:r>
            <w:r w:rsidR="003A1985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55B6455" w14:textId="7DC77845" w:rsidR="00EC35F5" w:rsidRPr="00DE4CA0" w:rsidRDefault="00450DAE" w:rsidP="00450DA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E4CA0">
              <w:rPr>
                <w:b/>
                <w:bCs/>
                <w:sz w:val="18"/>
                <w:szCs w:val="18"/>
                <w:lang w:val="en-GB"/>
              </w:rPr>
              <w:t xml:space="preserve">Oil </w:t>
            </w:r>
            <w:r w:rsidR="003A1985">
              <w:rPr>
                <w:b/>
                <w:bCs/>
                <w:sz w:val="18"/>
                <w:szCs w:val="18"/>
                <w:lang w:val="en-GB"/>
              </w:rPr>
              <w:t>(</w:t>
            </w:r>
            <w:r w:rsidRPr="00DE4CA0">
              <w:rPr>
                <w:b/>
                <w:bCs/>
                <w:sz w:val="18"/>
                <w:szCs w:val="18"/>
                <w:lang w:val="en-GB"/>
              </w:rPr>
              <w:t>%</w:t>
            </w:r>
            <w:r w:rsidR="003A1985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C35F5" w:rsidRPr="00DE4CA0" w14:paraId="3109D00B" w14:textId="77777777" w:rsidTr="00DE4CA0">
        <w:tc>
          <w:tcPr>
            <w:tcW w:w="1685" w:type="pct"/>
            <w:tcBorders>
              <w:top w:val="single" w:sz="4" w:space="0" w:color="auto"/>
            </w:tcBorders>
          </w:tcPr>
          <w:p w14:paraId="481F9418" w14:textId="2ED80FB8" w:rsidR="00EC35F5" w:rsidRPr="00E813ED" w:rsidRDefault="00EC35F5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E813ED">
              <w:rPr>
                <w:sz w:val="18"/>
                <w:szCs w:val="18"/>
                <w:lang w:val="en-GB"/>
              </w:rPr>
              <w:t>Single</w:t>
            </w:r>
          </w:p>
        </w:tc>
        <w:tc>
          <w:tcPr>
            <w:tcW w:w="1671" w:type="pct"/>
            <w:tcBorders>
              <w:top w:val="single" w:sz="4" w:space="0" w:color="auto"/>
            </w:tcBorders>
          </w:tcPr>
          <w:p w14:paraId="7E8140D2" w14:textId="2ABAB8E4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Lecithin</w:t>
            </w:r>
          </w:p>
        </w:tc>
        <w:tc>
          <w:tcPr>
            <w:tcW w:w="1064" w:type="pct"/>
            <w:tcBorders>
              <w:top w:val="single" w:sz="4" w:space="0" w:color="auto"/>
            </w:tcBorders>
          </w:tcPr>
          <w:p w14:paraId="3FA0ABE7" w14:textId="1C935E56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11EFA140" w14:textId="08C07D67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58.49</w:t>
            </w:r>
          </w:p>
        </w:tc>
      </w:tr>
      <w:tr w:rsidR="00450DAE" w:rsidRPr="00DE4CA0" w14:paraId="12B36CF9" w14:textId="77777777" w:rsidTr="00DE4CA0">
        <w:tc>
          <w:tcPr>
            <w:tcW w:w="1685" w:type="pct"/>
          </w:tcPr>
          <w:p w14:paraId="12CB6D01" w14:textId="339A3184" w:rsidR="00450DAE" w:rsidRPr="00E813ED" w:rsidRDefault="00E813ED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E813ED">
              <w:rPr>
                <w:sz w:val="18"/>
                <w:szCs w:val="18"/>
                <w:lang w:val="en-GB"/>
              </w:rPr>
              <w:t xml:space="preserve">Cold </w:t>
            </w:r>
            <w:proofErr w:type="gramStart"/>
            <w:r w:rsidRPr="00E813ED">
              <w:rPr>
                <w:sz w:val="18"/>
                <w:szCs w:val="18"/>
                <w:lang w:val="en-GB"/>
              </w:rPr>
              <w:t>filled-gel</w:t>
            </w:r>
            <w:proofErr w:type="gramEnd"/>
            <w:r w:rsidRPr="00E813E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71" w:type="pct"/>
          </w:tcPr>
          <w:p w14:paraId="21217CE2" w14:textId="68E8DE7C" w:rsidR="00450DAE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Citrus fibres</w:t>
            </w:r>
          </w:p>
        </w:tc>
        <w:tc>
          <w:tcPr>
            <w:tcW w:w="1064" w:type="pct"/>
          </w:tcPr>
          <w:p w14:paraId="1CC0A273" w14:textId="5C96D0CC" w:rsidR="00450DAE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8.0</w:t>
            </w:r>
          </w:p>
        </w:tc>
        <w:tc>
          <w:tcPr>
            <w:tcW w:w="580" w:type="pct"/>
          </w:tcPr>
          <w:p w14:paraId="2524E009" w14:textId="4FA3AFA2" w:rsidR="00450DAE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40.66</w:t>
            </w:r>
          </w:p>
        </w:tc>
      </w:tr>
      <w:tr w:rsidR="00EC35F5" w:rsidRPr="00DE4CA0" w14:paraId="50D976D0" w14:textId="77777777" w:rsidTr="00DE4CA0">
        <w:tc>
          <w:tcPr>
            <w:tcW w:w="1685" w:type="pct"/>
          </w:tcPr>
          <w:p w14:paraId="607F0DE3" w14:textId="4900B591" w:rsidR="00EC35F5" w:rsidRPr="00E813ED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E813ED">
              <w:rPr>
                <w:sz w:val="18"/>
                <w:szCs w:val="18"/>
                <w:lang w:val="en-GB"/>
              </w:rPr>
              <w:t>H</w:t>
            </w:r>
            <w:r w:rsidR="00E813ED" w:rsidRPr="00E813ED">
              <w:rPr>
                <w:sz w:val="18"/>
                <w:szCs w:val="18"/>
                <w:lang w:val="en-GB"/>
              </w:rPr>
              <w:t>o</w:t>
            </w:r>
            <w:r w:rsidRPr="00E813ED">
              <w:rPr>
                <w:sz w:val="18"/>
                <w:szCs w:val="18"/>
                <w:lang w:val="en-GB"/>
              </w:rPr>
              <w:t xml:space="preserve">t </w:t>
            </w:r>
            <w:proofErr w:type="gramStart"/>
            <w:r w:rsidRPr="00E813ED">
              <w:rPr>
                <w:sz w:val="18"/>
                <w:szCs w:val="18"/>
                <w:lang w:val="en-GB"/>
              </w:rPr>
              <w:t>filled-gel</w:t>
            </w:r>
            <w:proofErr w:type="gramEnd"/>
          </w:p>
        </w:tc>
        <w:tc>
          <w:tcPr>
            <w:tcW w:w="1671" w:type="pct"/>
          </w:tcPr>
          <w:p w14:paraId="054499C8" w14:textId="2B9ADEB2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Chickpea protein isolate</w:t>
            </w:r>
          </w:p>
        </w:tc>
        <w:tc>
          <w:tcPr>
            <w:tcW w:w="1064" w:type="pct"/>
          </w:tcPr>
          <w:p w14:paraId="33CC38BE" w14:textId="20D50DDC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16.0</w:t>
            </w:r>
          </w:p>
        </w:tc>
        <w:tc>
          <w:tcPr>
            <w:tcW w:w="580" w:type="pct"/>
          </w:tcPr>
          <w:p w14:paraId="3CA99582" w14:textId="6346ADF4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60.00</w:t>
            </w:r>
          </w:p>
        </w:tc>
      </w:tr>
      <w:tr w:rsidR="00EC35F5" w:rsidRPr="00DE4CA0" w14:paraId="4DEF5BCF" w14:textId="77777777" w:rsidTr="00DE4CA0">
        <w:tc>
          <w:tcPr>
            <w:tcW w:w="1685" w:type="pct"/>
            <w:tcBorders>
              <w:bottom w:val="single" w:sz="4" w:space="0" w:color="auto"/>
            </w:tcBorders>
          </w:tcPr>
          <w:p w14:paraId="41AFFA8E" w14:textId="3D6A70AA" w:rsidR="00EC35F5" w:rsidRPr="00E813ED" w:rsidRDefault="00E813ED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E813ED">
              <w:rPr>
                <w:sz w:val="18"/>
                <w:szCs w:val="18"/>
                <w:lang w:val="en-GB"/>
              </w:rPr>
              <w:t>Pickering</w:t>
            </w:r>
          </w:p>
        </w:tc>
        <w:tc>
          <w:tcPr>
            <w:tcW w:w="1671" w:type="pct"/>
            <w:tcBorders>
              <w:bottom w:val="single" w:sz="4" w:space="0" w:color="auto"/>
            </w:tcBorders>
          </w:tcPr>
          <w:p w14:paraId="172BF022" w14:textId="28AA3DAE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Chickpea protein isolate</w:t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0BA7F3F7" w14:textId="28816C0B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16.0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4546F344" w14:textId="1701268D" w:rsidR="00EC35F5" w:rsidRPr="00DE4CA0" w:rsidRDefault="00450DAE" w:rsidP="00450DAE">
            <w:pPr>
              <w:jc w:val="center"/>
              <w:rPr>
                <w:sz w:val="18"/>
                <w:szCs w:val="18"/>
                <w:lang w:val="en-GB"/>
              </w:rPr>
            </w:pPr>
            <w:r w:rsidRPr="00DE4CA0">
              <w:rPr>
                <w:sz w:val="18"/>
                <w:szCs w:val="18"/>
                <w:lang w:val="en-GB"/>
              </w:rPr>
              <w:t>60.00</w:t>
            </w:r>
          </w:p>
        </w:tc>
      </w:tr>
    </w:tbl>
    <w:p w14:paraId="32EF7B4D" w14:textId="77777777" w:rsidR="006F67AA" w:rsidRPr="00DE4CA0" w:rsidRDefault="006F67AA" w:rsidP="006F67AA">
      <w:pPr>
        <w:rPr>
          <w:sz w:val="18"/>
          <w:szCs w:val="18"/>
          <w:lang w:val="en-GB"/>
        </w:rPr>
      </w:pPr>
    </w:p>
    <w:p w14:paraId="2F58BD5F" w14:textId="0B4A61CF" w:rsidR="006F67AA" w:rsidRDefault="006F67AA" w:rsidP="00E813ED">
      <w:pPr>
        <w:jc w:val="both"/>
        <w:rPr>
          <w:lang w:val="en-GB"/>
        </w:rPr>
      </w:pPr>
      <w:r>
        <w:rPr>
          <w:lang w:val="en-GB"/>
        </w:rPr>
        <w:t xml:space="preserve">In table 2 </w:t>
      </w:r>
      <w:r w:rsidR="003A1985">
        <w:rPr>
          <w:lang w:val="en-GB"/>
        </w:rPr>
        <w:t>results of</w:t>
      </w:r>
      <w:r w:rsidR="00867861">
        <w:rPr>
          <w:lang w:val="en-GB"/>
        </w:rPr>
        <w:t xml:space="preserve"> </w:t>
      </w:r>
      <w:r>
        <w:rPr>
          <w:lang w:val="en-GB"/>
        </w:rPr>
        <w:t>technological parameters</w:t>
      </w:r>
      <w:r w:rsidR="00867861">
        <w:rPr>
          <w:lang w:val="en-GB"/>
        </w:rPr>
        <w:t xml:space="preserve"> </w:t>
      </w:r>
      <w:r w:rsidR="003A1985">
        <w:rPr>
          <w:lang w:val="en-GB"/>
        </w:rPr>
        <w:t>for the optimized emulsions are reported</w:t>
      </w:r>
      <w:r>
        <w:rPr>
          <w:lang w:val="en-GB"/>
        </w:rPr>
        <w:t xml:space="preserve">. </w:t>
      </w:r>
      <w:r w:rsidR="002A2688">
        <w:rPr>
          <w:lang w:val="en-GB"/>
        </w:rPr>
        <w:t xml:space="preserve">pH </w:t>
      </w:r>
      <w:r w:rsidR="003A1985">
        <w:rPr>
          <w:lang w:val="en-GB"/>
        </w:rPr>
        <w:t xml:space="preserve">of </w:t>
      </w:r>
      <w:proofErr w:type="spellStart"/>
      <w:r w:rsidR="003A1985">
        <w:rPr>
          <w:lang w:val="en-GB"/>
        </w:rPr>
        <w:t>CF_</w:t>
      </w:r>
      <w:r w:rsidR="0001320D">
        <w:rPr>
          <w:lang w:val="en-GB"/>
        </w:rPr>
        <w:t>cold_</w:t>
      </w:r>
      <w:r w:rsidR="003A1985">
        <w:rPr>
          <w:lang w:val="en-GB"/>
        </w:rPr>
        <w:t>OPT</w:t>
      </w:r>
      <w:proofErr w:type="spellEnd"/>
      <w:r w:rsidR="003A1985">
        <w:rPr>
          <w:lang w:val="en-GB"/>
        </w:rPr>
        <w:t xml:space="preserve"> </w:t>
      </w:r>
      <w:r w:rsidR="002A2688">
        <w:rPr>
          <w:lang w:val="en-GB"/>
        </w:rPr>
        <w:t xml:space="preserve">resulted significantly </w:t>
      </w:r>
      <w:r w:rsidR="00F202E5">
        <w:rPr>
          <w:lang w:val="en-GB"/>
        </w:rPr>
        <w:t>lower,</w:t>
      </w:r>
      <w:r w:rsidR="002A2688">
        <w:rPr>
          <w:lang w:val="en-GB"/>
        </w:rPr>
        <w:t xml:space="preserve"> and this might have affected CS</w:t>
      </w:r>
      <w:r w:rsidR="003A1985">
        <w:rPr>
          <w:lang w:val="en-GB"/>
        </w:rPr>
        <w:t xml:space="preserve"> </w:t>
      </w:r>
      <w:r w:rsidR="002A2688">
        <w:rPr>
          <w:lang w:val="en-GB"/>
        </w:rPr>
        <w:t xml:space="preserve">and SI, </w:t>
      </w:r>
      <w:r w:rsidR="00F202E5">
        <w:rPr>
          <w:lang w:val="en-GB"/>
        </w:rPr>
        <w:t>as well as the droplet size (Qi et al., 2021). The</w:t>
      </w:r>
      <w:r w:rsidR="008D573F">
        <w:rPr>
          <w:lang w:val="en-GB"/>
        </w:rPr>
        <w:t xml:space="preserve"> significant </w:t>
      </w:r>
      <w:r w:rsidR="00BB52D0">
        <w:rPr>
          <w:lang w:val="en-GB"/>
        </w:rPr>
        <w:t xml:space="preserve">highest </w:t>
      </w:r>
      <w:r w:rsidR="008D573F">
        <w:rPr>
          <w:lang w:val="en-GB"/>
        </w:rPr>
        <w:t xml:space="preserve">apparent viscosity </w:t>
      </w:r>
      <w:r w:rsidR="00BB52D0">
        <w:rPr>
          <w:lang w:val="en-GB"/>
        </w:rPr>
        <w:t xml:space="preserve">of </w:t>
      </w:r>
      <w:proofErr w:type="spellStart"/>
      <w:r w:rsidR="00BB52D0">
        <w:rPr>
          <w:lang w:val="en-GB"/>
        </w:rPr>
        <w:t>CP_h</w:t>
      </w:r>
      <w:r w:rsidR="0001320D">
        <w:rPr>
          <w:lang w:val="en-GB"/>
        </w:rPr>
        <w:t>ot</w:t>
      </w:r>
      <w:r w:rsidR="00E813ED">
        <w:rPr>
          <w:lang w:val="en-GB"/>
        </w:rPr>
        <w:t>_</w:t>
      </w:r>
      <w:r w:rsidR="00BB52D0">
        <w:rPr>
          <w:lang w:val="en-GB"/>
        </w:rPr>
        <w:t>OPT</w:t>
      </w:r>
      <w:proofErr w:type="spellEnd"/>
      <w:r w:rsidR="00BB52D0">
        <w:rPr>
          <w:lang w:val="en-GB"/>
        </w:rPr>
        <w:t xml:space="preserve"> </w:t>
      </w:r>
      <w:r w:rsidR="008D573F">
        <w:rPr>
          <w:lang w:val="en-GB"/>
        </w:rPr>
        <w:t xml:space="preserve">is related to their ability to </w:t>
      </w:r>
      <w:proofErr w:type="spellStart"/>
      <w:r w:rsidR="008D573F">
        <w:rPr>
          <w:lang w:val="en-GB"/>
        </w:rPr>
        <w:t>gelate</w:t>
      </w:r>
      <w:proofErr w:type="spellEnd"/>
      <w:r w:rsidR="008D573F">
        <w:rPr>
          <w:lang w:val="en-GB"/>
        </w:rPr>
        <w:t xml:space="preserve"> and produce stable emulsions, with also small droplet size (</w:t>
      </w:r>
      <w:proofErr w:type="spellStart"/>
      <w:r w:rsidR="008D573F">
        <w:rPr>
          <w:lang w:val="en-GB"/>
        </w:rPr>
        <w:t>Karaca</w:t>
      </w:r>
      <w:proofErr w:type="spellEnd"/>
      <w:r w:rsidR="008D573F">
        <w:rPr>
          <w:lang w:val="en-GB"/>
        </w:rPr>
        <w:t xml:space="preserve"> et al., 2011)</w:t>
      </w:r>
      <w:r w:rsidR="00DE4CA0">
        <w:rPr>
          <w:lang w:val="en-GB"/>
        </w:rPr>
        <w:t>.</w:t>
      </w:r>
    </w:p>
    <w:p w14:paraId="5E5D0EEC" w14:textId="706C5064" w:rsidR="00B664C2" w:rsidRPr="00E066A9" w:rsidRDefault="00B664C2" w:rsidP="00E066A9">
      <w:pPr>
        <w:tabs>
          <w:tab w:val="left" w:pos="1134"/>
        </w:tabs>
        <w:spacing w:before="300" w:after="120"/>
        <w:ind w:left="1134" w:hanging="1134"/>
        <w:jc w:val="both"/>
        <w:rPr>
          <w:sz w:val="18"/>
          <w:szCs w:val="18"/>
          <w:lang w:val="en-US"/>
        </w:rPr>
      </w:pPr>
      <w:r w:rsidRPr="00E066A9">
        <w:rPr>
          <w:b/>
          <w:i/>
          <w:sz w:val="18"/>
          <w:szCs w:val="18"/>
          <w:lang w:val="en-GB"/>
        </w:rPr>
        <w:t>Table 2</w:t>
      </w:r>
      <w:r w:rsidRPr="00E066A9">
        <w:rPr>
          <w:i/>
          <w:sz w:val="18"/>
          <w:szCs w:val="18"/>
          <w:lang w:val="en-GB"/>
        </w:rPr>
        <w:tab/>
      </w:r>
      <w:r w:rsidR="003A1985">
        <w:rPr>
          <w:i/>
          <w:sz w:val="18"/>
          <w:szCs w:val="18"/>
          <w:lang w:val="en-GB"/>
        </w:rPr>
        <w:t>R</w:t>
      </w:r>
      <w:r w:rsidRPr="00E066A9">
        <w:rPr>
          <w:i/>
          <w:sz w:val="18"/>
          <w:szCs w:val="18"/>
          <w:lang w:val="en-GB"/>
        </w:rPr>
        <w:t>esults</w:t>
      </w:r>
      <w:r w:rsidR="00E066A9">
        <w:rPr>
          <w:i/>
          <w:sz w:val="18"/>
          <w:szCs w:val="18"/>
          <w:lang w:val="en-GB"/>
        </w:rPr>
        <w:t xml:space="preserve"> of the optimized </w:t>
      </w:r>
      <w:r w:rsidR="003A1985">
        <w:rPr>
          <w:i/>
          <w:sz w:val="18"/>
          <w:szCs w:val="18"/>
          <w:lang w:val="en-GB"/>
        </w:rPr>
        <w:t xml:space="preserve">emulsion </w:t>
      </w:r>
      <w:r w:rsidR="00E066A9">
        <w:rPr>
          <w:i/>
          <w:sz w:val="18"/>
          <w:szCs w:val="18"/>
          <w:lang w:val="en-GB"/>
        </w:rPr>
        <w:t>characterization</w:t>
      </w:r>
      <w:r w:rsidR="006F67AA">
        <w:rPr>
          <w:i/>
          <w:sz w:val="18"/>
          <w:szCs w:val="18"/>
          <w:lang w:val="en-GB"/>
        </w:rPr>
        <w:t>.</w:t>
      </w:r>
    </w:p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1424"/>
        <w:gridCol w:w="1455"/>
        <w:gridCol w:w="1635"/>
        <w:gridCol w:w="2072"/>
      </w:tblGrid>
      <w:tr w:rsidR="00121045" w:rsidRPr="00DE4CA0" w14:paraId="59338E8E" w14:textId="77777777" w:rsidTr="00E813ED">
        <w:trPr>
          <w:trHeight w:val="280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B20A21" w14:textId="77777777" w:rsidR="00121045" w:rsidRPr="00DE4CA0" w:rsidRDefault="00121045" w:rsidP="00E066A9">
            <w:pPr>
              <w:widowControl/>
              <w:suppressAutoHyphens w:val="0"/>
              <w:rPr>
                <w:sz w:val="18"/>
                <w:szCs w:val="18"/>
                <w:lang w:val="en-GB" w:eastAsia="it-IT"/>
              </w:rPr>
            </w:pPr>
          </w:p>
        </w:tc>
        <w:tc>
          <w:tcPr>
            <w:tcW w:w="363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28BEFB" w14:textId="36712CF9" w:rsidR="00121045" w:rsidRPr="00DE4CA0" w:rsidRDefault="00121045" w:rsidP="00E066A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</w:pPr>
            <w:r w:rsidRPr="00DE4CA0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Optimized emulsion samples</w:t>
            </w:r>
          </w:p>
        </w:tc>
      </w:tr>
      <w:tr w:rsidR="00E066A9" w:rsidRPr="00DE4CA0" w14:paraId="5D813C1C" w14:textId="77777777" w:rsidTr="0001320D">
        <w:trPr>
          <w:trHeight w:val="420"/>
        </w:trPr>
        <w:tc>
          <w:tcPr>
            <w:tcW w:w="1370" w:type="pct"/>
            <w:tcBorders>
              <w:top w:val="single" w:sz="4" w:space="0" w:color="auto"/>
            </w:tcBorders>
            <w:noWrap/>
            <w:hideMark/>
          </w:tcPr>
          <w:p w14:paraId="4CBD9537" w14:textId="6FCA5EF9" w:rsidR="00121045" w:rsidRPr="00121045" w:rsidRDefault="00121045" w:rsidP="00E066A9">
            <w:pPr>
              <w:widowControl/>
              <w:suppressAutoHyphens w:val="0"/>
              <w:jc w:val="center"/>
              <w:rPr>
                <w:b/>
                <w:bCs/>
                <w:sz w:val="18"/>
                <w:szCs w:val="18"/>
                <w:lang w:val="en-GB" w:eastAsia="it-IT"/>
              </w:rPr>
            </w:pPr>
            <w:r w:rsidRPr="00DE4CA0">
              <w:rPr>
                <w:b/>
                <w:bCs/>
                <w:sz w:val="18"/>
                <w:szCs w:val="18"/>
                <w:lang w:val="en-GB" w:eastAsia="it-IT"/>
              </w:rPr>
              <w:t>Parameters</w:t>
            </w:r>
          </w:p>
        </w:tc>
        <w:tc>
          <w:tcPr>
            <w:tcW w:w="785" w:type="pct"/>
            <w:tcBorders>
              <w:top w:val="single" w:sz="4" w:space="0" w:color="auto"/>
            </w:tcBorders>
            <w:noWrap/>
            <w:hideMark/>
          </w:tcPr>
          <w:p w14:paraId="2012348D" w14:textId="018EC894" w:rsidR="00121045" w:rsidRPr="00121045" w:rsidRDefault="00121045" w:rsidP="00E066A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121045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Le</w:t>
            </w:r>
            <w:r w:rsidR="0001320D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_sing_</w:t>
            </w:r>
            <w:r w:rsidRPr="00DE4CA0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OPT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</w:tcBorders>
            <w:noWrap/>
            <w:hideMark/>
          </w:tcPr>
          <w:p w14:paraId="7576C954" w14:textId="06C9D2A4" w:rsidR="00121045" w:rsidRPr="00121045" w:rsidRDefault="00121045" w:rsidP="00E066A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121045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CF</w:t>
            </w:r>
            <w:r w:rsidR="0001320D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_cold_</w:t>
            </w:r>
            <w:r w:rsidRPr="00DE4CA0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OPT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</w:tcBorders>
            <w:noWrap/>
            <w:hideMark/>
          </w:tcPr>
          <w:p w14:paraId="69169FFD" w14:textId="3620F8C9" w:rsidR="00121045" w:rsidRPr="00121045" w:rsidRDefault="00121045" w:rsidP="00E066A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121045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CP_h</w:t>
            </w:r>
            <w:r w:rsidR="0001320D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ot</w:t>
            </w:r>
            <w:r w:rsidRPr="00DE4CA0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_OPT</w:t>
            </w:r>
            <w:proofErr w:type="spellEnd"/>
          </w:p>
        </w:tc>
        <w:tc>
          <w:tcPr>
            <w:tcW w:w="1142" w:type="pct"/>
            <w:tcBorders>
              <w:top w:val="single" w:sz="4" w:space="0" w:color="auto"/>
            </w:tcBorders>
            <w:noWrap/>
            <w:hideMark/>
          </w:tcPr>
          <w:p w14:paraId="24048C25" w14:textId="41BA4796" w:rsidR="00121045" w:rsidRPr="00121045" w:rsidRDefault="00121045" w:rsidP="00E066A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121045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CP</w:t>
            </w:r>
            <w:r w:rsidRPr="00DE4CA0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_</w:t>
            </w:r>
            <w:r w:rsidR="0001320D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Pick_</w:t>
            </w:r>
            <w:r w:rsidRPr="00DE4CA0">
              <w:rPr>
                <w:b/>
                <w:bCs/>
                <w:color w:val="000000"/>
                <w:sz w:val="18"/>
                <w:szCs w:val="18"/>
                <w:lang w:val="en-GB" w:eastAsia="it-IT"/>
              </w:rPr>
              <w:t>OPT</w:t>
            </w:r>
            <w:proofErr w:type="spellEnd"/>
          </w:p>
        </w:tc>
      </w:tr>
      <w:tr w:rsidR="00DE4CA0" w:rsidRPr="00DE4CA0" w14:paraId="7052DD5C" w14:textId="77777777" w:rsidTr="00E813ED">
        <w:trPr>
          <w:trHeight w:val="280"/>
        </w:trPr>
        <w:tc>
          <w:tcPr>
            <w:tcW w:w="1370" w:type="pct"/>
            <w:noWrap/>
            <w:hideMark/>
          </w:tcPr>
          <w:p w14:paraId="41EBE1C0" w14:textId="77777777" w:rsidR="00121045" w:rsidRPr="00121045" w:rsidRDefault="00121045" w:rsidP="00E066A9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</w:pPr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pH</w:t>
            </w:r>
          </w:p>
        </w:tc>
        <w:tc>
          <w:tcPr>
            <w:tcW w:w="785" w:type="pct"/>
            <w:noWrap/>
            <w:hideMark/>
          </w:tcPr>
          <w:p w14:paraId="11406BF4" w14:textId="4260911C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6.354 ± 0.205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b</w:t>
            </w:r>
          </w:p>
        </w:tc>
        <w:tc>
          <w:tcPr>
            <w:tcW w:w="802" w:type="pct"/>
            <w:noWrap/>
            <w:hideMark/>
          </w:tcPr>
          <w:p w14:paraId="6F7A2403" w14:textId="41AA6E91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3.906 ± 0.022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a</w:t>
            </w:r>
          </w:p>
        </w:tc>
        <w:tc>
          <w:tcPr>
            <w:tcW w:w="901" w:type="pct"/>
            <w:noWrap/>
            <w:hideMark/>
          </w:tcPr>
          <w:p w14:paraId="3BC48605" w14:textId="0DABB03F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6.597 ± 0.013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c</w:t>
            </w:r>
          </w:p>
        </w:tc>
        <w:tc>
          <w:tcPr>
            <w:tcW w:w="1142" w:type="pct"/>
            <w:noWrap/>
            <w:hideMark/>
          </w:tcPr>
          <w:p w14:paraId="7D563C43" w14:textId="0E9528E5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6.635 ± 0.004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c</w:t>
            </w:r>
          </w:p>
        </w:tc>
      </w:tr>
      <w:tr w:rsidR="00DE4CA0" w:rsidRPr="00DE4CA0" w14:paraId="043F9710" w14:textId="77777777" w:rsidTr="00E813ED">
        <w:trPr>
          <w:trHeight w:val="280"/>
        </w:trPr>
        <w:tc>
          <w:tcPr>
            <w:tcW w:w="1370" w:type="pct"/>
            <w:noWrap/>
            <w:hideMark/>
          </w:tcPr>
          <w:p w14:paraId="3602F88D" w14:textId="28D6F25E" w:rsidR="00121045" w:rsidRPr="00121045" w:rsidRDefault="00121045" w:rsidP="00E066A9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</w:pPr>
            <w:r w:rsidRPr="00DE4CA0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Apparent v</w:t>
            </w:r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iscosity (</w:t>
            </w:r>
            <w:proofErr w:type="spellStart"/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mPa·s</w:t>
            </w:r>
            <w:proofErr w:type="spellEnd"/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785" w:type="pct"/>
            <w:noWrap/>
            <w:hideMark/>
          </w:tcPr>
          <w:p w14:paraId="2B0602E1" w14:textId="04143A18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144 ± 1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2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a</w:t>
            </w:r>
          </w:p>
        </w:tc>
        <w:tc>
          <w:tcPr>
            <w:tcW w:w="802" w:type="pct"/>
            <w:noWrap/>
            <w:hideMark/>
          </w:tcPr>
          <w:p w14:paraId="20A93A6C" w14:textId="430720D4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136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5</w:t>
            </w:r>
            <w:r w:rsidRPr="00121045">
              <w:rPr>
                <w:color w:val="000000"/>
                <w:sz w:val="18"/>
                <w:szCs w:val="18"/>
                <w:lang w:val="en-GB" w:eastAsia="it-IT"/>
              </w:rPr>
              <w:t xml:space="preserve"> ± 46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b</w:t>
            </w:r>
          </w:p>
        </w:tc>
        <w:tc>
          <w:tcPr>
            <w:tcW w:w="901" w:type="pct"/>
            <w:noWrap/>
            <w:hideMark/>
          </w:tcPr>
          <w:p w14:paraId="1732FC0E" w14:textId="5DBE8157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23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80</w:t>
            </w:r>
            <w:r w:rsidRPr="00121045">
              <w:rPr>
                <w:color w:val="000000"/>
                <w:sz w:val="18"/>
                <w:szCs w:val="18"/>
                <w:lang w:val="en-GB" w:eastAsia="it-IT"/>
              </w:rPr>
              <w:t xml:space="preserve"> ± 12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3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d</w:t>
            </w:r>
          </w:p>
        </w:tc>
        <w:tc>
          <w:tcPr>
            <w:tcW w:w="1142" w:type="pct"/>
            <w:noWrap/>
            <w:hideMark/>
          </w:tcPr>
          <w:p w14:paraId="19FC6F1E" w14:textId="4C88AA3F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1868 ± 5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7</w:t>
            </w:r>
            <w:r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c</w:t>
            </w:r>
          </w:p>
        </w:tc>
      </w:tr>
      <w:tr w:rsidR="00DE4CA0" w:rsidRPr="00DE4CA0" w14:paraId="65374D74" w14:textId="77777777" w:rsidTr="00E813ED">
        <w:trPr>
          <w:trHeight w:val="280"/>
        </w:trPr>
        <w:tc>
          <w:tcPr>
            <w:tcW w:w="1370" w:type="pct"/>
            <w:noWrap/>
            <w:hideMark/>
          </w:tcPr>
          <w:p w14:paraId="705EA793" w14:textId="655ED2AE" w:rsidR="00121045" w:rsidRPr="00121045" w:rsidRDefault="00121045" w:rsidP="00E066A9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</w:pPr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D90 (</w:t>
            </w:r>
            <w:proofErr w:type="spellStart"/>
            <w:r w:rsidRPr="00DE4CA0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μm</w:t>
            </w:r>
            <w:proofErr w:type="spellEnd"/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)</w:t>
            </w:r>
          </w:p>
        </w:tc>
        <w:tc>
          <w:tcPr>
            <w:tcW w:w="785" w:type="pct"/>
            <w:noWrap/>
            <w:hideMark/>
          </w:tcPr>
          <w:p w14:paraId="7A4FAEEE" w14:textId="1440CAEB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19 ± 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a</w:t>
            </w:r>
          </w:p>
        </w:tc>
        <w:tc>
          <w:tcPr>
            <w:tcW w:w="802" w:type="pct"/>
            <w:noWrap/>
            <w:hideMark/>
          </w:tcPr>
          <w:p w14:paraId="5DF6DC77" w14:textId="0AA26EE3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13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9</w:t>
            </w:r>
            <w:r w:rsidRPr="00121045">
              <w:rPr>
                <w:color w:val="000000"/>
                <w:sz w:val="18"/>
                <w:szCs w:val="18"/>
                <w:lang w:val="en-GB" w:eastAsia="it-IT"/>
              </w:rPr>
              <w:t xml:space="preserve"> ± 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6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d</w:t>
            </w:r>
          </w:p>
        </w:tc>
        <w:tc>
          <w:tcPr>
            <w:tcW w:w="901" w:type="pct"/>
            <w:noWrap/>
            <w:hideMark/>
          </w:tcPr>
          <w:p w14:paraId="6274B2BF" w14:textId="40F50984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8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3</w:t>
            </w:r>
            <w:r w:rsidRPr="00121045">
              <w:rPr>
                <w:color w:val="000000"/>
                <w:sz w:val="18"/>
                <w:szCs w:val="18"/>
                <w:lang w:val="en-GB" w:eastAsia="it-IT"/>
              </w:rPr>
              <w:t xml:space="preserve"> ± 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9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c</w:t>
            </w:r>
          </w:p>
        </w:tc>
        <w:tc>
          <w:tcPr>
            <w:tcW w:w="1142" w:type="pct"/>
            <w:noWrap/>
            <w:hideMark/>
          </w:tcPr>
          <w:p w14:paraId="31FA2A58" w14:textId="6D50C747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4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5</w:t>
            </w:r>
            <w:r w:rsidRPr="00121045">
              <w:rPr>
                <w:color w:val="000000"/>
                <w:sz w:val="18"/>
                <w:szCs w:val="18"/>
                <w:lang w:val="en-GB" w:eastAsia="it-IT"/>
              </w:rPr>
              <w:t xml:space="preserve"> ± </w:t>
            </w:r>
            <w:r w:rsidR="00BB52D0">
              <w:rPr>
                <w:color w:val="000000"/>
                <w:sz w:val="18"/>
                <w:szCs w:val="18"/>
                <w:lang w:val="en-GB" w:eastAsia="it-IT"/>
              </w:rPr>
              <w:t>8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b</w:t>
            </w:r>
          </w:p>
        </w:tc>
      </w:tr>
      <w:tr w:rsidR="00DE4CA0" w:rsidRPr="00DE4CA0" w14:paraId="662802BA" w14:textId="77777777" w:rsidTr="00E813ED">
        <w:trPr>
          <w:trHeight w:val="280"/>
        </w:trPr>
        <w:tc>
          <w:tcPr>
            <w:tcW w:w="1370" w:type="pct"/>
            <w:noWrap/>
            <w:hideMark/>
          </w:tcPr>
          <w:p w14:paraId="15A35307" w14:textId="4EF9DDC3" w:rsidR="00121045" w:rsidRPr="00121045" w:rsidRDefault="00121045" w:rsidP="00E066A9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</w:pPr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CS t14d</w:t>
            </w:r>
          </w:p>
        </w:tc>
        <w:tc>
          <w:tcPr>
            <w:tcW w:w="785" w:type="pct"/>
            <w:noWrap/>
            <w:hideMark/>
          </w:tcPr>
          <w:p w14:paraId="35B4FEFF" w14:textId="3CB920D7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100.0 ± 0.1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b</w:t>
            </w:r>
          </w:p>
        </w:tc>
        <w:tc>
          <w:tcPr>
            <w:tcW w:w="802" w:type="pct"/>
            <w:noWrap/>
            <w:hideMark/>
          </w:tcPr>
          <w:p w14:paraId="7BA7531A" w14:textId="614F5D3F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99.8 ± 0.1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a</w:t>
            </w:r>
          </w:p>
        </w:tc>
        <w:tc>
          <w:tcPr>
            <w:tcW w:w="901" w:type="pct"/>
            <w:noWrap/>
            <w:hideMark/>
          </w:tcPr>
          <w:p w14:paraId="5D2BFDCF" w14:textId="252DA19D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100.0 ± 0.1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b</w:t>
            </w:r>
          </w:p>
        </w:tc>
        <w:tc>
          <w:tcPr>
            <w:tcW w:w="1142" w:type="pct"/>
            <w:noWrap/>
            <w:hideMark/>
          </w:tcPr>
          <w:p w14:paraId="7BB4E7A8" w14:textId="629DBEC7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100.0 ± 0.1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b</w:t>
            </w:r>
          </w:p>
        </w:tc>
      </w:tr>
      <w:tr w:rsidR="00E066A9" w:rsidRPr="00DE4CA0" w14:paraId="7AC27A30" w14:textId="77777777" w:rsidTr="00E813ED">
        <w:trPr>
          <w:trHeight w:val="280"/>
        </w:trPr>
        <w:tc>
          <w:tcPr>
            <w:tcW w:w="1370" w:type="pct"/>
            <w:tcBorders>
              <w:bottom w:val="single" w:sz="4" w:space="0" w:color="auto"/>
            </w:tcBorders>
            <w:noWrap/>
            <w:hideMark/>
          </w:tcPr>
          <w:p w14:paraId="2E24B158" w14:textId="62BD5C20" w:rsidR="00121045" w:rsidRPr="00121045" w:rsidRDefault="00121045" w:rsidP="00E066A9">
            <w:pPr>
              <w:widowControl/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</w:pPr>
            <w:r w:rsidRPr="00121045">
              <w:rPr>
                <w:i/>
                <w:iCs/>
                <w:color w:val="000000"/>
                <w:sz w:val="18"/>
                <w:szCs w:val="18"/>
                <w:lang w:val="en-GB" w:eastAsia="it-IT"/>
              </w:rPr>
              <w:t>SI t14d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noWrap/>
            <w:hideMark/>
          </w:tcPr>
          <w:p w14:paraId="50B44BF1" w14:textId="71709F91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88.7 ± 0.4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a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noWrap/>
            <w:hideMark/>
          </w:tcPr>
          <w:p w14:paraId="2FD247A0" w14:textId="74D66250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97.6 ± 0.1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 xml:space="preserve"> b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noWrap/>
            <w:hideMark/>
          </w:tcPr>
          <w:p w14:paraId="31128E42" w14:textId="5F869EFB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100.0 ± 0.1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c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noWrap/>
            <w:hideMark/>
          </w:tcPr>
          <w:p w14:paraId="2FE8383E" w14:textId="4A8DF034" w:rsidR="00121045" w:rsidRPr="00121045" w:rsidRDefault="00121045" w:rsidP="00E066A9">
            <w:pPr>
              <w:widowControl/>
              <w:suppressAutoHyphens w:val="0"/>
              <w:jc w:val="center"/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</w:pPr>
            <w:r w:rsidRPr="00121045">
              <w:rPr>
                <w:color w:val="000000"/>
                <w:sz w:val="18"/>
                <w:szCs w:val="18"/>
                <w:lang w:val="en-GB" w:eastAsia="it-IT"/>
              </w:rPr>
              <w:t>100.0 ± 0.1</w:t>
            </w:r>
            <w:r w:rsidR="00B664C2" w:rsidRPr="00DE4CA0">
              <w:rPr>
                <w:color w:val="000000"/>
                <w:sz w:val="18"/>
                <w:szCs w:val="18"/>
                <w:vertAlign w:val="superscript"/>
                <w:lang w:val="en-GB" w:eastAsia="it-IT"/>
              </w:rPr>
              <w:t>c</w:t>
            </w:r>
          </w:p>
        </w:tc>
      </w:tr>
    </w:tbl>
    <w:p w14:paraId="4A28FD62" w14:textId="77777777" w:rsidR="00512D9B" w:rsidRPr="008D573F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it-IT"/>
        </w:rPr>
      </w:pPr>
      <w:r w:rsidRPr="008D573F">
        <w:rPr>
          <w:b/>
          <w:bCs/>
          <w:color w:val="000000"/>
          <w:sz w:val="24"/>
          <w:lang w:val="it-IT"/>
        </w:rPr>
        <w:t xml:space="preserve">4. </w:t>
      </w:r>
      <w:proofErr w:type="spellStart"/>
      <w:r w:rsidRPr="008D573F">
        <w:rPr>
          <w:b/>
          <w:bCs/>
          <w:color w:val="000000"/>
          <w:sz w:val="24"/>
          <w:lang w:val="it-IT"/>
        </w:rPr>
        <w:t>References</w:t>
      </w:r>
      <w:proofErr w:type="spellEnd"/>
    </w:p>
    <w:p w14:paraId="2047E5CB" w14:textId="1584331C" w:rsidR="008D573F" w:rsidRPr="008D573F" w:rsidRDefault="008D573F" w:rsidP="008D573F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8D573F">
        <w:rPr>
          <w:sz w:val="18"/>
          <w:szCs w:val="18"/>
          <w:lang w:val="en-US"/>
        </w:rPr>
        <w:t>Karaca</w:t>
      </w:r>
      <w:proofErr w:type="spellEnd"/>
      <w:r w:rsidRPr="008D573F">
        <w:rPr>
          <w:sz w:val="18"/>
          <w:szCs w:val="18"/>
          <w:lang w:val="en-US"/>
        </w:rPr>
        <w:t xml:space="preserve"> AC, Low N, Nic</w:t>
      </w:r>
      <w:r>
        <w:rPr>
          <w:sz w:val="18"/>
          <w:szCs w:val="18"/>
          <w:lang w:val="en-US"/>
        </w:rPr>
        <w:t xml:space="preserve">kerson M (2011) </w:t>
      </w:r>
      <w:r w:rsidRPr="008D573F">
        <w:rPr>
          <w:sz w:val="18"/>
          <w:szCs w:val="18"/>
          <w:lang w:val="en-US"/>
        </w:rPr>
        <w:t xml:space="preserve">Emulsifying properties of chickpea, </w:t>
      </w:r>
      <w:proofErr w:type="spellStart"/>
      <w:r w:rsidRPr="008D573F">
        <w:rPr>
          <w:sz w:val="18"/>
          <w:szCs w:val="18"/>
          <w:lang w:val="en-US"/>
        </w:rPr>
        <w:t>faba</w:t>
      </w:r>
      <w:proofErr w:type="spellEnd"/>
      <w:r w:rsidRPr="008D573F">
        <w:rPr>
          <w:sz w:val="18"/>
          <w:szCs w:val="18"/>
          <w:lang w:val="en-US"/>
        </w:rPr>
        <w:t xml:space="preserve"> bean, lentil and pea proteins produced by isoelectric precipitation and salt extraction</w:t>
      </w:r>
      <w:r>
        <w:rPr>
          <w:sz w:val="18"/>
          <w:szCs w:val="18"/>
          <w:lang w:val="en-US"/>
        </w:rPr>
        <w:t xml:space="preserve">, </w:t>
      </w:r>
      <w:r w:rsidRPr="00E813ED">
        <w:rPr>
          <w:i/>
          <w:iCs/>
          <w:sz w:val="18"/>
          <w:szCs w:val="18"/>
          <w:lang w:val="en-US"/>
        </w:rPr>
        <w:t>Food Res Int,</w:t>
      </w:r>
      <w:r>
        <w:rPr>
          <w:sz w:val="18"/>
          <w:szCs w:val="18"/>
          <w:lang w:val="en-US"/>
        </w:rPr>
        <w:t xml:space="preserve"> </w:t>
      </w:r>
      <w:r w:rsidRPr="00DE4CA0">
        <w:rPr>
          <w:b/>
          <w:bCs/>
          <w:sz w:val="18"/>
          <w:szCs w:val="18"/>
          <w:lang w:val="en-US"/>
        </w:rPr>
        <w:t>44</w:t>
      </w:r>
      <w:r>
        <w:rPr>
          <w:sz w:val="18"/>
          <w:szCs w:val="18"/>
          <w:lang w:val="en-US"/>
        </w:rPr>
        <w:t>:</w:t>
      </w:r>
      <w:r w:rsidR="00DE4CA0">
        <w:rPr>
          <w:sz w:val="18"/>
          <w:szCs w:val="18"/>
          <w:lang w:val="en-US"/>
        </w:rPr>
        <w:t xml:space="preserve"> 2742-2750.</w:t>
      </w:r>
    </w:p>
    <w:p w14:paraId="1D17EAA4" w14:textId="0BA979D7" w:rsidR="000F384F" w:rsidRDefault="00861855" w:rsidP="006F67AA">
      <w:pPr>
        <w:ind w:left="425" w:hanging="425"/>
        <w:jc w:val="both"/>
        <w:rPr>
          <w:sz w:val="18"/>
          <w:szCs w:val="18"/>
          <w:lang w:val="en-US"/>
        </w:rPr>
      </w:pPr>
      <w:r w:rsidRPr="009956A2">
        <w:rPr>
          <w:sz w:val="18"/>
          <w:szCs w:val="18"/>
          <w:lang w:val="en-US"/>
        </w:rPr>
        <w:t xml:space="preserve">McClements </w:t>
      </w:r>
      <w:r w:rsidR="009956A2" w:rsidRPr="009956A2">
        <w:rPr>
          <w:sz w:val="18"/>
          <w:szCs w:val="18"/>
          <w:lang w:val="en-US"/>
        </w:rPr>
        <w:t>D</w:t>
      </w:r>
      <w:r w:rsidRPr="009956A2">
        <w:rPr>
          <w:sz w:val="18"/>
          <w:szCs w:val="18"/>
          <w:lang w:val="en-US"/>
        </w:rPr>
        <w:t xml:space="preserve">J </w:t>
      </w:r>
      <w:r w:rsidR="009956A2" w:rsidRPr="009956A2">
        <w:rPr>
          <w:sz w:val="18"/>
          <w:szCs w:val="18"/>
          <w:lang w:val="en-US"/>
        </w:rPr>
        <w:t>(</w:t>
      </w:r>
      <w:r w:rsidRPr="009956A2">
        <w:rPr>
          <w:sz w:val="18"/>
          <w:szCs w:val="18"/>
          <w:lang w:val="en-US"/>
        </w:rPr>
        <w:t>2015</w:t>
      </w:r>
      <w:r w:rsidR="009956A2" w:rsidRPr="009956A2">
        <w:rPr>
          <w:sz w:val="18"/>
          <w:szCs w:val="18"/>
          <w:lang w:val="en-US"/>
        </w:rPr>
        <w:t>)</w:t>
      </w:r>
      <w:r w:rsidRPr="009956A2">
        <w:rPr>
          <w:sz w:val="18"/>
          <w:szCs w:val="18"/>
          <w:lang w:val="en-US"/>
        </w:rPr>
        <w:t xml:space="preserve"> </w:t>
      </w:r>
      <w:r w:rsidRPr="009956A2">
        <w:rPr>
          <w:i/>
          <w:iCs/>
          <w:sz w:val="18"/>
          <w:szCs w:val="18"/>
          <w:lang w:val="en-US"/>
        </w:rPr>
        <w:t>Food emulsions: Principles, practices, and techniques</w:t>
      </w:r>
      <w:r w:rsidRPr="009956A2">
        <w:rPr>
          <w:sz w:val="18"/>
          <w:szCs w:val="18"/>
          <w:lang w:val="en-US"/>
        </w:rPr>
        <w:t>, 3rd ed. Boca Raton: CRC Press.</w:t>
      </w:r>
    </w:p>
    <w:p w14:paraId="2E716930" w14:textId="2F2D844B" w:rsidR="00F202E5" w:rsidRPr="00F202E5" w:rsidRDefault="00F202E5" w:rsidP="006F67AA">
      <w:pPr>
        <w:ind w:left="425" w:hanging="425"/>
        <w:jc w:val="both"/>
        <w:rPr>
          <w:lang w:val="en-US"/>
        </w:rPr>
      </w:pPr>
      <w:r w:rsidRPr="00F202E5">
        <w:rPr>
          <w:sz w:val="18"/>
          <w:szCs w:val="18"/>
          <w:lang w:val="en-US"/>
        </w:rPr>
        <w:t>Qi J, Song L, Zeng W, Liao</w:t>
      </w:r>
      <w:r>
        <w:rPr>
          <w:sz w:val="18"/>
          <w:szCs w:val="18"/>
          <w:lang w:val="en-US"/>
        </w:rPr>
        <w:t xml:space="preserve"> J (2021) </w:t>
      </w:r>
      <w:r w:rsidRPr="00F202E5">
        <w:rPr>
          <w:sz w:val="18"/>
          <w:szCs w:val="18"/>
          <w:lang w:val="en-US"/>
        </w:rPr>
        <w:t>Citrus fiber for the stabilization of O/W emulsion through combination of Pickering effect and fiber-based network</w:t>
      </w:r>
      <w:r>
        <w:rPr>
          <w:sz w:val="18"/>
          <w:szCs w:val="18"/>
          <w:lang w:val="en-US"/>
        </w:rPr>
        <w:t xml:space="preserve">, </w:t>
      </w:r>
      <w:r w:rsidRPr="008D573F">
        <w:rPr>
          <w:i/>
          <w:iCs/>
          <w:sz w:val="18"/>
          <w:szCs w:val="18"/>
          <w:lang w:val="en-US"/>
        </w:rPr>
        <w:t>Food Chem</w:t>
      </w:r>
      <w:r>
        <w:rPr>
          <w:sz w:val="18"/>
          <w:szCs w:val="18"/>
          <w:lang w:val="en-US"/>
        </w:rPr>
        <w:t xml:space="preserve">, </w:t>
      </w:r>
      <w:r>
        <w:rPr>
          <w:b/>
          <w:bCs/>
          <w:sz w:val="18"/>
          <w:szCs w:val="18"/>
          <w:lang w:val="en-US"/>
        </w:rPr>
        <w:t>343</w:t>
      </w:r>
      <w:r>
        <w:rPr>
          <w:sz w:val="18"/>
          <w:szCs w:val="18"/>
          <w:lang w:val="en-US"/>
        </w:rPr>
        <w:t>: 128523</w:t>
      </w:r>
    </w:p>
    <w:sectPr w:rsidR="00F202E5" w:rsidRPr="00F20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96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F3D8" w14:textId="77777777" w:rsidR="00DB66C7" w:rsidRDefault="00DB66C7">
      <w:r>
        <w:separator/>
      </w:r>
    </w:p>
  </w:endnote>
  <w:endnote w:type="continuationSeparator" w:id="0">
    <w:p w14:paraId="3191E45F" w14:textId="77777777" w:rsidR="00DB66C7" w:rsidRDefault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F198" w14:textId="77777777" w:rsidR="00DB66C7" w:rsidRDefault="00DB66C7">
      <w:r>
        <w:separator/>
      </w:r>
    </w:p>
  </w:footnote>
  <w:footnote w:type="continuationSeparator" w:id="0">
    <w:p w14:paraId="73605F6E" w14:textId="77777777" w:rsidR="00DB66C7" w:rsidRDefault="00DB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248997844">
    <w:abstractNumId w:val="1"/>
  </w:num>
  <w:num w:numId="2" w16cid:durableId="76330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MzIzMTQ3NjU0NTdR0lEKTi0uzszPAykwNKwFAIOEW3ItAAAA"/>
  </w:docVars>
  <w:rsids>
    <w:rsidRoot w:val="00512D9B"/>
    <w:rsid w:val="00007B81"/>
    <w:rsid w:val="0001320D"/>
    <w:rsid w:val="00014AEA"/>
    <w:rsid w:val="0007387C"/>
    <w:rsid w:val="000A447B"/>
    <w:rsid w:val="000C31FF"/>
    <w:rsid w:val="000C71D5"/>
    <w:rsid w:val="000D7AB4"/>
    <w:rsid w:val="000E1209"/>
    <w:rsid w:val="000F384F"/>
    <w:rsid w:val="00121045"/>
    <w:rsid w:val="00133C03"/>
    <w:rsid w:val="00155497"/>
    <w:rsid w:val="00164C1B"/>
    <w:rsid w:val="00171B2C"/>
    <w:rsid w:val="001B0E7C"/>
    <w:rsid w:val="001C5B58"/>
    <w:rsid w:val="002033BB"/>
    <w:rsid w:val="002211E8"/>
    <w:rsid w:val="00222019"/>
    <w:rsid w:val="0026634B"/>
    <w:rsid w:val="002A2688"/>
    <w:rsid w:val="002B60D3"/>
    <w:rsid w:val="002B6600"/>
    <w:rsid w:val="002D28F2"/>
    <w:rsid w:val="002E204A"/>
    <w:rsid w:val="002F167B"/>
    <w:rsid w:val="00306FDC"/>
    <w:rsid w:val="003642F2"/>
    <w:rsid w:val="003A1985"/>
    <w:rsid w:val="003A735A"/>
    <w:rsid w:val="003C0962"/>
    <w:rsid w:val="0040467F"/>
    <w:rsid w:val="00431F8F"/>
    <w:rsid w:val="00432AC7"/>
    <w:rsid w:val="00450DAE"/>
    <w:rsid w:val="004A56E6"/>
    <w:rsid w:val="005027F2"/>
    <w:rsid w:val="0050453B"/>
    <w:rsid w:val="00512D9B"/>
    <w:rsid w:val="00570729"/>
    <w:rsid w:val="00577212"/>
    <w:rsid w:val="0058535A"/>
    <w:rsid w:val="005964CB"/>
    <w:rsid w:val="005A5789"/>
    <w:rsid w:val="005C2805"/>
    <w:rsid w:val="005E19FD"/>
    <w:rsid w:val="005E77F2"/>
    <w:rsid w:val="00616023"/>
    <w:rsid w:val="00630578"/>
    <w:rsid w:val="00640FCB"/>
    <w:rsid w:val="006B3495"/>
    <w:rsid w:val="006F67AA"/>
    <w:rsid w:val="00746B7D"/>
    <w:rsid w:val="00750829"/>
    <w:rsid w:val="00793468"/>
    <w:rsid w:val="007E1A6E"/>
    <w:rsid w:val="007E5AFD"/>
    <w:rsid w:val="00837207"/>
    <w:rsid w:val="0085243C"/>
    <w:rsid w:val="00856CDD"/>
    <w:rsid w:val="00861855"/>
    <w:rsid w:val="00867861"/>
    <w:rsid w:val="008964A7"/>
    <w:rsid w:val="008B25C1"/>
    <w:rsid w:val="008D0823"/>
    <w:rsid w:val="008D573F"/>
    <w:rsid w:val="009001A9"/>
    <w:rsid w:val="009120A4"/>
    <w:rsid w:val="00950800"/>
    <w:rsid w:val="009828EA"/>
    <w:rsid w:val="009854CA"/>
    <w:rsid w:val="009956A2"/>
    <w:rsid w:val="009A21F2"/>
    <w:rsid w:val="00A171C1"/>
    <w:rsid w:val="00AB1A99"/>
    <w:rsid w:val="00B079BD"/>
    <w:rsid w:val="00B13439"/>
    <w:rsid w:val="00B57A40"/>
    <w:rsid w:val="00B664C2"/>
    <w:rsid w:val="00B67D89"/>
    <w:rsid w:val="00BA2CE2"/>
    <w:rsid w:val="00BB3101"/>
    <w:rsid w:val="00BB52D0"/>
    <w:rsid w:val="00BB6078"/>
    <w:rsid w:val="00C12679"/>
    <w:rsid w:val="00C14FE1"/>
    <w:rsid w:val="00C543B5"/>
    <w:rsid w:val="00C647B1"/>
    <w:rsid w:val="00C9184E"/>
    <w:rsid w:val="00CA7B88"/>
    <w:rsid w:val="00CE628C"/>
    <w:rsid w:val="00D34E5A"/>
    <w:rsid w:val="00D5423B"/>
    <w:rsid w:val="00D76006"/>
    <w:rsid w:val="00DA6F41"/>
    <w:rsid w:val="00DB66C7"/>
    <w:rsid w:val="00DC0B22"/>
    <w:rsid w:val="00DC6B5D"/>
    <w:rsid w:val="00DD75F5"/>
    <w:rsid w:val="00DE4CA0"/>
    <w:rsid w:val="00E066A9"/>
    <w:rsid w:val="00E1756C"/>
    <w:rsid w:val="00E22FBE"/>
    <w:rsid w:val="00E60EBE"/>
    <w:rsid w:val="00E637E7"/>
    <w:rsid w:val="00E7028B"/>
    <w:rsid w:val="00E813ED"/>
    <w:rsid w:val="00EB0D72"/>
    <w:rsid w:val="00EC35F5"/>
    <w:rsid w:val="00EC6F6B"/>
    <w:rsid w:val="00F202E5"/>
    <w:rsid w:val="00F23B12"/>
    <w:rsid w:val="00F35BCA"/>
    <w:rsid w:val="00F51A1D"/>
    <w:rsid w:val="00F75C38"/>
    <w:rsid w:val="00FA5DA1"/>
    <w:rsid w:val="00FB589C"/>
    <w:rsid w:val="00FC02D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Collegamentoipertestuale">
    <w:name w:val="Hyperlink"/>
    <w:basedOn w:val="Carpredefinitoparagrafo"/>
    <w:uiPriority w:val="99"/>
    <w:unhideWhenUsed/>
    <w:rsid w:val="000C71D5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30578"/>
    <w:rPr>
      <w:color w:val="808080"/>
    </w:rPr>
  </w:style>
  <w:style w:type="table" w:styleId="Grigliatabella">
    <w:name w:val="Table Grid"/>
    <w:basedOn w:val="Tabellanormale"/>
    <w:uiPriority w:val="39"/>
    <w:rsid w:val="000F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121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e">
    <w:name w:val="Revision"/>
    <w:hidden/>
    <w:uiPriority w:val="99"/>
    <w:semiHidden/>
    <w:rsid w:val="00007B81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onora.loffredi@unim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Eleonora Loffredi</cp:lastModifiedBy>
  <cp:revision>7</cp:revision>
  <cp:lastPrinted>2023-06-09T08:14:00Z</cp:lastPrinted>
  <dcterms:created xsi:type="dcterms:W3CDTF">2023-06-08T15:48:00Z</dcterms:created>
  <dcterms:modified xsi:type="dcterms:W3CDTF">2023-06-09T08:25:00Z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