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C1" w:rsidRDefault="005139C1" w:rsidP="005139C1">
      <w:pPr>
        <w:pStyle w:val="Titolo"/>
        <w:spacing w:before="600" w:line="240" w:lineRule="auto"/>
        <w:rPr>
          <w:lang w:val="en-GB"/>
        </w:rPr>
      </w:pPr>
      <w:r>
        <w:rPr>
          <w:lang w:val="en-GB"/>
        </w:rPr>
        <w:t>Iron biofortification of oats (</w:t>
      </w:r>
      <w:r w:rsidRPr="005139C1">
        <w:rPr>
          <w:i/>
          <w:iCs/>
          <w:lang w:val="en-GB"/>
        </w:rPr>
        <w:t>Avena sativa</w:t>
      </w:r>
      <w:r>
        <w:rPr>
          <w:i/>
          <w:iCs/>
          <w:lang w:val="en-GB"/>
        </w:rPr>
        <w:t xml:space="preserve"> cv. “Prevision”</w:t>
      </w:r>
      <w:r>
        <w:rPr>
          <w:lang w:val="en-GB"/>
        </w:rPr>
        <w:t>) grown under aeroponic conditions</w:t>
      </w:r>
    </w:p>
    <w:p w:rsidR="005139C1" w:rsidRPr="001A0938" w:rsidRDefault="005139C1" w:rsidP="005139C1">
      <w:pPr>
        <w:jc w:val="center"/>
        <w:rPr>
          <w:lang w:val="en-US"/>
        </w:rPr>
      </w:pPr>
      <w:r w:rsidRPr="001A0938">
        <w:rPr>
          <w:lang w:val="en-US"/>
        </w:rPr>
        <w:t>Luca Boschian (luca.boschian@phd.unipd.it)</w:t>
      </w:r>
    </w:p>
    <w:p w:rsidR="005139C1" w:rsidRPr="005139C1" w:rsidRDefault="005139C1" w:rsidP="005139C1">
      <w:pPr>
        <w:jc w:val="center"/>
      </w:pPr>
      <w:r w:rsidRPr="005139C1">
        <w:t>TESAF (</w:t>
      </w:r>
      <w:r>
        <w:t>Dipartimento t</w:t>
      </w:r>
      <w:r w:rsidRPr="005139C1">
        <w:t>erritorio</w:t>
      </w:r>
      <w:r>
        <w:t xml:space="preserve"> e sistemi agroforestali)</w:t>
      </w:r>
      <w:r w:rsidRPr="005139C1">
        <w:t>, University of Padova, Padova, Italy</w:t>
      </w:r>
    </w:p>
    <w:p w:rsidR="005139C1" w:rsidRPr="00CB2958" w:rsidRDefault="005139C1" w:rsidP="005139C1">
      <w:pPr>
        <w:jc w:val="center"/>
        <w:rPr>
          <w:lang w:val="en-US"/>
        </w:rPr>
      </w:pPr>
      <w:r w:rsidRPr="00CB2958">
        <w:rPr>
          <w:lang w:val="en-US"/>
        </w:rPr>
        <w:t>Tutor: Prof. Simone Vincenzi</w:t>
      </w:r>
    </w:p>
    <w:p w:rsidR="005139C1" w:rsidRPr="00CB2958" w:rsidRDefault="005139C1" w:rsidP="005139C1">
      <w:pPr>
        <w:tabs>
          <w:tab w:val="left" w:pos="0"/>
        </w:tabs>
        <w:jc w:val="both"/>
        <w:rPr>
          <w:lang w:val="en-US"/>
        </w:rPr>
      </w:pPr>
    </w:p>
    <w:p w:rsidR="7DBFA865" w:rsidRDefault="7DBFA865" w:rsidP="243E2FF5">
      <w:pPr>
        <w:jc w:val="both"/>
        <w:rPr>
          <w:lang w:val="en-GB"/>
        </w:rPr>
      </w:pPr>
      <w:r w:rsidRPr="243E2FF5">
        <w:rPr>
          <w:lang w:val="en-GB"/>
        </w:rPr>
        <w:t xml:space="preserve">The present contribution </w:t>
      </w:r>
      <w:r w:rsidR="00E56FB2">
        <w:rPr>
          <w:lang w:val="en-GB"/>
        </w:rPr>
        <w:t>reports</w:t>
      </w:r>
      <w:r w:rsidRPr="243E2FF5">
        <w:rPr>
          <w:lang w:val="en-GB"/>
        </w:rPr>
        <w:t xml:space="preserve"> the results regarding the biofortification of oats aimed at increasing the final iron content of the whole plant.</w:t>
      </w:r>
      <w:r w:rsidR="695B15A4" w:rsidRPr="243E2FF5">
        <w:rPr>
          <w:lang w:val="en-GB"/>
        </w:rPr>
        <w:t xml:space="preserve"> This plant</w:t>
      </w:r>
      <w:r w:rsidR="7CB3B3EC" w:rsidRPr="243E2FF5">
        <w:rPr>
          <w:lang w:val="en-GB"/>
        </w:rPr>
        <w:t xml:space="preserve">, as many other </w:t>
      </w:r>
      <w:r w:rsidR="47390588" w:rsidRPr="243E2FF5">
        <w:rPr>
          <w:lang w:val="en-GB"/>
        </w:rPr>
        <w:t xml:space="preserve">monocotyledonous plants, absorbs iron through </w:t>
      </w:r>
      <w:r w:rsidR="2D13E181" w:rsidRPr="243E2FF5">
        <w:rPr>
          <w:lang w:val="en-GB"/>
        </w:rPr>
        <w:t xml:space="preserve">root-exudated </w:t>
      </w:r>
      <w:r w:rsidR="47390588" w:rsidRPr="243E2FF5">
        <w:rPr>
          <w:lang w:val="en-GB"/>
        </w:rPr>
        <w:t>compounds known as phytosiderophores</w:t>
      </w:r>
      <w:r w:rsidR="4A97B534" w:rsidRPr="243E2FF5">
        <w:rPr>
          <w:lang w:val="en-GB"/>
        </w:rPr>
        <w:t xml:space="preserve">. </w:t>
      </w:r>
      <w:r w:rsidR="14846126" w:rsidRPr="243E2FF5">
        <w:rPr>
          <w:lang w:val="en-GB"/>
        </w:rPr>
        <w:t>To enhance the iron absorption, plants were grown in iron-free nutritive solution and iron was later added as inorganic iron (iron</w:t>
      </w:r>
      <w:r w:rsidR="2733F230" w:rsidRPr="243E2FF5">
        <w:rPr>
          <w:lang w:val="en-GB"/>
        </w:rPr>
        <w:t xml:space="preserve"> (III)</w:t>
      </w:r>
      <w:r w:rsidR="14846126" w:rsidRPr="243E2FF5">
        <w:rPr>
          <w:lang w:val="en-GB"/>
        </w:rPr>
        <w:t xml:space="preserve"> ammonium sulfate).</w:t>
      </w:r>
      <w:r w:rsidR="0D0686A1" w:rsidRPr="243E2FF5">
        <w:rPr>
          <w:lang w:val="en-GB"/>
        </w:rPr>
        <w:t xml:space="preserve"> This treatment was compared with </w:t>
      </w:r>
      <w:r w:rsidR="00E56FB2">
        <w:rPr>
          <w:lang w:val="en-GB"/>
        </w:rPr>
        <w:t xml:space="preserve">standard </w:t>
      </w:r>
      <w:r w:rsidR="0D0686A1" w:rsidRPr="243E2FF5">
        <w:rPr>
          <w:lang w:val="en-GB"/>
        </w:rPr>
        <w:t>nutrition with chelated iron (Fe-ED</w:t>
      </w:r>
      <w:r w:rsidR="007357E0">
        <w:rPr>
          <w:lang w:val="en-GB"/>
        </w:rPr>
        <w:t>DH</w:t>
      </w:r>
      <w:r w:rsidR="0D0686A1" w:rsidRPr="243E2FF5">
        <w:rPr>
          <w:lang w:val="en-GB"/>
        </w:rPr>
        <w:t xml:space="preserve">A). Different times of growth without iron and </w:t>
      </w:r>
      <w:r w:rsidR="00E56FB2">
        <w:rPr>
          <w:lang w:val="en-GB"/>
        </w:rPr>
        <w:t xml:space="preserve">different </w:t>
      </w:r>
      <w:r w:rsidR="0D0686A1" w:rsidRPr="243E2FF5">
        <w:rPr>
          <w:lang w:val="en-GB"/>
        </w:rPr>
        <w:t>harvesting post-iron addition were also inves</w:t>
      </w:r>
      <w:r w:rsidR="1AE88299" w:rsidRPr="243E2FF5">
        <w:rPr>
          <w:lang w:val="en-GB"/>
        </w:rPr>
        <w:t>tigated.</w:t>
      </w:r>
    </w:p>
    <w:p w:rsidR="005139C1" w:rsidRPr="003E1D82" w:rsidRDefault="5D45958B" w:rsidP="00F86E99">
      <w:pPr>
        <w:pStyle w:val="Titolo"/>
        <w:spacing w:before="240" w:line="240" w:lineRule="auto"/>
        <w:rPr>
          <w:sz w:val="24"/>
          <w:szCs w:val="24"/>
          <w:lang w:val="it-IT"/>
        </w:rPr>
      </w:pPr>
      <w:r w:rsidRPr="01841878">
        <w:rPr>
          <w:sz w:val="24"/>
          <w:szCs w:val="24"/>
          <w:lang w:val="it-IT"/>
        </w:rPr>
        <w:t>Biofortificazione del ferro in avena (</w:t>
      </w:r>
      <w:r w:rsidRPr="01841878">
        <w:rPr>
          <w:i/>
          <w:iCs/>
          <w:sz w:val="24"/>
          <w:szCs w:val="24"/>
          <w:lang w:val="it-IT"/>
        </w:rPr>
        <w:t xml:space="preserve">Avena sativa cv. </w:t>
      </w:r>
      <w:r w:rsidRPr="003E1D82">
        <w:rPr>
          <w:i/>
          <w:iCs/>
          <w:sz w:val="24"/>
          <w:szCs w:val="24"/>
          <w:lang w:val="it-IT"/>
        </w:rPr>
        <w:t>“Prevision”</w:t>
      </w:r>
      <w:r w:rsidRPr="003E1D82">
        <w:rPr>
          <w:sz w:val="24"/>
          <w:szCs w:val="24"/>
          <w:lang w:val="it-IT"/>
        </w:rPr>
        <w:t>) cresciuta in coltura aeroponica</w:t>
      </w:r>
    </w:p>
    <w:p w:rsidR="005139C1" w:rsidRPr="003E1D82" w:rsidRDefault="005139C1" w:rsidP="243E2FF5">
      <w:pPr>
        <w:jc w:val="both"/>
      </w:pPr>
    </w:p>
    <w:p w:rsidR="00E56FB2" w:rsidRPr="00E56FB2" w:rsidRDefault="00E56FB2" w:rsidP="243E2FF5">
      <w:pPr>
        <w:jc w:val="both"/>
      </w:pPr>
      <w:r w:rsidRPr="00E56FB2">
        <w:t>Il presente contributo riporta i</w:t>
      </w:r>
      <w:r>
        <w:t xml:space="preserve"> risultati riguardanti la biofortificazione dell’avena col fine ultimo di aumentare il contenuto totale di ferro nella pianta. Questa pianta, come molte altri monocotiledoni, assorbe il ferro tramite dei composti essudati dalle radici e conosciuti come fitosiderofori. Al fine di aumentare l’assorbimento di ferro, le piante sono lasciate crescere in soluzione nutritiva priva di ferro e quest’ultimo è aggiunto in un secondo momento sotto forma in ferro inorganico (ferro</w:t>
      </w:r>
      <w:r w:rsidR="001B1EBE">
        <w:t xml:space="preserve"> </w:t>
      </w:r>
      <w:r>
        <w:t>(III) ammonio solfato). Questo trattamento è quindi confrontato con la crescita standard con ferro chelato (Fe-ED</w:t>
      </w:r>
      <w:r w:rsidR="007357E0">
        <w:t>DHA</w:t>
      </w:r>
      <w:r>
        <w:t>). Sono anche stati investigati tempi diversi di crescita senza ferro e diversi tempi di raccolta.</w:t>
      </w:r>
    </w:p>
    <w:p w:rsidR="243E2FF5" w:rsidRPr="003B2494" w:rsidRDefault="243E2FF5" w:rsidP="243E2FF5">
      <w:pPr>
        <w:jc w:val="both"/>
        <w:rPr>
          <w:sz w:val="18"/>
          <w:szCs w:val="18"/>
        </w:rPr>
      </w:pPr>
    </w:p>
    <w:p w:rsidR="005139C1" w:rsidRDefault="005139C1" w:rsidP="005139C1">
      <w:pPr>
        <w:ind w:left="567" w:hanging="567"/>
        <w:jc w:val="both"/>
        <w:rPr>
          <w:lang w:val="en-US"/>
        </w:rPr>
      </w:pPr>
      <w:r w:rsidRPr="243E2FF5">
        <w:rPr>
          <w:b/>
          <w:bCs/>
          <w:lang w:val="en-GB"/>
        </w:rPr>
        <w:t>Key words</w:t>
      </w:r>
      <w:r w:rsidRPr="243E2FF5">
        <w:rPr>
          <w:lang w:val="en-GB"/>
        </w:rPr>
        <w:t xml:space="preserve">: </w:t>
      </w:r>
      <w:r w:rsidR="385BA841" w:rsidRPr="243E2FF5">
        <w:rPr>
          <w:lang w:val="en-GB"/>
        </w:rPr>
        <w:t>Biofortification, iron, oats, phytosiderophores, aeroponic growth</w:t>
      </w:r>
      <w:r w:rsidRPr="243E2FF5">
        <w:rPr>
          <w:lang w:val="en-GB"/>
        </w:rPr>
        <w:t>.</w:t>
      </w:r>
    </w:p>
    <w:p w:rsidR="005139C1" w:rsidRDefault="005139C1" w:rsidP="005139C1">
      <w:pPr>
        <w:pStyle w:val="Titolo1"/>
        <w:spacing w:before="240" w:after="120"/>
        <w:ind w:right="0"/>
        <w:jc w:val="both"/>
        <w:rPr>
          <w:b/>
          <w:bCs/>
          <w:color w:val="000000"/>
          <w:sz w:val="24"/>
          <w:lang w:val="en-GB"/>
        </w:rPr>
      </w:pPr>
      <w:r w:rsidRPr="243E2FF5">
        <w:rPr>
          <w:b/>
          <w:bCs/>
          <w:color w:val="000000" w:themeColor="text1"/>
          <w:sz w:val="24"/>
          <w:szCs w:val="24"/>
          <w:lang w:val="en-GB"/>
        </w:rPr>
        <w:t>1. Introduction</w:t>
      </w:r>
    </w:p>
    <w:p w:rsidR="243E2FF5" w:rsidRDefault="003F5832" w:rsidP="00EB75EC">
      <w:pPr>
        <w:jc w:val="both"/>
        <w:rPr>
          <w:lang w:val="en-GB"/>
        </w:rPr>
      </w:pPr>
      <w:r>
        <w:rPr>
          <w:lang w:val="en-GB"/>
        </w:rPr>
        <w:t>T</w:t>
      </w:r>
      <w:r w:rsidR="00605507">
        <w:rPr>
          <w:lang w:val="en-GB"/>
        </w:rPr>
        <w:t xml:space="preserve">he </w:t>
      </w:r>
      <w:r w:rsidR="131735F3" w:rsidRPr="01841878">
        <w:rPr>
          <w:lang w:val="en-GB"/>
        </w:rPr>
        <w:t xml:space="preserve">aim of this part of the PhD project is to </w:t>
      </w:r>
      <w:r w:rsidR="3F433BAD" w:rsidRPr="01841878">
        <w:rPr>
          <w:lang w:val="en-GB"/>
        </w:rPr>
        <w:t>en</w:t>
      </w:r>
      <w:r w:rsidR="003E1D82">
        <w:rPr>
          <w:lang w:val="en-GB"/>
        </w:rPr>
        <w:t>hance</w:t>
      </w:r>
      <w:r w:rsidR="3F433BAD" w:rsidRPr="01841878">
        <w:rPr>
          <w:lang w:val="en-GB"/>
        </w:rPr>
        <w:t xml:space="preserve"> the nutritional content of </w:t>
      </w:r>
      <w:r w:rsidR="00605507">
        <w:rPr>
          <w:lang w:val="en-GB"/>
        </w:rPr>
        <w:t xml:space="preserve">an already established </w:t>
      </w:r>
      <w:r w:rsidR="3F433BAD" w:rsidRPr="01841878">
        <w:rPr>
          <w:lang w:val="en-GB"/>
        </w:rPr>
        <w:t>microgreen</w:t>
      </w:r>
      <w:r>
        <w:rPr>
          <w:lang w:val="en-GB"/>
        </w:rPr>
        <w:t xml:space="preserve"> and in particular its iron content</w:t>
      </w:r>
      <w:r w:rsidR="3F433BAD" w:rsidRPr="01841878">
        <w:rPr>
          <w:lang w:val="en-GB"/>
        </w:rPr>
        <w:t xml:space="preserve">. </w:t>
      </w:r>
      <w:r w:rsidR="41E75631" w:rsidRPr="01841878">
        <w:rPr>
          <w:lang w:val="en-GB"/>
        </w:rPr>
        <w:t>Oat (</w:t>
      </w:r>
      <w:r w:rsidR="41E75631" w:rsidRPr="003F5832">
        <w:rPr>
          <w:i/>
          <w:iCs/>
          <w:lang w:val="en-GB"/>
        </w:rPr>
        <w:t>Avena sativa</w:t>
      </w:r>
      <w:r w:rsidR="41E75631" w:rsidRPr="01841878">
        <w:rPr>
          <w:lang w:val="en-GB"/>
        </w:rPr>
        <w:t xml:space="preserve"> cv. “Prevision”) was chosen because its seeds a</w:t>
      </w:r>
      <w:r w:rsidR="001A0938">
        <w:rPr>
          <w:lang w:val="en-GB"/>
        </w:rPr>
        <w:t>re a</w:t>
      </w:r>
      <w:r w:rsidR="41E75631" w:rsidRPr="01841878">
        <w:rPr>
          <w:lang w:val="en-GB"/>
        </w:rPr>
        <w:t xml:space="preserve"> well-known source of iron</w:t>
      </w:r>
      <w:r w:rsidR="001A0938">
        <w:rPr>
          <w:lang w:val="en-GB"/>
        </w:rPr>
        <w:t xml:space="preserve"> and is</w:t>
      </w:r>
      <w:r w:rsidR="41E75631" w:rsidRPr="01841878">
        <w:rPr>
          <w:lang w:val="en-GB"/>
        </w:rPr>
        <w:t xml:space="preserve"> also gluten-free, </w:t>
      </w:r>
      <w:r w:rsidR="00605507">
        <w:rPr>
          <w:lang w:val="en-GB"/>
        </w:rPr>
        <w:t>making it</w:t>
      </w:r>
      <w:r w:rsidR="41E75631" w:rsidRPr="01841878">
        <w:rPr>
          <w:lang w:val="en-GB"/>
        </w:rPr>
        <w:t xml:space="preserve"> suitable as integrator for many kinds of diets.</w:t>
      </w:r>
      <w:r w:rsidR="6CBDF5DC" w:rsidRPr="01841878">
        <w:rPr>
          <w:lang w:val="en-GB"/>
        </w:rPr>
        <w:t xml:space="preserve"> </w:t>
      </w:r>
      <w:r w:rsidR="00EB75EC">
        <w:rPr>
          <w:lang w:val="en-GB"/>
        </w:rPr>
        <w:t>The results of experiments involving iron starvation to force the release of phytosiderophores indicate that this strategy can be successful to biofortify oats. Economical and production advantages are also briefly discussed in view of the shortening of growing/harvesting cycles that was explored in a second series of experiments. Additionally</w:t>
      </w:r>
      <w:r w:rsidR="001A0938">
        <w:rPr>
          <w:lang w:val="en-GB"/>
        </w:rPr>
        <w:t>,</w:t>
      </w:r>
      <w:r w:rsidR="00EB75EC">
        <w:rPr>
          <w:lang w:val="en-GB"/>
        </w:rPr>
        <w:t xml:space="preserve"> it is hypothesized that this growing </w:t>
      </w:r>
      <w:r w:rsidR="003B2494">
        <w:rPr>
          <w:lang w:val="en-GB"/>
        </w:rPr>
        <w:t>approach can be used for biofortification of other minerals or in co-culturing systems to increase iron content in other iron-inefficient plants.</w:t>
      </w:r>
    </w:p>
    <w:p w:rsidR="243E2FF5" w:rsidRDefault="243E2FF5" w:rsidP="243E2FF5">
      <w:pPr>
        <w:jc w:val="both"/>
        <w:rPr>
          <w:lang w:val="en-GB"/>
        </w:rPr>
      </w:pPr>
    </w:p>
    <w:p w:rsidR="6CBDF5DC" w:rsidRDefault="6CBDF5DC" w:rsidP="243E2FF5">
      <w:pPr>
        <w:pStyle w:val="Titolo1"/>
        <w:spacing w:before="240" w:after="120"/>
        <w:ind w:right="0"/>
        <w:jc w:val="both"/>
        <w:rPr>
          <w:b/>
          <w:bCs/>
          <w:color w:val="000000" w:themeColor="text1"/>
          <w:sz w:val="24"/>
          <w:szCs w:val="24"/>
          <w:lang w:val="en-GB"/>
        </w:rPr>
      </w:pPr>
      <w:r w:rsidRPr="243E2FF5">
        <w:rPr>
          <w:b/>
          <w:bCs/>
          <w:color w:val="000000" w:themeColor="text1"/>
          <w:sz w:val="24"/>
          <w:szCs w:val="24"/>
          <w:lang w:val="en-GB"/>
        </w:rPr>
        <w:t>2. Materials and methods</w:t>
      </w:r>
    </w:p>
    <w:p w:rsidR="78988F42" w:rsidRDefault="78988F42" w:rsidP="01841878">
      <w:pPr>
        <w:jc w:val="both"/>
        <w:rPr>
          <w:lang w:val="en-GB"/>
        </w:rPr>
      </w:pPr>
      <w:r w:rsidRPr="01841878">
        <w:rPr>
          <w:lang w:val="en-GB"/>
        </w:rPr>
        <w:t>Seeds of oats (</w:t>
      </w:r>
      <w:r w:rsidR="3A69A319" w:rsidRPr="01841878">
        <w:rPr>
          <w:i/>
          <w:iCs/>
          <w:lang w:val="en-GB"/>
        </w:rPr>
        <w:t>Avena sativa</w:t>
      </w:r>
      <w:r w:rsidR="3A69A319" w:rsidRPr="01841878">
        <w:rPr>
          <w:lang w:val="en-GB"/>
        </w:rPr>
        <w:t xml:space="preserve"> cultivar “Prevision”</w:t>
      </w:r>
      <w:r w:rsidRPr="01841878">
        <w:rPr>
          <w:lang w:val="en-GB"/>
        </w:rPr>
        <w:t>) were</w:t>
      </w:r>
      <w:r w:rsidR="001749AA">
        <w:rPr>
          <w:lang w:val="en-GB"/>
        </w:rPr>
        <w:t xml:space="preserve"> bought by a commercial seed producer.</w:t>
      </w:r>
      <w:r w:rsidRPr="01841878">
        <w:rPr>
          <w:lang w:val="en-GB"/>
        </w:rPr>
        <w:t xml:space="preserve"> Plants were grown either at the aeroponic plant of Zero s.r.l. in Pordenone or hydroponically at the lab in Conegliano.</w:t>
      </w:r>
      <w:r w:rsidR="0097169F">
        <w:rPr>
          <w:lang w:val="en-GB"/>
        </w:rPr>
        <w:t xml:space="preserve"> “Starvation” experiments were conducted with plants grown for different amounts of time either on a</w:t>
      </w:r>
      <w:r w:rsidR="1C724B4F" w:rsidRPr="01841878">
        <w:rPr>
          <w:lang w:val="en-GB"/>
        </w:rPr>
        <w:t xml:space="preserve"> modified Hoagland nutritive solution</w:t>
      </w:r>
      <w:r w:rsidR="0097169F">
        <w:rPr>
          <w:lang w:val="en-GB"/>
        </w:rPr>
        <w:t xml:space="preserve"> without iron, the same nutritive solution with iron</w:t>
      </w:r>
      <w:r w:rsidR="007064E3">
        <w:rPr>
          <w:lang w:val="en-GB"/>
        </w:rPr>
        <w:t xml:space="preserve"> chelate</w:t>
      </w:r>
      <w:r w:rsidR="0097169F">
        <w:rPr>
          <w:lang w:val="en-GB"/>
        </w:rPr>
        <w:t xml:space="preserve"> or simple osmotized water</w:t>
      </w:r>
      <w:r w:rsidR="1C724B4F" w:rsidRPr="01841878">
        <w:rPr>
          <w:lang w:val="en-GB"/>
        </w:rPr>
        <w:t xml:space="preserve">. </w:t>
      </w:r>
      <w:r w:rsidR="0097169F">
        <w:rPr>
          <w:lang w:val="en-GB"/>
        </w:rPr>
        <w:t>When inorganic iron was added</w:t>
      </w:r>
      <w:r w:rsidR="00EB75EC">
        <w:rPr>
          <w:lang w:val="en-GB"/>
        </w:rPr>
        <w:t>,</w:t>
      </w:r>
      <w:r w:rsidR="0097169F">
        <w:rPr>
          <w:lang w:val="en-GB"/>
        </w:rPr>
        <w:t xml:space="preserve"> it was in the form of </w:t>
      </w:r>
      <w:r w:rsidR="003E1D82">
        <w:rPr>
          <w:lang w:val="en-GB"/>
        </w:rPr>
        <w:t>i</w:t>
      </w:r>
      <w:r w:rsidR="0097169F">
        <w:rPr>
          <w:lang w:val="en-GB"/>
        </w:rPr>
        <w:t>ron</w:t>
      </w:r>
      <w:r w:rsidR="007357E0">
        <w:rPr>
          <w:lang w:val="en-GB"/>
        </w:rPr>
        <w:t xml:space="preserve"> </w:t>
      </w:r>
      <w:r w:rsidR="0097169F">
        <w:rPr>
          <w:lang w:val="en-GB"/>
        </w:rPr>
        <w:t>(III) ammonium sulfate whereas the iron chelate was Fe-ED</w:t>
      </w:r>
      <w:r w:rsidR="001749AA">
        <w:rPr>
          <w:lang w:val="en-GB"/>
        </w:rPr>
        <w:t>DH</w:t>
      </w:r>
      <w:r w:rsidR="0097169F">
        <w:rPr>
          <w:lang w:val="en-GB"/>
        </w:rPr>
        <w:t xml:space="preserve">A. </w:t>
      </w:r>
      <w:r w:rsidR="1C724B4F" w:rsidRPr="01841878">
        <w:rPr>
          <w:lang w:val="en-GB"/>
        </w:rPr>
        <w:t>Hydroponic growth</w:t>
      </w:r>
      <w:r w:rsidR="562A6004" w:rsidRPr="01841878">
        <w:rPr>
          <w:lang w:val="en-GB"/>
        </w:rPr>
        <w:t xml:space="preserve"> </w:t>
      </w:r>
      <w:r w:rsidR="0097169F">
        <w:rPr>
          <w:lang w:val="en-GB"/>
        </w:rPr>
        <w:t>was performed under</w:t>
      </w:r>
      <w:r w:rsidR="562A6004" w:rsidRPr="01841878">
        <w:rPr>
          <w:lang w:val="en-GB"/>
        </w:rPr>
        <w:t xml:space="preserve"> comparable parameters</w:t>
      </w:r>
      <w:r w:rsidR="69FC2AB2" w:rsidRPr="01841878">
        <w:rPr>
          <w:lang w:val="en-GB"/>
        </w:rPr>
        <w:t>, but the nutritive solution was constantly aerated using an aquarium pump and aeration stones.</w:t>
      </w:r>
    </w:p>
    <w:p w:rsidR="243E2FF5" w:rsidRDefault="003F5832" w:rsidP="243E2FF5">
      <w:pPr>
        <w:jc w:val="both"/>
        <w:rPr>
          <w:lang w:val="en-GB"/>
        </w:rPr>
      </w:pPr>
      <w:r>
        <w:rPr>
          <w:lang w:val="en-GB"/>
        </w:rPr>
        <w:t xml:space="preserve">Plant material was desiccated using a desiccator oven for the time needed </w:t>
      </w:r>
      <w:r w:rsidR="00EB75EC">
        <w:rPr>
          <w:lang w:val="en-GB"/>
        </w:rPr>
        <w:t>to reach constant</w:t>
      </w:r>
      <w:r>
        <w:rPr>
          <w:lang w:val="en-GB"/>
        </w:rPr>
        <w:t xml:space="preserve"> weight (usually 3-4 days). The desiccated plants were ground to a fine powder using a coffee grinder and mineralized using a combination of sulfuric acid and hydrogen peroxide. The obtained mineralized samples were analysed by</w:t>
      </w:r>
      <w:r w:rsidR="007064E3">
        <w:rPr>
          <w:lang w:val="en-GB"/>
        </w:rPr>
        <w:t xml:space="preserve"> AAS.</w:t>
      </w:r>
    </w:p>
    <w:p w:rsidR="007064E3" w:rsidRDefault="007064E3" w:rsidP="243E2FF5">
      <w:pPr>
        <w:jc w:val="both"/>
        <w:rPr>
          <w:lang w:val="en-GB"/>
        </w:rPr>
      </w:pPr>
    </w:p>
    <w:p w:rsidR="00F86E99" w:rsidRDefault="00F86E99" w:rsidP="243E2FF5">
      <w:pPr>
        <w:jc w:val="both"/>
        <w:rPr>
          <w:lang w:val="en-GB"/>
        </w:rPr>
      </w:pPr>
    </w:p>
    <w:p w:rsidR="00F86E99" w:rsidRDefault="00F86E99" w:rsidP="243E2FF5">
      <w:pPr>
        <w:jc w:val="both"/>
        <w:rPr>
          <w:lang w:val="en-GB"/>
        </w:rPr>
      </w:pPr>
    </w:p>
    <w:p w:rsidR="00F86E99" w:rsidRDefault="00F86E99" w:rsidP="243E2FF5">
      <w:pPr>
        <w:jc w:val="both"/>
        <w:rPr>
          <w:lang w:val="en-GB"/>
        </w:rPr>
      </w:pPr>
    </w:p>
    <w:p w:rsidR="00F86E99" w:rsidRDefault="00F86E99" w:rsidP="243E2FF5">
      <w:pPr>
        <w:jc w:val="both"/>
        <w:rPr>
          <w:lang w:val="en-GB"/>
        </w:rPr>
      </w:pPr>
    </w:p>
    <w:p w:rsidR="00F86E99" w:rsidRDefault="00F86E99" w:rsidP="243E2FF5">
      <w:pPr>
        <w:jc w:val="both"/>
        <w:rPr>
          <w:lang w:val="en-GB"/>
        </w:rPr>
      </w:pPr>
    </w:p>
    <w:p w:rsidR="00F86E99" w:rsidRDefault="00F86E99" w:rsidP="243E2FF5">
      <w:pPr>
        <w:jc w:val="both"/>
        <w:rPr>
          <w:lang w:val="en-GB"/>
        </w:rPr>
      </w:pPr>
    </w:p>
    <w:p w:rsidR="00F86E99" w:rsidRDefault="00F86E99" w:rsidP="243E2FF5">
      <w:pPr>
        <w:jc w:val="both"/>
        <w:rPr>
          <w:lang w:val="en-GB"/>
        </w:rPr>
      </w:pPr>
    </w:p>
    <w:p w:rsidR="00F86E99" w:rsidRDefault="00F86E99" w:rsidP="243E2FF5">
      <w:pPr>
        <w:jc w:val="both"/>
        <w:rPr>
          <w:lang w:val="en-GB"/>
        </w:rPr>
      </w:pPr>
    </w:p>
    <w:p w:rsidR="6CBDF5DC" w:rsidRDefault="00FE6863" w:rsidP="243E2FF5">
      <w:pPr>
        <w:pStyle w:val="Titolo1"/>
        <w:spacing w:before="240" w:after="120"/>
        <w:ind w:right="0"/>
        <w:jc w:val="both"/>
        <w:rPr>
          <w:b/>
          <w:bCs/>
          <w:color w:val="000000" w:themeColor="text1"/>
          <w:sz w:val="24"/>
          <w:szCs w:val="24"/>
          <w:lang w:val="en-GB"/>
        </w:rPr>
      </w:pPr>
      <w:r w:rsidRPr="00FE6863">
        <w:rPr>
          <w:noProof/>
          <w:lang w:val="en-GB"/>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17.35pt;margin-top:74.4pt;width:233.85pt;height:171.3pt;z-index:251659264;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" stroked="f">
            <v:textbox>
              <w:txbxContent>
                <w:p w:rsidR="00212AF8" w:rsidRPr="007064E3" w:rsidRDefault="00212AF8" w:rsidP="007064E3">
                  <w:pPr>
                    <w:spacing w:before="300" w:after="120"/>
                    <w:rPr>
                      <w:sz w:val="18"/>
                      <w:szCs w:val="18"/>
                      <w:lang w:val="en-US"/>
                    </w:rPr>
                  </w:pPr>
                  <w:r w:rsidRPr="007064E3">
                    <w:rPr>
                      <w:b/>
                      <w:bCs/>
                      <w:sz w:val="18"/>
                      <w:szCs w:val="18"/>
                      <w:lang w:val="en-US"/>
                    </w:rPr>
                    <w:t>Table 2</w:t>
                  </w:r>
                  <w:r w:rsidRPr="007064E3">
                    <w:rPr>
                      <w:sz w:val="18"/>
                      <w:szCs w:val="18"/>
                      <w:lang w:val="en-US"/>
                    </w:rPr>
                    <w:t xml:space="preserve">: </w:t>
                  </w:r>
                  <w:r w:rsidRPr="007064E3">
                    <w:rPr>
                      <w:i/>
                      <w:iCs/>
                      <w:sz w:val="18"/>
                      <w:szCs w:val="18"/>
                      <w:lang w:val="en-US"/>
                    </w:rPr>
                    <w:t>Avena sativa</w:t>
                  </w:r>
                  <w:r w:rsidRPr="007064E3">
                    <w:rPr>
                      <w:sz w:val="18"/>
                      <w:szCs w:val="18"/>
                      <w:lang w:val="en-US"/>
                    </w:rPr>
                    <w:t xml:space="preserve"> cv. “Prevision” iron content under different growing conditions. Iron was supplied as inorganic iron at 11 mg/L</w:t>
                  </w:r>
                </w:p>
                <w:tbl>
                  <w:tblPr>
                    <w:tblStyle w:val="Grigliatabella"/>
                    <w:tblW w:w="0" w:type="auto"/>
                    <w:jc w:val="center"/>
                    <w:tblLook w:val="04A0"/>
                  </w:tblPr>
                  <w:tblGrid>
                    <w:gridCol w:w="3117"/>
                    <w:gridCol w:w="1487"/>
                  </w:tblGrid>
                  <w:tr w:rsidR="00132D73" w:rsidRPr="007357E0" w:rsidTr="00DC69D9">
                    <w:trPr>
                      <w:jc w:val="center"/>
                    </w:trPr>
                    <w:tc>
                      <w:tcPr>
                        <w:tcW w:w="3334" w:type="dxa"/>
                        <w:vAlign w:val="center"/>
                      </w:tcPr>
                      <w:p w:rsidR="00212AF8" w:rsidRPr="007064E3" w:rsidRDefault="00212AF8" w:rsidP="00212AF8">
                        <w:pPr>
                          <w:jc w:val="center"/>
                          <w:rPr>
                            <w:sz w:val="18"/>
                            <w:szCs w:val="18"/>
                            <w:lang w:val="en-GB"/>
                          </w:rPr>
                        </w:pPr>
                        <w:r w:rsidRPr="007064E3">
                          <w:rPr>
                            <w:sz w:val="18"/>
                            <w:szCs w:val="18"/>
                            <w:lang w:val="en-GB"/>
                          </w:rPr>
                          <w:t>Treatment type</w:t>
                        </w:r>
                      </w:p>
                    </w:tc>
                    <w:tc>
                      <w:tcPr>
                        <w:tcW w:w="1544" w:type="dxa"/>
                        <w:vAlign w:val="center"/>
                      </w:tcPr>
                      <w:p w:rsidR="00212AF8" w:rsidRPr="007064E3" w:rsidRDefault="00212AF8" w:rsidP="00212AF8">
                        <w:pPr>
                          <w:jc w:val="center"/>
                          <w:rPr>
                            <w:sz w:val="18"/>
                            <w:szCs w:val="18"/>
                            <w:lang w:val="en-GB"/>
                          </w:rPr>
                        </w:pPr>
                        <w:r w:rsidRPr="007064E3">
                          <w:rPr>
                            <w:sz w:val="18"/>
                            <w:szCs w:val="18"/>
                            <w:lang w:val="en-GB"/>
                          </w:rPr>
                          <w:t>Iron content</w:t>
                        </w:r>
                      </w:p>
                      <w:p w:rsidR="00212AF8" w:rsidRPr="007064E3" w:rsidRDefault="00212AF8" w:rsidP="00212AF8">
                        <w:pPr>
                          <w:jc w:val="center"/>
                          <w:rPr>
                            <w:sz w:val="18"/>
                            <w:szCs w:val="18"/>
                            <w:lang w:val="en-GB"/>
                          </w:rPr>
                        </w:pPr>
                        <w:r w:rsidRPr="007064E3">
                          <w:rPr>
                            <w:sz w:val="18"/>
                            <w:szCs w:val="18"/>
                            <w:lang w:val="en-GB"/>
                          </w:rPr>
                          <w:t>(mg/100g DW)</w:t>
                        </w:r>
                      </w:p>
                    </w:tc>
                  </w:tr>
                  <w:tr w:rsidR="00132D73" w:rsidRPr="007357E0" w:rsidTr="00DC69D9">
                    <w:trPr>
                      <w:jc w:val="center"/>
                    </w:trPr>
                    <w:tc>
                      <w:tcPr>
                        <w:tcW w:w="3334" w:type="dxa"/>
                        <w:vAlign w:val="center"/>
                      </w:tcPr>
                      <w:p w:rsidR="00212AF8" w:rsidRPr="007064E3" w:rsidRDefault="00212AF8" w:rsidP="00212AF8">
                        <w:pPr>
                          <w:rPr>
                            <w:sz w:val="18"/>
                            <w:szCs w:val="18"/>
                            <w:lang w:val="en-GB"/>
                          </w:rPr>
                        </w:pPr>
                        <w:r w:rsidRPr="007064E3">
                          <w:rPr>
                            <w:sz w:val="18"/>
                            <w:szCs w:val="18"/>
                            <w:lang w:val="en-GB"/>
                          </w:rPr>
                          <w:t>7 days iron-free nutritive solution</w:t>
                        </w:r>
                      </w:p>
                    </w:tc>
                    <w:tc>
                      <w:tcPr>
                        <w:tcW w:w="1544" w:type="dxa"/>
                        <w:vAlign w:val="center"/>
                      </w:tcPr>
                      <w:p w:rsidR="00212AF8" w:rsidRPr="007064E3" w:rsidRDefault="00212AF8" w:rsidP="00212AF8">
                        <w:pPr>
                          <w:jc w:val="center"/>
                          <w:rPr>
                            <w:sz w:val="18"/>
                            <w:szCs w:val="18"/>
                            <w:lang w:val="en-GB"/>
                          </w:rPr>
                        </w:pPr>
                      </w:p>
                    </w:tc>
                  </w:tr>
                  <w:tr w:rsidR="00132D73" w:rsidRPr="007C6093" w:rsidTr="00DC69D9">
                    <w:trPr>
                      <w:jc w:val="center"/>
                    </w:trPr>
                    <w:tc>
                      <w:tcPr>
                        <w:tcW w:w="3334" w:type="dxa"/>
                        <w:vAlign w:val="center"/>
                      </w:tcPr>
                      <w:p w:rsidR="00212AF8" w:rsidRPr="007064E3" w:rsidRDefault="00212AF8" w:rsidP="00212AF8">
                        <w:pPr>
                          <w:rPr>
                            <w:sz w:val="18"/>
                            <w:szCs w:val="18"/>
                            <w:lang w:val="en-US"/>
                          </w:rPr>
                        </w:pPr>
                        <w:r w:rsidRPr="007064E3">
                          <w:rPr>
                            <w:sz w:val="18"/>
                            <w:szCs w:val="18"/>
                            <w:lang w:val="en-US"/>
                          </w:rPr>
                          <w:t xml:space="preserve">     1 day after iron addition</w:t>
                        </w:r>
                      </w:p>
                    </w:tc>
                    <w:tc>
                      <w:tcPr>
                        <w:tcW w:w="1544" w:type="dxa"/>
                        <w:vAlign w:val="center"/>
                      </w:tcPr>
                      <w:p w:rsidR="00212AF8" w:rsidRPr="007064E3" w:rsidRDefault="00212AF8" w:rsidP="00212AF8">
                        <w:pPr>
                          <w:jc w:val="center"/>
                          <w:rPr>
                            <w:sz w:val="18"/>
                            <w:szCs w:val="18"/>
                            <w:lang w:val="en-US"/>
                          </w:rPr>
                        </w:pPr>
                        <w:r w:rsidRPr="007064E3">
                          <w:rPr>
                            <w:sz w:val="18"/>
                            <w:szCs w:val="18"/>
                            <w:lang w:val="en-US"/>
                          </w:rPr>
                          <w:t>15,9</w:t>
                        </w:r>
                      </w:p>
                    </w:tc>
                  </w:tr>
                  <w:tr w:rsidR="00132D73" w:rsidRPr="007C6093" w:rsidTr="00DC69D9">
                    <w:trPr>
                      <w:jc w:val="center"/>
                    </w:trPr>
                    <w:tc>
                      <w:tcPr>
                        <w:tcW w:w="3334" w:type="dxa"/>
                        <w:vAlign w:val="center"/>
                      </w:tcPr>
                      <w:p w:rsidR="00212AF8" w:rsidRPr="007064E3" w:rsidRDefault="00212AF8" w:rsidP="00212AF8">
                        <w:pPr>
                          <w:rPr>
                            <w:sz w:val="18"/>
                            <w:szCs w:val="18"/>
                            <w:lang w:val="en-US"/>
                          </w:rPr>
                        </w:pPr>
                        <w:r w:rsidRPr="007064E3">
                          <w:rPr>
                            <w:sz w:val="18"/>
                            <w:szCs w:val="18"/>
                            <w:lang w:val="en-US"/>
                          </w:rPr>
                          <w:t xml:space="preserve">     2 days after iron addition</w:t>
                        </w:r>
                      </w:p>
                    </w:tc>
                    <w:tc>
                      <w:tcPr>
                        <w:tcW w:w="1544" w:type="dxa"/>
                        <w:vAlign w:val="center"/>
                      </w:tcPr>
                      <w:p w:rsidR="00212AF8" w:rsidRPr="007064E3" w:rsidRDefault="00212AF8" w:rsidP="00212AF8">
                        <w:pPr>
                          <w:jc w:val="center"/>
                          <w:rPr>
                            <w:sz w:val="18"/>
                            <w:szCs w:val="18"/>
                            <w:lang w:val="en-US"/>
                          </w:rPr>
                        </w:pPr>
                        <w:r w:rsidRPr="007064E3">
                          <w:rPr>
                            <w:sz w:val="18"/>
                            <w:szCs w:val="18"/>
                            <w:lang w:val="en-US"/>
                          </w:rPr>
                          <w:t>23,8</w:t>
                        </w:r>
                      </w:p>
                    </w:tc>
                  </w:tr>
                  <w:tr w:rsidR="00132D73" w:rsidRPr="007C6093" w:rsidTr="00DC69D9">
                    <w:trPr>
                      <w:jc w:val="center"/>
                    </w:trPr>
                    <w:tc>
                      <w:tcPr>
                        <w:tcW w:w="3334" w:type="dxa"/>
                        <w:vAlign w:val="center"/>
                      </w:tcPr>
                      <w:p w:rsidR="00212AF8" w:rsidRPr="007064E3" w:rsidRDefault="00212AF8" w:rsidP="00212AF8">
                        <w:pPr>
                          <w:rPr>
                            <w:sz w:val="18"/>
                            <w:szCs w:val="18"/>
                            <w:lang w:val="en-US"/>
                          </w:rPr>
                        </w:pPr>
                        <w:r w:rsidRPr="007064E3">
                          <w:rPr>
                            <w:sz w:val="18"/>
                            <w:szCs w:val="18"/>
                            <w:lang w:val="en-US"/>
                          </w:rPr>
                          <w:t xml:space="preserve">     4 days after iron addition</w:t>
                        </w:r>
                      </w:p>
                    </w:tc>
                    <w:tc>
                      <w:tcPr>
                        <w:tcW w:w="1544" w:type="dxa"/>
                        <w:vAlign w:val="center"/>
                      </w:tcPr>
                      <w:p w:rsidR="00212AF8" w:rsidRPr="007064E3" w:rsidRDefault="00212AF8" w:rsidP="00212AF8">
                        <w:pPr>
                          <w:jc w:val="center"/>
                          <w:rPr>
                            <w:sz w:val="18"/>
                            <w:szCs w:val="18"/>
                            <w:lang w:val="en-US"/>
                          </w:rPr>
                        </w:pPr>
                        <w:r w:rsidRPr="007064E3">
                          <w:rPr>
                            <w:sz w:val="18"/>
                            <w:szCs w:val="18"/>
                            <w:lang w:val="en-US"/>
                          </w:rPr>
                          <w:t>37,2</w:t>
                        </w:r>
                      </w:p>
                    </w:tc>
                  </w:tr>
                  <w:tr w:rsidR="00132D73" w:rsidRPr="007C6093" w:rsidTr="00DC69D9">
                    <w:trPr>
                      <w:jc w:val="center"/>
                    </w:trPr>
                    <w:tc>
                      <w:tcPr>
                        <w:tcW w:w="3334" w:type="dxa"/>
                        <w:vAlign w:val="center"/>
                      </w:tcPr>
                      <w:p w:rsidR="00212AF8" w:rsidRPr="007064E3" w:rsidRDefault="00212AF8" w:rsidP="00212AF8">
                        <w:pPr>
                          <w:rPr>
                            <w:sz w:val="18"/>
                            <w:szCs w:val="18"/>
                            <w:lang w:val="en-US"/>
                          </w:rPr>
                        </w:pPr>
                        <w:r w:rsidRPr="007064E3">
                          <w:rPr>
                            <w:sz w:val="18"/>
                            <w:szCs w:val="18"/>
                            <w:lang w:val="en-GB"/>
                          </w:rPr>
                          <w:t>7 days osmotized water</w:t>
                        </w:r>
                      </w:p>
                    </w:tc>
                    <w:tc>
                      <w:tcPr>
                        <w:tcW w:w="1544" w:type="dxa"/>
                        <w:vAlign w:val="center"/>
                      </w:tcPr>
                      <w:p w:rsidR="00212AF8" w:rsidRPr="007064E3" w:rsidRDefault="00212AF8" w:rsidP="00212AF8">
                        <w:pPr>
                          <w:jc w:val="center"/>
                          <w:rPr>
                            <w:sz w:val="18"/>
                            <w:szCs w:val="18"/>
                            <w:lang w:val="en-US"/>
                          </w:rPr>
                        </w:pPr>
                      </w:p>
                    </w:tc>
                  </w:tr>
                  <w:tr w:rsidR="00132D73" w:rsidRPr="007C6093" w:rsidTr="00DC69D9">
                    <w:trPr>
                      <w:jc w:val="center"/>
                    </w:trPr>
                    <w:tc>
                      <w:tcPr>
                        <w:tcW w:w="3334" w:type="dxa"/>
                        <w:vAlign w:val="center"/>
                      </w:tcPr>
                      <w:p w:rsidR="00212AF8" w:rsidRPr="007064E3" w:rsidRDefault="00212AF8" w:rsidP="00212AF8">
                        <w:pPr>
                          <w:rPr>
                            <w:sz w:val="18"/>
                            <w:szCs w:val="18"/>
                            <w:lang w:val="en-US"/>
                          </w:rPr>
                        </w:pPr>
                        <w:r w:rsidRPr="007064E3">
                          <w:rPr>
                            <w:sz w:val="18"/>
                            <w:szCs w:val="18"/>
                            <w:lang w:val="en-US"/>
                          </w:rPr>
                          <w:t xml:space="preserve">     1 day after iron addition</w:t>
                        </w:r>
                      </w:p>
                    </w:tc>
                    <w:tc>
                      <w:tcPr>
                        <w:tcW w:w="1544" w:type="dxa"/>
                        <w:vAlign w:val="center"/>
                      </w:tcPr>
                      <w:p w:rsidR="00212AF8" w:rsidRPr="007064E3" w:rsidRDefault="00212AF8" w:rsidP="00212AF8">
                        <w:pPr>
                          <w:jc w:val="center"/>
                          <w:rPr>
                            <w:sz w:val="18"/>
                            <w:szCs w:val="18"/>
                            <w:lang w:val="en-US"/>
                          </w:rPr>
                        </w:pPr>
                        <w:r w:rsidRPr="007064E3">
                          <w:rPr>
                            <w:sz w:val="18"/>
                            <w:szCs w:val="18"/>
                            <w:lang w:val="en-US"/>
                          </w:rPr>
                          <w:t>38,4</w:t>
                        </w:r>
                      </w:p>
                    </w:tc>
                  </w:tr>
                  <w:tr w:rsidR="00132D73" w:rsidRPr="007C6093" w:rsidTr="00DC69D9">
                    <w:trPr>
                      <w:jc w:val="center"/>
                    </w:trPr>
                    <w:tc>
                      <w:tcPr>
                        <w:tcW w:w="3334" w:type="dxa"/>
                        <w:vAlign w:val="center"/>
                      </w:tcPr>
                      <w:p w:rsidR="00212AF8" w:rsidRPr="007064E3" w:rsidRDefault="00212AF8" w:rsidP="00212AF8">
                        <w:pPr>
                          <w:rPr>
                            <w:sz w:val="18"/>
                            <w:szCs w:val="18"/>
                            <w:lang w:val="en-US"/>
                          </w:rPr>
                        </w:pPr>
                        <w:r w:rsidRPr="007064E3">
                          <w:rPr>
                            <w:sz w:val="18"/>
                            <w:szCs w:val="18"/>
                            <w:lang w:val="en-US"/>
                          </w:rPr>
                          <w:t xml:space="preserve">     2 days after iron addition</w:t>
                        </w:r>
                      </w:p>
                    </w:tc>
                    <w:tc>
                      <w:tcPr>
                        <w:tcW w:w="1544" w:type="dxa"/>
                        <w:vAlign w:val="center"/>
                      </w:tcPr>
                      <w:p w:rsidR="00212AF8" w:rsidRPr="007064E3" w:rsidRDefault="00212AF8" w:rsidP="00212AF8">
                        <w:pPr>
                          <w:jc w:val="center"/>
                          <w:rPr>
                            <w:sz w:val="18"/>
                            <w:szCs w:val="18"/>
                            <w:lang w:val="en-US"/>
                          </w:rPr>
                        </w:pPr>
                        <w:r w:rsidRPr="007064E3">
                          <w:rPr>
                            <w:sz w:val="18"/>
                            <w:szCs w:val="18"/>
                            <w:lang w:val="en-US"/>
                          </w:rPr>
                          <w:t>43,0</w:t>
                        </w:r>
                      </w:p>
                    </w:tc>
                  </w:tr>
                  <w:tr w:rsidR="00132D73" w:rsidRPr="007C6093" w:rsidTr="00DC69D9">
                    <w:trPr>
                      <w:jc w:val="center"/>
                    </w:trPr>
                    <w:tc>
                      <w:tcPr>
                        <w:tcW w:w="3334" w:type="dxa"/>
                        <w:vAlign w:val="center"/>
                      </w:tcPr>
                      <w:p w:rsidR="00212AF8" w:rsidRPr="007064E3" w:rsidRDefault="00212AF8" w:rsidP="00212AF8">
                        <w:pPr>
                          <w:rPr>
                            <w:sz w:val="18"/>
                            <w:szCs w:val="18"/>
                            <w:lang w:val="en-US"/>
                          </w:rPr>
                        </w:pPr>
                        <w:r w:rsidRPr="007064E3">
                          <w:rPr>
                            <w:sz w:val="18"/>
                            <w:szCs w:val="18"/>
                            <w:lang w:val="en-US"/>
                          </w:rPr>
                          <w:t xml:space="preserve">     4 days after iron addition</w:t>
                        </w:r>
                      </w:p>
                    </w:tc>
                    <w:tc>
                      <w:tcPr>
                        <w:tcW w:w="1544" w:type="dxa"/>
                        <w:vAlign w:val="center"/>
                      </w:tcPr>
                      <w:p w:rsidR="00212AF8" w:rsidRPr="007064E3" w:rsidRDefault="00212AF8" w:rsidP="00212AF8">
                        <w:pPr>
                          <w:jc w:val="center"/>
                          <w:rPr>
                            <w:sz w:val="18"/>
                            <w:szCs w:val="18"/>
                            <w:lang w:val="en-US"/>
                          </w:rPr>
                        </w:pPr>
                        <w:r w:rsidRPr="007064E3">
                          <w:rPr>
                            <w:sz w:val="18"/>
                            <w:szCs w:val="18"/>
                            <w:lang w:val="en-US"/>
                          </w:rPr>
                          <w:t>60,9</w:t>
                        </w:r>
                      </w:p>
                    </w:tc>
                  </w:tr>
                </w:tbl>
                <w:p w:rsidR="00212AF8" w:rsidRPr="00212AF8" w:rsidRDefault="00212AF8">
                  <w:pPr>
                    <w:rPr>
                      <w:lang w:val="en-US"/>
                    </w:rPr>
                  </w:pPr>
                </w:p>
              </w:txbxContent>
            </v:textbox>
            <w10:wrap type="square" anchory="page"/>
          </v:shape>
        </w:pict>
      </w:r>
      <w:r w:rsidRPr="00FE6863">
        <w:rPr>
          <w:noProof/>
          <w:lang w:val="en-GB"/>
        </w:rPr>
        <w:pict>
          <v:shape id="_x0000_s1027" type="#_x0000_t202" style="position:absolute;left:0;text-align:left;margin-left:.75pt;margin-top:74.4pt;width:215.85pt;height:126.3pt;z-index:25166131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" stroked="f">
            <v:textbox>
              <w:txbxContent>
                <w:p w:rsidR="00212AF8" w:rsidRPr="007064E3" w:rsidRDefault="00212AF8" w:rsidP="007064E3">
                  <w:pPr>
                    <w:spacing w:before="300" w:after="120"/>
                    <w:rPr>
                      <w:sz w:val="18"/>
                      <w:szCs w:val="18"/>
                    </w:rPr>
                  </w:pPr>
                  <w:r w:rsidRPr="007064E3">
                    <w:rPr>
                      <w:b/>
                      <w:bCs/>
                      <w:sz w:val="18"/>
                      <w:szCs w:val="18"/>
                    </w:rPr>
                    <w:t>Table 1</w:t>
                  </w:r>
                  <w:r w:rsidRPr="007064E3">
                    <w:rPr>
                      <w:sz w:val="18"/>
                      <w:szCs w:val="18"/>
                    </w:rPr>
                    <w:t xml:space="preserve">: </w:t>
                  </w:r>
                  <w:r w:rsidRPr="007064E3">
                    <w:rPr>
                      <w:i/>
                      <w:iCs/>
                      <w:sz w:val="18"/>
                      <w:szCs w:val="18"/>
                    </w:rPr>
                    <w:t>Avena sativa</w:t>
                  </w:r>
                  <w:r w:rsidRPr="007064E3">
                    <w:rPr>
                      <w:sz w:val="18"/>
                      <w:szCs w:val="18"/>
                    </w:rPr>
                    <w:t xml:space="preserve"> “Scura” iron content under different iron fertilization</w:t>
                  </w:r>
                </w:p>
                <w:tbl>
                  <w:tblPr>
                    <w:tblStyle w:val="Grigliatabella"/>
                    <w:tblW w:w="0" w:type="auto"/>
                    <w:jc w:val="center"/>
                    <w:tblLook w:val="04A0"/>
                  </w:tblPr>
                  <w:tblGrid>
                    <w:gridCol w:w="2849"/>
                    <w:gridCol w:w="1395"/>
                  </w:tblGrid>
                  <w:tr w:rsidR="00212AF8" w:rsidRPr="007357E0" w:rsidTr="00DC69D9">
                    <w:trPr>
                      <w:jc w:val="center"/>
                    </w:trPr>
                    <w:tc>
                      <w:tcPr>
                        <w:tcW w:w="3440" w:type="dxa"/>
                        <w:vAlign w:val="center"/>
                      </w:tcPr>
                      <w:p w:rsidR="00212AF8" w:rsidRPr="007064E3" w:rsidRDefault="00212AF8" w:rsidP="00212AF8">
                        <w:pPr>
                          <w:jc w:val="center"/>
                          <w:rPr>
                            <w:sz w:val="18"/>
                            <w:szCs w:val="18"/>
                            <w:lang w:val="en-GB"/>
                          </w:rPr>
                        </w:pPr>
                        <w:r w:rsidRPr="007064E3">
                          <w:rPr>
                            <w:sz w:val="18"/>
                            <w:szCs w:val="18"/>
                            <w:lang w:val="en-GB"/>
                          </w:rPr>
                          <w:t>Treatment type</w:t>
                        </w:r>
                      </w:p>
                    </w:tc>
                    <w:tc>
                      <w:tcPr>
                        <w:tcW w:w="1544" w:type="dxa"/>
                        <w:vAlign w:val="center"/>
                      </w:tcPr>
                      <w:p w:rsidR="00212AF8" w:rsidRPr="007064E3" w:rsidRDefault="00212AF8" w:rsidP="00212AF8">
                        <w:pPr>
                          <w:jc w:val="center"/>
                          <w:rPr>
                            <w:sz w:val="18"/>
                            <w:szCs w:val="18"/>
                            <w:lang w:val="en-GB"/>
                          </w:rPr>
                        </w:pPr>
                        <w:r w:rsidRPr="007064E3">
                          <w:rPr>
                            <w:sz w:val="18"/>
                            <w:szCs w:val="18"/>
                            <w:lang w:val="en-GB"/>
                          </w:rPr>
                          <w:t>Iron content</w:t>
                        </w:r>
                      </w:p>
                      <w:p w:rsidR="00212AF8" w:rsidRPr="007064E3" w:rsidRDefault="00212AF8" w:rsidP="00212AF8">
                        <w:pPr>
                          <w:jc w:val="center"/>
                          <w:rPr>
                            <w:sz w:val="18"/>
                            <w:szCs w:val="18"/>
                            <w:lang w:val="en-GB"/>
                          </w:rPr>
                        </w:pPr>
                        <w:r w:rsidRPr="007064E3">
                          <w:rPr>
                            <w:sz w:val="18"/>
                            <w:szCs w:val="18"/>
                            <w:lang w:val="en-GB"/>
                          </w:rPr>
                          <w:t>(mg/100g DW)</w:t>
                        </w:r>
                      </w:p>
                    </w:tc>
                  </w:tr>
                  <w:tr w:rsidR="00212AF8" w:rsidTr="00DC69D9">
                    <w:trPr>
                      <w:jc w:val="center"/>
                    </w:trPr>
                    <w:tc>
                      <w:tcPr>
                        <w:tcW w:w="3440" w:type="dxa"/>
                        <w:vAlign w:val="center"/>
                      </w:tcPr>
                      <w:p w:rsidR="00212AF8" w:rsidRPr="007064E3" w:rsidRDefault="00212AF8" w:rsidP="00212AF8">
                        <w:pPr>
                          <w:rPr>
                            <w:sz w:val="18"/>
                            <w:szCs w:val="18"/>
                            <w:lang w:val="en-GB"/>
                          </w:rPr>
                        </w:pPr>
                        <w:r w:rsidRPr="007064E3">
                          <w:rPr>
                            <w:sz w:val="18"/>
                            <w:szCs w:val="18"/>
                            <w:lang w:val="en-GB"/>
                          </w:rPr>
                          <w:t>7 days no iron</w:t>
                        </w:r>
                      </w:p>
                    </w:tc>
                    <w:tc>
                      <w:tcPr>
                        <w:tcW w:w="1544" w:type="dxa"/>
                        <w:vAlign w:val="center"/>
                      </w:tcPr>
                      <w:p w:rsidR="00212AF8" w:rsidRPr="007064E3" w:rsidRDefault="00212AF8" w:rsidP="00212AF8">
                        <w:pPr>
                          <w:jc w:val="center"/>
                          <w:rPr>
                            <w:sz w:val="18"/>
                            <w:szCs w:val="18"/>
                            <w:lang w:val="en-GB"/>
                          </w:rPr>
                        </w:pPr>
                        <w:r w:rsidRPr="007064E3">
                          <w:rPr>
                            <w:sz w:val="18"/>
                            <w:szCs w:val="18"/>
                            <w:lang w:val="en-GB"/>
                          </w:rPr>
                          <w:t>10,6</w:t>
                        </w:r>
                      </w:p>
                    </w:tc>
                  </w:tr>
                  <w:tr w:rsidR="00212AF8" w:rsidRPr="007C6093" w:rsidTr="00DC69D9">
                    <w:trPr>
                      <w:jc w:val="center"/>
                    </w:trPr>
                    <w:tc>
                      <w:tcPr>
                        <w:tcW w:w="3440" w:type="dxa"/>
                        <w:vAlign w:val="center"/>
                      </w:tcPr>
                      <w:p w:rsidR="00212AF8" w:rsidRPr="007064E3" w:rsidRDefault="00212AF8" w:rsidP="00212AF8">
                        <w:pPr>
                          <w:rPr>
                            <w:sz w:val="18"/>
                            <w:szCs w:val="18"/>
                            <w:lang w:val="en-US"/>
                          </w:rPr>
                        </w:pPr>
                        <w:r w:rsidRPr="007064E3">
                          <w:rPr>
                            <w:sz w:val="18"/>
                            <w:szCs w:val="18"/>
                            <w:lang w:val="en-US"/>
                          </w:rPr>
                          <w:t xml:space="preserve">     + 5 days 1,2 mg/L Fe-HBED</w:t>
                        </w:r>
                      </w:p>
                    </w:tc>
                    <w:tc>
                      <w:tcPr>
                        <w:tcW w:w="1544" w:type="dxa"/>
                        <w:vAlign w:val="center"/>
                      </w:tcPr>
                      <w:p w:rsidR="00212AF8" w:rsidRPr="007064E3" w:rsidRDefault="00212AF8" w:rsidP="00212AF8">
                        <w:pPr>
                          <w:jc w:val="center"/>
                          <w:rPr>
                            <w:sz w:val="18"/>
                            <w:szCs w:val="18"/>
                            <w:lang w:val="en-US"/>
                          </w:rPr>
                        </w:pPr>
                        <w:r w:rsidRPr="007064E3">
                          <w:rPr>
                            <w:sz w:val="18"/>
                            <w:szCs w:val="18"/>
                            <w:lang w:val="en-US"/>
                          </w:rPr>
                          <w:t>13,6</w:t>
                        </w:r>
                      </w:p>
                    </w:tc>
                  </w:tr>
                  <w:tr w:rsidR="00212AF8" w:rsidRPr="007C6093" w:rsidTr="00DC69D9">
                    <w:trPr>
                      <w:jc w:val="center"/>
                    </w:trPr>
                    <w:tc>
                      <w:tcPr>
                        <w:tcW w:w="3440" w:type="dxa"/>
                        <w:vAlign w:val="center"/>
                      </w:tcPr>
                      <w:p w:rsidR="00212AF8" w:rsidRPr="007064E3" w:rsidRDefault="00212AF8" w:rsidP="00212AF8">
                        <w:pPr>
                          <w:rPr>
                            <w:sz w:val="18"/>
                            <w:szCs w:val="18"/>
                            <w:lang w:val="en-US"/>
                          </w:rPr>
                        </w:pPr>
                        <w:r w:rsidRPr="007064E3">
                          <w:rPr>
                            <w:sz w:val="18"/>
                            <w:szCs w:val="18"/>
                            <w:lang w:val="en-US"/>
                          </w:rPr>
                          <w:t>7 days 1,2 mg/L Fe-HBED</w:t>
                        </w:r>
                      </w:p>
                    </w:tc>
                    <w:tc>
                      <w:tcPr>
                        <w:tcW w:w="1544" w:type="dxa"/>
                        <w:vAlign w:val="center"/>
                      </w:tcPr>
                      <w:p w:rsidR="00212AF8" w:rsidRPr="007064E3" w:rsidRDefault="00212AF8" w:rsidP="00212AF8">
                        <w:pPr>
                          <w:jc w:val="center"/>
                          <w:rPr>
                            <w:sz w:val="18"/>
                            <w:szCs w:val="18"/>
                            <w:lang w:val="en-US"/>
                          </w:rPr>
                        </w:pPr>
                        <w:r w:rsidRPr="007064E3">
                          <w:rPr>
                            <w:sz w:val="18"/>
                            <w:szCs w:val="18"/>
                            <w:lang w:val="en-US"/>
                          </w:rPr>
                          <w:t>11,3</w:t>
                        </w:r>
                      </w:p>
                    </w:tc>
                  </w:tr>
                  <w:tr w:rsidR="00212AF8" w:rsidRPr="007C6093" w:rsidTr="00DC69D9">
                    <w:trPr>
                      <w:jc w:val="center"/>
                    </w:trPr>
                    <w:tc>
                      <w:tcPr>
                        <w:tcW w:w="3440" w:type="dxa"/>
                        <w:vAlign w:val="center"/>
                      </w:tcPr>
                      <w:p w:rsidR="00212AF8" w:rsidRPr="007064E3" w:rsidRDefault="00212AF8" w:rsidP="00212AF8">
                        <w:pPr>
                          <w:rPr>
                            <w:sz w:val="18"/>
                            <w:szCs w:val="18"/>
                            <w:lang w:val="en-US"/>
                          </w:rPr>
                        </w:pPr>
                        <w:r w:rsidRPr="007064E3">
                          <w:rPr>
                            <w:sz w:val="18"/>
                            <w:szCs w:val="18"/>
                            <w:lang w:val="en-US"/>
                          </w:rPr>
                          <w:t xml:space="preserve">     + 5 days 1,2 mg/L Fe-HBED</w:t>
                        </w:r>
                      </w:p>
                    </w:tc>
                    <w:tc>
                      <w:tcPr>
                        <w:tcW w:w="1544" w:type="dxa"/>
                        <w:vAlign w:val="center"/>
                      </w:tcPr>
                      <w:p w:rsidR="00212AF8" w:rsidRPr="007064E3" w:rsidRDefault="00212AF8" w:rsidP="00212AF8">
                        <w:pPr>
                          <w:jc w:val="center"/>
                          <w:rPr>
                            <w:sz w:val="18"/>
                            <w:szCs w:val="18"/>
                            <w:lang w:val="en-US"/>
                          </w:rPr>
                        </w:pPr>
                        <w:r w:rsidRPr="007064E3">
                          <w:rPr>
                            <w:sz w:val="18"/>
                            <w:szCs w:val="18"/>
                            <w:lang w:val="en-US"/>
                          </w:rPr>
                          <w:t>16,7</w:t>
                        </w:r>
                      </w:p>
                    </w:tc>
                  </w:tr>
                  <w:tr w:rsidR="00212AF8" w:rsidRPr="007C6093" w:rsidTr="00DC69D9">
                    <w:trPr>
                      <w:jc w:val="center"/>
                    </w:trPr>
                    <w:tc>
                      <w:tcPr>
                        <w:tcW w:w="3440" w:type="dxa"/>
                        <w:vAlign w:val="center"/>
                      </w:tcPr>
                      <w:p w:rsidR="00212AF8" w:rsidRPr="007064E3" w:rsidRDefault="00212AF8" w:rsidP="00212AF8">
                        <w:pPr>
                          <w:rPr>
                            <w:sz w:val="18"/>
                            <w:szCs w:val="18"/>
                            <w:lang w:val="en-US"/>
                          </w:rPr>
                        </w:pPr>
                        <w:r w:rsidRPr="007064E3">
                          <w:rPr>
                            <w:sz w:val="18"/>
                            <w:szCs w:val="18"/>
                            <w:lang w:val="en-US"/>
                          </w:rPr>
                          <w:t>8 days 1,2 mg/L Fe-DTPA</w:t>
                        </w:r>
                      </w:p>
                    </w:tc>
                    <w:tc>
                      <w:tcPr>
                        <w:tcW w:w="1544" w:type="dxa"/>
                        <w:vAlign w:val="center"/>
                      </w:tcPr>
                      <w:p w:rsidR="00212AF8" w:rsidRPr="007064E3" w:rsidRDefault="00212AF8" w:rsidP="00212AF8">
                        <w:pPr>
                          <w:jc w:val="center"/>
                          <w:rPr>
                            <w:sz w:val="18"/>
                            <w:szCs w:val="18"/>
                            <w:lang w:val="en-US"/>
                          </w:rPr>
                        </w:pPr>
                        <w:r w:rsidRPr="007064E3">
                          <w:rPr>
                            <w:sz w:val="18"/>
                            <w:szCs w:val="18"/>
                            <w:lang w:val="en-US"/>
                          </w:rPr>
                          <w:t>14,2</w:t>
                        </w:r>
                      </w:p>
                    </w:tc>
                  </w:tr>
                </w:tbl>
                <w:p w:rsidR="00212AF8" w:rsidRPr="00212AF8" w:rsidRDefault="00212AF8">
                  <w:pPr>
                    <w:rPr>
                      <w:lang w:val="en-US"/>
                    </w:rPr>
                  </w:pPr>
                </w:p>
              </w:txbxContent>
            </v:textbox>
            <w10:wrap type="square" anchory="page"/>
          </v:shape>
        </w:pict>
      </w:r>
      <w:r w:rsidR="6CBDF5DC" w:rsidRPr="243E2FF5">
        <w:rPr>
          <w:b/>
          <w:bCs/>
          <w:color w:val="000000" w:themeColor="text1"/>
          <w:sz w:val="24"/>
          <w:szCs w:val="24"/>
          <w:lang w:val="en-GB"/>
        </w:rPr>
        <w:t>3. Results and discussion</w:t>
      </w:r>
    </w:p>
    <w:p w:rsidR="00F86E99" w:rsidRDefault="00F86E99" w:rsidP="243E2FF5">
      <w:pPr>
        <w:jc w:val="both"/>
        <w:rPr>
          <w:lang w:val="en-GB"/>
        </w:rPr>
      </w:pPr>
    </w:p>
    <w:p w:rsidR="00F86E99" w:rsidRDefault="00F86E99" w:rsidP="243E2FF5">
      <w:pPr>
        <w:jc w:val="both"/>
        <w:rPr>
          <w:lang w:val="en-GB"/>
        </w:rPr>
      </w:pPr>
    </w:p>
    <w:p w:rsidR="00F86E99" w:rsidRDefault="00F86E99" w:rsidP="243E2FF5">
      <w:pPr>
        <w:jc w:val="both"/>
        <w:rPr>
          <w:lang w:val="en-GB"/>
        </w:rPr>
      </w:pPr>
    </w:p>
    <w:p w:rsidR="00F86E99" w:rsidRDefault="00F86E99" w:rsidP="243E2FF5">
      <w:pPr>
        <w:jc w:val="both"/>
        <w:rPr>
          <w:lang w:val="en-GB"/>
        </w:rPr>
      </w:pPr>
    </w:p>
    <w:p w:rsidR="0097169F" w:rsidRDefault="003F5832" w:rsidP="243E2FF5">
      <w:pPr>
        <w:jc w:val="both"/>
        <w:rPr>
          <w:lang w:val="en-GB"/>
        </w:rPr>
      </w:pPr>
      <w:r>
        <w:rPr>
          <w:lang w:val="en-GB"/>
        </w:rPr>
        <w:t>Exploratory experiments have demonstrated that the addition of iron in the form of iron chelate (Fe-</w:t>
      </w:r>
      <w:r w:rsidR="007064E3">
        <w:rPr>
          <w:lang w:val="en-GB"/>
        </w:rPr>
        <w:t>HBED</w:t>
      </w:r>
      <w:r w:rsidR="003E1D82">
        <w:rPr>
          <w:lang w:val="en-GB"/>
        </w:rPr>
        <w:t xml:space="preserve"> and Fe-DTPA</w:t>
      </w:r>
      <w:r>
        <w:rPr>
          <w:lang w:val="en-GB"/>
        </w:rPr>
        <w:t>) has little to no effect on the amount of iron found in the plant</w:t>
      </w:r>
      <w:r w:rsidR="003E1D82">
        <w:rPr>
          <w:lang w:val="en-GB"/>
        </w:rPr>
        <w:t xml:space="preserve"> (Table 1)</w:t>
      </w:r>
      <w:r>
        <w:rPr>
          <w:lang w:val="en-GB"/>
        </w:rPr>
        <w:t>.</w:t>
      </w:r>
      <w:r w:rsidR="007064E3">
        <w:rPr>
          <w:lang w:val="en-GB"/>
        </w:rPr>
        <w:t xml:space="preserve"> </w:t>
      </w:r>
      <w:r>
        <w:rPr>
          <w:lang w:val="en-GB"/>
        </w:rPr>
        <w:t>Th</w:t>
      </w:r>
      <w:r w:rsidR="00F83E9C">
        <w:rPr>
          <w:lang w:val="en-GB"/>
        </w:rPr>
        <w:t>e</w:t>
      </w:r>
      <w:r>
        <w:rPr>
          <w:lang w:val="en-GB"/>
        </w:rPr>
        <w:t>s</w:t>
      </w:r>
      <w:r w:rsidR="00F83E9C">
        <w:rPr>
          <w:lang w:val="en-GB"/>
        </w:rPr>
        <w:t>e</w:t>
      </w:r>
      <w:r>
        <w:rPr>
          <w:lang w:val="en-GB"/>
        </w:rPr>
        <w:t xml:space="preserve"> results are in accordance with the literature </w:t>
      </w:r>
      <w:r w:rsidR="00F83E9C">
        <w:rPr>
          <w:lang w:val="en-GB"/>
        </w:rPr>
        <w:t>(Jolley and Brown, 1989</w:t>
      </w:r>
      <w:r w:rsidR="00250493">
        <w:rPr>
          <w:lang w:val="en-GB"/>
        </w:rPr>
        <w:t>b</w:t>
      </w:r>
      <w:r w:rsidR="00F83E9C">
        <w:rPr>
          <w:lang w:val="en-GB"/>
        </w:rPr>
        <w:t>), which shows that oat uptake of iron in the form of chelates is less efficient. Similarly, it was noted that when plants were grown under iron starvation they would show a high uptake capacity from inorganic sources of iron (Reid et al., 1989).</w:t>
      </w:r>
    </w:p>
    <w:p w:rsidR="00767D80" w:rsidRDefault="00767D80" w:rsidP="243E2FF5">
      <w:pPr>
        <w:jc w:val="both"/>
        <w:rPr>
          <w:lang w:val="en-GB"/>
        </w:rPr>
      </w:pPr>
    </w:p>
    <w:p w:rsidR="00A6373E" w:rsidRDefault="001749AA" w:rsidP="243E2FF5">
      <w:pPr>
        <w:jc w:val="both"/>
        <w:rPr>
          <w:lang w:val="en-GB"/>
        </w:rPr>
      </w:pPr>
      <w:r>
        <w:rPr>
          <w:lang w:val="en-GB"/>
        </w:rPr>
        <w:t>Following the experimental setup of Reid and colleagues, o</w:t>
      </w:r>
      <w:r w:rsidR="0097169F">
        <w:rPr>
          <w:lang w:val="en-GB"/>
        </w:rPr>
        <w:t xml:space="preserve">ats were grown for </w:t>
      </w:r>
      <w:r>
        <w:rPr>
          <w:lang w:val="en-GB"/>
        </w:rPr>
        <w:t>7</w:t>
      </w:r>
      <w:r w:rsidR="0097169F">
        <w:rPr>
          <w:lang w:val="en-GB"/>
        </w:rPr>
        <w:t xml:space="preserve"> days in osmotized water</w:t>
      </w:r>
      <w:r w:rsidR="00212AF8">
        <w:rPr>
          <w:lang w:val="en-GB"/>
        </w:rPr>
        <w:t xml:space="preserve"> or</w:t>
      </w:r>
      <w:r w:rsidR="0097169F">
        <w:rPr>
          <w:lang w:val="en-GB"/>
        </w:rPr>
        <w:t xml:space="preserve"> nutritive solution without iron</w:t>
      </w:r>
      <w:r w:rsidR="003C7582">
        <w:rPr>
          <w:lang w:val="en-GB"/>
        </w:rPr>
        <w:t xml:space="preserve">. </w:t>
      </w:r>
      <w:r w:rsidR="00212AF8">
        <w:rPr>
          <w:lang w:val="en-GB"/>
        </w:rPr>
        <w:t>After this time iron was added as inorganic iron. Plants starved in this manner showed a marked increase in iron content</w:t>
      </w:r>
      <w:r w:rsidR="003E1D82">
        <w:rPr>
          <w:lang w:val="en-GB"/>
        </w:rPr>
        <w:t xml:space="preserve"> (Table 2)</w:t>
      </w:r>
      <w:r w:rsidR="00212AF8">
        <w:rPr>
          <w:lang w:val="en-GB"/>
        </w:rPr>
        <w:t>.</w:t>
      </w:r>
    </w:p>
    <w:p w:rsidR="00F2084E" w:rsidRDefault="00212AF8" w:rsidP="243E2FF5">
      <w:pPr>
        <w:jc w:val="both"/>
        <w:rPr>
          <w:lang w:val="en-GB"/>
        </w:rPr>
      </w:pPr>
      <w:r>
        <w:rPr>
          <w:lang w:val="en-GB"/>
        </w:rPr>
        <w:t>In another set of experiments, plants were grown in standard nutritive solution (</w:t>
      </w:r>
      <w:r w:rsidR="00132D73">
        <w:rPr>
          <w:lang w:val="en-GB"/>
        </w:rPr>
        <w:t xml:space="preserve">containing </w:t>
      </w:r>
      <w:r>
        <w:rPr>
          <w:lang w:val="en-GB"/>
        </w:rPr>
        <w:t>Fe-EDDHA)</w:t>
      </w:r>
      <w:r w:rsidR="00132D73">
        <w:rPr>
          <w:lang w:val="en-GB"/>
        </w:rPr>
        <w:t>, iron-free nutritive solution or osmotized water. A longer timeframe was allowed to pass before iron addition and post-addition harvesting was also delayed longer. Also in this case plants starved for iron showed a much higher iron content. Additionally the experiment confirmed that iron nutrition through chelates is ineffective</w:t>
      </w:r>
      <w:r w:rsidR="003E1D82">
        <w:rPr>
          <w:lang w:val="en-GB"/>
        </w:rPr>
        <w:t xml:space="preserve"> (Table 3)</w:t>
      </w:r>
      <w:r w:rsidR="00132D73">
        <w:rPr>
          <w:lang w:val="en-GB"/>
        </w:rPr>
        <w:t>.</w:t>
      </w:r>
    </w:p>
    <w:p w:rsidR="00F2084E" w:rsidRDefault="00F2084E" w:rsidP="243E2FF5">
      <w:pPr>
        <w:jc w:val="both"/>
        <w:rPr>
          <w:lang w:val="en-GB"/>
        </w:rPr>
      </w:pPr>
    </w:p>
    <w:p w:rsidR="00132D73" w:rsidRDefault="00FE6863" w:rsidP="243E2FF5">
      <w:pPr>
        <w:jc w:val="both"/>
        <w:rPr>
          <w:lang w:val="en-GB"/>
        </w:rPr>
      </w:pPr>
      <w:r w:rsidRPr="00FE6863">
        <w:rPr>
          <w:noProof/>
          <w:lang w:val="en-GB"/>
        </w:rPr>
        <w:pict>
          <v:shape id="_x0000_s1028" type="#_x0000_t202" style="position:absolute;left:0;text-align:left;margin-left:.15pt;margin-top:459pt;width:222.6pt;height:180.3pt;z-index:251663360;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" stroked="f">
            <v:textbox>
              <w:txbxContent>
                <w:p w:rsidR="00212AF8" w:rsidRPr="007064E3" w:rsidRDefault="00212AF8" w:rsidP="007064E3">
                  <w:pPr>
                    <w:spacing w:before="300" w:after="120"/>
                    <w:rPr>
                      <w:sz w:val="18"/>
                      <w:szCs w:val="18"/>
                      <w:lang w:val="en-US"/>
                    </w:rPr>
                  </w:pPr>
                  <w:r w:rsidRPr="007064E3">
                    <w:rPr>
                      <w:b/>
                      <w:bCs/>
                      <w:sz w:val="18"/>
                      <w:szCs w:val="18"/>
                      <w:lang w:val="en-US"/>
                    </w:rPr>
                    <w:t>Table 3</w:t>
                  </w:r>
                  <w:r w:rsidRPr="007064E3">
                    <w:rPr>
                      <w:sz w:val="18"/>
                      <w:szCs w:val="18"/>
                      <w:lang w:val="en-US"/>
                    </w:rPr>
                    <w:t xml:space="preserve">: </w:t>
                  </w:r>
                  <w:r w:rsidRPr="007064E3">
                    <w:rPr>
                      <w:i/>
                      <w:iCs/>
                      <w:sz w:val="18"/>
                      <w:szCs w:val="18"/>
                      <w:lang w:val="en-US"/>
                    </w:rPr>
                    <w:t>Avena sativa</w:t>
                  </w:r>
                  <w:r w:rsidRPr="007064E3">
                    <w:rPr>
                      <w:sz w:val="18"/>
                      <w:szCs w:val="18"/>
                      <w:lang w:val="en-US"/>
                    </w:rPr>
                    <w:t xml:space="preserve"> cv. “Prevision” iron content under different growing</w:t>
                  </w:r>
                  <w:r w:rsidR="00132D73" w:rsidRPr="007064E3">
                    <w:rPr>
                      <w:sz w:val="18"/>
                      <w:szCs w:val="18"/>
                      <w:lang w:val="en-US"/>
                    </w:rPr>
                    <w:t xml:space="preserve"> </w:t>
                  </w:r>
                  <w:r w:rsidRPr="007064E3">
                    <w:rPr>
                      <w:sz w:val="18"/>
                      <w:szCs w:val="18"/>
                      <w:lang w:val="en-US"/>
                    </w:rPr>
                    <w:t>conditions. Iron was supplied as Fe-EDDHA at 1,4 mg/Lor as inorganic</w:t>
                  </w:r>
                  <w:r w:rsidR="00132D73" w:rsidRPr="007064E3">
                    <w:rPr>
                      <w:sz w:val="18"/>
                      <w:szCs w:val="18"/>
                      <w:lang w:val="en-US"/>
                    </w:rPr>
                    <w:t xml:space="preserve"> </w:t>
                  </w:r>
                  <w:r w:rsidRPr="007064E3">
                    <w:rPr>
                      <w:sz w:val="18"/>
                      <w:szCs w:val="18"/>
                      <w:lang w:val="en-US"/>
                    </w:rPr>
                    <w:t>iron at 22 mg/L</w:t>
                  </w:r>
                </w:p>
                <w:tbl>
                  <w:tblPr>
                    <w:tblStyle w:val="Grigliatabella"/>
                    <w:tblW w:w="0" w:type="auto"/>
                    <w:jc w:val="center"/>
                    <w:tblLook w:val="04A0"/>
                  </w:tblPr>
                  <w:tblGrid>
                    <w:gridCol w:w="2939"/>
                    <w:gridCol w:w="1440"/>
                  </w:tblGrid>
                  <w:tr w:rsidR="00212AF8" w:rsidRPr="007357E0" w:rsidTr="00DC69D9">
                    <w:trPr>
                      <w:jc w:val="center"/>
                    </w:trPr>
                    <w:tc>
                      <w:tcPr>
                        <w:tcW w:w="3334" w:type="dxa"/>
                        <w:vAlign w:val="center"/>
                      </w:tcPr>
                      <w:p w:rsidR="00212AF8" w:rsidRPr="007064E3" w:rsidRDefault="00212AF8" w:rsidP="00212AF8">
                        <w:pPr>
                          <w:jc w:val="center"/>
                          <w:rPr>
                            <w:sz w:val="18"/>
                            <w:szCs w:val="18"/>
                            <w:lang w:val="en-GB"/>
                          </w:rPr>
                        </w:pPr>
                        <w:r w:rsidRPr="007064E3">
                          <w:rPr>
                            <w:sz w:val="18"/>
                            <w:szCs w:val="18"/>
                            <w:lang w:val="en-GB"/>
                          </w:rPr>
                          <w:t>Treatment type</w:t>
                        </w:r>
                      </w:p>
                    </w:tc>
                    <w:tc>
                      <w:tcPr>
                        <w:tcW w:w="1544" w:type="dxa"/>
                        <w:vAlign w:val="center"/>
                      </w:tcPr>
                      <w:p w:rsidR="00212AF8" w:rsidRPr="007064E3" w:rsidRDefault="00212AF8" w:rsidP="00212AF8">
                        <w:pPr>
                          <w:jc w:val="center"/>
                          <w:rPr>
                            <w:sz w:val="18"/>
                            <w:szCs w:val="18"/>
                            <w:lang w:val="en-GB"/>
                          </w:rPr>
                        </w:pPr>
                        <w:r w:rsidRPr="007064E3">
                          <w:rPr>
                            <w:sz w:val="18"/>
                            <w:szCs w:val="18"/>
                            <w:lang w:val="en-GB"/>
                          </w:rPr>
                          <w:t>Iron content</w:t>
                        </w:r>
                      </w:p>
                      <w:p w:rsidR="00212AF8" w:rsidRPr="007064E3" w:rsidRDefault="00212AF8" w:rsidP="00212AF8">
                        <w:pPr>
                          <w:jc w:val="center"/>
                          <w:rPr>
                            <w:sz w:val="18"/>
                            <w:szCs w:val="18"/>
                            <w:lang w:val="en-GB"/>
                          </w:rPr>
                        </w:pPr>
                        <w:r w:rsidRPr="007064E3">
                          <w:rPr>
                            <w:sz w:val="18"/>
                            <w:szCs w:val="18"/>
                            <w:lang w:val="en-GB"/>
                          </w:rPr>
                          <w:t>(mg/100g DW)</w:t>
                        </w:r>
                      </w:p>
                    </w:tc>
                  </w:tr>
                  <w:tr w:rsidR="00212AF8" w:rsidTr="00DC69D9">
                    <w:trPr>
                      <w:jc w:val="center"/>
                    </w:trPr>
                    <w:tc>
                      <w:tcPr>
                        <w:tcW w:w="3334" w:type="dxa"/>
                        <w:vAlign w:val="center"/>
                      </w:tcPr>
                      <w:p w:rsidR="00212AF8" w:rsidRPr="007064E3" w:rsidRDefault="00212AF8" w:rsidP="00212AF8">
                        <w:pPr>
                          <w:rPr>
                            <w:sz w:val="18"/>
                            <w:szCs w:val="18"/>
                            <w:lang w:val="en-GB"/>
                          </w:rPr>
                        </w:pPr>
                        <w:r w:rsidRPr="007064E3">
                          <w:rPr>
                            <w:sz w:val="18"/>
                            <w:szCs w:val="18"/>
                            <w:lang w:val="en-GB"/>
                          </w:rPr>
                          <w:t>10 days standard nutritive solution</w:t>
                        </w:r>
                      </w:p>
                    </w:tc>
                    <w:tc>
                      <w:tcPr>
                        <w:tcW w:w="1544" w:type="dxa"/>
                        <w:vAlign w:val="center"/>
                      </w:tcPr>
                      <w:p w:rsidR="00212AF8" w:rsidRPr="007064E3" w:rsidRDefault="00212AF8" w:rsidP="00212AF8">
                        <w:pPr>
                          <w:jc w:val="center"/>
                          <w:rPr>
                            <w:sz w:val="18"/>
                            <w:szCs w:val="18"/>
                            <w:lang w:val="en-GB"/>
                          </w:rPr>
                        </w:pPr>
                      </w:p>
                    </w:tc>
                  </w:tr>
                  <w:tr w:rsidR="00212AF8" w:rsidRPr="007C6093" w:rsidTr="00DC69D9">
                    <w:trPr>
                      <w:jc w:val="center"/>
                    </w:trPr>
                    <w:tc>
                      <w:tcPr>
                        <w:tcW w:w="3334" w:type="dxa"/>
                        <w:vAlign w:val="center"/>
                      </w:tcPr>
                      <w:p w:rsidR="00212AF8" w:rsidRPr="007064E3" w:rsidRDefault="00212AF8" w:rsidP="00212AF8">
                        <w:pPr>
                          <w:rPr>
                            <w:sz w:val="18"/>
                            <w:szCs w:val="18"/>
                            <w:lang w:val="en-US"/>
                          </w:rPr>
                        </w:pPr>
                        <w:r w:rsidRPr="007064E3">
                          <w:rPr>
                            <w:sz w:val="18"/>
                            <w:szCs w:val="18"/>
                            <w:lang w:val="en-US"/>
                          </w:rPr>
                          <w:t xml:space="preserve">     4 days after</w:t>
                        </w:r>
                      </w:p>
                    </w:tc>
                    <w:tc>
                      <w:tcPr>
                        <w:tcW w:w="1544" w:type="dxa"/>
                        <w:vAlign w:val="center"/>
                      </w:tcPr>
                      <w:p w:rsidR="00212AF8" w:rsidRPr="007064E3" w:rsidRDefault="00212AF8" w:rsidP="00212AF8">
                        <w:pPr>
                          <w:jc w:val="center"/>
                          <w:rPr>
                            <w:sz w:val="18"/>
                            <w:szCs w:val="18"/>
                            <w:lang w:val="en-US"/>
                          </w:rPr>
                        </w:pPr>
                        <w:r w:rsidRPr="007064E3">
                          <w:rPr>
                            <w:sz w:val="18"/>
                            <w:szCs w:val="18"/>
                            <w:lang w:val="en-US"/>
                          </w:rPr>
                          <w:t>6,9</w:t>
                        </w:r>
                      </w:p>
                    </w:tc>
                  </w:tr>
                  <w:tr w:rsidR="00212AF8" w:rsidRPr="007C6093" w:rsidTr="00DC69D9">
                    <w:trPr>
                      <w:jc w:val="center"/>
                    </w:trPr>
                    <w:tc>
                      <w:tcPr>
                        <w:tcW w:w="3334" w:type="dxa"/>
                        <w:vAlign w:val="center"/>
                      </w:tcPr>
                      <w:p w:rsidR="00212AF8" w:rsidRPr="007064E3" w:rsidRDefault="00212AF8" w:rsidP="00212AF8">
                        <w:pPr>
                          <w:rPr>
                            <w:sz w:val="18"/>
                            <w:szCs w:val="18"/>
                            <w:lang w:val="en-US"/>
                          </w:rPr>
                        </w:pPr>
                        <w:r w:rsidRPr="007064E3">
                          <w:rPr>
                            <w:sz w:val="18"/>
                            <w:szCs w:val="18"/>
                            <w:lang w:val="en-US"/>
                          </w:rPr>
                          <w:t xml:space="preserve">     10 days after</w:t>
                        </w:r>
                      </w:p>
                    </w:tc>
                    <w:tc>
                      <w:tcPr>
                        <w:tcW w:w="1544" w:type="dxa"/>
                        <w:vAlign w:val="center"/>
                      </w:tcPr>
                      <w:p w:rsidR="00212AF8" w:rsidRPr="007064E3" w:rsidRDefault="00212AF8" w:rsidP="00212AF8">
                        <w:pPr>
                          <w:jc w:val="center"/>
                          <w:rPr>
                            <w:sz w:val="18"/>
                            <w:szCs w:val="18"/>
                            <w:lang w:val="en-US"/>
                          </w:rPr>
                        </w:pPr>
                        <w:r w:rsidRPr="007064E3">
                          <w:rPr>
                            <w:sz w:val="18"/>
                            <w:szCs w:val="18"/>
                            <w:lang w:val="en-US"/>
                          </w:rPr>
                          <w:t>7,3</w:t>
                        </w:r>
                      </w:p>
                    </w:tc>
                  </w:tr>
                  <w:tr w:rsidR="00212AF8" w:rsidRPr="007357E0" w:rsidTr="00DC69D9">
                    <w:trPr>
                      <w:jc w:val="center"/>
                    </w:trPr>
                    <w:tc>
                      <w:tcPr>
                        <w:tcW w:w="3334" w:type="dxa"/>
                        <w:vAlign w:val="center"/>
                      </w:tcPr>
                      <w:p w:rsidR="00212AF8" w:rsidRPr="007064E3" w:rsidRDefault="00212AF8" w:rsidP="00212AF8">
                        <w:pPr>
                          <w:rPr>
                            <w:sz w:val="18"/>
                            <w:szCs w:val="18"/>
                            <w:lang w:val="en-US"/>
                          </w:rPr>
                        </w:pPr>
                        <w:r w:rsidRPr="007064E3">
                          <w:rPr>
                            <w:sz w:val="18"/>
                            <w:szCs w:val="18"/>
                            <w:lang w:val="en-GB"/>
                          </w:rPr>
                          <w:t>10 days iron-free nutritive solution</w:t>
                        </w:r>
                      </w:p>
                    </w:tc>
                    <w:tc>
                      <w:tcPr>
                        <w:tcW w:w="1544" w:type="dxa"/>
                        <w:vAlign w:val="center"/>
                      </w:tcPr>
                      <w:p w:rsidR="00212AF8" w:rsidRPr="007064E3" w:rsidRDefault="00212AF8" w:rsidP="00212AF8">
                        <w:pPr>
                          <w:jc w:val="center"/>
                          <w:rPr>
                            <w:sz w:val="18"/>
                            <w:szCs w:val="18"/>
                            <w:lang w:val="en-US"/>
                          </w:rPr>
                        </w:pPr>
                      </w:p>
                    </w:tc>
                  </w:tr>
                  <w:tr w:rsidR="00212AF8" w:rsidRPr="007C6093" w:rsidTr="00DC69D9">
                    <w:trPr>
                      <w:jc w:val="center"/>
                    </w:trPr>
                    <w:tc>
                      <w:tcPr>
                        <w:tcW w:w="3334" w:type="dxa"/>
                        <w:vAlign w:val="center"/>
                      </w:tcPr>
                      <w:p w:rsidR="00212AF8" w:rsidRPr="007064E3" w:rsidRDefault="00212AF8" w:rsidP="00212AF8">
                        <w:pPr>
                          <w:rPr>
                            <w:sz w:val="18"/>
                            <w:szCs w:val="18"/>
                            <w:lang w:val="en-US"/>
                          </w:rPr>
                        </w:pPr>
                        <w:r w:rsidRPr="007064E3">
                          <w:rPr>
                            <w:sz w:val="18"/>
                            <w:szCs w:val="18"/>
                            <w:lang w:val="en-US"/>
                          </w:rPr>
                          <w:t xml:space="preserve">     4 days after iron addition</w:t>
                        </w:r>
                      </w:p>
                    </w:tc>
                    <w:tc>
                      <w:tcPr>
                        <w:tcW w:w="1544" w:type="dxa"/>
                        <w:vAlign w:val="center"/>
                      </w:tcPr>
                      <w:p w:rsidR="00212AF8" w:rsidRPr="007064E3" w:rsidRDefault="007357E0" w:rsidP="00212AF8">
                        <w:pPr>
                          <w:jc w:val="center"/>
                          <w:rPr>
                            <w:sz w:val="18"/>
                            <w:szCs w:val="18"/>
                            <w:lang w:val="en-US"/>
                          </w:rPr>
                        </w:pPr>
                        <w:r w:rsidRPr="007064E3">
                          <w:rPr>
                            <w:sz w:val="18"/>
                            <w:szCs w:val="18"/>
                            <w:lang w:val="en-US"/>
                          </w:rPr>
                          <w:t>16,0</w:t>
                        </w:r>
                      </w:p>
                    </w:tc>
                  </w:tr>
                  <w:tr w:rsidR="00212AF8" w:rsidRPr="007C6093" w:rsidTr="00DC69D9">
                    <w:trPr>
                      <w:jc w:val="center"/>
                    </w:trPr>
                    <w:tc>
                      <w:tcPr>
                        <w:tcW w:w="3334" w:type="dxa"/>
                        <w:vAlign w:val="center"/>
                      </w:tcPr>
                      <w:p w:rsidR="00212AF8" w:rsidRPr="007064E3" w:rsidRDefault="00212AF8" w:rsidP="00212AF8">
                        <w:pPr>
                          <w:rPr>
                            <w:sz w:val="18"/>
                            <w:szCs w:val="18"/>
                            <w:lang w:val="en-US"/>
                          </w:rPr>
                        </w:pPr>
                        <w:r w:rsidRPr="007064E3">
                          <w:rPr>
                            <w:sz w:val="18"/>
                            <w:szCs w:val="18"/>
                            <w:lang w:val="en-US"/>
                          </w:rPr>
                          <w:t xml:space="preserve">     10 days after iron addition</w:t>
                        </w:r>
                      </w:p>
                    </w:tc>
                    <w:tc>
                      <w:tcPr>
                        <w:tcW w:w="1544" w:type="dxa"/>
                        <w:vAlign w:val="center"/>
                      </w:tcPr>
                      <w:p w:rsidR="00212AF8" w:rsidRPr="007064E3" w:rsidRDefault="007357E0" w:rsidP="00212AF8">
                        <w:pPr>
                          <w:jc w:val="center"/>
                          <w:rPr>
                            <w:sz w:val="18"/>
                            <w:szCs w:val="18"/>
                            <w:lang w:val="en-US"/>
                          </w:rPr>
                        </w:pPr>
                        <w:r w:rsidRPr="007064E3">
                          <w:rPr>
                            <w:sz w:val="18"/>
                            <w:szCs w:val="18"/>
                            <w:lang w:val="en-US"/>
                          </w:rPr>
                          <w:t>21,1</w:t>
                        </w:r>
                      </w:p>
                    </w:tc>
                  </w:tr>
                  <w:tr w:rsidR="00212AF8" w:rsidRPr="007C6093" w:rsidTr="00DC69D9">
                    <w:trPr>
                      <w:jc w:val="center"/>
                    </w:trPr>
                    <w:tc>
                      <w:tcPr>
                        <w:tcW w:w="3334" w:type="dxa"/>
                        <w:vAlign w:val="center"/>
                      </w:tcPr>
                      <w:p w:rsidR="00212AF8" w:rsidRPr="007064E3" w:rsidRDefault="00212AF8" w:rsidP="00212AF8">
                        <w:pPr>
                          <w:rPr>
                            <w:sz w:val="18"/>
                            <w:szCs w:val="18"/>
                            <w:lang w:val="en-US"/>
                          </w:rPr>
                        </w:pPr>
                        <w:r w:rsidRPr="007064E3">
                          <w:rPr>
                            <w:sz w:val="18"/>
                            <w:szCs w:val="18"/>
                            <w:lang w:val="en-GB"/>
                          </w:rPr>
                          <w:t>10 days osmotized water</w:t>
                        </w:r>
                      </w:p>
                    </w:tc>
                    <w:tc>
                      <w:tcPr>
                        <w:tcW w:w="1544" w:type="dxa"/>
                        <w:vAlign w:val="center"/>
                      </w:tcPr>
                      <w:p w:rsidR="00212AF8" w:rsidRPr="007064E3" w:rsidRDefault="00212AF8" w:rsidP="00212AF8">
                        <w:pPr>
                          <w:jc w:val="center"/>
                          <w:rPr>
                            <w:sz w:val="18"/>
                            <w:szCs w:val="18"/>
                            <w:lang w:val="en-US"/>
                          </w:rPr>
                        </w:pPr>
                      </w:p>
                    </w:tc>
                  </w:tr>
                  <w:tr w:rsidR="00212AF8" w:rsidRPr="007C6093" w:rsidTr="00DC69D9">
                    <w:trPr>
                      <w:jc w:val="center"/>
                    </w:trPr>
                    <w:tc>
                      <w:tcPr>
                        <w:tcW w:w="3334" w:type="dxa"/>
                        <w:vAlign w:val="center"/>
                      </w:tcPr>
                      <w:p w:rsidR="00212AF8" w:rsidRPr="007064E3" w:rsidRDefault="00212AF8" w:rsidP="00212AF8">
                        <w:pPr>
                          <w:rPr>
                            <w:sz w:val="18"/>
                            <w:szCs w:val="18"/>
                            <w:lang w:val="en-US"/>
                          </w:rPr>
                        </w:pPr>
                        <w:r w:rsidRPr="007064E3">
                          <w:rPr>
                            <w:sz w:val="18"/>
                            <w:szCs w:val="18"/>
                            <w:lang w:val="en-US"/>
                          </w:rPr>
                          <w:t xml:space="preserve">     4 days after iron addition</w:t>
                        </w:r>
                      </w:p>
                    </w:tc>
                    <w:tc>
                      <w:tcPr>
                        <w:tcW w:w="1544" w:type="dxa"/>
                        <w:vAlign w:val="center"/>
                      </w:tcPr>
                      <w:p w:rsidR="00212AF8" w:rsidRPr="007064E3" w:rsidRDefault="00212AF8" w:rsidP="00212AF8">
                        <w:pPr>
                          <w:jc w:val="center"/>
                          <w:rPr>
                            <w:sz w:val="18"/>
                            <w:szCs w:val="18"/>
                            <w:lang w:val="en-US"/>
                          </w:rPr>
                        </w:pPr>
                        <w:r w:rsidRPr="007064E3">
                          <w:rPr>
                            <w:sz w:val="18"/>
                            <w:szCs w:val="18"/>
                            <w:lang w:val="en-US"/>
                          </w:rPr>
                          <w:t>64,7</w:t>
                        </w:r>
                      </w:p>
                    </w:tc>
                  </w:tr>
                  <w:tr w:rsidR="00212AF8" w:rsidRPr="007C6093" w:rsidTr="00DC69D9">
                    <w:trPr>
                      <w:jc w:val="center"/>
                    </w:trPr>
                    <w:tc>
                      <w:tcPr>
                        <w:tcW w:w="3334" w:type="dxa"/>
                        <w:vAlign w:val="center"/>
                      </w:tcPr>
                      <w:p w:rsidR="00212AF8" w:rsidRPr="007064E3" w:rsidRDefault="00212AF8" w:rsidP="00212AF8">
                        <w:pPr>
                          <w:rPr>
                            <w:sz w:val="18"/>
                            <w:szCs w:val="18"/>
                            <w:lang w:val="en-US"/>
                          </w:rPr>
                        </w:pPr>
                        <w:r w:rsidRPr="007064E3">
                          <w:rPr>
                            <w:sz w:val="18"/>
                            <w:szCs w:val="18"/>
                            <w:lang w:val="en-US"/>
                          </w:rPr>
                          <w:t xml:space="preserve">     10 days after iron addition</w:t>
                        </w:r>
                      </w:p>
                    </w:tc>
                    <w:tc>
                      <w:tcPr>
                        <w:tcW w:w="1544" w:type="dxa"/>
                        <w:vAlign w:val="center"/>
                      </w:tcPr>
                      <w:p w:rsidR="00212AF8" w:rsidRPr="007064E3" w:rsidRDefault="00212AF8" w:rsidP="00212AF8">
                        <w:pPr>
                          <w:jc w:val="center"/>
                          <w:rPr>
                            <w:sz w:val="18"/>
                            <w:szCs w:val="18"/>
                            <w:lang w:val="en-US"/>
                          </w:rPr>
                        </w:pPr>
                        <w:r w:rsidRPr="007064E3">
                          <w:rPr>
                            <w:sz w:val="18"/>
                            <w:szCs w:val="18"/>
                            <w:lang w:val="en-US"/>
                          </w:rPr>
                          <w:t>62,4</w:t>
                        </w:r>
                      </w:p>
                    </w:tc>
                  </w:tr>
                </w:tbl>
                <w:p w:rsidR="00212AF8" w:rsidRPr="00212AF8" w:rsidRDefault="00212AF8">
                  <w:pPr>
                    <w:rPr>
                      <w:lang w:val="en-US"/>
                    </w:rPr>
                  </w:pPr>
                </w:p>
              </w:txbxContent>
            </v:textbox>
            <w10:wrap type="square" anchory="page"/>
          </v:shape>
        </w:pict>
      </w:r>
      <w:r w:rsidR="00132D73">
        <w:rPr>
          <w:lang w:val="en-GB"/>
        </w:rPr>
        <w:t>Th</w:t>
      </w:r>
      <w:r w:rsidR="003E1D82">
        <w:rPr>
          <w:lang w:val="en-GB"/>
        </w:rPr>
        <w:t>ese</w:t>
      </w:r>
      <w:r w:rsidR="00132D73">
        <w:rPr>
          <w:lang w:val="en-GB"/>
        </w:rPr>
        <w:t xml:space="preserve"> </w:t>
      </w:r>
      <w:r w:rsidR="003C7582">
        <w:rPr>
          <w:lang w:val="en-GB"/>
        </w:rPr>
        <w:t xml:space="preserve">results </w:t>
      </w:r>
      <w:r w:rsidR="00335E08">
        <w:rPr>
          <w:lang w:val="en-GB"/>
        </w:rPr>
        <w:t xml:space="preserve">set a promising framework for the efficient and minimally invasive biofortification of oat microgreens. </w:t>
      </w:r>
      <w:r w:rsidR="00132D73">
        <w:rPr>
          <w:lang w:val="en-GB"/>
        </w:rPr>
        <w:t xml:space="preserve">Varying the timeframe has proven that shorter cycles are effective as much as longer ones. </w:t>
      </w:r>
      <w:r w:rsidR="003E1D82">
        <w:rPr>
          <w:lang w:val="en-GB"/>
        </w:rPr>
        <w:t>Shortening the growing and harvesting periods</w:t>
      </w:r>
      <w:r w:rsidR="00132D73">
        <w:rPr>
          <w:lang w:val="en-GB"/>
        </w:rPr>
        <w:t xml:space="preserve"> leads to lower expenditure for lighting, lower risk of contamination during growth and higher number of growing cycles per year. Furthermore, increasing the amount of inorganic iron to 22 mg/L didn’t cause any appreciable difference from the fertilization at 11 mg/L, allowing a reduction of inorganic fertilizer needed.</w:t>
      </w:r>
    </w:p>
    <w:p w:rsidR="00F83E9C" w:rsidRDefault="007064E3" w:rsidP="243E2FF5">
      <w:pPr>
        <w:jc w:val="both"/>
        <w:rPr>
          <w:lang w:val="en-GB"/>
        </w:rPr>
      </w:pPr>
      <w:r>
        <w:rPr>
          <w:lang w:val="en-GB"/>
        </w:rPr>
        <w:t>S</w:t>
      </w:r>
      <w:r w:rsidR="00335E08">
        <w:rPr>
          <w:lang w:val="en-GB"/>
        </w:rPr>
        <w:t xml:space="preserve">ince phytosiderophores have varying affinities for </w:t>
      </w:r>
      <w:r w:rsidR="003E1D82">
        <w:rPr>
          <w:lang w:val="en-GB"/>
        </w:rPr>
        <w:t>several</w:t>
      </w:r>
      <w:r w:rsidR="00335E08">
        <w:rPr>
          <w:lang w:val="en-GB"/>
        </w:rPr>
        <w:t xml:space="preserve"> </w:t>
      </w:r>
      <w:r>
        <w:rPr>
          <w:lang w:val="en-GB"/>
        </w:rPr>
        <w:t>other elements</w:t>
      </w:r>
      <w:r w:rsidR="00335E08">
        <w:rPr>
          <w:lang w:val="en-GB"/>
        </w:rPr>
        <w:t xml:space="preserve"> (calcium, zinc, magnesium etc.) it is of further interest to investigate if the “starvation” setup can be utilized to force the uptake of other minerals of interest. A</w:t>
      </w:r>
      <w:r w:rsidR="00145B65">
        <w:rPr>
          <w:lang w:val="en-GB"/>
        </w:rPr>
        <w:t xml:space="preserve">nother path for biofortification is the </w:t>
      </w:r>
      <w:r w:rsidR="00335E08">
        <w:rPr>
          <w:lang w:val="en-GB"/>
        </w:rPr>
        <w:t>co-culturing of crop plant</w:t>
      </w:r>
      <w:r w:rsidR="00145B65">
        <w:rPr>
          <w:lang w:val="en-GB"/>
        </w:rPr>
        <w:t>s</w:t>
      </w:r>
      <w:r w:rsidR="00335E08">
        <w:rPr>
          <w:lang w:val="en-GB"/>
        </w:rPr>
        <w:t>, which has been already tested in hydroponic systems (Cesco et al., 2006). In this case oat plants are grown together with other iron-inefficient plants to enhance the iron uptake of the latter plants. Alternatively</w:t>
      </w:r>
      <w:r w:rsidR="00145B65">
        <w:rPr>
          <w:lang w:val="en-GB"/>
        </w:rPr>
        <w:t>,</w:t>
      </w:r>
      <w:r w:rsidR="00335E08">
        <w:rPr>
          <w:lang w:val="en-GB"/>
        </w:rPr>
        <w:t xml:space="preserve"> a phytosiderophore</w:t>
      </w:r>
      <w:r w:rsidR="00145B65">
        <w:rPr>
          <w:lang w:val="en-GB"/>
        </w:rPr>
        <w:t>-</w:t>
      </w:r>
      <w:r w:rsidR="00335E08">
        <w:rPr>
          <w:lang w:val="en-GB"/>
        </w:rPr>
        <w:t xml:space="preserve">rich nutritive solution can be used as a base for </w:t>
      </w:r>
      <w:r w:rsidR="00DD0026">
        <w:rPr>
          <w:lang w:val="en-GB"/>
        </w:rPr>
        <w:t>growing iron-inefficient plants, constituting a form of chelated iron fertilizer that is totally of plant origin.</w:t>
      </w:r>
      <w:r w:rsidR="00EB75EC">
        <w:rPr>
          <w:lang w:val="en-GB"/>
        </w:rPr>
        <w:t xml:space="preserve"> </w:t>
      </w:r>
    </w:p>
    <w:p w:rsidR="6CBDF5DC" w:rsidRPr="007357E0" w:rsidRDefault="6CBDF5DC" w:rsidP="243E2FF5">
      <w:pPr>
        <w:pStyle w:val="Titolo1"/>
        <w:spacing w:before="240" w:after="120"/>
        <w:ind w:right="0"/>
        <w:jc w:val="both"/>
        <w:rPr>
          <w:b/>
          <w:bCs/>
          <w:color w:val="000000" w:themeColor="text1"/>
          <w:sz w:val="24"/>
          <w:szCs w:val="24"/>
        </w:rPr>
      </w:pPr>
      <w:r w:rsidRPr="007357E0">
        <w:rPr>
          <w:b/>
          <w:bCs/>
          <w:color w:val="000000" w:themeColor="text1"/>
          <w:sz w:val="24"/>
          <w:szCs w:val="24"/>
        </w:rPr>
        <w:t>4. References</w:t>
      </w:r>
    </w:p>
    <w:p w:rsidR="00250493" w:rsidRDefault="00250493" w:rsidP="00F86E99">
      <w:pPr>
        <w:ind w:left="425" w:hanging="425"/>
        <w:jc w:val="both"/>
        <w:rPr>
          <w:lang w:val="en-GB"/>
        </w:rPr>
      </w:pPr>
      <w:r w:rsidRPr="00CC3ABE">
        <w:rPr>
          <w:lang w:val="en-US"/>
        </w:rPr>
        <w:t xml:space="preserve">Cesco S., Adamo D.R, Tagliavini M., Varanini Z, Pinton R. </w:t>
      </w:r>
      <w:r w:rsidR="00CC3ABE" w:rsidRPr="00CC3ABE">
        <w:rPr>
          <w:lang w:val="en-US"/>
        </w:rPr>
        <w:t>(</w:t>
      </w:r>
      <w:r w:rsidRPr="00CC3ABE">
        <w:rPr>
          <w:lang w:val="en-US"/>
        </w:rPr>
        <w:t>2006</w:t>
      </w:r>
      <w:r w:rsidR="00CC3ABE" w:rsidRPr="00CC3ABE">
        <w:rPr>
          <w:lang w:val="en-US"/>
        </w:rPr>
        <w:t>)</w:t>
      </w:r>
      <w:r w:rsidRPr="00CC3ABE">
        <w:rPr>
          <w:lang w:val="en-US"/>
        </w:rPr>
        <w:t xml:space="preserve"> </w:t>
      </w:r>
      <w:r w:rsidRPr="00F86E99">
        <w:rPr>
          <w:lang w:val="en-GB"/>
        </w:rPr>
        <w:t xml:space="preserve">Phytosiderophores released by graminaceous species promote </w:t>
      </w:r>
      <w:r w:rsidRPr="00F86E99">
        <w:rPr>
          <w:vertAlign w:val="superscript"/>
          <w:lang w:val="en-GB"/>
        </w:rPr>
        <w:t>59</w:t>
      </w:r>
      <w:r w:rsidRPr="00F86E99">
        <w:rPr>
          <w:lang w:val="en-GB"/>
        </w:rPr>
        <w:t>Fe-uptake in citrus</w:t>
      </w:r>
      <w:r w:rsidR="00F86E99">
        <w:rPr>
          <w:lang w:val="en-GB"/>
        </w:rPr>
        <w:t>.</w:t>
      </w:r>
      <w:r>
        <w:rPr>
          <w:lang w:val="en-GB"/>
        </w:rPr>
        <w:t xml:space="preserve"> </w:t>
      </w:r>
      <w:r w:rsidRPr="00F86E99">
        <w:rPr>
          <w:i/>
          <w:iCs/>
          <w:lang w:val="en-GB"/>
        </w:rPr>
        <w:t>Plant Soil</w:t>
      </w:r>
      <w:r w:rsidRPr="00335E08">
        <w:rPr>
          <w:lang w:val="en-GB"/>
        </w:rPr>
        <w:t xml:space="preserve"> </w:t>
      </w:r>
      <w:r w:rsidRPr="00F86E99">
        <w:rPr>
          <w:b/>
          <w:bCs/>
          <w:lang w:val="en-GB"/>
        </w:rPr>
        <w:t>287</w:t>
      </w:r>
      <w:r w:rsidRPr="00335E08">
        <w:rPr>
          <w:lang w:val="en-GB"/>
        </w:rPr>
        <w:t>:223–233</w:t>
      </w:r>
    </w:p>
    <w:p w:rsidR="00250493" w:rsidRDefault="00250493" w:rsidP="00F86E99">
      <w:pPr>
        <w:ind w:left="425" w:hanging="425"/>
        <w:jc w:val="both"/>
        <w:rPr>
          <w:lang w:val="en-GB"/>
        </w:rPr>
      </w:pPr>
      <w:r>
        <w:rPr>
          <w:lang w:val="en-GB"/>
        </w:rPr>
        <w:t>Jolley V.D. and Brown J.C.</w:t>
      </w:r>
      <w:r w:rsidR="00CC3ABE">
        <w:rPr>
          <w:lang w:val="en-GB"/>
        </w:rPr>
        <w:t xml:space="preserve"> (</w:t>
      </w:r>
      <w:r>
        <w:rPr>
          <w:lang w:val="en-GB"/>
        </w:rPr>
        <w:t>1989a</w:t>
      </w:r>
      <w:r w:rsidR="00CC3ABE">
        <w:rPr>
          <w:lang w:val="en-GB"/>
        </w:rPr>
        <w:t>)</w:t>
      </w:r>
      <w:r>
        <w:rPr>
          <w:lang w:val="en-GB"/>
        </w:rPr>
        <w:t xml:space="preserve"> </w:t>
      </w:r>
      <w:r w:rsidRPr="00F86E99">
        <w:rPr>
          <w:lang w:val="en-GB"/>
        </w:rPr>
        <w:t>Iron efficient and inefficient oats. I. Differences in phytosiderophore release</w:t>
      </w:r>
      <w:r w:rsidR="00F86E99">
        <w:rPr>
          <w:lang w:val="en-GB"/>
        </w:rPr>
        <w:t xml:space="preserve">. </w:t>
      </w:r>
      <w:r w:rsidRPr="00F86E99">
        <w:rPr>
          <w:i/>
          <w:iCs/>
          <w:lang w:val="en-GB"/>
        </w:rPr>
        <w:t>Journal of Plant Nutrition</w:t>
      </w:r>
      <w:r>
        <w:rPr>
          <w:lang w:val="en-GB"/>
        </w:rPr>
        <w:t xml:space="preserve">, </w:t>
      </w:r>
      <w:r w:rsidRPr="00F86E99">
        <w:rPr>
          <w:b/>
          <w:bCs/>
          <w:lang w:val="en-GB"/>
        </w:rPr>
        <w:t>12</w:t>
      </w:r>
      <w:r>
        <w:rPr>
          <w:lang w:val="en-GB"/>
        </w:rPr>
        <w:t>:423-435</w:t>
      </w:r>
    </w:p>
    <w:p w:rsidR="00250493" w:rsidRDefault="00250493" w:rsidP="00F86E99">
      <w:pPr>
        <w:ind w:left="425" w:hanging="425"/>
        <w:jc w:val="both"/>
        <w:rPr>
          <w:lang w:val="en-GB"/>
        </w:rPr>
      </w:pPr>
      <w:r>
        <w:rPr>
          <w:lang w:val="en-GB"/>
        </w:rPr>
        <w:t xml:space="preserve">Jolley V.D. and Brown J.C. </w:t>
      </w:r>
      <w:r w:rsidR="00CC3ABE">
        <w:rPr>
          <w:lang w:val="en-GB"/>
        </w:rPr>
        <w:t>(</w:t>
      </w:r>
      <w:r>
        <w:rPr>
          <w:lang w:val="en-GB"/>
        </w:rPr>
        <w:t>1989b</w:t>
      </w:r>
      <w:r w:rsidR="00CC3ABE">
        <w:rPr>
          <w:lang w:val="en-GB"/>
        </w:rPr>
        <w:t>)</w:t>
      </w:r>
      <w:r>
        <w:rPr>
          <w:lang w:val="en-GB"/>
        </w:rPr>
        <w:t xml:space="preserve"> </w:t>
      </w:r>
      <w:r w:rsidRPr="00F86E99">
        <w:rPr>
          <w:lang w:val="en-GB"/>
        </w:rPr>
        <w:t xml:space="preserve">Iron inefficient and efficient oat cultivars. II. Characterization of </w:t>
      </w:r>
      <w:r w:rsidRPr="00F86E99">
        <w:rPr>
          <w:lang w:val="en-GB"/>
        </w:rPr>
        <w:lastRenderedPageBreak/>
        <w:t>phytosiderophore released in response to Fe deficiency stress</w:t>
      </w:r>
      <w:r w:rsidR="00F86E99">
        <w:rPr>
          <w:lang w:val="en-GB"/>
        </w:rPr>
        <w:t>.</w:t>
      </w:r>
      <w:r>
        <w:rPr>
          <w:lang w:val="en-GB"/>
        </w:rPr>
        <w:t xml:space="preserve"> </w:t>
      </w:r>
      <w:r w:rsidRPr="00F86E99">
        <w:rPr>
          <w:i/>
          <w:iCs/>
          <w:lang w:val="en-GB"/>
        </w:rPr>
        <w:t>Journal of Plant Nutrition</w:t>
      </w:r>
      <w:r>
        <w:rPr>
          <w:lang w:val="en-GB"/>
        </w:rPr>
        <w:t xml:space="preserve">, </w:t>
      </w:r>
      <w:r w:rsidRPr="00F86E99">
        <w:rPr>
          <w:b/>
          <w:bCs/>
          <w:lang w:val="en-GB"/>
        </w:rPr>
        <w:t>12</w:t>
      </w:r>
      <w:r>
        <w:rPr>
          <w:lang w:val="en-GB"/>
        </w:rPr>
        <w:t>:</w:t>
      </w:r>
      <w:r w:rsidRPr="00F83E9C">
        <w:rPr>
          <w:lang w:val="en-GB"/>
        </w:rPr>
        <w:t>923-937</w:t>
      </w:r>
    </w:p>
    <w:p w:rsidR="001749AA" w:rsidRDefault="00250493" w:rsidP="00F86E99">
      <w:pPr>
        <w:ind w:left="425" w:hanging="425"/>
        <w:jc w:val="both"/>
        <w:rPr>
          <w:lang w:val="en-GB"/>
        </w:rPr>
      </w:pPr>
      <w:r>
        <w:rPr>
          <w:lang w:val="en-GB"/>
        </w:rPr>
        <w:t>Reid C.P.P., Crowley E., Kim J., Powell P.E. and Szaniszlo P.J.</w:t>
      </w:r>
      <w:r w:rsidR="00CC3ABE">
        <w:rPr>
          <w:lang w:val="en-GB"/>
        </w:rPr>
        <w:t xml:space="preserve"> (</w:t>
      </w:r>
      <w:r>
        <w:rPr>
          <w:lang w:val="en-GB"/>
        </w:rPr>
        <w:t>1984</w:t>
      </w:r>
      <w:r w:rsidR="00CC3ABE">
        <w:rPr>
          <w:lang w:val="en-GB"/>
        </w:rPr>
        <w:t>)</w:t>
      </w:r>
      <w:r>
        <w:rPr>
          <w:lang w:val="en-GB"/>
        </w:rPr>
        <w:t xml:space="preserve"> </w:t>
      </w:r>
      <w:r w:rsidRPr="00F86E99">
        <w:rPr>
          <w:lang w:val="en-GB"/>
        </w:rPr>
        <w:t>Utilization of iron by oat when supplied as ferrated synthetic chelate or as ferrated hydroxamate siderophore</w:t>
      </w:r>
      <w:r w:rsidR="00F86E99">
        <w:rPr>
          <w:lang w:val="en-GB"/>
        </w:rPr>
        <w:t>.</w:t>
      </w:r>
      <w:r>
        <w:rPr>
          <w:lang w:val="en-GB"/>
        </w:rPr>
        <w:t xml:space="preserve"> </w:t>
      </w:r>
      <w:r w:rsidRPr="00F86E99">
        <w:rPr>
          <w:i/>
          <w:iCs/>
          <w:lang w:val="en-GB"/>
        </w:rPr>
        <w:t>Journal of Plant Nutrition</w:t>
      </w:r>
      <w:r>
        <w:rPr>
          <w:lang w:val="en-GB"/>
        </w:rPr>
        <w:t xml:space="preserve">, </w:t>
      </w:r>
      <w:r w:rsidRPr="00F86E99">
        <w:rPr>
          <w:b/>
          <w:bCs/>
          <w:lang w:val="en-GB"/>
        </w:rPr>
        <w:t>7</w:t>
      </w:r>
      <w:r>
        <w:rPr>
          <w:lang w:val="en-GB"/>
        </w:rPr>
        <w:t>:437-447</w:t>
      </w:r>
    </w:p>
    <w:sectPr w:rsidR="001749AA" w:rsidSect="005139C1">
      <w:pgSz w:w="11907" w:h="16840"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9F4E6"/>
    <w:multiLevelType w:val="multilevel"/>
    <w:tmpl w:val="0B5C1D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283"/>
  <w:characterSpacingControl w:val="doNotCompress"/>
  <w:compat/>
  <w:docVars>
    <w:docVar w:name="__Grammarly_42____i" w:val="H4sIAAAAAAAEAKtWckksSQxILCpxzi/NK1GyMqwFAAEhoTITAAAA"/>
    <w:docVar w:name="__Grammarly_42___1" w:val="H4sIAAAAAAAEAKtWcslP9kxRslIyNAYCM2MLExNzY0sDS3NTQyUdpeDU4uLM/DyQAsNaAD99TNUsAAAA"/>
  </w:docVars>
  <w:rsids>
    <w:rsidRoot w:val="005139C1"/>
    <w:rsid w:val="000404C5"/>
    <w:rsid w:val="00132D73"/>
    <w:rsid w:val="00145B65"/>
    <w:rsid w:val="001749AA"/>
    <w:rsid w:val="001A0938"/>
    <w:rsid w:val="001B1EBE"/>
    <w:rsid w:val="00202B0C"/>
    <w:rsid w:val="00212AF8"/>
    <w:rsid w:val="00250493"/>
    <w:rsid w:val="00335E08"/>
    <w:rsid w:val="003937C9"/>
    <w:rsid w:val="003B2494"/>
    <w:rsid w:val="003C7582"/>
    <w:rsid w:val="003E1D82"/>
    <w:rsid w:val="003F5832"/>
    <w:rsid w:val="005139C1"/>
    <w:rsid w:val="005A791A"/>
    <w:rsid w:val="00605507"/>
    <w:rsid w:val="007064E3"/>
    <w:rsid w:val="00724015"/>
    <w:rsid w:val="007357E0"/>
    <w:rsid w:val="00767D80"/>
    <w:rsid w:val="007C6093"/>
    <w:rsid w:val="00824CC8"/>
    <w:rsid w:val="008A4982"/>
    <w:rsid w:val="0097169F"/>
    <w:rsid w:val="00A6373E"/>
    <w:rsid w:val="00AB6D84"/>
    <w:rsid w:val="00CB2958"/>
    <w:rsid w:val="00CC3ABE"/>
    <w:rsid w:val="00DD0026"/>
    <w:rsid w:val="00E35D9B"/>
    <w:rsid w:val="00E56FB2"/>
    <w:rsid w:val="00EB75EC"/>
    <w:rsid w:val="00F2084E"/>
    <w:rsid w:val="00F83E9C"/>
    <w:rsid w:val="00F86E99"/>
    <w:rsid w:val="00FE6863"/>
    <w:rsid w:val="01841878"/>
    <w:rsid w:val="01FB69BE"/>
    <w:rsid w:val="0909D208"/>
    <w:rsid w:val="0D0686A1"/>
    <w:rsid w:val="0E744EF2"/>
    <w:rsid w:val="12E67437"/>
    <w:rsid w:val="131735F3"/>
    <w:rsid w:val="14846126"/>
    <w:rsid w:val="148E229A"/>
    <w:rsid w:val="17F842EF"/>
    <w:rsid w:val="1877E864"/>
    <w:rsid w:val="1AE88299"/>
    <w:rsid w:val="1C724B4F"/>
    <w:rsid w:val="1DCEEE71"/>
    <w:rsid w:val="1E1BDC83"/>
    <w:rsid w:val="1FB9492A"/>
    <w:rsid w:val="243E2FF5"/>
    <w:rsid w:val="26891177"/>
    <w:rsid w:val="26ACAD66"/>
    <w:rsid w:val="2733F230"/>
    <w:rsid w:val="27F41269"/>
    <w:rsid w:val="2824E1D8"/>
    <w:rsid w:val="2D13E181"/>
    <w:rsid w:val="328FE395"/>
    <w:rsid w:val="385BA841"/>
    <w:rsid w:val="3976765F"/>
    <w:rsid w:val="3A69A319"/>
    <w:rsid w:val="3F0B3296"/>
    <w:rsid w:val="3F433BAD"/>
    <w:rsid w:val="41E75631"/>
    <w:rsid w:val="43726910"/>
    <w:rsid w:val="43901961"/>
    <w:rsid w:val="4399CA52"/>
    <w:rsid w:val="45084DD3"/>
    <w:rsid w:val="452BE9C2"/>
    <w:rsid w:val="47390588"/>
    <w:rsid w:val="4A97B534"/>
    <w:rsid w:val="4B7D7AF5"/>
    <w:rsid w:val="4C9EA10C"/>
    <w:rsid w:val="505F24FD"/>
    <w:rsid w:val="562A6004"/>
    <w:rsid w:val="577D3582"/>
    <w:rsid w:val="5BB852C3"/>
    <w:rsid w:val="5D45958B"/>
    <w:rsid w:val="5ED32D07"/>
    <w:rsid w:val="621906AE"/>
    <w:rsid w:val="636ACB65"/>
    <w:rsid w:val="66EC77D1"/>
    <w:rsid w:val="683CA042"/>
    <w:rsid w:val="695B15A4"/>
    <w:rsid w:val="69FC2AB2"/>
    <w:rsid w:val="6B5CB4ED"/>
    <w:rsid w:val="6CBDF5DC"/>
    <w:rsid w:val="6E723161"/>
    <w:rsid w:val="70302610"/>
    <w:rsid w:val="7245A597"/>
    <w:rsid w:val="7345A284"/>
    <w:rsid w:val="78988F42"/>
    <w:rsid w:val="79C4F556"/>
    <w:rsid w:val="7A73A87C"/>
    <w:rsid w:val="7C64FF64"/>
    <w:rsid w:val="7CB3B3EC"/>
    <w:rsid w:val="7DBFA865"/>
    <w:rsid w:val="7E7AF3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9C1"/>
    <w:pPr>
      <w:widowControl w:val="0"/>
      <w:suppressAutoHyphens/>
      <w:spacing w:after="0" w:line="240" w:lineRule="auto"/>
    </w:pPr>
    <w:rPr>
      <w:rFonts w:ascii="Times New Roman" w:eastAsia="Times New Roman" w:hAnsi="Times New Roman" w:cs="Times New Roman"/>
      <w:kern w:val="0"/>
      <w:sz w:val="20"/>
      <w:szCs w:val="20"/>
      <w:lang w:val="it-IT" w:eastAsia="zh-CN"/>
    </w:rPr>
  </w:style>
  <w:style w:type="paragraph" w:styleId="Titolo1">
    <w:name w:val="heading 1"/>
    <w:basedOn w:val="Normale"/>
    <w:next w:val="Normale"/>
    <w:link w:val="Titolo1Carattere"/>
    <w:uiPriority w:val="9"/>
    <w:qFormat/>
    <w:rsid w:val="005139C1"/>
    <w:pPr>
      <w:keepNext/>
      <w:shd w:val="clear" w:color="auto" w:fill="FFFFFF"/>
      <w:spacing w:before="820"/>
      <w:ind w:right="320"/>
      <w:jc w:val="center"/>
      <w:outlineLvl w:val="0"/>
    </w:pPr>
    <w:rPr>
      <w:color w:val="850C13"/>
      <w:spacing w:val="-2"/>
      <w:sz w:val="52"/>
      <w:szCs w:val="5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39C1"/>
    <w:rPr>
      <w:rFonts w:ascii="Times New Roman" w:eastAsia="Times New Roman" w:hAnsi="Times New Roman" w:cs="Times New Roman"/>
      <w:color w:val="850C13"/>
      <w:spacing w:val="-2"/>
      <w:kern w:val="0"/>
      <w:sz w:val="52"/>
      <w:szCs w:val="52"/>
      <w:shd w:val="clear" w:color="auto" w:fill="FFFFFF"/>
      <w:lang w:eastAsia="zh-CN"/>
    </w:rPr>
  </w:style>
  <w:style w:type="paragraph" w:styleId="Titolo">
    <w:name w:val="Title"/>
    <w:basedOn w:val="Normale"/>
    <w:next w:val="Normale"/>
    <w:link w:val="TitoloCarattere"/>
    <w:uiPriority w:val="10"/>
    <w:qFormat/>
    <w:rsid w:val="005139C1"/>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5139C1"/>
    <w:rPr>
      <w:rFonts w:ascii="Times New Roman" w:eastAsia="Times New Roman" w:hAnsi="Times New Roman" w:cs="Times New Roman"/>
      <w:b/>
      <w:sz w:val="28"/>
      <w:szCs w:val="20"/>
      <w:lang w:val="nl-NL" w:eastAsia="zh-CN"/>
    </w:rPr>
  </w:style>
  <w:style w:type="paragraph" w:styleId="Paragrafoelenco">
    <w:name w:val="List Paragraph"/>
    <w:basedOn w:val="Normale"/>
    <w:uiPriority w:val="34"/>
    <w:qFormat/>
    <w:rsid w:val="00FE6863"/>
    <w:pPr>
      <w:ind w:left="720"/>
      <w:contextualSpacing/>
    </w:pPr>
  </w:style>
  <w:style w:type="character" w:styleId="Collegamentoipertestuale">
    <w:name w:val="Hyperlink"/>
    <w:basedOn w:val="Carpredefinitoparagrafo"/>
    <w:uiPriority w:val="99"/>
    <w:unhideWhenUsed/>
    <w:rsid w:val="00335E08"/>
    <w:rPr>
      <w:color w:val="0000FF" w:themeColor="hyperlink"/>
      <w:u w:val="single"/>
    </w:rPr>
  </w:style>
  <w:style w:type="character" w:customStyle="1" w:styleId="UnresolvedMention">
    <w:name w:val="Unresolved Mention"/>
    <w:basedOn w:val="Carpredefinitoparagrafo"/>
    <w:uiPriority w:val="99"/>
    <w:semiHidden/>
    <w:unhideWhenUsed/>
    <w:rsid w:val="00335E08"/>
    <w:rPr>
      <w:color w:val="605E5C"/>
      <w:shd w:val="clear" w:color="auto" w:fill="E1DFDD"/>
    </w:rPr>
  </w:style>
  <w:style w:type="character" w:styleId="Collegamentovisitato">
    <w:name w:val="FollowedHyperlink"/>
    <w:basedOn w:val="Carpredefinitoparagrafo"/>
    <w:uiPriority w:val="99"/>
    <w:semiHidden/>
    <w:unhideWhenUsed/>
    <w:rsid w:val="00250493"/>
    <w:rPr>
      <w:color w:val="800080" w:themeColor="followedHyperlink"/>
      <w:u w:val="single"/>
    </w:rPr>
  </w:style>
  <w:style w:type="table" w:styleId="Grigliatabella">
    <w:name w:val="Table Grid"/>
    <w:basedOn w:val="Tabellanormale"/>
    <w:uiPriority w:val="59"/>
    <w:rsid w:val="001A0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1B1EBE"/>
    <w:pPr>
      <w:spacing w:after="0" w:line="240" w:lineRule="auto"/>
    </w:pPr>
    <w:rPr>
      <w:rFonts w:ascii="Times New Roman" w:eastAsia="Times New Roman" w:hAnsi="Times New Roman" w:cs="Times New Roman"/>
      <w:kern w:val="0"/>
      <w:sz w:val="20"/>
      <w:szCs w:val="20"/>
      <w:lang w:val="it-IT" w:eastAsia="zh-CN"/>
    </w:rPr>
  </w:style>
  <w:style w:type="character" w:styleId="Rimandocommento">
    <w:name w:val="annotation reference"/>
    <w:basedOn w:val="Carpredefinitoparagrafo"/>
    <w:uiPriority w:val="99"/>
    <w:semiHidden/>
    <w:unhideWhenUsed/>
    <w:rsid w:val="00824CC8"/>
    <w:rPr>
      <w:sz w:val="16"/>
      <w:szCs w:val="16"/>
    </w:rPr>
  </w:style>
  <w:style w:type="paragraph" w:styleId="Testocommento">
    <w:name w:val="annotation text"/>
    <w:basedOn w:val="Normale"/>
    <w:link w:val="TestocommentoCarattere"/>
    <w:uiPriority w:val="99"/>
    <w:unhideWhenUsed/>
    <w:rsid w:val="00824CC8"/>
  </w:style>
  <w:style w:type="character" w:customStyle="1" w:styleId="TestocommentoCarattere">
    <w:name w:val="Testo commento Carattere"/>
    <w:basedOn w:val="Carpredefinitoparagrafo"/>
    <w:link w:val="Testocommento"/>
    <w:uiPriority w:val="99"/>
    <w:rsid w:val="00824CC8"/>
    <w:rPr>
      <w:rFonts w:ascii="Times New Roman" w:eastAsia="Times New Roman" w:hAnsi="Times New Roman" w:cs="Times New Roman"/>
      <w:kern w:val="0"/>
      <w:sz w:val="20"/>
      <w:szCs w:val="20"/>
      <w:lang w:val="it-IT" w:eastAsia="zh-CN"/>
    </w:rPr>
  </w:style>
  <w:style w:type="paragraph" w:styleId="Soggettocommento">
    <w:name w:val="annotation subject"/>
    <w:basedOn w:val="Testocommento"/>
    <w:next w:val="Testocommento"/>
    <w:link w:val="SoggettocommentoCarattere"/>
    <w:uiPriority w:val="99"/>
    <w:semiHidden/>
    <w:unhideWhenUsed/>
    <w:rsid w:val="00824CC8"/>
    <w:rPr>
      <w:b/>
      <w:bCs/>
    </w:rPr>
  </w:style>
  <w:style w:type="character" w:customStyle="1" w:styleId="SoggettocommentoCarattere">
    <w:name w:val="Soggetto commento Carattere"/>
    <w:basedOn w:val="TestocommentoCarattere"/>
    <w:link w:val="Soggettocommento"/>
    <w:uiPriority w:val="99"/>
    <w:semiHidden/>
    <w:rsid w:val="00824CC8"/>
    <w:rPr>
      <w:rFonts w:ascii="Times New Roman" w:eastAsia="Times New Roman" w:hAnsi="Times New Roman" w:cs="Times New Roman"/>
      <w:b/>
      <w:bCs/>
      <w:kern w:val="0"/>
      <w:sz w:val="20"/>
      <w:szCs w:val="20"/>
      <w:lang w:val="it-IT" w:eastAsia="zh-CN"/>
    </w:rPr>
  </w:style>
</w:styles>
</file>

<file path=word/webSettings.xml><?xml version="1.0" encoding="utf-8"?>
<w:webSettings xmlns:r="http://schemas.openxmlformats.org/officeDocument/2006/relationships" xmlns:w="http://schemas.openxmlformats.org/wordprocessingml/2006/main">
  <w:divs>
    <w:div w:id="791364685">
      <w:bodyDiv w:val="1"/>
      <w:marLeft w:val="0"/>
      <w:marRight w:val="0"/>
      <w:marTop w:val="0"/>
      <w:marBottom w:val="0"/>
      <w:divBdr>
        <w:top w:val="none" w:sz="0" w:space="0" w:color="auto"/>
        <w:left w:val="none" w:sz="0" w:space="0" w:color="auto"/>
        <w:bottom w:val="none" w:sz="0" w:space="0" w:color="auto"/>
        <w:right w:val="none" w:sz="0" w:space="0" w:color="auto"/>
      </w:divBdr>
      <w:divsChild>
        <w:div w:id="391269598">
          <w:marLeft w:val="0"/>
          <w:marRight w:val="0"/>
          <w:marTop w:val="0"/>
          <w:marBottom w:val="0"/>
          <w:divBdr>
            <w:top w:val="none" w:sz="0" w:space="0" w:color="auto"/>
            <w:left w:val="none" w:sz="0" w:space="0" w:color="auto"/>
            <w:bottom w:val="none" w:sz="0" w:space="0" w:color="auto"/>
            <w:right w:val="none" w:sz="0" w:space="0" w:color="auto"/>
          </w:divBdr>
          <w:divsChild>
            <w:div w:id="1437797311">
              <w:marLeft w:val="0"/>
              <w:marRight w:val="0"/>
              <w:marTop w:val="0"/>
              <w:marBottom w:val="0"/>
              <w:divBdr>
                <w:top w:val="none" w:sz="0" w:space="0" w:color="auto"/>
                <w:left w:val="none" w:sz="0" w:space="0" w:color="auto"/>
                <w:bottom w:val="none" w:sz="0" w:space="0" w:color="auto"/>
                <w:right w:val="none" w:sz="0" w:space="0" w:color="auto"/>
              </w:divBdr>
              <w:divsChild>
                <w:div w:id="1848444417">
                  <w:marLeft w:val="0"/>
                  <w:marRight w:val="0"/>
                  <w:marTop w:val="0"/>
                  <w:marBottom w:val="0"/>
                  <w:divBdr>
                    <w:top w:val="none" w:sz="0" w:space="0" w:color="auto"/>
                    <w:left w:val="none" w:sz="0" w:space="0" w:color="auto"/>
                    <w:bottom w:val="none" w:sz="0" w:space="0" w:color="auto"/>
                    <w:right w:val="none" w:sz="0" w:space="0" w:color="auto"/>
                  </w:divBdr>
                  <w:divsChild>
                    <w:div w:id="932396443">
                      <w:marLeft w:val="0"/>
                      <w:marRight w:val="0"/>
                      <w:marTop w:val="0"/>
                      <w:marBottom w:val="0"/>
                      <w:divBdr>
                        <w:top w:val="none" w:sz="0" w:space="0" w:color="auto"/>
                        <w:left w:val="none" w:sz="0" w:space="0" w:color="auto"/>
                        <w:bottom w:val="none" w:sz="0" w:space="0" w:color="auto"/>
                        <w:right w:val="none" w:sz="0" w:space="0" w:color="auto"/>
                      </w:divBdr>
                      <w:divsChild>
                        <w:div w:id="79984992">
                          <w:marLeft w:val="0"/>
                          <w:marRight w:val="0"/>
                          <w:marTop w:val="0"/>
                          <w:marBottom w:val="0"/>
                          <w:divBdr>
                            <w:top w:val="none" w:sz="0" w:space="0" w:color="auto"/>
                            <w:left w:val="none" w:sz="0" w:space="0" w:color="auto"/>
                            <w:bottom w:val="none" w:sz="0" w:space="0" w:color="auto"/>
                            <w:right w:val="none" w:sz="0" w:space="0" w:color="auto"/>
                          </w:divBdr>
                        </w:div>
                        <w:div w:id="20554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8463">
          <w:marLeft w:val="0"/>
          <w:marRight w:val="0"/>
          <w:marTop w:val="0"/>
          <w:marBottom w:val="0"/>
          <w:divBdr>
            <w:top w:val="none" w:sz="0" w:space="0" w:color="auto"/>
            <w:left w:val="none" w:sz="0" w:space="0" w:color="auto"/>
            <w:bottom w:val="none" w:sz="0" w:space="0" w:color="auto"/>
            <w:right w:val="none" w:sz="0" w:space="0" w:color="auto"/>
          </w:divBdr>
          <w:divsChild>
            <w:div w:id="336619015">
              <w:marLeft w:val="0"/>
              <w:marRight w:val="0"/>
              <w:marTop w:val="0"/>
              <w:marBottom w:val="0"/>
              <w:divBdr>
                <w:top w:val="none" w:sz="0" w:space="0" w:color="auto"/>
                <w:left w:val="none" w:sz="0" w:space="0" w:color="auto"/>
                <w:bottom w:val="none" w:sz="0" w:space="0" w:color="auto"/>
                <w:right w:val="none" w:sz="0" w:space="0" w:color="auto"/>
              </w:divBdr>
              <w:divsChild>
                <w:div w:id="943726014">
                  <w:marLeft w:val="0"/>
                  <w:marRight w:val="0"/>
                  <w:marTop w:val="0"/>
                  <w:marBottom w:val="0"/>
                  <w:divBdr>
                    <w:top w:val="none" w:sz="0" w:space="0" w:color="auto"/>
                    <w:left w:val="none" w:sz="0" w:space="0" w:color="auto"/>
                    <w:bottom w:val="none" w:sz="0" w:space="0" w:color="auto"/>
                    <w:right w:val="none" w:sz="0" w:space="0" w:color="auto"/>
                  </w:divBdr>
                  <w:divsChild>
                    <w:div w:id="1999964976">
                      <w:marLeft w:val="0"/>
                      <w:marRight w:val="0"/>
                      <w:marTop w:val="0"/>
                      <w:marBottom w:val="0"/>
                      <w:divBdr>
                        <w:top w:val="none" w:sz="0" w:space="0" w:color="auto"/>
                        <w:left w:val="none" w:sz="0" w:space="0" w:color="auto"/>
                        <w:bottom w:val="none" w:sz="0" w:space="0" w:color="auto"/>
                        <w:right w:val="none" w:sz="0" w:space="0" w:color="auto"/>
                      </w:divBdr>
                      <w:divsChild>
                        <w:div w:id="503327680">
                          <w:marLeft w:val="0"/>
                          <w:marRight w:val="0"/>
                          <w:marTop w:val="0"/>
                          <w:marBottom w:val="0"/>
                          <w:divBdr>
                            <w:top w:val="none" w:sz="0" w:space="0" w:color="auto"/>
                            <w:left w:val="none" w:sz="0" w:space="0" w:color="auto"/>
                            <w:bottom w:val="none" w:sz="0" w:space="0" w:color="auto"/>
                            <w:right w:val="none" w:sz="0" w:space="0" w:color="auto"/>
                          </w:divBdr>
                          <w:divsChild>
                            <w:div w:id="1976838334">
                              <w:marLeft w:val="0"/>
                              <w:marRight w:val="0"/>
                              <w:marTop w:val="0"/>
                              <w:marBottom w:val="0"/>
                              <w:divBdr>
                                <w:top w:val="none" w:sz="0" w:space="0" w:color="auto"/>
                                <w:left w:val="none" w:sz="0" w:space="0" w:color="auto"/>
                                <w:bottom w:val="none" w:sz="0" w:space="0" w:color="auto"/>
                                <w:right w:val="none" w:sz="0" w:space="0" w:color="auto"/>
                              </w:divBdr>
                              <w:divsChild>
                                <w:div w:id="66728836">
                                  <w:marLeft w:val="0"/>
                                  <w:marRight w:val="0"/>
                                  <w:marTop w:val="0"/>
                                  <w:marBottom w:val="0"/>
                                  <w:divBdr>
                                    <w:top w:val="none" w:sz="0" w:space="0" w:color="auto"/>
                                    <w:left w:val="none" w:sz="0" w:space="0" w:color="auto"/>
                                    <w:bottom w:val="none" w:sz="0" w:space="0" w:color="auto"/>
                                    <w:right w:val="none" w:sz="0" w:space="0" w:color="auto"/>
                                  </w:divBdr>
                                  <w:divsChild>
                                    <w:div w:id="1853571090">
                                      <w:marLeft w:val="0"/>
                                      <w:marRight w:val="0"/>
                                      <w:marTop w:val="0"/>
                                      <w:marBottom w:val="0"/>
                                      <w:divBdr>
                                        <w:top w:val="none" w:sz="0" w:space="0" w:color="auto"/>
                                        <w:left w:val="none" w:sz="0" w:space="0" w:color="auto"/>
                                        <w:bottom w:val="none" w:sz="0" w:space="0" w:color="auto"/>
                                        <w:right w:val="none" w:sz="0" w:space="0" w:color="auto"/>
                                      </w:divBdr>
                                      <w:divsChild>
                                        <w:div w:id="1830634545">
                                          <w:marLeft w:val="0"/>
                                          <w:marRight w:val="0"/>
                                          <w:marTop w:val="0"/>
                                          <w:marBottom w:val="0"/>
                                          <w:divBdr>
                                            <w:top w:val="none" w:sz="0" w:space="0" w:color="auto"/>
                                            <w:left w:val="none" w:sz="0" w:space="0" w:color="auto"/>
                                            <w:bottom w:val="none" w:sz="0" w:space="0" w:color="auto"/>
                                            <w:right w:val="none" w:sz="0" w:space="0" w:color="auto"/>
                                          </w:divBdr>
                                        </w:div>
                                        <w:div w:id="1823422127">
                                          <w:marLeft w:val="0"/>
                                          <w:marRight w:val="0"/>
                                          <w:marTop w:val="0"/>
                                          <w:marBottom w:val="0"/>
                                          <w:divBdr>
                                            <w:top w:val="none" w:sz="0" w:space="0" w:color="auto"/>
                                            <w:left w:val="none" w:sz="0" w:space="0" w:color="auto"/>
                                            <w:bottom w:val="none" w:sz="0" w:space="0" w:color="auto"/>
                                            <w:right w:val="none" w:sz="0" w:space="0" w:color="auto"/>
                                          </w:divBdr>
                                          <w:divsChild>
                                            <w:div w:id="643513217">
                                              <w:marLeft w:val="0"/>
                                              <w:marRight w:val="0"/>
                                              <w:marTop w:val="0"/>
                                              <w:marBottom w:val="0"/>
                                              <w:divBdr>
                                                <w:top w:val="none" w:sz="0" w:space="0" w:color="auto"/>
                                                <w:left w:val="none" w:sz="0" w:space="0" w:color="auto"/>
                                                <w:bottom w:val="none" w:sz="0" w:space="0" w:color="auto"/>
                                                <w:right w:val="none" w:sz="0" w:space="0" w:color="auto"/>
                                              </w:divBdr>
                                              <w:divsChild>
                                                <w:div w:id="1753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9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C69ED5709CE43B3C4ECE907DA86AC" ma:contentTypeVersion="13" ma:contentTypeDescription="Create a new document." ma:contentTypeScope="" ma:versionID="1a5b5fe807f31a0a0cee99cb3a43b91a">
  <xsd:schema xmlns:xsd="http://www.w3.org/2001/XMLSchema" xmlns:xs="http://www.w3.org/2001/XMLSchema" xmlns:p="http://schemas.microsoft.com/office/2006/metadata/properties" xmlns:ns2="8ba6bf95-db05-4f4e-9947-4a74dcc7a49e" xmlns:ns3="0e194b84-b216-41b7-815a-8b2f34335ead" targetNamespace="http://schemas.microsoft.com/office/2006/metadata/properties" ma:root="true" ma:fieldsID="d3f55b63f63d392441a36668bdb02f34" ns2:_="" ns3:_="">
    <xsd:import namespace="8ba6bf95-db05-4f4e-9947-4a74dcc7a49e"/>
    <xsd:import namespace="0e194b84-b216-41b7-815a-8b2f34335e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bf95-db05-4f4e-9947-4a74dcc7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194b84-b216-41b7-815a-8b2f34335e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35a65c-7efd-49b5-bd7b-f211687024b9}" ma:internalName="TaxCatchAll" ma:showField="CatchAllData" ma:web="0e194b84-b216-41b7-815a-8b2f34335e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a6bf95-db05-4f4e-9947-4a74dcc7a49e">
      <Terms xmlns="http://schemas.microsoft.com/office/infopath/2007/PartnerControls"/>
    </lcf76f155ced4ddcb4097134ff3c332f>
    <TaxCatchAll xmlns="0e194b84-b216-41b7-815a-8b2f34335ead" xsi:nil="true"/>
  </documentManagement>
</p:properties>
</file>

<file path=customXml/itemProps1.xml><?xml version="1.0" encoding="utf-8"?>
<ds:datastoreItem xmlns:ds="http://schemas.openxmlformats.org/officeDocument/2006/customXml" ds:itemID="{5AB2A074-92AA-48F4-9DF4-5E6872BEBDDA}">
  <ds:schemaRefs>
    <ds:schemaRef ds:uri="http://schemas.openxmlformats.org/officeDocument/2006/bibliography"/>
  </ds:schemaRefs>
</ds:datastoreItem>
</file>

<file path=customXml/itemProps2.xml><?xml version="1.0" encoding="utf-8"?>
<ds:datastoreItem xmlns:ds="http://schemas.openxmlformats.org/officeDocument/2006/customXml" ds:itemID="{F0AA7A80-7F06-4981-955B-06F5417A7389}"/>
</file>

<file path=customXml/itemProps3.xml><?xml version="1.0" encoding="utf-8"?>
<ds:datastoreItem xmlns:ds="http://schemas.openxmlformats.org/officeDocument/2006/customXml" ds:itemID="{03FF7023-228E-4774-993B-54820ECCE6CC}"/>
</file>

<file path=customXml/itemProps4.xml><?xml version="1.0" encoding="utf-8"?>
<ds:datastoreItem xmlns:ds="http://schemas.openxmlformats.org/officeDocument/2006/customXml" ds:itemID="{F16381D0-C0FB-4C2E-9F57-A815558A744B}"/>
</file>

<file path=docProps/app.xml><?xml version="1.0" encoding="utf-8"?>
<Properties xmlns="http://schemas.openxmlformats.org/officeDocument/2006/extended-properties" xmlns:vt="http://schemas.openxmlformats.org/officeDocument/2006/docPropsVTypes">
  <Template>Normal.dotm</Template>
  <TotalTime>5</TotalTime>
  <Pages>3</Pages>
  <Words>1051</Words>
  <Characters>5993</Characters>
  <Application>Microsoft Office Word</Application>
  <DocSecurity>0</DocSecurity>
  <Lines>49</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Boschian Luca</dc:creator>
  <cp:lastModifiedBy>Nicoletta A. Miele</cp:lastModifiedBy>
  <cp:revision>2</cp:revision>
  <dcterms:created xsi:type="dcterms:W3CDTF">2023-07-12T12:32:00Z</dcterms:created>
  <dcterms:modified xsi:type="dcterms:W3CDTF">2023-07-12T12:32:00Z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0x010100732C69ED5709CE43B3C4ECE907DA86AC</vt:lpwstr>
  </property>
</Properties>
</file>