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2B6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586EFE02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51384EB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48DEFE51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2DCF4630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PhD DISSERTATION PROJECTS</w:t>
      </w:r>
    </w:p>
    <w:p w14:paraId="579B649A" w14:textId="0A89F8B0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56F86702" w14:textId="6DA5BE7F" w:rsidR="00081E79" w:rsidRPr="00081E79" w:rsidRDefault="00081E79" w:rsidP="00081E79">
      <w:pPr>
        <w:widowControl/>
        <w:suppressAutoHyphens w:val="0"/>
        <w:rPr>
          <w:sz w:val="28"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0BEC5831" w14:textId="5B54C20C" w:rsidR="00081E79" w:rsidRDefault="007D1878" w:rsidP="00081E79">
      <w:pPr>
        <w:pStyle w:val="Titolo"/>
        <w:spacing w:before="600" w:line="240" w:lineRule="auto"/>
        <w:rPr>
          <w:lang w:val="en-GB"/>
        </w:rPr>
      </w:pPr>
      <w:r>
        <w:rPr>
          <w:lang w:val="en-GB"/>
        </w:rPr>
        <w:lastRenderedPageBreak/>
        <w:t xml:space="preserve">Multidisciplinary Approach for Authentication </w:t>
      </w:r>
      <w:r w:rsidR="006B090C">
        <w:rPr>
          <w:lang w:val="en-GB"/>
        </w:rPr>
        <w:t xml:space="preserve">and Traceability of Geographical Origin </w:t>
      </w:r>
      <w:r>
        <w:rPr>
          <w:lang w:val="en-GB"/>
        </w:rPr>
        <w:t xml:space="preserve">of Agri-food Products </w:t>
      </w:r>
    </w:p>
    <w:p w14:paraId="050008D4" w14:textId="244D2168" w:rsidR="00081E79" w:rsidRDefault="007D1878" w:rsidP="00081E79">
      <w:pPr>
        <w:jc w:val="center"/>
        <w:rPr>
          <w:lang w:val="de-DE"/>
        </w:rPr>
      </w:pPr>
      <w:r>
        <w:rPr>
          <w:lang w:val="de-DE"/>
        </w:rPr>
        <w:t>Raffaela Ofano</w:t>
      </w:r>
      <w:r w:rsidR="00081E79">
        <w:rPr>
          <w:lang w:val="de-DE"/>
        </w:rPr>
        <w:t xml:space="preserve"> (</w:t>
      </w:r>
      <w:r>
        <w:rPr>
          <w:lang w:val="de-DE"/>
        </w:rPr>
        <w:t>raffaela.ofano</w:t>
      </w:r>
      <w:r w:rsidR="00081E79">
        <w:rPr>
          <w:lang w:val="de-DE"/>
        </w:rPr>
        <w:t>@un</w:t>
      </w:r>
      <w:r>
        <w:rPr>
          <w:lang w:val="de-DE"/>
        </w:rPr>
        <w:t>ina</w:t>
      </w:r>
      <w:r w:rsidR="00081E79">
        <w:rPr>
          <w:lang w:val="de-DE"/>
        </w:rPr>
        <w:t>.it)</w:t>
      </w:r>
    </w:p>
    <w:p w14:paraId="6D5F5145" w14:textId="57B8B507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 xml:space="preserve">Dept. </w:t>
      </w:r>
      <w:r w:rsidR="007D1878">
        <w:rPr>
          <w:lang w:val="en-GB"/>
        </w:rPr>
        <w:t>Agricultural Sciences</w:t>
      </w:r>
      <w:r>
        <w:rPr>
          <w:lang w:val="en-GB"/>
        </w:rPr>
        <w:t xml:space="preserve">, University of </w:t>
      </w:r>
      <w:r w:rsidR="007D1878">
        <w:rPr>
          <w:lang w:val="en-GB"/>
        </w:rPr>
        <w:t>Naples Federico II</w:t>
      </w:r>
      <w:r>
        <w:rPr>
          <w:lang w:val="en-GB"/>
        </w:rPr>
        <w:t>, Italy</w:t>
      </w:r>
    </w:p>
    <w:p w14:paraId="7CBDB1B6" w14:textId="41EF4020" w:rsidR="00081E79" w:rsidRPr="007D1878" w:rsidRDefault="00081E79" w:rsidP="00081E79">
      <w:pPr>
        <w:jc w:val="center"/>
        <w:rPr>
          <w:lang w:val="en-US"/>
        </w:rPr>
      </w:pPr>
      <w:r w:rsidRPr="007D1878">
        <w:rPr>
          <w:lang w:val="en-US"/>
        </w:rPr>
        <w:t xml:space="preserve">Tutor: </w:t>
      </w:r>
      <w:proofErr w:type="spellStart"/>
      <w:r w:rsidRPr="007D1878">
        <w:rPr>
          <w:lang w:val="en-US"/>
        </w:rPr>
        <w:t>Prof.</w:t>
      </w:r>
      <w:r w:rsidR="007D1878" w:rsidRPr="007D1878">
        <w:rPr>
          <w:lang w:val="en-US"/>
        </w:rPr>
        <w:t>ssa</w:t>
      </w:r>
      <w:proofErr w:type="spellEnd"/>
      <w:r w:rsidR="007D1878" w:rsidRPr="007D1878">
        <w:rPr>
          <w:lang w:val="en-US"/>
        </w:rPr>
        <w:t xml:space="preserve"> Paola Adamo</w:t>
      </w:r>
    </w:p>
    <w:p w14:paraId="145790C6" w14:textId="77777777" w:rsidR="00081E79" w:rsidRPr="007D1878" w:rsidRDefault="00081E79" w:rsidP="00081E79">
      <w:pPr>
        <w:jc w:val="center"/>
        <w:rPr>
          <w:lang w:val="en-US"/>
        </w:rPr>
      </w:pPr>
    </w:p>
    <w:p w14:paraId="17F6A56B" w14:textId="3E2974E5" w:rsidR="007D1878" w:rsidRDefault="00081E79" w:rsidP="00081E79">
      <w:pPr>
        <w:pStyle w:val="Corpotesto"/>
        <w:jc w:val="both"/>
        <w:rPr>
          <w:i w:val="0"/>
          <w:iCs w:val="0"/>
          <w:sz w:val="20"/>
          <w:lang w:val="en-GB"/>
        </w:rPr>
      </w:pPr>
      <w:r>
        <w:rPr>
          <w:i w:val="0"/>
          <w:iCs w:val="0"/>
          <w:sz w:val="20"/>
          <w:lang w:val="en-GB"/>
        </w:rPr>
        <w:t xml:space="preserve">This PhD thesis research project is aimed at </w:t>
      </w:r>
      <w:r w:rsidR="007D1878">
        <w:rPr>
          <w:i w:val="0"/>
          <w:iCs w:val="0"/>
          <w:sz w:val="20"/>
          <w:lang w:val="en-GB"/>
        </w:rPr>
        <w:t xml:space="preserve">the development, testing and validation of an integrated approach for the traceability of geographical origin and the authentication of quality </w:t>
      </w:r>
      <w:r w:rsidR="006B090C">
        <w:rPr>
          <w:i w:val="0"/>
          <w:iCs w:val="0"/>
          <w:sz w:val="20"/>
          <w:lang w:val="en-GB"/>
        </w:rPr>
        <w:t xml:space="preserve">of </w:t>
      </w:r>
      <w:r w:rsidR="007D1878">
        <w:rPr>
          <w:i w:val="0"/>
          <w:iCs w:val="0"/>
          <w:sz w:val="20"/>
          <w:lang w:val="en-GB"/>
        </w:rPr>
        <w:t>agri-food products, which can be adopted in the agri-food chains, useful for the competitiveness of companies.</w:t>
      </w:r>
    </w:p>
    <w:p w14:paraId="553191D8" w14:textId="415E0AEE" w:rsidR="00081E79" w:rsidRDefault="007D1878" w:rsidP="00081E79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 xml:space="preserve">Approccio multidisciplinare per </w:t>
      </w:r>
      <w:r w:rsidR="006B090C">
        <w:rPr>
          <w:sz w:val="24"/>
          <w:lang w:val="it-IT"/>
        </w:rPr>
        <w:t xml:space="preserve">l’autenticazione e </w:t>
      </w:r>
      <w:r>
        <w:rPr>
          <w:sz w:val="24"/>
          <w:lang w:val="it-IT"/>
        </w:rPr>
        <w:t xml:space="preserve">la tracciabilità della provenienza geografica di prodotti agroalimentari </w:t>
      </w:r>
    </w:p>
    <w:p w14:paraId="2167F482" w14:textId="60A614AA" w:rsidR="007D1878" w:rsidRDefault="00081E79" w:rsidP="00081E79">
      <w:pPr>
        <w:jc w:val="both"/>
      </w:pPr>
      <w:r>
        <w:t xml:space="preserve">Questo progetto di tesi di dottorato </w:t>
      </w:r>
      <w:r w:rsidR="006B090C">
        <w:t>ha come obiettivo lo</w:t>
      </w:r>
      <w:r w:rsidR="007D1878">
        <w:t xml:space="preserve"> sviluppo, </w:t>
      </w:r>
      <w:r w:rsidR="006B090C">
        <w:t xml:space="preserve">la </w:t>
      </w:r>
      <w:r w:rsidR="007D1878">
        <w:t xml:space="preserve">sperimentazione e validazione di un approccio integrato per </w:t>
      </w:r>
      <w:r w:rsidR="00576B75">
        <w:t xml:space="preserve">l’autenticazione e </w:t>
      </w:r>
      <w:r w:rsidR="007D1878">
        <w:t>la tracciabilità della provenienza geografica di prodotti agroalimentari di qualità, adottabil</w:t>
      </w:r>
      <w:r w:rsidR="00975284">
        <w:t xml:space="preserve">e </w:t>
      </w:r>
      <w:r w:rsidR="007D1878">
        <w:t>nelle filiere agroalimentari, util</w:t>
      </w:r>
      <w:r w:rsidR="00975284">
        <w:t>e</w:t>
      </w:r>
      <w:r w:rsidR="007D1878">
        <w:t xml:space="preserve"> per la competi</w:t>
      </w:r>
      <w:r w:rsidR="00975284">
        <w:t>ti</w:t>
      </w:r>
      <w:r w:rsidR="007D1878">
        <w:t>vità delle aziende.</w:t>
      </w:r>
    </w:p>
    <w:p w14:paraId="5D49484C" w14:textId="77777777" w:rsidR="00081E79" w:rsidRDefault="00081E79" w:rsidP="00081E79"/>
    <w:p w14:paraId="5F678478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599559E6" w14:textId="5E122A65" w:rsidR="00081E79" w:rsidRPr="00E93897" w:rsidRDefault="00B03090" w:rsidP="00E93897">
      <w:pPr>
        <w:pStyle w:val="NormaleWeb"/>
        <w:jc w:val="both"/>
        <w:rPr>
          <w:sz w:val="20"/>
          <w:szCs w:val="20"/>
          <w:lang w:val="en-US"/>
        </w:rPr>
      </w:pPr>
      <w:r w:rsidRPr="00E93897">
        <w:rPr>
          <w:sz w:val="20"/>
          <w:szCs w:val="20"/>
          <w:lang w:val="en-US"/>
        </w:rPr>
        <w:t>Over the last few years, the identification and certification of the geographical origin</w:t>
      </w:r>
      <w:r w:rsidR="00975284">
        <w:rPr>
          <w:sz w:val="20"/>
          <w:szCs w:val="20"/>
          <w:lang w:val="en-US"/>
        </w:rPr>
        <w:t xml:space="preserve"> </w:t>
      </w:r>
      <w:r w:rsidRPr="00E93897">
        <w:rPr>
          <w:sz w:val="20"/>
          <w:szCs w:val="20"/>
          <w:lang w:val="en-US"/>
        </w:rPr>
        <w:t>of food ha</w:t>
      </w:r>
      <w:r w:rsidR="00975284">
        <w:rPr>
          <w:sz w:val="20"/>
          <w:szCs w:val="20"/>
          <w:lang w:val="en-US"/>
        </w:rPr>
        <w:t>s</w:t>
      </w:r>
      <w:r w:rsidRPr="00E93897">
        <w:rPr>
          <w:sz w:val="20"/>
          <w:szCs w:val="20"/>
          <w:lang w:val="en-US"/>
        </w:rPr>
        <w:t xml:space="preserve"> gained an increasing amount of attention. </w:t>
      </w:r>
      <w:r w:rsidR="00810B4D" w:rsidRPr="00E93897">
        <w:rPr>
          <w:sz w:val="20"/>
          <w:szCs w:val="20"/>
          <w:lang w:val="en-US"/>
        </w:rPr>
        <w:t xml:space="preserve">Globally, large amounts of food are exchanged and transported </w:t>
      </w:r>
      <w:proofErr w:type="gramStart"/>
      <w:r w:rsidR="00810B4D" w:rsidRPr="00E93897">
        <w:rPr>
          <w:sz w:val="20"/>
          <w:szCs w:val="20"/>
          <w:lang w:val="en-US"/>
        </w:rPr>
        <w:t>on a daily basis</w:t>
      </w:r>
      <w:proofErr w:type="gramEnd"/>
      <w:r w:rsidR="00810B4D" w:rsidRPr="00E93897">
        <w:rPr>
          <w:sz w:val="20"/>
          <w:szCs w:val="20"/>
          <w:lang w:val="en-US"/>
        </w:rPr>
        <w:t>, and for many consumers, geographical authentication of food is looked upon as an assurance of its quality and safety (</w:t>
      </w:r>
      <w:proofErr w:type="spellStart"/>
      <w:r w:rsidR="00810B4D" w:rsidRPr="00E93897">
        <w:rPr>
          <w:sz w:val="20"/>
          <w:szCs w:val="20"/>
          <w:lang w:val="en-US"/>
        </w:rPr>
        <w:t>Opatić</w:t>
      </w:r>
      <w:proofErr w:type="spellEnd"/>
      <w:r w:rsidR="00810B4D" w:rsidRPr="00E93897">
        <w:rPr>
          <w:sz w:val="20"/>
          <w:szCs w:val="20"/>
          <w:lang w:val="en-US"/>
        </w:rPr>
        <w:t xml:space="preserve"> </w:t>
      </w:r>
      <w:r w:rsidR="00810B4D" w:rsidRPr="00444CC1">
        <w:rPr>
          <w:i/>
          <w:iCs/>
          <w:sz w:val="20"/>
          <w:szCs w:val="20"/>
          <w:lang w:val="en-US"/>
        </w:rPr>
        <w:t>et al</w:t>
      </w:r>
      <w:r w:rsidR="00810B4D" w:rsidRPr="00E93897">
        <w:rPr>
          <w:sz w:val="20"/>
          <w:szCs w:val="20"/>
          <w:lang w:val="en-US"/>
        </w:rPr>
        <w:t xml:space="preserve">., 2017). </w:t>
      </w:r>
      <w:r w:rsidR="00E07E1D">
        <w:rPr>
          <w:sz w:val="20"/>
          <w:szCs w:val="20"/>
          <w:lang w:val="en-US"/>
        </w:rPr>
        <w:t>Therefore, the participation to protected food names (PDO, PGI, TSG) is encouraged in the EU</w:t>
      </w:r>
      <w:r w:rsidR="00E07E1D" w:rsidRPr="00E07E1D">
        <w:rPr>
          <w:sz w:val="20"/>
          <w:szCs w:val="20"/>
          <w:lang w:val="en-US"/>
        </w:rPr>
        <w:t xml:space="preserve"> </w:t>
      </w:r>
      <w:r w:rsidR="00E07E1D">
        <w:rPr>
          <w:sz w:val="20"/>
          <w:szCs w:val="20"/>
          <w:lang w:val="en-US"/>
        </w:rPr>
        <w:t>(</w:t>
      </w:r>
      <w:proofErr w:type="spellStart"/>
      <w:r w:rsidR="00E07E1D">
        <w:rPr>
          <w:sz w:val="20"/>
          <w:szCs w:val="20"/>
          <w:lang w:val="en-US"/>
        </w:rPr>
        <w:t>Luykx</w:t>
      </w:r>
      <w:proofErr w:type="spellEnd"/>
      <w:r w:rsidR="00E07E1D">
        <w:rPr>
          <w:sz w:val="20"/>
          <w:szCs w:val="20"/>
          <w:lang w:val="en-US"/>
        </w:rPr>
        <w:t xml:space="preserve"> </w:t>
      </w:r>
      <w:r w:rsidR="00E07E1D" w:rsidRPr="00444CC1">
        <w:rPr>
          <w:i/>
          <w:iCs/>
          <w:sz w:val="20"/>
          <w:szCs w:val="20"/>
          <w:lang w:val="en-US"/>
        </w:rPr>
        <w:t>et al</w:t>
      </w:r>
      <w:r w:rsidR="00E07E1D">
        <w:rPr>
          <w:sz w:val="20"/>
          <w:szCs w:val="20"/>
          <w:lang w:val="en-US"/>
        </w:rPr>
        <w:t xml:space="preserve">., 2007). </w:t>
      </w:r>
      <w:r w:rsidR="00214559">
        <w:rPr>
          <w:sz w:val="20"/>
          <w:szCs w:val="20"/>
          <w:lang w:val="en-US"/>
        </w:rPr>
        <w:t>The authentication and traceability of the geographical origin of agri-food products is essential to increase consumer confidence in the products and prevent fraud and counterfeiting.</w:t>
      </w:r>
      <w:r w:rsidR="000502C6">
        <w:rPr>
          <w:sz w:val="20"/>
          <w:szCs w:val="20"/>
          <w:lang w:val="en-US"/>
        </w:rPr>
        <w:t xml:space="preserve"> </w:t>
      </w:r>
      <w:r w:rsidR="00983CEB">
        <w:rPr>
          <w:sz w:val="20"/>
          <w:szCs w:val="20"/>
          <w:lang w:val="en-US"/>
        </w:rPr>
        <w:t xml:space="preserve">The </w:t>
      </w:r>
      <w:r w:rsidR="00214559">
        <w:rPr>
          <w:sz w:val="20"/>
          <w:szCs w:val="20"/>
          <w:lang w:val="en-US"/>
        </w:rPr>
        <w:t xml:space="preserve">main </w:t>
      </w:r>
      <w:r w:rsidR="00983CEB">
        <w:rPr>
          <w:sz w:val="20"/>
          <w:szCs w:val="20"/>
          <w:lang w:val="en-US"/>
        </w:rPr>
        <w:t xml:space="preserve">analytical </w:t>
      </w:r>
      <w:r w:rsidR="00214559">
        <w:rPr>
          <w:sz w:val="20"/>
          <w:szCs w:val="20"/>
          <w:lang w:val="en-US"/>
        </w:rPr>
        <w:t xml:space="preserve">methods used to implement traceability systems, </w:t>
      </w:r>
      <w:r w:rsidR="00983CEB">
        <w:rPr>
          <w:sz w:val="20"/>
          <w:szCs w:val="20"/>
          <w:lang w:val="en-US"/>
        </w:rPr>
        <w:t>have been s</w:t>
      </w:r>
      <w:r w:rsidR="00214559">
        <w:rPr>
          <w:sz w:val="20"/>
          <w:szCs w:val="20"/>
          <w:lang w:val="en-US"/>
        </w:rPr>
        <w:t>ubdivided into four groups: mass spectrometry, spectroscopic, separation, and other techniques</w:t>
      </w:r>
      <w:r w:rsidR="00AE50C8">
        <w:rPr>
          <w:sz w:val="20"/>
          <w:szCs w:val="20"/>
          <w:lang w:val="en-US"/>
        </w:rPr>
        <w:t xml:space="preserve"> </w:t>
      </w:r>
      <w:r w:rsidR="00214559">
        <w:rPr>
          <w:sz w:val="20"/>
          <w:szCs w:val="20"/>
          <w:lang w:val="en-US"/>
        </w:rPr>
        <w:t>(</w:t>
      </w:r>
      <w:proofErr w:type="spellStart"/>
      <w:r w:rsidR="00E07E1D">
        <w:rPr>
          <w:sz w:val="20"/>
          <w:szCs w:val="20"/>
          <w:lang w:val="en-US"/>
        </w:rPr>
        <w:t>Luykx</w:t>
      </w:r>
      <w:proofErr w:type="spellEnd"/>
      <w:r w:rsidR="00E07E1D">
        <w:rPr>
          <w:sz w:val="20"/>
          <w:szCs w:val="20"/>
          <w:lang w:val="en-US"/>
        </w:rPr>
        <w:t xml:space="preserve"> </w:t>
      </w:r>
      <w:r w:rsidR="00214559" w:rsidRPr="00444CC1">
        <w:rPr>
          <w:i/>
          <w:iCs/>
          <w:sz w:val="20"/>
          <w:szCs w:val="20"/>
          <w:lang w:val="en-US"/>
        </w:rPr>
        <w:t>et al</w:t>
      </w:r>
      <w:r w:rsidR="00214559">
        <w:rPr>
          <w:sz w:val="20"/>
          <w:szCs w:val="20"/>
          <w:lang w:val="en-US"/>
        </w:rPr>
        <w:t>., 2007)</w:t>
      </w:r>
      <w:r w:rsidR="00AE50C8">
        <w:rPr>
          <w:sz w:val="20"/>
          <w:szCs w:val="20"/>
          <w:lang w:val="en-US"/>
        </w:rPr>
        <w:t xml:space="preserve"> (Table 1)</w:t>
      </w:r>
      <w:r w:rsidR="00214559">
        <w:rPr>
          <w:sz w:val="20"/>
          <w:szCs w:val="20"/>
          <w:lang w:val="en-US"/>
        </w:rPr>
        <w:t xml:space="preserve">. </w:t>
      </w:r>
    </w:p>
    <w:p w14:paraId="058BB15A" w14:textId="2E2205D2" w:rsidR="00081E79" w:rsidRPr="00746B7D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>Table 1</w:t>
      </w:r>
      <w:r>
        <w:rPr>
          <w:i/>
          <w:iCs/>
          <w:sz w:val="18"/>
          <w:lang w:val="en-GB"/>
        </w:rPr>
        <w:tab/>
      </w:r>
      <w:r w:rsidRPr="00746B7D">
        <w:rPr>
          <w:lang w:val="en-US"/>
        </w:rPr>
        <w:t xml:space="preserve">Main </w:t>
      </w:r>
      <w:r w:rsidR="00AE50C8">
        <w:rPr>
          <w:lang w:val="en-US"/>
        </w:rPr>
        <w:t>analytical</w:t>
      </w:r>
      <w:r w:rsidR="00AE54D0">
        <w:rPr>
          <w:lang w:val="en-US"/>
        </w:rPr>
        <w:t xml:space="preserve"> techniques for determination of the geographical origin</w:t>
      </w:r>
      <w:r w:rsidRPr="00746B7D">
        <w:rPr>
          <w:lang w:val="en-US"/>
        </w:rPr>
        <w:t xml:space="preserve"> of</w:t>
      </w:r>
      <w:r w:rsidR="00AE54D0">
        <w:rPr>
          <w:lang w:val="en-US"/>
        </w:rPr>
        <w:t xml:space="preserve"> food products.</w:t>
      </w:r>
      <w:r w:rsidRPr="00746B7D">
        <w:rPr>
          <w:lang w:val="en-US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AE54D0" w14:paraId="34E1653B" w14:textId="77777777" w:rsidTr="00AE54D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557C3" w14:textId="5F5B0ECE" w:rsidR="00AE54D0" w:rsidRPr="00AE54D0" w:rsidRDefault="00AE54D0" w:rsidP="00081E79">
            <w:pPr>
              <w:rPr>
                <w:b/>
                <w:bCs/>
                <w:sz w:val="18"/>
                <w:lang w:val="en-US"/>
              </w:rPr>
            </w:pPr>
            <w:r w:rsidRPr="00AE54D0">
              <w:rPr>
                <w:b/>
                <w:bCs/>
                <w:sz w:val="18"/>
                <w:lang w:val="en-US"/>
              </w:rPr>
              <w:t>Principle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49481" w14:textId="1080DC83" w:rsidR="00AE54D0" w:rsidRPr="00AE54D0" w:rsidRDefault="00AE54D0" w:rsidP="00081E79">
            <w:pPr>
              <w:rPr>
                <w:b/>
                <w:bCs/>
                <w:sz w:val="18"/>
                <w:lang w:val="en-US"/>
              </w:rPr>
            </w:pPr>
            <w:r w:rsidRPr="00AE54D0">
              <w:rPr>
                <w:b/>
                <w:bCs/>
                <w:sz w:val="18"/>
                <w:lang w:val="en-US"/>
              </w:rPr>
              <w:t>Main technique</w:t>
            </w:r>
          </w:p>
        </w:tc>
      </w:tr>
      <w:tr w:rsidR="00AE54D0" w:rsidRPr="00A31A69" w14:paraId="564F2A7D" w14:textId="77777777" w:rsidTr="00AE54D0">
        <w:trPr>
          <w:jc w:val="center"/>
        </w:trPr>
        <w:tc>
          <w:tcPr>
            <w:tcW w:w="3209" w:type="dxa"/>
            <w:tcBorders>
              <w:left w:val="nil"/>
              <w:right w:val="nil"/>
            </w:tcBorders>
          </w:tcPr>
          <w:p w14:paraId="45F54BDE" w14:textId="0DECA4DE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Spectroscopy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17043DCF" w14:textId="1FA49BD4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Infrared </w:t>
            </w:r>
            <w:r w:rsidR="00AE50C8">
              <w:rPr>
                <w:sz w:val="18"/>
                <w:lang w:val="en-US"/>
              </w:rPr>
              <w:t>spectroscopy</w:t>
            </w:r>
            <w:r>
              <w:rPr>
                <w:sz w:val="18"/>
                <w:lang w:val="en-US"/>
              </w:rPr>
              <w:t xml:space="preserve"> (IR)</w:t>
            </w:r>
          </w:p>
          <w:p w14:paraId="6B432DDC" w14:textId="6AFA7346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Fluorescence spectroscopy</w:t>
            </w:r>
          </w:p>
          <w:p w14:paraId="271B6423" w14:textId="7777777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Atomic spectroscopy</w:t>
            </w:r>
          </w:p>
          <w:p w14:paraId="6E6C6FC4" w14:textId="60DD6210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Nuclear magnetic resonance spectroscopy (NMR)</w:t>
            </w:r>
          </w:p>
        </w:tc>
      </w:tr>
      <w:tr w:rsidR="00AE54D0" w:rsidRPr="00A31A69" w14:paraId="0B578DE2" w14:textId="77777777" w:rsidTr="00AE54D0">
        <w:trPr>
          <w:jc w:val="center"/>
        </w:trPr>
        <w:tc>
          <w:tcPr>
            <w:tcW w:w="3209" w:type="dxa"/>
            <w:tcBorders>
              <w:left w:val="nil"/>
              <w:right w:val="nil"/>
            </w:tcBorders>
          </w:tcPr>
          <w:p w14:paraId="361DE842" w14:textId="399B0A4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Mass Spectrometry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3061B11F" w14:textId="7777777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Isotope ratio mass spectrometry (IRMS)</w:t>
            </w:r>
          </w:p>
          <w:p w14:paraId="4FE7ED38" w14:textId="7777777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Inductively coupled plasma mass spectrometry (ICP-MS)</w:t>
            </w:r>
          </w:p>
          <w:p w14:paraId="34640691" w14:textId="2807E75D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Proton transfer reaction mass spectrometry (GC-MS)</w:t>
            </w:r>
          </w:p>
        </w:tc>
      </w:tr>
      <w:tr w:rsidR="00AE54D0" w:rsidRPr="00500190" w14:paraId="72023B66" w14:textId="77777777" w:rsidTr="00AE54D0">
        <w:trPr>
          <w:jc w:val="center"/>
        </w:trPr>
        <w:tc>
          <w:tcPr>
            <w:tcW w:w="3209" w:type="dxa"/>
            <w:tcBorders>
              <w:left w:val="nil"/>
              <w:right w:val="nil"/>
            </w:tcBorders>
          </w:tcPr>
          <w:p w14:paraId="38EAC2C9" w14:textId="21E2644D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Separation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6A971CD9" w14:textId="7777777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High performance liquid chromatography (HPLC)</w:t>
            </w:r>
          </w:p>
          <w:p w14:paraId="241DB932" w14:textId="7777777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Gas chromatography (GC)</w:t>
            </w:r>
          </w:p>
          <w:p w14:paraId="213F6EE4" w14:textId="31A89015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Capillary electrophoresis (CE)</w:t>
            </w:r>
          </w:p>
        </w:tc>
      </w:tr>
      <w:tr w:rsidR="00AE54D0" w:rsidRPr="00500190" w14:paraId="114147F0" w14:textId="77777777" w:rsidTr="00AE54D0">
        <w:trPr>
          <w:jc w:val="center"/>
        </w:trPr>
        <w:tc>
          <w:tcPr>
            <w:tcW w:w="3209" w:type="dxa"/>
            <w:tcBorders>
              <w:left w:val="nil"/>
              <w:right w:val="nil"/>
            </w:tcBorders>
          </w:tcPr>
          <w:p w14:paraId="577DC0D8" w14:textId="61106B44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Others</w:t>
            </w:r>
          </w:p>
        </w:tc>
        <w:tc>
          <w:tcPr>
            <w:tcW w:w="3209" w:type="dxa"/>
            <w:tcBorders>
              <w:left w:val="nil"/>
              <w:right w:val="nil"/>
            </w:tcBorders>
          </w:tcPr>
          <w:p w14:paraId="5170E4C9" w14:textId="7777777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Sensor technology</w:t>
            </w:r>
          </w:p>
          <w:p w14:paraId="0CC7BD42" w14:textId="77777777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DNA technology</w:t>
            </w:r>
          </w:p>
          <w:p w14:paraId="0E5BF9A9" w14:textId="5B66B92A" w:rsidR="00AE54D0" w:rsidRDefault="00AE54D0" w:rsidP="00081E7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Sensory analysis</w:t>
            </w:r>
          </w:p>
        </w:tc>
      </w:tr>
    </w:tbl>
    <w:p w14:paraId="4A3BC553" w14:textId="77777777" w:rsidR="00081E79" w:rsidRDefault="00081E79" w:rsidP="00081E79">
      <w:pPr>
        <w:rPr>
          <w:sz w:val="18"/>
          <w:lang w:val="en-US"/>
        </w:rPr>
      </w:pPr>
    </w:p>
    <w:p w14:paraId="1AA23C69" w14:textId="318B33AC" w:rsidR="00081E79" w:rsidRPr="003A5A6F" w:rsidRDefault="00E07E1D" w:rsidP="003A5A6F">
      <w:pPr>
        <w:pStyle w:val="NormaleWeb"/>
        <w:jc w:val="both"/>
        <w:rPr>
          <w:rFonts w:ascii="AdvOT596495f2+fb" w:hAnsi="AdvOT596495f2+fb"/>
          <w:sz w:val="10"/>
          <w:szCs w:val="11"/>
          <w:lang w:val="en-US"/>
        </w:rPr>
      </w:pPr>
      <w:r w:rsidRPr="003A5A6F">
        <w:rPr>
          <w:sz w:val="20"/>
          <w:szCs w:val="20"/>
          <w:lang w:val="en-GB"/>
        </w:rPr>
        <w:t xml:space="preserve">These methods can analyse different </w:t>
      </w:r>
      <w:r w:rsidR="00026966" w:rsidRPr="003A5A6F">
        <w:rPr>
          <w:sz w:val="20"/>
          <w:szCs w:val="20"/>
          <w:lang w:val="en-GB"/>
        </w:rPr>
        <w:t>characteristics</w:t>
      </w:r>
      <w:r w:rsidRPr="003A5A6F">
        <w:rPr>
          <w:sz w:val="20"/>
          <w:szCs w:val="20"/>
          <w:lang w:val="en-GB"/>
        </w:rPr>
        <w:t xml:space="preserve"> of a product allow</w:t>
      </w:r>
      <w:r w:rsidR="00026966">
        <w:rPr>
          <w:sz w:val="20"/>
          <w:szCs w:val="20"/>
          <w:lang w:val="en-GB"/>
        </w:rPr>
        <w:t>ing</w:t>
      </w:r>
      <w:r w:rsidRPr="003A5A6F">
        <w:rPr>
          <w:sz w:val="20"/>
          <w:szCs w:val="20"/>
          <w:lang w:val="en-GB"/>
        </w:rPr>
        <w:t xml:space="preserve"> to find markers useful for the discrimination of variety, geographical origin</w:t>
      </w:r>
      <w:r w:rsidR="00500190">
        <w:rPr>
          <w:sz w:val="20"/>
          <w:szCs w:val="20"/>
          <w:lang w:val="en-GB"/>
        </w:rPr>
        <w:t>,</w:t>
      </w:r>
      <w:r w:rsidRPr="003A5A6F">
        <w:rPr>
          <w:sz w:val="20"/>
          <w:szCs w:val="20"/>
          <w:lang w:val="en-GB"/>
        </w:rPr>
        <w:t xml:space="preserve"> and mode of production</w:t>
      </w:r>
      <w:r w:rsidR="006B090C">
        <w:rPr>
          <w:sz w:val="20"/>
          <w:szCs w:val="20"/>
          <w:lang w:val="en-GB"/>
        </w:rPr>
        <w:t xml:space="preserve">. </w:t>
      </w:r>
      <w:r w:rsidR="003A5A6F" w:rsidRPr="003A5A6F">
        <w:rPr>
          <w:sz w:val="20"/>
          <w:szCs w:val="20"/>
          <w:lang w:val="en-US"/>
        </w:rPr>
        <w:t>Food traceability usually requires a multi-technique approach as single methods do not generally produce sufficiently discriminating factors (</w:t>
      </w:r>
      <w:r w:rsidR="00722563">
        <w:rPr>
          <w:sz w:val="20"/>
          <w:szCs w:val="20"/>
          <w:lang w:val="en-US"/>
        </w:rPr>
        <w:t>Guyon</w:t>
      </w:r>
      <w:r w:rsidR="003A5A6F" w:rsidRPr="003A5A6F">
        <w:rPr>
          <w:sz w:val="20"/>
          <w:szCs w:val="20"/>
          <w:lang w:val="en-US"/>
        </w:rPr>
        <w:t xml:space="preserve"> </w:t>
      </w:r>
      <w:r w:rsidR="003A5A6F" w:rsidRPr="00444CC1">
        <w:rPr>
          <w:i/>
          <w:iCs/>
          <w:sz w:val="20"/>
          <w:szCs w:val="20"/>
          <w:lang w:val="en-US"/>
        </w:rPr>
        <w:t>et al</w:t>
      </w:r>
      <w:r w:rsidR="003A5A6F" w:rsidRPr="003A5A6F">
        <w:rPr>
          <w:sz w:val="20"/>
          <w:szCs w:val="20"/>
          <w:lang w:val="en-US"/>
        </w:rPr>
        <w:t>., 2020)</w:t>
      </w:r>
      <w:r w:rsidR="00874292" w:rsidRPr="003A5A6F">
        <w:rPr>
          <w:sz w:val="20"/>
          <w:szCs w:val="20"/>
          <w:lang w:val="en-GB"/>
        </w:rPr>
        <w:t>.</w:t>
      </w:r>
      <w:r w:rsidR="00444CC1">
        <w:rPr>
          <w:sz w:val="20"/>
          <w:szCs w:val="20"/>
          <w:lang w:val="en-US"/>
        </w:rPr>
        <w:t xml:space="preserve"> </w:t>
      </w:r>
      <w:r w:rsidR="00874292">
        <w:rPr>
          <w:sz w:val="20"/>
          <w:szCs w:val="20"/>
          <w:lang w:val="en-GB"/>
        </w:rPr>
        <w:t xml:space="preserve"> The set of data obtained provide a c</w:t>
      </w:r>
      <w:r w:rsidR="009A5470">
        <w:rPr>
          <w:sz w:val="20"/>
          <w:szCs w:val="20"/>
          <w:lang w:val="en-GB"/>
        </w:rPr>
        <w:t>haracteristic</w:t>
      </w:r>
      <w:r w:rsidR="00874292">
        <w:rPr>
          <w:sz w:val="20"/>
          <w:szCs w:val="20"/>
          <w:lang w:val="en-GB"/>
        </w:rPr>
        <w:t xml:space="preserve"> fingerprinting relating to the provenance of the sample.</w:t>
      </w:r>
      <w:r w:rsidR="00874292">
        <w:rPr>
          <w:rFonts w:ascii="AdvOT596495f2+fb" w:hAnsi="AdvOT596495f2+fb"/>
          <w:sz w:val="10"/>
          <w:szCs w:val="11"/>
          <w:lang w:val="en-US"/>
        </w:rPr>
        <w:t xml:space="preserve"> </w:t>
      </w:r>
      <w:r w:rsidR="003A5A6F" w:rsidRPr="003A5A6F">
        <w:rPr>
          <w:sz w:val="20"/>
          <w:szCs w:val="20"/>
          <w:lang w:val="en-US"/>
        </w:rPr>
        <w:t xml:space="preserve"> </w:t>
      </w:r>
      <w:r w:rsidR="004E3C55">
        <w:rPr>
          <w:sz w:val="20"/>
          <w:szCs w:val="20"/>
          <w:lang w:val="en-US"/>
        </w:rPr>
        <w:t>The application of chemometrics is often required to handle the amount of data and to detect subtle differences that frequently exist between food samples (</w:t>
      </w:r>
      <w:proofErr w:type="spellStart"/>
      <w:r w:rsidR="004E3C55">
        <w:rPr>
          <w:sz w:val="20"/>
          <w:szCs w:val="20"/>
          <w:lang w:val="en-US"/>
        </w:rPr>
        <w:t>Luykx</w:t>
      </w:r>
      <w:proofErr w:type="spellEnd"/>
      <w:r w:rsidR="004E3C55">
        <w:rPr>
          <w:sz w:val="20"/>
          <w:szCs w:val="20"/>
          <w:lang w:val="en-US"/>
        </w:rPr>
        <w:t xml:space="preserve"> </w:t>
      </w:r>
      <w:r w:rsidR="004E3C55" w:rsidRPr="00444CC1">
        <w:rPr>
          <w:i/>
          <w:iCs/>
          <w:sz w:val="20"/>
          <w:szCs w:val="20"/>
          <w:lang w:val="en-US"/>
        </w:rPr>
        <w:t>et al</w:t>
      </w:r>
      <w:r w:rsidR="004E3C55">
        <w:rPr>
          <w:sz w:val="20"/>
          <w:szCs w:val="20"/>
          <w:lang w:val="en-US"/>
        </w:rPr>
        <w:t xml:space="preserve">., 2007). </w:t>
      </w:r>
      <w:r w:rsidR="003A5A6F" w:rsidRPr="003A5A6F">
        <w:rPr>
          <w:sz w:val="20"/>
          <w:szCs w:val="20"/>
          <w:lang w:val="en-US"/>
        </w:rPr>
        <w:t>A multi-analytical approach seems to be the most promising approach for the traceability of geographical origin and the authentication of quality agri-food products.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77777777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</w:t>
      </w:r>
      <w:r>
        <w:rPr>
          <w:lang w:val="en-GB"/>
        </w:rPr>
        <w:lastRenderedPageBreak/>
        <w:t xml:space="preserve">according to the Gantt diagram given in Table 2: </w:t>
      </w:r>
    </w:p>
    <w:p w14:paraId="43D99049" w14:textId="24FB7BAB" w:rsidR="004B1658" w:rsidRPr="004B1658" w:rsidRDefault="00246210" w:rsidP="006B7F7F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>
        <w:rPr>
          <w:b/>
          <w:bCs/>
          <w:lang w:val="en-GB"/>
        </w:rPr>
        <w:t>Literature review and data collection</w:t>
      </w:r>
      <w:r w:rsidR="004B1658">
        <w:rPr>
          <w:lang w:val="en-GB"/>
        </w:rPr>
        <w:t>.</w:t>
      </w:r>
    </w:p>
    <w:p w14:paraId="12A331DC" w14:textId="5A6ABB10" w:rsidR="00C23327" w:rsidRPr="006B7F7F" w:rsidRDefault="004B1658" w:rsidP="006B7F7F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4B1658">
        <w:rPr>
          <w:b/>
          <w:bCs/>
          <w:lang w:val="en-GB"/>
        </w:rPr>
        <w:t>Food and soil sampling</w:t>
      </w:r>
      <w:r>
        <w:rPr>
          <w:lang w:val="en-GB"/>
        </w:rPr>
        <w:t>.</w:t>
      </w:r>
      <w:r w:rsidR="00C23327" w:rsidRPr="006B7F7F">
        <w:rPr>
          <w:lang w:val="en-GB"/>
        </w:rPr>
        <w:t xml:space="preserve"> </w:t>
      </w:r>
    </w:p>
    <w:p w14:paraId="196378C2" w14:textId="1A455306" w:rsidR="00C23327" w:rsidRPr="006B7F7F" w:rsidRDefault="006B7F7F" w:rsidP="006B7F7F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6B7F7F">
        <w:rPr>
          <w:b/>
          <w:bCs/>
          <w:lang w:val="en-GB"/>
        </w:rPr>
        <w:t xml:space="preserve">Determination of quality </w:t>
      </w:r>
      <w:r w:rsidR="00722563">
        <w:rPr>
          <w:b/>
          <w:bCs/>
          <w:lang w:val="en-GB"/>
        </w:rPr>
        <w:t>properties</w:t>
      </w:r>
      <w:r w:rsidRPr="006B7F7F">
        <w:rPr>
          <w:lang w:val="en-GB"/>
        </w:rPr>
        <w:t>.</w:t>
      </w:r>
    </w:p>
    <w:p w14:paraId="4BFE378E" w14:textId="654CB8D7" w:rsidR="009F0C9B" w:rsidRPr="009F0C9B" w:rsidRDefault="009F0C9B" w:rsidP="00694AC4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6753FB">
        <w:rPr>
          <w:b/>
          <w:bCs/>
          <w:lang w:val="en-GB"/>
        </w:rPr>
        <w:t>Near infrared spectroscopy</w:t>
      </w:r>
      <w:r w:rsidR="008B25A7">
        <w:rPr>
          <w:lang w:val="en-GB"/>
        </w:rPr>
        <w:t xml:space="preserve"> analysis as a quick tool to authenticate the origin and quality of </w:t>
      </w:r>
      <w:proofErr w:type="spellStart"/>
      <w:proofErr w:type="gramStart"/>
      <w:r w:rsidR="008B25A7">
        <w:rPr>
          <w:lang w:val="en-GB"/>
        </w:rPr>
        <w:t>agro</w:t>
      </w:r>
      <w:proofErr w:type="spellEnd"/>
      <w:r w:rsidR="008B25A7">
        <w:rPr>
          <w:lang w:val="en-GB"/>
        </w:rPr>
        <w:t>-products</w:t>
      </w:r>
      <w:proofErr w:type="gramEnd"/>
      <w:r w:rsidR="008B25A7">
        <w:rPr>
          <w:lang w:val="en-GB"/>
        </w:rPr>
        <w:t>.</w:t>
      </w:r>
    </w:p>
    <w:p w14:paraId="5E615E96" w14:textId="6BCDA9F6" w:rsidR="00163E6B" w:rsidRPr="00163E6B" w:rsidRDefault="006B7F7F" w:rsidP="00694AC4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163E6B">
        <w:rPr>
          <w:b/>
          <w:bCs/>
          <w:lang w:val="en-GB"/>
        </w:rPr>
        <w:t xml:space="preserve">Determination of the multi-element </w:t>
      </w:r>
      <w:r w:rsidR="00163E6B" w:rsidRPr="00163E6B">
        <w:rPr>
          <w:b/>
          <w:bCs/>
          <w:lang w:val="en-GB"/>
        </w:rPr>
        <w:t>fingerprinting</w:t>
      </w:r>
      <w:r w:rsidR="00335E58">
        <w:rPr>
          <w:lang w:val="en-GB"/>
        </w:rPr>
        <w:t xml:space="preserve"> and </w:t>
      </w:r>
      <w:r w:rsidR="00335E58">
        <w:rPr>
          <w:b/>
          <w:bCs/>
          <w:lang w:val="en-GB"/>
        </w:rPr>
        <w:t xml:space="preserve">stable isotope ratios </w:t>
      </w:r>
      <w:r w:rsidR="00335E58">
        <w:rPr>
          <w:lang w:val="en-GB"/>
        </w:rPr>
        <w:t xml:space="preserve">(13C/12C, 15N/14N) of </w:t>
      </w:r>
      <w:proofErr w:type="spellStart"/>
      <w:r w:rsidR="00335E58">
        <w:rPr>
          <w:lang w:val="en-GB"/>
        </w:rPr>
        <w:t>agro</w:t>
      </w:r>
      <w:proofErr w:type="spellEnd"/>
      <w:r w:rsidR="00335E58">
        <w:rPr>
          <w:lang w:val="en-GB"/>
        </w:rPr>
        <w:t>-products and cultivation soils.</w:t>
      </w:r>
    </w:p>
    <w:p w14:paraId="001C1FCF" w14:textId="294BDCC6" w:rsidR="006B7F7F" w:rsidRPr="00163E6B" w:rsidRDefault="006B7F7F" w:rsidP="00694AC4">
      <w:pPr>
        <w:pStyle w:val="Paragrafoelenco"/>
        <w:numPr>
          <w:ilvl w:val="0"/>
          <w:numId w:val="5"/>
        </w:numPr>
        <w:jc w:val="both"/>
        <w:rPr>
          <w:lang w:val="en-GB"/>
        </w:rPr>
      </w:pPr>
      <w:r w:rsidRPr="00163E6B">
        <w:rPr>
          <w:b/>
          <w:bCs/>
          <w:lang w:val="en-GB"/>
        </w:rPr>
        <w:t xml:space="preserve">Analysis and study of nutritional composition (macro and micronutrients) </w:t>
      </w:r>
      <w:r w:rsidRPr="00163E6B">
        <w:rPr>
          <w:lang w:val="en-GB"/>
        </w:rPr>
        <w:t xml:space="preserve">of fresh and processed foods.  </w:t>
      </w:r>
    </w:p>
    <w:p w14:paraId="05186D24" w14:textId="5ED023D2" w:rsidR="006B7F7F" w:rsidRPr="00722563" w:rsidRDefault="006B7F7F" w:rsidP="00722563">
      <w:pPr>
        <w:pStyle w:val="Paragrafoelenco"/>
        <w:numPr>
          <w:ilvl w:val="0"/>
          <w:numId w:val="5"/>
        </w:numPr>
        <w:jc w:val="both"/>
        <w:rPr>
          <w:lang w:val="en-US"/>
        </w:rPr>
      </w:pPr>
      <w:r w:rsidRPr="00722563">
        <w:rPr>
          <w:b/>
          <w:bCs/>
          <w:lang w:val="en-US"/>
        </w:rPr>
        <w:t>Optimi</w:t>
      </w:r>
      <w:r w:rsidR="00A31A69">
        <w:rPr>
          <w:b/>
          <w:bCs/>
          <w:lang w:val="en-US"/>
        </w:rPr>
        <w:t>z</w:t>
      </w:r>
      <w:r w:rsidRPr="00722563">
        <w:rPr>
          <w:b/>
          <w:bCs/>
          <w:lang w:val="en-US"/>
        </w:rPr>
        <w:t>ation of different chemometric tools</w:t>
      </w:r>
      <w:r w:rsidRPr="00722563">
        <w:rPr>
          <w:lang w:val="en-US"/>
        </w:rPr>
        <w:t xml:space="preserve"> to obtain the development of authentication and traceability models to verify and validate the quality and origins of the samples.</w:t>
      </w:r>
    </w:p>
    <w:p w14:paraId="0FE40D3F" w14:textId="3EABACF1" w:rsidR="00081E79" w:rsidRPr="006B7F7F" w:rsidRDefault="00081E79" w:rsidP="006B7F7F">
      <w:pPr>
        <w:pStyle w:val="Paragrafoelenco"/>
        <w:numPr>
          <w:ilvl w:val="0"/>
          <w:numId w:val="5"/>
        </w:numPr>
        <w:jc w:val="both"/>
        <w:rPr>
          <w:lang w:val="en-US"/>
        </w:rPr>
      </w:pPr>
      <w:r w:rsidRPr="006B7F7F">
        <w:rPr>
          <w:b/>
          <w:bCs/>
          <w:lang w:val="en-GB"/>
        </w:rPr>
        <w:t>Writing and Editing</w:t>
      </w:r>
      <w:r w:rsidRPr="006B7F7F">
        <w:rPr>
          <w:lang w:val="en-GB"/>
        </w:rPr>
        <w:t xml:space="preserve"> of the PhD thesis, scientific papers and oral and/or poster communications.</w:t>
      </w:r>
    </w:p>
    <w:p w14:paraId="3ADCDB1E" w14:textId="77777777" w:rsidR="00081E79" w:rsidRPr="006B7F7F" w:rsidRDefault="00081E79" w:rsidP="006B7F7F">
      <w:pPr>
        <w:spacing w:before="300" w:after="120"/>
        <w:rPr>
          <w:lang w:val="en-US"/>
        </w:rPr>
      </w:pPr>
      <w:r w:rsidRPr="006B7F7F">
        <w:rPr>
          <w:b/>
          <w:i/>
          <w:iCs/>
          <w:sz w:val="18"/>
          <w:lang w:val="en-GB"/>
        </w:rPr>
        <w:t>Table 2</w:t>
      </w:r>
      <w:r w:rsidRPr="006B7F7F">
        <w:rPr>
          <w:i/>
          <w:iCs/>
          <w:sz w:val="18"/>
          <w:lang w:val="en-GB"/>
        </w:rPr>
        <w:tab/>
      </w:r>
      <w:r w:rsidRPr="006B7F7F">
        <w:rPr>
          <w:lang w:val="en-US"/>
        </w:rPr>
        <w:t>Gantt diagram for this PhD thesis project.</w:t>
      </w:r>
    </w:p>
    <w:tbl>
      <w:tblPr>
        <w:tblW w:w="5005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475"/>
        <w:gridCol w:w="10"/>
        <w:gridCol w:w="245"/>
        <w:gridCol w:w="10"/>
        <w:gridCol w:w="244"/>
        <w:gridCol w:w="10"/>
        <w:gridCol w:w="242"/>
        <w:gridCol w:w="10"/>
        <w:gridCol w:w="243"/>
        <w:gridCol w:w="10"/>
        <w:gridCol w:w="243"/>
        <w:gridCol w:w="10"/>
        <w:gridCol w:w="243"/>
        <w:gridCol w:w="10"/>
        <w:gridCol w:w="244"/>
        <w:gridCol w:w="10"/>
        <w:gridCol w:w="243"/>
        <w:gridCol w:w="10"/>
        <w:gridCol w:w="244"/>
        <w:gridCol w:w="10"/>
        <w:gridCol w:w="243"/>
        <w:gridCol w:w="10"/>
        <w:gridCol w:w="244"/>
        <w:gridCol w:w="10"/>
        <w:gridCol w:w="244"/>
        <w:gridCol w:w="10"/>
        <w:gridCol w:w="242"/>
        <w:gridCol w:w="10"/>
        <w:gridCol w:w="243"/>
        <w:gridCol w:w="10"/>
        <w:gridCol w:w="246"/>
        <w:gridCol w:w="10"/>
        <w:gridCol w:w="247"/>
        <w:gridCol w:w="10"/>
        <w:gridCol w:w="245"/>
        <w:gridCol w:w="10"/>
        <w:gridCol w:w="246"/>
        <w:gridCol w:w="10"/>
        <w:gridCol w:w="246"/>
        <w:gridCol w:w="10"/>
        <w:gridCol w:w="247"/>
        <w:gridCol w:w="10"/>
        <w:gridCol w:w="245"/>
        <w:gridCol w:w="10"/>
        <w:gridCol w:w="246"/>
        <w:gridCol w:w="10"/>
        <w:gridCol w:w="247"/>
        <w:gridCol w:w="10"/>
        <w:gridCol w:w="281"/>
        <w:gridCol w:w="10"/>
      </w:tblGrid>
      <w:tr w:rsidR="00081E79" w14:paraId="093AB028" w14:textId="77777777" w:rsidTr="007E1628">
        <w:trPr>
          <w:gridAfter w:val="1"/>
          <w:wAfter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5FC92E49" w:rsidR="00081E79" w:rsidRDefault="00081E79" w:rsidP="00E04D30">
            <w:pPr>
              <w:pStyle w:val="Titolo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</w:t>
            </w:r>
            <w:r w:rsidR="0052706D">
              <w:rPr>
                <w:bCs/>
                <w:sz w:val="18"/>
              </w:rPr>
              <w:t xml:space="preserve">               </w:t>
            </w:r>
            <w:r>
              <w:rPr>
                <w:bCs/>
                <w:sz w:val="18"/>
              </w:rPr>
              <w:t xml:space="preserve">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428560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2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CB1FDC" w:rsidRPr="00A31A69" w14:paraId="0D83BD2C" w14:textId="77777777" w:rsidTr="00593001">
        <w:trPr>
          <w:gridAfter w:val="1"/>
          <w:wAfter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0F38" w14:textId="7307097B" w:rsidR="00CB1FDC" w:rsidRPr="00CB1FDC" w:rsidRDefault="00CB1FDC" w:rsidP="00E04D30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Literature review and data collection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6B9898AE" w14:textId="77777777" w:rsidR="00CB1FDC" w:rsidRPr="00CB1FDC" w:rsidRDefault="00CB1FDC" w:rsidP="00E04D30">
            <w:pPr>
              <w:rPr>
                <w:sz w:val="18"/>
                <w:szCs w:val="18"/>
                <w:lang w:val="en-GB"/>
              </w:rPr>
            </w:pPr>
            <w:r w:rsidRPr="00CB1FDC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bottom w:w="28" w:type="dxa"/>
            </w:tcMar>
            <w:vAlign w:val="bottom"/>
          </w:tcPr>
          <w:p w14:paraId="58263409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CA71B9B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0EE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6CB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2149C46" w14:textId="77777777" w:rsidR="00CB1FDC" w:rsidRDefault="00CB1FDC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0EF6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ABA4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75DD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D7D79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4ACB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44A7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BC510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14:paraId="45D4B076" w14:textId="77777777" w:rsidTr="006B5FEA">
        <w:trPr>
          <w:gridBefore w:val="1"/>
          <w:wBefore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41F6C" w14:textId="61D911E1" w:rsidR="00CB1FDC" w:rsidRPr="00CB1FDC" w:rsidRDefault="00CB1FDC" w:rsidP="00E04D30">
            <w:pPr>
              <w:rPr>
                <w:sz w:val="18"/>
                <w:szCs w:val="18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Food and soil sampling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8E65225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6EA1C1A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E44CFEF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0E9F066" w14:textId="77777777" w:rsidR="00CB1FDC" w:rsidRPr="007E1628" w:rsidRDefault="00CB1FDC" w:rsidP="00E04D30">
            <w:pPr>
              <w:snapToGrid w:val="0"/>
              <w:rPr>
                <w:rFonts w:eastAsia="Arial Unicode MS"/>
                <w:sz w:val="18"/>
                <w:highlight w:val="lightGray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9B83418" w14:textId="77777777" w:rsidR="00CB1FDC" w:rsidRPr="007E1628" w:rsidRDefault="00CB1FDC" w:rsidP="00E04D30">
            <w:pPr>
              <w:snapToGrid w:val="0"/>
              <w:rPr>
                <w:rFonts w:eastAsia="Arial Unicode MS"/>
                <w:sz w:val="18"/>
                <w:highlight w:val="lightGray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AB38205" w14:textId="77777777" w:rsidR="00CB1FDC" w:rsidRPr="007E1628" w:rsidRDefault="00CB1FDC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highlight w:val="lightGray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38FB2B0" w14:textId="77777777" w:rsidR="00CB1FDC" w:rsidRPr="007E1628" w:rsidRDefault="00CB1FDC" w:rsidP="00E04D30">
            <w:pPr>
              <w:snapToGrid w:val="0"/>
              <w:rPr>
                <w:rFonts w:eastAsia="Arial Unicode MS"/>
                <w:sz w:val="18"/>
                <w:highlight w:val="lightGray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C6DE9A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56C3E4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A5C4BE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79685E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BA5B299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C13FE4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BD0365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ED05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C9C8E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55EAEDB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D50A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8D10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9401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A122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8D16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68DF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11BA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14:paraId="2A66D092" w14:textId="77777777" w:rsidTr="00EC4448">
        <w:trPr>
          <w:gridBefore w:val="1"/>
          <w:wBefore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6290A" w14:textId="2719A260" w:rsidR="00CB1FDC" w:rsidRPr="00CB1FDC" w:rsidRDefault="00CB1FDC" w:rsidP="00E04D30">
            <w:pPr>
              <w:rPr>
                <w:sz w:val="18"/>
                <w:szCs w:val="18"/>
                <w:lang w:val="en-GB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Determination of quality properties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54131A9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11AEFBF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6C3394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F03694B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EB2DE3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94C1B2B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7BB1D93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06A3D36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6BB0BEB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C52545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3374F3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F1A608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F6D122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C1E7A0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DF8DE3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53101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9DE96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10B99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AD8CA9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F9F3F5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10B934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DA009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115030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3E26E4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14:paraId="26FC7A2B" w14:textId="77777777" w:rsidTr="00E44427">
        <w:trPr>
          <w:gridBefore w:val="1"/>
          <w:wBefore w:w="10" w:type="dxa"/>
          <w:cantSplit/>
          <w:trHeight w:val="86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9F32" w14:textId="66340B61" w:rsidR="00CB1FDC" w:rsidRPr="00CB1FDC" w:rsidRDefault="00CB1FDC" w:rsidP="009F0C9B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Near Infrared Spectroscopy</w:t>
            </w:r>
            <w:r w:rsidRPr="00CB1F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D2B43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18AF9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14D3FEF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B9A869F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22B5097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2BF67A1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3F75CDD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3B247CD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979622F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0B86F54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E93C394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5C2EB58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1CB5BFE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19514FD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52EF2C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E4CD7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8C6B6A3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5F96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C533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E08D9" w14:textId="77777777" w:rsidR="00CB1FDC" w:rsidRDefault="00CB1FDC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64612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0731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B6CC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7B56" w14:textId="77777777" w:rsidR="00CB1FDC" w:rsidRDefault="00CB1FDC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:rsidRPr="009A5470" w14:paraId="2CB306FD" w14:textId="77777777" w:rsidTr="001A6424">
        <w:trPr>
          <w:gridAfter w:val="1"/>
          <w:wAfter w:w="10" w:type="dxa"/>
          <w:cantSplit/>
          <w:trHeight w:val="85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01BB" w14:textId="0048642C" w:rsidR="00CB1FDC" w:rsidRPr="00CB1FDC" w:rsidRDefault="00CB1FDC" w:rsidP="009F0C9B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Multi-element fingerprinting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3350E" w14:textId="77777777" w:rsidR="00CB1FDC" w:rsidRPr="00CB1FDC" w:rsidRDefault="00CB1FDC" w:rsidP="007E162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4736EC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112D798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AE5D694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E65EF6A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79E94E5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9C2D16E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1E96AA9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ADBF58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E9266CF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17F1D37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490B74D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ED4C32B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34FF2F5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6C87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7AD8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15ED776E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6AF6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3B75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B40C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0134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27B7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932F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6E01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:rsidRPr="004E1E3F" w14:paraId="75FEF710" w14:textId="77777777" w:rsidTr="00E410AD">
        <w:trPr>
          <w:gridAfter w:val="1"/>
          <w:wAfter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05922" w14:textId="141AA2AC" w:rsidR="00CB1FDC" w:rsidRPr="00CB1FDC" w:rsidRDefault="00CB1FDC" w:rsidP="007E1628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US"/>
              </w:rPr>
              <w:t>Stable isotope profiling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81417" w14:textId="77777777" w:rsidR="00CB1FDC" w:rsidRPr="00CB1FDC" w:rsidRDefault="00CB1FDC" w:rsidP="007E162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78CAD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2C85EB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71A3D45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4AD630C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ABDA990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1EC9DB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32E0E1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3E9D735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F1B9F7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77E491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2884C1F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1DCF2A4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4554BF4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74FC055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79925DE8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7F299619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97030FE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0148079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D919A12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05E89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777E0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E9881" w14:textId="77777777" w:rsidR="00CB1FDC" w:rsidRDefault="00CB1FDC" w:rsidP="007E1628">
            <w:pPr>
              <w:rPr>
                <w:sz w:val="18"/>
                <w:lang w:val="en-GB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D5552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:rsidRPr="004E1E3F" w14:paraId="696437F9" w14:textId="77777777" w:rsidTr="0027216F">
        <w:trPr>
          <w:gridAfter w:val="1"/>
          <w:wAfter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F5C4D" w14:textId="131516C3" w:rsidR="00CB1FDC" w:rsidRPr="00CB1FDC" w:rsidRDefault="00CB1FDC" w:rsidP="007E1628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Study of nutritional composition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B835" w14:textId="77777777" w:rsidR="00CB1FDC" w:rsidRPr="00CB1FDC" w:rsidRDefault="00CB1FDC" w:rsidP="007E1628">
            <w:pPr>
              <w:rPr>
                <w:sz w:val="18"/>
                <w:szCs w:val="18"/>
                <w:lang w:val="en-GB"/>
              </w:rPr>
            </w:pPr>
            <w:r w:rsidRPr="00CB1FDC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B8F9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FDC669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AF9450D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7DACEBB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70398897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A39EC95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360757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2C46E11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7DBB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5D00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7C2C2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6CC2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14:paraId="294E02CF" w14:textId="77777777" w:rsidTr="00CE1ACE">
        <w:trPr>
          <w:gridAfter w:val="1"/>
          <w:wAfter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27749F" w14:textId="6282D58A" w:rsidR="00CB1FDC" w:rsidRPr="00CB1FDC" w:rsidRDefault="00CB1FDC" w:rsidP="007E1628">
            <w:pPr>
              <w:rPr>
                <w:sz w:val="18"/>
                <w:szCs w:val="18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Chemometrics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C78F" w14:textId="77777777" w:rsidR="00CB1FDC" w:rsidRPr="00CB1FDC" w:rsidRDefault="00CB1FDC" w:rsidP="007E1628">
            <w:pPr>
              <w:rPr>
                <w:sz w:val="18"/>
                <w:szCs w:val="18"/>
                <w:lang w:val="en-GB"/>
              </w:rPr>
            </w:pPr>
            <w:r w:rsidRPr="00CB1FDC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1A3F3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3B6371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62A870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E4A7FA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0D131C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A30B96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00616C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A61D3E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BC7F0F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6335E1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16C19C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0E36BC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5676D8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01A1039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2ED18E7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5CE10041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D39784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56687BAB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015D2B5D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E5532E6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E9086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4A82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14C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CB1FDC" w14:paraId="50DF159D" w14:textId="77777777" w:rsidTr="0065374D">
        <w:trPr>
          <w:gridAfter w:val="1"/>
          <w:wAfter w:w="10" w:type="dxa"/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8C603" w14:textId="52BD9D2C" w:rsidR="00CB1FDC" w:rsidRPr="00CB1FDC" w:rsidRDefault="00CB1FDC" w:rsidP="007E1628">
            <w:pPr>
              <w:rPr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CB1FDC">
              <w:rPr>
                <w:b/>
                <w:bCs/>
                <w:i/>
                <w:iCs/>
                <w:sz w:val="18"/>
                <w:szCs w:val="18"/>
                <w:lang w:val="en-GB"/>
              </w:rPr>
              <w:t>Thesis and Paper Preparation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5F12640" w14:textId="77777777" w:rsidR="00CB1FDC" w:rsidRPr="00CB1FDC" w:rsidRDefault="00CB1FDC" w:rsidP="007E1628">
            <w:pPr>
              <w:rPr>
                <w:sz w:val="18"/>
                <w:szCs w:val="18"/>
                <w:lang w:val="en-GB"/>
              </w:rPr>
            </w:pPr>
            <w:r w:rsidRPr="00CB1FDC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7F5531D3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2655DEC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5D0DA5D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855DB09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0C0AA0C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A486B59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74AF8C5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2366353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B8D451C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5A13AD6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55ADA5E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9780B95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D613F41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6C45848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57BC0CA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</w:tcPr>
          <w:p w14:paraId="479FB7CF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555B6367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2E015324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03DF5510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29CEF725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03EBFFFE" w14:textId="77777777" w:rsidR="00CB1FDC" w:rsidRDefault="00CB1FDC" w:rsidP="007E162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0FC85392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33AC688" w14:textId="77777777" w:rsidR="00CB1FDC" w:rsidRDefault="00CB1FDC" w:rsidP="007E162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6877C86D" w14:textId="77777777" w:rsidR="00722563" w:rsidRDefault="00722563" w:rsidP="00722563">
      <w:pPr>
        <w:ind w:left="425" w:hanging="425"/>
        <w:jc w:val="both"/>
        <w:rPr>
          <w:sz w:val="18"/>
          <w:szCs w:val="18"/>
          <w:lang w:val="en-GB"/>
        </w:rPr>
      </w:pPr>
      <w:r w:rsidRPr="00722563">
        <w:rPr>
          <w:sz w:val="18"/>
          <w:szCs w:val="18"/>
          <w:lang w:val="en-GB"/>
        </w:rPr>
        <w:t xml:space="preserve">Guyon F., Vaillant F., </w:t>
      </w:r>
      <w:proofErr w:type="spellStart"/>
      <w:r w:rsidRPr="00722563">
        <w:rPr>
          <w:sz w:val="18"/>
          <w:szCs w:val="18"/>
          <w:lang w:val="en-GB"/>
        </w:rPr>
        <w:t>Montet</w:t>
      </w:r>
      <w:proofErr w:type="spellEnd"/>
      <w:r w:rsidRPr="00722563">
        <w:rPr>
          <w:sz w:val="18"/>
          <w:szCs w:val="18"/>
          <w:lang w:val="en-GB"/>
        </w:rPr>
        <w:t xml:space="preserve"> D. (2020). </w:t>
      </w:r>
      <w:proofErr w:type="spellStart"/>
      <w:r w:rsidRPr="00722563">
        <w:rPr>
          <w:i/>
          <w:iCs/>
          <w:sz w:val="18"/>
          <w:szCs w:val="18"/>
          <w:lang w:val="en-GB"/>
        </w:rPr>
        <w:t>Tracebility</w:t>
      </w:r>
      <w:proofErr w:type="spellEnd"/>
      <w:r w:rsidRPr="00722563">
        <w:rPr>
          <w:i/>
          <w:iCs/>
          <w:sz w:val="18"/>
          <w:szCs w:val="18"/>
          <w:lang w:val="en-GB"/>
        </w:rPr>
        <w:t xml:space="preserve"> of fruits and vegetables</w:t>
      </w:r>
      <w:r w:rsidRPr="00722563">
        <w:rPr>
          <w:sz w:val="18"/>
          <w:szCs w:val="18"/>
          <w:lang w:val="en-GB"/>
        </w:rPr>
        <w:t>. Pessac Cedex, France: Phytochemistry 173, 112291.</w:t>
      </w:r>
    </w:p>
    <w:p w14:paraId="5650F9D4" w14:textId="6F4DA4AC" w:rsidR="00722563" w:rsidRPr="00722563" w:rsidRDefault="00722563" w:rsidP="00722563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722563">
        <w:rPr>
          <w:sz w:val="18"/>
          <w:szCs w:val="18"/>
          <w:lang w:val="en-GB"/>
        </w:rPr>
        <w:t>Luykx</w:t>
      </w:r>
      <w:proofErr w:type="spellEnd"/>
      <w:r w:rsidRPr="00722563">
        <w:rPr>
          <w:sz w:val="18"/>
          <w:szCs w:val="18"/>
          <w:lang w:val="en-GB"/>
        </w:rPr>
        <w:t xml:space="preserve"> D. M. A. M</w:t>
      </w:r>
      <w:r>
        <w:rPr>
          <w:sz w:val="18"/>
          <w:szCs w:val="18"/>
          <w:lang w:val="en-GB"/>
        </w:rPr>
        <w:t>.</w:t>
      </w:r>
      <w:r w:rsidRPr="00722563">
        <w:rPr>
          <w:sz w:val="18"/>
          <w:szCs w:val="18"/>
          <w:lang w:val="en-GB"/>
        </w:rPr>
        <w:t xml:space="preserve">, van Ruth S. M. (2008). </w:t>
      </w:r>
      <w:r w:rsidRPr="00722563">
        <w:rPr>
          <w:i/>
          <w:iCs/>
          <w:sz w:val="18"/>
          <w:szCs w:val="18"/>
          <w:lang w:val="en-GB"/>
        </w:rPr>
        <w:t xml:space="preserve">An overview of analytical methods for </w:t>
      </w:r>
      <w:proofErr w:type="spellStart"/>
      <w:r w:rsidRPr="00722563">
        <w:rPr>
          <w:i/>
          <w:iCs/>
          <w:sz w:val="18"/>
          <w:szCs w:val="18"/>
          <w:lang w:val="en-GB"/>
        </w:rPr>
        <w:t>determing</w:t>
      </w:r>
      <w:proofErr w:type="spellEnd"/>
      <w:r w:rsidRPr="00722563">
        <w:rPr>
          <w:i/>
          <w:iCs/>
          <w:sz w:val="18"/>
          <w:szCs w:val="18"/>
          <w:lang w:val="en-GB"/>
        </w:rPr>
        <w:t xml:space="preserve"> the geographical origin of food products</w:t>
      </w:r>
      <w:r>
        <w:rPr>
          <w:sz w:val="18"/>
          <w:szCs w:val="18"/>
          <w:lang w:val="en-GB"/>
        </w:rPr>
        <w:t xml:space="preserve">. </w:t>
      </w:r>
      <w:r w:rsidRPr="00722563">
        <w:rPr>
          <w:sz w:val="18"/>
          <w:szCs w:val="18"/>
          <w:lang w:val="en-GB"/>
        </w:rPr>
        <w:t>Wageningen, Holland: Food Chemistry 107, 897-911.</w:t>
      </w:r>
    </w:p>
    <w:p w14:paraId="1ED5DDF3" w14:textId="38C92A32" w:rsidR="00081E79" w:rsidRDefault="00722563" w:rsidP="00722563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722563">
        <w:rPr>
          <w:sz w:val="18"/>
          <w:szCs w:val="18"/>
          <w:lang w:val="en-GB"/>
        </w:rPr>
        <w:t>Opatić</w:t>
      </w:r>
      <w:proofErr w:type="spellEnd"/>
      <w:r w:rsidRPr="00722563">
        <w:rPr>
          <w:sz w:val="18"/>
          <w:szCs w:val="18"/>
          <w:lang w:val="en-GB"/>
        </w:rPr>
        <w:t xml:space="preserve"> A. M., </w:t>
      </w:r>
      <w:proofErr w:type="spellStart"/>
      <w:r w:rsidRPr="00722563">
        <w:rPr>
          <w:sz w:val="18"/>
          <w:szCs w:val="18"/>
          <w:lang w:val="en-GB"/>
        </w:rPr>
        <w:t>Necêmer</w:t>
      </w:r>
      <w:proofErr w:type="spellEnd"/>
      <w:r w:rsidRPr="00722563">
        <w:rPr>
          <w:sz w:val="18"/>
          <w:szCs w:val="18"/>
          <w:lang w:val="en-GB"/>
        </w:rPr>
        <w:t xml:space="preserve"> M., </w:t>
      </w:r>
      <w:proofErr w:type="spellStart"/>
      <w:r w:rsidRPr="00722563">
        <w:rPr>
          <w:sz w:val="18"/>
          <w:szCs w:val="18"/>
          <w:lang w:val="en-GB"/>
        </w:rPr>
        <w:t>Lojen</w:t>
      </w:r>
      <w:proofErr w:type="spellEnd"/>
      <w:r w:rsidRPr="00722563">
        <w:rPr>
          <w:sz w:val="18"/>
          <w:szCs w:val="18"/>
          <w:lang w:val="en-GB"/>
        </w:rPr>
        <w:t xml:space="preserve"> S., </w:t>
      </w:r>
      <w:proofErr w:type="spellStart"/>
      <w:r w:rsidRPr="00722563">
        <w:rPr>
          <w:sz w:val="18"/>
          <w:szCs w:val="18"/>
          <w:lang w:val="en-GB"/>
        </w:rPr>
        <w:t>Vidrih</w:t>
      </w:r>
      <w:proofErr w:type="spellEnd"/>
      <w:r w:rsidRPr="00722563">
        <w:rPr>
          <w:sz w:val="18"/>
          <w:szCs w:val="18"/>
          <w:lang w:val="en-GB"/>
        </w:rPr>
        <w:t xml:space="preserve"> R. (2017). </w:t>
      </w:r>
      <w:r w:rsidRPr="00722563">
        <w:rPr>
          <w:i/>
          <w:iCs/>
          <w:sz w:val="18"/>
          <w:szCs w:val="18"/>
          <w:lang w:val="en-GB"/>
        </w:rPr>
        <w:t>Stable isotope ratio and elemental composition and elemental composition parameters in combination with discriminant analysis classification model to assign country of origin to commercial vegetables - A preliminary study</w:t>
      </w:r>
      <w:r w:rsidRPr="00722563">
        <w:rPr>
          <w:sz w:val="18"/>
          <w:szCs w:val="18"/>
          <w:lang w:val="en-GB"/>
        </w:rPr>
        <w:t>. Ljubljana, Slovenia: Food Control 80, 252-258.</w:t>
      </w:r>
    </w:p>
    <w:p w14:paraId="3371CD62" w14:textId="77777777" w:rsidR="008604A1" w:rsidRPr="00722563" w:rsidRDefault="00000000">
      <w:pPr>
        <w:rPr>
          <w:lang w:val="en-US"/>
        </w:rPr>
      </w:pPr>
    </w:p>
    <w:sectPr w:rsidR="008604A1" w:rsidRPr="00722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OT596495f2+fb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704"/>
    <w:multiLevelType w:val="hybridMultilevel"/>
    <w:tmpl w:val="CBD89E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589"/>
    <w:multiLevelType w:val="hybridMultilevel"/>
    <w:tmpl w:val="D3F2A3F0"/>
    <w:lvl w:ilvl="0" w:tplc="28629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641D"/>
    <w:multiLevelType w:val="hybridMultilevel"/>
    <w:tmpl w:val="B2BC7A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60946"/>
    <w:multiLevelType w:val="hybridMultilevel"/>
    <w:tmpl w:val="1868B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7896"/>
    <w:multiLevelType w:val="hybridMultilevel"/>
    <w:tmpl w:val="E9D646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378D"/>
    <w:multiLevelType w:val="hybridMultilevel"/>
    <w:tmpl w:val="397A6D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0C52"/>
    <w:multiLevelType w:val="hybridMultilevel"/>
    <w:tmpl w:val="A5A651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27075"/>
    <w:multiLevelType w:val="hybridMultilevel"/>
    <w:tmpl w:val="397A6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C129C"/>
    <w:multiLevelType w:val="hybridMultilevel"/>
    <w:tmpl w:val="2CEA9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45223">
    <w:abstractNumId w:val="1"/>
  </w:num>
  <w:num w:numId="2" w16cid:durableId="1190097986">
    <w:abstractNumId w:val="0"/>
  </w:num>
  <w:num w:numId="3" w16cid:durableId="1026099940">
    <w:abstractNumId w:val="4"/>
  </w:num>
  <w:num w:numId="4" w16cid:durableId="2066641299">
    <w:abstractNumId w:val="2"/>
  </w:num>
  <w:num w:numId="5" w16cid:durableId="1584490100">
    <w:abstractNumId w:val="6"/>
  </w:num>
  <w:num w:numId="6" w16cid:durableId="941494246">
    <w:abstractNumId w:val="3"/>
  </w:num>
  <w:num w:numId="7" w16cid:durableId="1810054725">
    <w:abstractNumId w:val="8"/>
  </w:num>
  <w:num w:numId="8" w16cid:durableId="1917742161">
    <w:abstractNumId w:val="7"/>
  </w:num>
  <w:num w:numId="9" w16cid:durableId="1288396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26966"/>
    <w:rsid w:val="000502C6"/>
    <w:rsid w:val="00056F1E"/>
    <w:rsid w:val="00081E79"/>
    <w:rsid w:val="00133103"/>
    <w:rsid w:val="00163E6B"/>
    <w:rsid w:val="00214559"/>
    <w:rsid w:val="00246210"/>
    <w:rsid w:val="00275FD9"/>
    <w:rsid w:val="00282B6E"/>
    <w:rsid w:val="00325583"/>
    <w:rsid w:val="00335E58"/>
    <w:rsid w:val="003A5A6F"/>
    <w:rsid w:val="00444CC1"/>
    <w:rsid w:val="004B1658"/>
    <w:rsid w:val="004E1E3F"/>
    <w:rsid w:val="004E3C55"/>
    <w:rsid w:val="00500190"/>
    <w:rsid w:val="0052706D"/>
    <w:rsid w:val="005605B8"/>
    <w:rsid w:val="00576B75"/>
    <w:rsid w:val="00645545"/>
    <w:rsid w:val="006753FB"/>
    <w:rsid w:val="006B090C"/>
    <w:rsid w:val="006B7F7F"/>
    <w:rsid w:val="00701771"/>
    <w:rsid w:val="00722563"/>
    <w:rsid w:val="007A2C09"/>
    <w:rsid w:val="007D1878"/>
    <w:rsid w:val="007E1628"/>
    <w:rsid w:val="00810B4D"/>
    <w:rsid w:val="00874292"/>
    <w:rsid w:val="008B25A7"/>
    <w:rsid w:val="008D4E24"/>
    <w:rsid w:val="008F70F1"/>
    <w:rsid w:val="00975284"/>
    <w:rsid w:val="00983CEB"/>
    <w:rsid w:val="009A5470"/>
    <w:rsid w:val="009D1312"/>
    <w:rsid w:val="009F0C9B"/>
    <w:rsid w:val="00A31A69"/>
    <w:rsid w:val="00A7284C"/>
    <w:rsid w:val="00AE50C8"/>
    <w:rsid w:val="00AE54D0"/>
    <w:rsid w:val="00B03090"/>
    <w:rsid w:val="00B2480B"/>
    <w:rsid w:val="00C23327"/>
    <w:rsid w:val="00C773C1"/>
    <w:rsid w:val="00C948DA"/>
    <w:rsid w:val="00CA220E"/>
    <w:rsid w:val="00CB1FDC"/>
    <w:rsid w:val="00E017E5"/>
    <w:rsid w:val="00E018F0"/>
    <w:rsid w:val="00E07E1D"/>
    <w:rsid w:val="00E37B93"/>
    <w:rsid w:val="00E93897"/>
    <w:rsid w:val="00EB19D6"/>
    <w:rsid w:val="00EF3E6C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Paragrafoelenco">
    <w:name w:val="List Paragraph"/>
    <w:basedOn w:val="Normale"/>
    <w:uiPriority w:val="34"/>
    <w:qFormat/>
    <w:rsid w:val="00056F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03090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8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Raffaela Ofano</cp:lastModifiedBy>
  <cp:revision>29</cp:revision>
  <dcterms:created xsi:type="dcterms:W3CDTF">2023-02-24T09:56:00Z</dcterms:created>
  <dcterms:modified xsi:type="dcterms:W3CDTF">2023-06-06T08:15:00Z</dcterms:modified>
</cp:coreProperties>
</file>